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32"/>
          <w:szCs w:val="32"/>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32"/>
          <w:szCs w:val="32"/>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XJ-20220217-1</w:t>
      </w:r>
      <w:r>
        <w:rPr>
          <w:color w:val="000000" w:themeColor="text1"/>
          <w:sz w:val="32"/>
          <w:szCs w:val="32"/>
          <w14:textFill>
            <w14:solidFill>
              <w14:schemeClr w14:val="tx1"/>
            </w14:solidFill>
          </w14:textFill>
        </w:rPr>
        <w:fldChar w:fldCharType="begin"/>
      </w:r>
      <w:r>
        <w:rPr>
          <w:rFonts w:hint="eastAsia"/>
          <w:color w:val="000000" w:themeColor="text1"/>
          <w:sz w:val="32"/>
          <w:szCs w:val="32"/>
          <w14:textFill>
            <w14:solidFill>
              <w14:schemeClr w14:val="tx1"/>
            </w14:solidFill>
          </w14:textFill>
        </w:rPr>
        <w:instrText xml:space="preserve"> DOCVARIABLE  采购编号  \* MERGEFORMAT </w:instrText>
      </w:r>
      <w:r>
        <w:rPr>
          <w:color w:val="000000" w:themeColor="text1"/>
          <w:sz w:val="32"/>
          <w:szCs w:val="32"/>
          <w14:textFill>
            <w14:solidFill>
              <w14:schemeClr w14:val="tx1"/>
            </w14:solidFill>
          </w14:textFill>
        </w:rPr>
        <w:fldChar w:fldCharType="end"/>
      </w:r>
    </w:p>
    <w:p>
      <w:pPr>
        <w:spacing w:line="500" w:lineRule="exact"/>
        <w:jc w:val="left"/>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项目名称：广州市净水有限公司</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旧</w:t>
      </w:r>
      <w:r>
        <w:rPr>
          <w:rFonts w:ascii="仿宋_GB2312" w:hAnsi="仿宋_GB2312" w:eastAsia="仿宋_GB2312" w:cs="仿宋_GB2312"/>
          <w:b/>
          <w:bCs/>
          <w:color w:val="000000" w:themeColor="text1"/>
          <w:sz w:val="32"/>
          <w:szCs w:val="32"/>
          <w14:textFill>
            <w14:solidFill>
              <w14:schemeClr w14:val="tx1"/>
            </w14:solidFill>
          </w14:textFill>
        </w:rPr>
        <w:t>厂区</w:t>
      </w:r>
      <w:r>
        <w:rPr>
          <w:rFonts w:hint="eastAsia" w:ascii="仿宋_GB2312" w:hAnsi="仿宋_GB2312" w:eastAsia="仿宋_GB2312" w:cs="仿宋_GB2312"/>
          <w:b/>
          <w:bCs/>
          <w:color w:val="000000" w:themeColor="text1"/>
          <w:sz w:val="32"/>
          <w:szCs w:val="32"/>
          <w14:textFill>
            <w14:solidFill>
              <w14:schemeClr w14:val="tx1"/>
            </w14:solidFill>
          </w14:textFill>
        </w:rPr>
        <w:t>消防安全评估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广州市净水有限公司</w:t>
      </w:r>
      <w:r>
        <w:rPr>
          <w:rFonts w:hint="eastAsia" w:ascii="仿宋_GB2312" w:hAnsi="仿宋_GB2312" w:eastAsia="仿宋_GB2312" w:cs="仿宋_GB2312"/>
          <w:b/>
          <w:bCs/>
          <w:color w:val="000000" w:themeColor="text1"/>
          <w:sz w:val="36"/>
          <w:lang w:val="en-US" w:eastAsia="zh-CN"/>
          <w14:textFill>
            <w14:solidFill>
              <w14:schemeClr w14:val="tx1"/>
            </w14:solidFill>
          </w14:textFill>
        </w:rPr>
        <w:t xml:space="preserve"> </w:t>
      </w:r>
      <w:r>
        <w:rPr>
          <w:rFonts w:ascii="仿宋_GB2312" w:hAnsi="仿宋_GB2312" w:eastAsia="仿宋_GB2312" w:cs="仿宋_GB2312"/>
          <w:b/>
          <w:bCs/>
          <w:color w:val="000000" w:themeColor="text1"/>
          <w:sz w:val="36"/>
          <w14:textFill>
            <w14:solidFill>
              <w14:schemeClr w14:val="tx1"/>
            </w14:solidFill>
          </w14:textFill>
        </w:rPr>
        <w:t>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17</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hint="eastAsia" w:ascii="仿宋_GB2312" w:hAnsi="仿宋_GB2312" w:eastAsia="仿宋_GB2312" w:cs="仿宋_GB2312"/>
          <w:b/>
          <w:bCs/>
          <w:cap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p>
    <w:p>
      <w:pPr>
        <w:pStyle w:val="10"/>
        <w:rPr>
          <w:rFonts w:hint="eastAsia"/>
          <w:lang w:eastAsia="zh-CN"/>
        </w:rPr>
      </w:pPr>
    </w:p>
    <w:p>
      <w:pPr>
        <w:pStyle w:val="28"/>
        <w:rPr>
          <w:rFonts w:hint="eastAsia"/>
          <w:lang w:eastAsia="zh-CN"/>
        </w:rPr>
      </w:pPr>
    </w:p>
    <w:p>
      <w:pPr>
        <w:pStyle w:val="17"/>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both"/>
        <w:rPr>
          <w:rFonts w:hint="eastAsia" w:ascii="仿宋" w:hAnsi="仿宋" w:eastAsia="仿宋" w:cs="仿宋_GB2312"/>
          <w:b/>
          <w:color w:val="000000" w:themeColor="text1"/>
          <w:kern w:val="0"/>
          <w:sz w:val="28"/>
          <w:szCs w:val="28"/>
          <w14:textFill>
            <w14:solidFill>
              <w14:schemeClr w14:val="tx1"/>
            </w14:solidFill>
          </w14:textFill>
        </w:rPr>
      </w:pPr>
    </w:p>
    <w:p>
      <w:pPr>
        <w:ind w:firstLine="0" w:firstLineChar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第一部分报价邀请函</w:t>
      </w:r>
    </w:p>
    <w:p>
      <w:pPr>
        <w:rPr>
          <w:rFonts w:hint="eastAsia" w:ascii="仿宋" w:hAnsi="仿宋" w:eastAsia="仿宋" w:cs="仿宋"/>
          <w:color w:val="000000" w:themeColor="text1"/>
          <w:kern w:val="0"/>
          <w:sz w:val="28"/>
          <w:szCs w:val="28"/>
          <w14:textFill>
            <w14:solidFill>
              <w14:schemeClr w14:val="tx1"/>
            </w14:solidFill>
          </w14:textFill>
        </w:rPr>
      </w:pPr>
    </w:p>
    <w:p>
      <w:pP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r>
        <w:rPr>
          <w:rFonts w:hint="eastAsia" w:ascii="仿宋" w:hAnsi="仿宋" w:eastAsia="仿宋" w:cs="仿宋"/>
          <w:color w:val="000000" w:themeColor="text1"/>
          <w:sz w:val="28"/>
          <w:szCs w:val="28"/>
          <w:u w:val="single"/>
          <w:lang w:eastAsia="zh-CN"/>
          <w14:textFill>
            <w14:solidFill>
              <w14:schemeClr w14:val="tx1"/>
            </w14:solidFill>
          </w14:textFill>
        </w:rPr>
        <w:t>旧厂区消防安全评估项目</w:t>
      </w:r>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 w:hAnsi="仿宋" w:eastAsia="仿宋" w:cs="仿宋"/>
          <w:color w:val="000000" w:themeColor="text1"/>
          <w:sz w:val="28"/>
          <w:szCs w:val="28"/>
          <w:highlight w:val="yellow"/>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w:t>
      </w:r>
      <w:r>
        <w:rPr>
          <w:rFonts w:hint="eastAsia" w:ascii="仿宋" w:hAnsi="仿宋" w:eastAsia="仿宋" w:cs="仿宋"/>
          <w:color w:val="000000" w:themeColor="text1"/>
          <w:sz w:val="28"/>
          <w:szCs w:val="28"/>
          <w:u w:val="none"/>
          <w14:textFill>
            <w14:solidFill>
              <w14:schemeClr w14:val="tx1"/>
            </w14:solidFill>
          </w14:textFill>
        </w:rPr>
        <w:t>自有资金</w:t>
      </w:r>
    </w:p>
    <w:p>
      <w:pPr>
        <w:autoSpaceDE w:val="0"/>
        <w:autoSpaceDN w:val="0"/>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lang w:val="en-US" w:eastAsia="zh-CN"/>
          <w14:textFill>
            <w14:solidFill>
              <w14:schemeClr w14:val="tx1"/>
            </w14:solidFill>
          </w14:textFill>
        </w:rPr>
        <w:t>XJ-20220217-1</w:t>
      </w:r>
    </w:p>
    <w:p>
      <w:pPr>
        <w:autoSpaceDE w:val="0"/>
        <w:autoSpaceDN w:val="0"/>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14:textFill>
            <w14:solidFill>
              <w14:schemeClr w14:val="tx1"/>
            </w14:solidFill>
          </w14:textFill>
        </w:rPr>
        <w:t>广州市净水有限公司</w:t>
      </w:r>
      <w:r>
        <w:rPr>
          <w:rFonts w:hint="eastAsia" w:ascii="仿宋" w:hAnsi="仿宋" w:eastAsia="仿宋" w:cs="仿宋"/>
          <w:color w:val="000000" w:themeColor="text1"/>
          <w:sz w:val="28"/>
          <w:szCs w:val="28"/>
          <w:u w:val="single"/>
          <w:lang w:eastAsia="zh-CN"/>
          <w14:textFill>
            <w14:solidFill>
              <w14:schemeClr w14:val="tx1"/>
            </w14:solidFill>
          </w14:textFill>
        </w:rPr>
        <w:t>旧</w:t>
      </w:r>
      <w:r>
        <w:rPr>
          <w:rFonts w:hint="eastAsia" w:ascii="仿宋" w:hAnsi="仿宋" w:eastAsia="仿宋" w:cs="仿宋"/>
          <w:color w:val="000000" w:themeColor="text1"/>
          <w:sz w:val="28"/>
          <w:szCs w:val="28"/>
          <w:u w:val="single"/>
          <w14:textFill>
            <w14:solidFill>
              <w14:schemeClr w14:val="tx1"/>
            </w14:solidFill>
          </w14:textFill>
        </w:rPr>
        <w:t>厂区消防安全评估项目</w:t>
      </w:r>
    </w:p>
    <w:p>
      <w:pPr>
        <w:autoSpaceDE w:val="0"/>
        <w:autoSpaceDN w:val="0"/>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46.98万</w:t>
      </w:r>
      <w:r>
        <w:rPr>
          <w:rFonts w:hint="eastAsia" w:ascii="仿宋" w:hAnsi="仿宋" w:eastAsia="仿宋" w:cs="仿宋"/>
          <w:color w:val="000000" w:themeColor="text1"/>
          <w:sz w:val="28"/>
          <w:szCs w:val="28"/>
          <w:highlight w:val="none"/>
          <w:u w:val="single"/>
          <w:lang w:val="zh-CN"/>
          <w14:textFill>
            <w14:solidFill>
              <w14:schemeClr w14:val="tx1"/>
            </w14:solidFill>
          </w14:textFill>
        </w:rPr>
        <w:t>元（</w:t>
      </w:r>
      <w:r>
        <w:rPr>
          <w:rFonts w:hint="eastAsia" w:ascii="仿宋" w:hAnsi="仿宋" w:eastAsia="仿宋" w:cs="仿宋"/>
          <w:color w:val="000000" w:themeColor="text1"/>
          <w:sz w:val="28"/>
          <w:szCs w:val="28"/>
          <w:highlight w:val="none"/>
          <w:u w:val="single"/>
          <w14:textFill>
            <w14:solidFill>
              <w14:schemeClr w14:val="tx1"/>
            </w14:solidFill>
          </w14:textFill>
        </w:rPr>
        <w:t>其中中心城区项目为41.76万元，从化公司项目为5.22万元</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项目内容及需求：针对</w:t>
      </w:r>
      <w:r>
        <w:rPr>
          <w:rFonts w:hint="eastAsia" w:ascii="仿宋" w:hAnsi="仿宋" w:eastAsia="仿宋" w:cs="仿宋"/>
          <w:color w:val="000000" w:themeColor="text1"/>
          <w:sz w:val="28"/>
          <w:szCs w:val="28"/>
          <w:u w:val="none"/>
          <w14:textFill>
            <w14:solidFill>
              <w14:schemeClr w14:val="tx1"/>
            </w14:solidFill>
          </w14:textFill>
        </w:rPr>
        <w:t>广州市净水有限公司</w:t>
      </w:r>
      <w:r>
        <w:rPr>
          <w:rFonts w:hint="eastAsia" w:ascii="仿宋" w:hAnsi="仿宋" w:eastAsia="仿宋" w:cs="仿宋"/>
          <w:color w:val="000000" w:themeColor="text1"/>
          <w:sz w:val="28"/>
          <w:szCs w:val="28"/>
          <w:u w:val="none"/>
          <w:lang w:eastAsia="zh-CN"/>
          <w14:textFill>
            <w14:solidFill>
              <w14:schemeClr w14:val="tx1"/>
            </w14:solidFill>
          </w14:textFill>
        </w:rPr>
        <w:t>旧</w:t>
      </w:r>
      <w:r>
        <w:rPr>
          <w:rFonts w:hint="eastAsia" w:ascii="仿宋" w:hAnsi="仿宋" w:eastAsia="仿宋" w:cs="仿宋"/>
          <w:color w:val="000000" w:themeColor="text1"/>
          <w:sz w:val="28"/>
          <w:szCs w:val="28"/>
          <w:u w:val="none"/>
          <w14:textFill>
            <w14:solidFill>
              <w14:schemeClr w14:val="tx1"/>
            </w14:solidFill>
          </w14:textFill>
        </w:rPr>
        <w:t>厂区消防安全评估项目</w:t>
      </w:r>
      <w:r>
        <w:rPr>
          <w:rFonts w:hint="eastAsia" w:ascii="仿宋" w:hAnsi="仿宋" w:eastAsia="仿宋" w:cs="仿宋"/>
          <w:color w:val="000000" w:themeColor="text1"/>
          <w:sz w:val="28"/>
          <w:szCs w:val="28"/>
          <w14:textFill>
            <w14:solidFill>
              <w14:schemeClr w14:val="tx1"/>
            </w14:solidFill>
          </w14:textFill>
        </w:rPr>
        <w:t>具体实施内容，详见第二部分项目内容。</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六、报价单位资格要求：</w:t>
      </w:r>
    </w:p>
    <w:p>
      <w:pPr>
        <w:autoSpaceDE w:val="0"/>
        <w:autoSpaceDN w:val="0"/>
        <w:ind w:firstLine="560" w:firstLineChars="200"/>
        <w:jc w:val="left"/>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１.报价单位须是</w:t>
      </w:r>
      <w:r>
        <w:rPr>
          <w:rFonts w:hint="eastAsia" w:ascii="仿宋" w:hAnsi="仿宋" w:eastAsia="仿宋" w:cs="仿宋"/>
          <w:color w:val="000000" w:themeColor="text1"/>
          <w:sz w:val="28"/>
          <w:szCs w:val="28"/>
          <w:u w:val="single"/>
          <w:lang w:val="en-US" w:eastAsia="zh-CN"/>
          <w14:textFill>
            <w14:solidFill>
              <w14:schemeClr w14:val="tx1"/>
            </w14:solidFill>
          </w14:textFill>
        </w:rPr>
        <w:t>在</w:t>
      </w:r>
      <w:r>
        <w:rPr>
          <w:rFonts w:hint="eastAsia" w:ascii="仿宋" w:hAnsi="仿宋" w:eastAsia="仿宋" w:cs="仿宋"/>
          <w:color w:val="000000" w:themeColor="text1"/>
          <w:sz w:val="28"/>
          <w:szCs w:val="28"/>
          <w:u w:val="single"/>
          <w14:textFill>
            <w14:solidFill>
              <w14:schemeClr w14:val="tx1"/>
            </w14:solidFill>
          </w14:textFill>
        </w:rPr>
        <w:t>中华人民共和国境内</w:t>
      </w:r>
      <w:r>
        <w:rPr>
          <w:rFonts w:hint="eastAsia" w:ascii="仿宋" w:hAnsi="仿宋" w:eastAsia="仿宋" w:cs="仿宋"/>
          <w:color w:val="000000" w:themeColor="text1"/>
          <w:sz w:val="28"/>
          <w:szCs w:val="28"/>
          <w:u w:val="single"/>
          <w:lang w:val="en-US" w:eastAsia="zh-CN"/>
          <w14:textFill>
            <w14:solidFill>
              <w14:schemeClr w14:val="tx1"/>
            </w14:solidFill>
          </w14:textFill>
        </w:rPr>
        <w:t>注册</w:t>
      </w:r>
      <w:r>
        <w:rPr>
          <w:rFonts w:hint="eastAsia" w:ascii="仿宋" w:hAnsi="仿宋" w:eastAsia="仿宋" w:cs="仿宋"/>
          <w:color w:val="000000" w:themeColor="text1"/>
          <w:sz w:val="28"/>
          <w:szCs w:val="28"/>
          <w:u w:val="single"/>
          <w14:textFill>
            <w14:solidFill>
              <w14:schemeClr w14:val="tx1"/>
            </w14:solidFill>
          </w14:textFill>
        </w:rPr>
        <w:t>的法人或者其他组织，具有独立法人资格，持有工商行政管理部门核发的法人营业执照或各级登记管理机关颁发的事业单位法定代表人证</w:t>
      </w:r>
      <w:r>
        <w:rPr>
          <w:rFonts w:hint="eastAsia" w:ascii="仿宋" w:hAnsi="仿宋" w:eastAsia="仿宋" w:cs="仿宋"/>
          <w:color w:val="000000" w:themeColor="text1"/>
          <w:sz w:val="28"/>
          <w:szCs w:val="28"/>
          <w:u w:val="single"/>
          <w:lang w:eastAsia="zh-CN"/>
          <w14:textFill>
            <w14:solidFill>
              <w14:schemeClr w14:val="tx1"/>
            </w14:solidFill>
          </w14:textFill>
        </w:rPr>
        <w:t>，</w:t>
      </w:r>
      <w:r>
        <w:rPr>
          <w:rFonts w:hint="eastAsia" w:ascii="仿宋" w:hAnsi="仿宋" w:eastAsia="仿宋" w:cs="仿宋"/>
          <w:color w:val="000000" w:themeColor="text1"/>
          <w:sz w:val="28"/>
          <w:szCs w:val="28"/>
          <w:u w:val="single"/>
          <w:lang w:val="en-US" w:eastAsia="zh-CN"/>
          <w14:textFill>
            <w14:solidFill>
              <w14:schemeClr w14:val="tx1"/>
            </w14:solidFill>
          </w14:textFill>
        </w:rPr>
        <w:t>且</w:t>
      </w:r>
      <w:r>
        <w:rPr>
          <w:rFonts w:hint="eastAsia" w:ascii="仿宋" w:hAnsi="仿宋" w:eastAsia="仿宋" w:cs="仿宋"/>
          <w:color w:val="000000" w:themeColor="text1"/>
          <w:sz w:val="28"/>
          <w:szCs w:val="28"/>
          <w:u w:val="single"/>
          <w14:textFill>
            <w14:solidFill>
              <w14:schemeClr w14:val="tx1"/>
            </w14:solidFill>
          </w14:textFill>
        </w:rPr>
        <w:t>能开具增值税专用发票</w:t>
      </w:r>
      <w:r>
        <w:rPr>
          <w:rFonts w:hint="eastAsia" w:ascii="仿宋_GB2312" w:hAnsi="仿宋_GB2312" w:eastAsia="仿宋_GB2312" w:cs="仿宋_GB2312"/>
          <w:color w:val="auto"/>
          <w:sz w:val="28"/>
          <w:szCs w:val="28"/>
          <w:highlight w:val="none"/>
          <w:u w:val="single"/>
          <w:lang w:val="en-US" w:eastAsia="zh-CN"/>
        </w:rPr>
        <w:t>（提供一般纳税人证明或近一年2-3张已开据的增值税专用发票）</w:t>
      </w:r>
      <w:r>
        <w:rPr>
          <w:rFonts w:hint="eastAsia" w:ascii="仿宋" w:hAnsi="仿宋" w:eastAsia="仿宋" w:cs="仿宋"/>
          <w:color w:val="000000" w:themeColor="text1"/>
          <w:sz w:val="28"/>
          <w:szCs w:val="28"/>
          <w:u w:val="single"/>
          <w14:textFill>
            <w14:solidFill>
              <w14:schemeClr w14:val="tx1"/>
            </w14:solidFill>
          </w14:textFill>
        </w:rPr>
        <w:t>。</w:t>
      </w:r>
    </w:p>
    <w:p>
      <w:pPr>
        <w:pStyle w:val="31"/>
        <w:autoSpaceDE w:val="0"/>
        <w:autoSpaceDN w:val="0"/>
        <w:ind w:firstLine="560"/>
        <w:jc w:val="left"/>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sz w:val="28"/>
          <w:szCs w:val="28"/>
          <w:u w:val="single"/>
          <w:lang w:val="en-US" w:eastAsia="zh-CN"/>
        </w:rPr>
        <w:t>2</w:t>
      </w:r>
      <w:r>
        <w:rPr>
          <w:rFonts w:hint="eastAsia" w:ascii="仿宋" w:hAnsi="仿宋" w:eastAsia="仿宋" w:cs="仿宋"/>
          <w:color w:val="000000"/>
          <w:sz w:val="28"/>
          <w:szCs w:val="28"/>
          <w:u w:val="single"/>
          <w:lang w:val="zh-CN"/>
        </w:rPr>
        <w:t>.</w:t>
      </w:r>
      <w:r>
        <w:rPr>
          <w:rFonts w:hint="eastAsia" w:ascii="仿宋" w:hAnsi="仿宋" w:eastAsia="仿宋" w:cs="仿宋"/>
          <w:color w:val="000000"/>
          <w:sz w:val="28"/>
          <w:szCs w:val="28"/>
          <w:u w:val="single"/>
          <w:lang w:val="en-US" w:eastAsia="zh-CN"/>
        </w:rPr>
        <w:t>报价单位注册消防工程师不少于2人，其中一人为一级注册消防工程师，</w:t>
      </w:r>
      <w:r>
        <w:rPr>
          <w:rFonts w:hint="eastAsia" w:ascii="仿宋" w:hAnsi="仿宋" w:eastAsia="仿宋" w:cs="仿宋"/>
          <w:color w:val="000000" w:themeColor="text1"/>
          <w:sz w:val="28"/>
          <w:szCs w:val="28"/>
          <w:u w:val="single"/>
          <w14:textFill>
            <w14:solidFill>
              <w14:schemeClr w14:val="tx1"/>
            </w14:solidFill>
          </w14:textFill>
        </w:rPr>
        <w:t>取得消防设施操作员国家职业资格证书的人员不少于6人，其中中级技能等级以上的不少于2人</w:t>
      </w:r>
      <w:r>
        <w:rPr>
          <w:rFonts w:hint="eastAsia" w:ascii="仿宋" w:hAnsi="仿宋" w:eastAsia="仿宋" w:cs="仿宋"/>
          <w:color w:val="000000" w:themeColor="text1"/>
          <w:sz w:val="28"/>
          <w:szCs w:val="28"/>
          <w:u w:val="single"/>
          <w:lang w:eastAsia="zh-CN"/>
          <w14:textFill>
            <w14:solidFill>
              <w14:schemeClr w14:val="tx1"/>
            </w14:solidFill>
          </w14:textFill>
        </w:rPr>
        <w:t>。</w:t>
      </w:r>
    </w:p>
    <w:p>
      <w:pPr>
        <w:pStyle w:val="31"/>
        <w:autoSpaceDE w:val="0"/>
        <w:autoSpaceDN w:val="0"/>
        <w:ind w:firstLine="560"/>
        <w:jc w:val="left"/>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u w:val="single"/>
          <w:lang w:val="en-US" w:eastAsia="zh-CN"/>
          <w14:textFill>
            <w14:solidFill>
              <w14:schemeClr w14:val="tx1"/>
            </w14:solidFill>
          </w14:textFill>
        </w:rPr>
        <w:t>3.</w:t>
      </w:r>
      <w:r>
        <w:rPr>
          <w:rFonts w:hint="eastAsia" w:ascii="仿宋" w:hAnsi="仿宋" w:eastAsia="仿宋" w:cs="仿宋"/>
          <w:color w:val="000000"/>
          <w:sz w:val="28"/>
          <w:szCs w:val="28"/>
          <w:u w:val="single"/>
          <w:lang w:val="en-US" w:eastAsia="zh-CN"/>
        </w:rPr>
        <w:t>拟派</w:t>
      </w:r>
      <w:r>
        <w:rPr>
          <w:rFonts w:hint="eastAsia" w:ascii="仿宋" w:hAnsi="仿宋" w:eastAsia="仿宋" w:cs="仿宋"/>
          <w:color w:val="000000" w:themeColor="text1"/>
          <w:sz w:val="28"/>
          <w:szCs w:val="28"/>
          <w:u w:val="single"/>
          <w14:textFill>
            <w14:solidFill>
              <w14:schemeClr w14:val="tx1"/>
            </w14:solidFill>
          </w14:textFill>
        </w:rPr>
        <w:t>项目负责人须具备注册消防工程师资格证书</w:t>
      </w:r>
      <w:r>
        <w:rPr>
          <w:rFonts w:hint="eastAsia" w:ascii="仿宋" w:hAnsi="仿宋" w:eastAsia="仿宋" w:cs="仿宋"/>
          <w:color w:val="000000" w:themeColor="text1"/>
          <w:sz w:val="28"/>
          <w:szCs w:val="28"/>
          <w:u w:val="single"/>
          <w:lang w:eastAsia="zh-CN"/>
          <w14:textFill>
            <w14:solidFill>
              <w14:schemeClr w14:val="tx1"/>
            </w14:solidFill>
          </w14:textFill>
        </w:rPr>
        <w:t>。</w:t>
      </w:r>
    </w:p>
    <w:p>
      <w:pPr>
        <w:pStyle w:val="31"/>
        <w:autoSpaceDE w:val="0"/>
        <w:autoSpaceDN w:val="0"/>
        <w:ind w:firstLine="0" w:firstLineChars="0"/>
        <w:jc w:val="left"/>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u w:val="single"/>
          <w:lang w:val="en-US" w:eastAsia="zh-CN"/>
          <w14:textFill>
            <w14:solidFill>
              <w14:schemeClr w14:val="tx1"/>
            </w14:solidFill>
          </w14:textFill>
        </w:rPr>
        <w:t>备注：</w:t>
      </w:r>
      <w:r>
        <w:rPr>
          <w:rFonts w:hint="eastAsia" w:ascii="仿宋" w:hAnsi="仿宋" w:eastAsia="仿宋" w:cs="仿宋"/>
          <w:color w:val="000000" w:themeColor="text1"/>
          <w:sz w:val="28"/>
          <w:szCs w:val="28"/>
          <w:u w:val="single"/>
          <w14:textFill>
            <w14:solidFill>
              <w14:schemeClr w14:val="tx1"/>
            </w14:solidFill>
          </w14:textFill>
        </w:rPr>
        <w:t>提供</w:t>
      </w:r>
      <w:r>
        <w:rPr>
          <w:rFonts w:hint="eastAsia" w:ascii="仿宋" w:hAnsi="仿宋" w:eastAsia="仿宋" w:cs="仿宋"/>
          <w:color w:val="000000" w:themeColor="text1"/>
          <w:sz w:val="28"/>
          <w:szCs w:val="28"/>
          <w:u w:val="single"/>
          <w:lang w:val="en-US" w:eastAsia="zh-CN"/>
          <w14:textFill>
            <w14:solidFill>
              <w14:schemeClr w14:val="tx1"/>
            </w14:solidFill>
          </w14:textFill>
        </w:rPr>
        <w:t>以上人员资格证书复印件及</w:t>
      </w:r>
      <w:r>
        <w:rPr>
          <w:rFonts w:hint="eastAsia" w:ascii="仿宋" w:hAnsi="仿宋" w:eastAsia="仿宋" w:cs="仿宋"/>
          <w:color w:val="000000" w:themeColor="text1"/>
          <w:sz w:val="28"/>
          <w:szCs w:val="28"/>
          <w:u w:val="single"/>
          <w14:textFill>
            <w14:solidFill>
              <w14:schemeClr w14:val="tx1"/>
            </w14:solidFill>
          </w14:textFill>
        </w:rPr>
        <w:t>在本单位近</w:t>
      </w:r>
      <w:r>
        <w:rPr>
          <w:rFonts w:hint="eastAsia" w:ascii="仿宋" w:hAnsi="仿宋" w:eastAsia="仿宋" w:cs="仿宋"/>
          <w:color w:val="000000" w:themeColor="text1"/>
          <w:sz w:val="28"/>
          <w:szCs w:val="28"/>
          <w:u w:val="singl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个月</w:t>
      </w:r>
      <w:r>
        <w:rPr>
          <w:rFonts w:hint="eastAsia" w:ascii="仿宋" w:hAnsi="仿宋" w:eastAsia="仿宋" w:cs="仿宋"/>
          <w:color w:val="000000" w:themeColor="text1"/>
          <w:sz w:val="28"/>
          <w:szCs w:val="28"/>
          <w:u w:val="single"/>
          <w14:textFill>
            <w14:solidFill>
              <w14:schemeClr w14:val="tx1"/>
            </w14:solidFill>
          </w14:textFill>
        </w:rPr>
        <w:t>社保记录</w:t>
      </w:r>
      <w:r>
        <w:rPr>
          <w:rFonts w:hint="eastAsia" w:ascii="仿宋" w:hAnsi="仿宋" w:eastAsia="仿宋" w:cs="仿宋"/>
          <w:color w:val="000000" w:themeColor="text1"/>
          <w:sz w:val="28"/>
          <w:szCs w:val="28"/>
          <w:u w:val="single"/>
          <w:lang w:eastAsia="zh-CN"/>
          <w14:textFill>
            <w14:solidFill>
              <w14:schemeClr w14:val="tx1"/>
            </w14:solidFill>
          </w14:textFill>
        </w:rPr>
        <w:t>，以加盖社会保险基金管理中心印章的《缴费历史明细表》或《社会保险参保人员证明》为准，</w:t>
      </w:r>
      <w:r>
        <w:rPr>
          <w:rFonts w:hint="eastAsia" w:ascii="仿宋" w:hAnsi="仿宋" w:eastAsia="仿宋" w:cs="仿宋"/>
          <w:color w:val="000000" w:themeColor="text1"/>
          <w:sz w:val="28"/>
          <w:szCs w:val="28"/>
          <w:u w:val="single"/>
          <w:lang w:val="en-US" w:eastAsia="zh-CN"/>
          <w14:textFill>
            <w14:solidFill>
              <w14:schemeClr w14:val="tx1"/>
            </w14:solidFill>
          </w14:textFill>
        </w:rPr>
        <w:t>并加</w:t>
      </w:r>
      <w:r>
        <w:rPr>
          <w:rFonts w:hint="eastAsia" w:ascii="仿宋" w:hAnsi="仿宋" w:eastAsia="仿宋" w:cs="仿宋"/>
          <w:color w:val="000000" w:themeColor="text1"/>
          <w:sz w:val="28"/>
          <w:szCs w:val="28"/>
          <w:u w:val="single"/>
          <w:lang w:eastAsia="zh-CN"/>
          <w14:textFill>
            <w14:solidFill>
              <w14:schemeClr w14:val="tx1"/>
            </w14:solidFill>
          </w14:textFill>
        </w:rPr>
        <w:t>盖单位公章。</w:t>
      </w:r>
    </w:p>
    <w:p>
      <w:pPr>
        <w:pStyle w:val="31"/>
        <w:numPr>
          <w:ilvl w:val="0"/>
          <w:numId w:val="0"/>
        </w:numPr>
        <w:autoSpaceDE w:val="0"/>
        <w:autoSpaceDN w:val="0"/>
        <w:ind w:firstLine="560" w:firstLineChars="200"/>
        <w:jc w:val="left"/>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sz w:val="28"/>
          <w:szCs w:val="28"/>
          <w:u w:val="single"/>
          <w:lang w:val="en-US" w:eastAsia="zh-CN"/>
        </w:rPr>
        <w:t>4.业绩要求：</w:t>
      </w:r>
      <w:r>
        <w:rPr>
          <w:rFonts w:hint="eastAsia" w:ascii="仿宋" w:hAnsi="仿宋" w:eastAsia="仿宋" w:cs="仿宋"/>
          <w:color w:val="000000"/>
          <w:sz w:val="28"/>
          <w:szCs w:val="28"/>
          <w:u w:val="single"/>
          <w:lang w:val="zh-CN"/>
        </w:rPr>
        <w:t>201</w:t>
      </w:r>
      <w:r>
        <w:rPr>
          <w:rFonts w:hint="eastAsia" w:ascii="仿宋" w:hAnsi="仿宋" w:eastAsia="仿宋" w:cs="仿宋"/>
          <w:color w:val="000000"/>
          <w:sz w:val="28"/>
          <w:szCs w:val="28"/>
          <w:u w:val="single"/>
        </w:rPr>
        <w:t>9</w:t>
      </w:r>
      <w:r>
        <w:rPr>
          <w:rFonts w:hint="eastAsia" w:ascii="仿宋" w:hAnsi="仿宋" w:eastAsia="仿宋" w:cs="仿宋"/>
          <w:color w:val="000000"/>
          <w:sz w:val="28"/>
          <w:szCs w:val="28"/>
          <w:u w:val="single"/>
          <w:lang w:val="zh-CN"/>
        </w:rPr>
        <w:t>年</w:t>
      </w:r>
      <w:r>
        <w:rPr>
          <w:rFonts w:hint="eastAsia" w:ascii="仿宋" w:hAnsi="仿宋" w:eastAsia="仿宋" w:cs="仿宋"/>
          <w:color w:val="000000"/>
          <w:sz w:val="28"/>
          <w:szCs w:val="28"/>
          <w:u w:val="single"/>
        </w:rPr>
        <w:t>1月1日</w:t>
      </w:r>
      <w:r>
        <w:rPr>
          <w:rFonts w:hint="eastAsia" w:ascii="仿宋" w:hAnsi="仿宋" w:eastAsia="仿宋" w:cs="仿宋"/>
          <w:color w:val="000000"/>
          <w:sz w:val="28"/>
          <w:szCs w:val="28"/>
          <w:u w:val="single"/>
          <w:lang w:val="zh-CN"/>
        </w:rPr>
        <w:t>至今，</w:t>
      </w:r>
      <w:r>
        <w:rPr>
          <w:rFonts w:hint="eastAsia" w:ascii="仿宋" w:hAnsi="仿宋" w:eastAsia="仿宋" w:cs="仿宋"/>
          <w:color w:val="000000"/>
          <w:sz w:val="28"/>
          <w:szCs w:val="28"/>
          <w:u w:val="single"/>
        </w:rPr>
        <w:t>最</w:t>
      </w:r>
      <w:r>
        <w:rPr>
          <w:rFonts w:hint="eastAsia" w:ascii="仿宋" w:hAnsi="仿宋" w:eastAsia="仿宋" w:cs="仿宋"/>
          <w:color w:val="000000"/>
          <w:sz w:val="28"/>
          <w:szCs w:val="28"/>
          <w:u w:val="single"/>
          <w:lang w:val="zh-CN"/>
        </w:rPr>
        <w:t>少</w:t>
      </w:r>
      <w:r>
        <w:rPr>
          <w:rFonts w:hint="eastAsia" w:ascii="仿宋" w:hAnsi="仿宋" w:eastAsia="仿宋" w:cs="仿宋"/>
          <w:color w:val="000000"/>
          <w:sz w:val="28"/>
          <w:szCs w:val="28"/>
          <w:u w:val="single"/>
        </w:rPr>
        <w:t>完成</w:t>
      </w:r>
      <w:r>
        <w:rPr>
          <w:rFonts w:hint="eastAsia" w:ascii="仿宋" w:hAnsi="仿宋" w:eastAsia="仿宋" w:cs="仿宋"/>
          <w:color w:val="000000"/>
          <w:sz w:val="28"/>
          <w:szCs w:val="28"/>
          <w:u w:val="single"/>
          <w:lang w:val="zh-CN"/>
        </w:rPr>
        <w:t>一</w:t>
      </w:r>
      <w:r>
        <w:rPr>
          <w:rFonts w:hint="eastAsia" w:ascii="仿宋" w:hAnsi="仿宋" w:eastAsia="仿宋" w:cs="仿宋"/>
          <w:color w:val="000000"/>
          <w:sz w:val="28"/>
          <w:szCs w:val="28"/>
          <w:u w:val="single"/>
        </w:rPr>
        <w:t>项</w:t>
      </w:r>
      <w:r>
        <w:rPr>
          <w:rFonts w:hint="eastAsia" w:ascii="仿宋" w:hAnsi="仿宋" w:eastAsia="仿宋" w:cs="仿宋"/>
          <w:color w:val="000000"/>
          <w:sz w:val="28"/>
          <w:szCs w:val="28"/>
          <w:u w:val="single"/>
          <w:lang w:val="en-US" w:eastAsia="zh-CN"/>
        </w:rPr>
        <w:t>单项合同金额不少于</w:t>
      </w:r>
      <w:r>
        <w:rPr>
          <w:rFonts w:hint="eastAsia" w:ascii="仿宋" w:hAnsi="仿宋" w:eastAsia="仿宋" w:cs="仿宋"/>
          <w:color w:val="000000"/>
          <w:sz w:val="28"/>
          <w:szCs w:val="28"/>
          <w:highlight w:val="none"/>
          <w:u w:val="single"/>
          <w:lang w:val="en-US" w:eastAsia="zh-CN"/>
        </w:rPr>
        <w:t>30</w:t>
      </w:r>
      <w:r>
        <w:rPr>
          <w:rFonts w:hint="eastAsia" w:ascii="仿宋" w:hAnsi="仿宋" w:eastAsia="仿宋" w:cs="仿宋"/>
          <w:color w:val="000000"/>
          <w:sz w:val="28"/>
          <w:szCs w:val="28"/>
          <w:u w:val="single"/>
          <w:lang w:val="en-US" w:eastAsia="zh-CN"/>
        </w:rPr>
        <w:t>万元的</w:t>
      </w:r>
      <w:r>
        <w:rPr>
          <w:rFonts w:hint="eastAsia" w:ascii="仿宋" w:hAnsi="仿宋" w:eastAsia="仿宋" w:cs="仿宋"/>
          <w:color w:val="000000"/>
          <w:sz w:val="28"/>
          <w:szCs w:val="28"/>
          <w:u w:val="single"/>
        </w:rPr>
        <w:t>生产企业</w:t>
      </w:r>
      <w:r>
        <w:rPr>
          <w:rFonts w:hint="eastAsia" w:ascii="仿宋" w:hAnsi="仿宋" w:eastAsia="仿宋" w:cs="仿宋"/>
          <w:color w:val="000000"/>
          <w:sz w:val="28"/>
          <w:szCs w:val="28"/>
          <w:u w:val="single"/>
          <w:lang w:val="zh-CN"/>
        </w:rPr>
        <w:t>消防</w:t>
      </w:r>
      <w:r>
        <w:rPr>
          <w:rFonts w:hint="eastAsia" w:ascii="仿宋" w:hAnsi="仿宋" w:eastAsia="仿宋" w:cs="仿宋"/>
          <w:color w:val="000000"/>
          <w:sz w:val="28"/>
          <w:szCs w:val="28"/>
          <w:u w:val="single"/>
        </w:rPr>
        <w:t>安全评估</w:t>
      </w:r>
      <w:r>
        <w:rPr>
          <w:rFonts w:hint="eastAsia" w:ascii="仿宋" w:hAnsi="仿宋" w:eastAsia="仿宋" w:cs="仿宋"/>
          <w:color w:val="000000" w:themeColor="text1"/>
          <w:sz w:val="28"/>
          <w:szCs w:val="28"/>
          <w:u w:val="single"/>
          <w14:textFill>
            <w14:solidFill>
              <w14:schemeClr w14:val="tx1"/>
            </w14:solidFill>
          </w14:textFill>
        </w:rPr>
        <w:t>业绩</w:t>
      </w:r>
      <w:r>
        <w:rPr>
          <w:rFonts w:hint="eastAsia" w:ascii="仿宋" w:hAnsi="仿宋" w:eastAsia="仿宋" w:cs="仿宋"/>
          <w:color w:val="000000"/>
          <w:sz w:val="28"/>
          <w:szCs w:val="28"/>
          <w:u w:val="single"/>
          <w:lang w:val="zh-CN"/>
        </w:rPr>
        <w:t>（</w:t>
      </w:r>
      <w:r>
        <w:rPr>
          <w:rFonts w:hint="eastAsia" w:ascii="仿宋" w:hAnsi="仿宋" w:eastAsia="仿宋" w:cs="仿宋"/>
          <w:color w:val="000000" w:themeColor="text1"/>
          <w:sz w:val="28"/>
          <w:szCs w:val="28"/>
          <w:u w:val="single"/>
          <w14:textFill>
            <w14:solidFill>
              <w14:schemeClr w14:val="tx1"/>
            </w14:solidFill>
          </w14:textFill>
        </w:rPr>
        <w:t>提供合同复印件证明，包括但不限于项目名称、</w:t>
      </w:r>
      <w:r>
        <w:rPr>
          <w:rFonts w:hint="eastAsia" w:ascii="仿宋" w:hAnsi="仿宋" w:eastAsia="仿宋" w:cs="仿宋"/>
          <w:sz w:val="28"/>
          <w:szCs w:val="28"/>
          <w:u w:val="single"/>
        </w:rPr>
        <w:t>实施内容、</w:t>
      </w:r>
      <w:r>
        <w:rPr>
          <w:rFonts w:hint="eastAsia" w:ascii="仿宋" w:hAnsi="仿宋" w:eastAsia="仿宋" w:cs="仿宋"/>
          <w:color w:val="000000" w:themeColor="text1"/>
          <w:sz w:val="28"/>
          <w:szCs w:val="28"/>
          <w:u w:val="single"/>
          <w14:textFill>
            <w14:solidFill>
              <w14:schemeClr w14:val="tx1"/>
            </w14:solidFill>
          </w14:textFill>
        </w:rPr>
        <w:t>合同双方签字盖章、签订日期，加盖单位公章），并提供项目成果文件。</w:t>
      </w:r>
    </w:p>
    <w:p>
      <w:pPr>
        <w:ind w:firstLine="560" w:firstLineChars="200"/>
        <w:rPr>
          <w:rFonts w:hint="eastAsia" w:ascii="宋体" w:hAnsi="宋体" w:eastAsia="宋体" w:cs="宋体"/>
          <w:b/>
          <w:color w:val="auto"/>
          <w:kern w:val="2"/>
          <w:sz w:val="24"/>
          <w:highlight w:val="none"/>
          <w:lang w:val="en-US" w:eastAsia="zh-CN" w:bidi="ar-SA"/>
        </w:rPr>
      </w:pPr>
      <w:r>
        <w:rPr>
          <w:rFonts w:hint="eastAsia" w:ascii="仿宋_GB2312" w:hAnsi="仿宋_GB2312" w:eastAsia="仿宋_GB2312" w:cs="仿宋_GB2312"/>
          <w:color w:val="auto"/>
          <w:sz w:val="28"/>
          <w:szCs w:val="28"/>
          <w:highlight w:val="none"/>
          <w:u w:val="single"/>
          <w:lang w:val="zh-CN" w:eastAsia="zh-CN"/>
        </w:rPr>
        <w:t>5.报价</w:t>
      </w:r>
      <w:r>
        <w:rPr>
          <w:rFonts w:hint="eastAsia" w:ascii="仿宋_GB2312" w:hAnsi="仿宋_GB2312" w:eastAsia="仿宋_GB2312" w:cs="仿宋_GB2312"/>
          <w:color w:val="auto"/>
          <w:sz w:val="28"/>
          <w:szCs w:val="28"/>
          <w:highlight w:val="none"/>
          <w:u w:val="single"/>
          <w:lang w:val="zh-CN"/>
        </w:rPr>
        <w:t>人没有被纳入本项目</w:t>
      </w:r>
      <w:r>
        <w:rPr>
          <w:rFonts w:hint="eastAsia" w:ascii="仿宋_GB2312" w:hAnsi="仿宋_GB2312" w:eastAsia="仿宋_GB2312" w:cs="仿宋_GB2312"/>
          <w:color w:val="auto"/>
          <w:sz w:val="28"/>
          <w:szCs w:val="28"/>
          <w:highlight w:val="none"/>
          <w:u w:val="single"/>
          <w:lang w:val="zh-CN" w:eastAsia="zh-CN"/>
        </w:rPr>
        <w:t>询价</w:t>
      </w:r>
      <w:r>
        <w:rPr>
          <w:rFonts w:hint="eastAsia" w:ascii="仿宋_GB2312" w:hAnsi="仿宋_GB2312" w:eastAsia="仿宋_GB2312" w:cs="仿宋_GB2312"/>
          <w:color w:val="auto"/>
          <w:sz w:val="28"/>
          <w:szCs w:val="28"/>
          <w:highlight w:val="none"/>
          <w:u w:val="single"/>
          <w:lang w:val="zh-CN"/>
        </w:rPr>
        <w:t>人（包括市水投集团及其属下子公司）书面限制投标的企业名单。（名单详见附件）</w:t>
      </w:r>
    </w:p>
    <w:p>
      <w:pPr>
        <w:pStyle w:val="21"/>
        <w:ind w:firstLine="0"/>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t>附件：</w:t>
      </w:r>
    </w:p>
    <w:p>
      <w:pPr>
        <w:jc w:val="center"/>
        <w:rPr>
          <w:rFonts w:ascii="宋体" w:hAnsi="宋体" w:cs="宋体"/>
          <w:b/>
          <w:color w:val="auto"/>
          <w:sz w:val="24"/>
          <w:highlight w:val="none"/>
        </w:rPr>
      </w:pPr>
      <w:r>
        <w:rPr>
          <w:rFonts w:hint="eastAsia" w:ascii="宋体" w:hAnsi="宋体" w:cs="宋体"/>
          <w:b/>
          <w:color w:val="auto"/>
          <w:sz w:val="24"/>
          <w:highlight w:val="none"/>
        </w:rPr>
        <w:t>被纳入本项目</w:t>
      </w:r>
      <w:r>
        <w:rPr>
          <w:rFonts w:hint="eastAsia" w:ascii="宋体" w:hAnsi="宋体" w:cs="宋体"/>
          <w:b/>
          <w:color w:val="auto"/>
          <w:sz w:val="24"/>
          <w:highlight w:val="none"/>
          <w:lang w:val="en-US" w:eastAsia="zh-CN"/>
        </w:rPr>
        <w:t>询价</w:t>
      </w:r>
      <w:r>
        <w:rPr>
          <w:rFonts w:hint="eastAsia" w:ascii="宋体" w:hAnsi="宋体" w:cs="宋体"/>
          <w:b/>
          <w:color w:val="auto"/>
          <w:sz w:val="24"/>
          <w:highlight w:val="none"/>
        </w:rPr>
        <w:t>人（包括市水投集团及其属下子公司）书面限制投标的企业名单</w:t>
      </w:r>
    </w:p>
    <w:tbl>
      <w:tblPr>
        <w:tblStyle w:val="22"/>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b/>
                <w:bCs/>
                <w:color w:val="auto"/>
                <w:sz w:val="24"/>
                <w:highlight w:val="none"/>
              </w:rPr>
            </w:pPr>
            <w:r>
              <w:rPr>
                <w:rFonts w:hint="eastAsia" w:ascii="宋体" w:hAnsi="宋体" w:cs="宋体"/>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b/>
                <w:bCs/>
                <w:color w:val="auto"/>
                <w:sz w:val="24"/>
                <w:highlight w:val="none"/>
              </w:rPr>
            </w:pPr>
            <w:r>
              <w:rPr>
                <w:rFonts w:hint="eastAsia" w:ascii="宋体" w:hAnsi="宋体" w:cs="宋体"/>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Autospacing="0"/>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2022年1月1日至2022年12月31日</w:t>
            </w:r>
          </w:p>
        </w:tc>
      </w:tr>
    </w:tbl>
    <w:p>
      <w:pPr>
        <w:pStyle w:val="31"/>
        <w:numPr>
          <w:ilvl w:val="0"/>
          <w:numId w:val="0"/>
        </w:numPr>
        <w:autoSpaceDE w:val="0"/>
        <w:autoSpaceDN w:val="0"/>
        <w:jc w:val="left"/>
        <w:rPr>
          <w:rFonts w:hint="default" w:ascii="仿宋" w:hAnsi="仿宋" w:eastAsia="仿宋" w:cs="仿宋"/>
          <w:color w:val="000000" w:themeColor="text1"/>
          <w:sz w:val="28"/>
          <w:szCs w:val="28"/>
          <w:u w:val="single"/>
          <w:lang w:val="en-US" w:eastAsia="zh-CN"/>
          <w14:textFill>
            <w14:solidFill>
              <w14:schemeClr w14:val="tx1"/>
            </w14:solidFill>
          </w14:textFill>
        </w:rPr>
      </w:pPr>
    </w:p>
    <w:p>
      <w:pPr>
        <w:pStyle w:val="31"/>
        <w:autoSpaceDE w:val="0"/>
        <w:autoSpaceDN w:val="0"/>
        <w:ind w:firstLine="56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七、现场踏勘(答疑会)时间地点（也可由报价单位自行踏勘现场）：/</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八、询价文件的获取：在202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23</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分前，在广州市净水有限公司门户网站免费下载。</w:t>
      </w:r>
    </w:p>
    <w:p>
      <w:pPr>
        <w:spacing w:line="54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九、询价响应文件递交时间：202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23</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分至</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分；询价响应文件递交截止时间：202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23</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sz w:val="28"/>
          <w:szCs w:val="28"/>
        </w:rPr>
        <w:t>递交响应文件时须提供授权委托人身份证原件备查。</w:t>
      </w:r>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十、响应文件送达地点：广州市天河区临江大道501号广州市净水有限公司</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sz w:val="28"/>
          <w:szCs w:val="28"/>
        </w:rPr>
        <w:t>（</w:t>
      </w:r>
      <w:r>
        <w:rPr>
          <w:rFonts w:hint="eastAsia" w:ascii="仿宋" w:hAnsi="仿宋" w:eastAsia="仿宋" w:cs="仿宋"/>
          <w:color w:val="auto"/>
          <w:sz w:val="28"/>
          <w:szCs w:val="28"/>
          <w:highlight w:val="none"/>
          <w:lang w:eastAsia="zh-CN"/>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sz w:val="28"/>
          <w:szCs w:val="28"/>
        </w:rPr>
        <w:t>）</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十一、评审时间：202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23</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十二、评审地点：广州市净水有限公司六楼招标办</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十三、询价人的联系方式</w:t>
      </w:r>
    </w:p>
    <w:p>
      <w:pPr>
        <w:snapToGrid w:val="0"/>
        <w:spacing w:line="540" w:lineRule="exact"/>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询价人：广州市净水有限公司</w:t>
      </w:r>
    </w:p>
    <w:p>
      <w:pPr>
        <w:snapToGrid w:val="0"/>
        <w:spacing w:line="54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联系地址：广州市天河区临江大道501号</w:t>
      </w:r>
    </w:p>
    <w:p>
      <w:pPr>
        <w:snapToGrid w:val="0"/>
        <w:spacing w:line="540" w:lineRule="exact"/>
        <w:ind w:firstLine="700" w:firstLineChars="250"/>
        <w:jc w:val="left"/>
        <w:rPr>
          <w:rFonts w:hint="default"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lang w:val="en-US" w:eastAsia="zh-CN"/>
          <w14:textFill>
            <w14:solidFill>
              <w14:schemeClr w14:val="tx1"/>
            </w14:solidFill>
          </w14:textFill>
        </w:rPr>
        <w:t>黄</w:t>
      </w:r>
      <w:r>
        <w:rPr>
          <w:rFonts w:hint="eastAsia" w:ascii="仿宋" w:hAnsi="仿宋" w:eastAsia="仿宋" w:cs="仿宋"/>
          <w:color w:val="000000" w:themeColor="text1"/>
          <w:sz w:val="28"/>
          <w:szCs w:val="28"/>
          <w14:textFill>
            <w14:solidFill>
              <w14:schemeClr w14:val="tx1"/>
            </w14:solidFill>
          </w14:textFill>
        </w:rPr>
        <w:t>工</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联系方式：020-</w:t>
      </w:r>
      <w:r>
        <w:rPr>
          <w:rFonts w:hint="eastAsia" w:ascii="仿宋" w:hAnsi="仿宋" w:eastAsia="仿宋" w:cs="仿宋"/>
          <w:color w:val="000000" w:themeColor="text1"/>
          <w:sz w:val="28"/>
          <w:szCs w:val="28"/>
          <w:lang w:val="en-US" w:eastAsia="zh-CN"/>
          <w14:textFill>
            <w14:solidFill>
              <w14:schemeClr w14:val="tx1"/>
            </w14:solidFill>
          </w14:textFill>
        </w:rPr>
        <w:t>62315524</w:t>
      </w:r>
      <w:bookmarkStart w:id="7" w:name="_GoBack"/>
      <w:bookmarkEnd w:id="7"/>
    </w:p>
    <w:p>
      <w:pPr>
        <w:wordWrap w:val="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广州市净水有限公司</w:t>
      </w:r>
    </w:p>
    <w:p>
      <w:pPr>
        <w:wordWrap w:val="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17</w:t>
      </w:r>
      <w:r>
        <w:rPr>
          <w:rFonts w:ascii="仿宋" w:hAnsi="仿宋" w:eastAsia="仿宋" w:cs="仿宋"/>
          <w:color w:val="000000" w:themeColor="text1"/>
          <w:sz w:val="28"/>
          <w:szCs w:val="28"/>
          <w14:textFill>
            <w14:solidFill>
              <w14:schemeClr w14:val="tx1"/>
            </w14:solidFill>
          </w14:textFill>
        </w:rPr>
        <w:t>日</w:t>
      </w:r>
    </w:p>
    <w:p>
      <w:pPr>
        <w:rPr>
          <w:rFonts w:hint="eastAsia" w:ascii="仿宋" w:hAnsi="仿宋" w:eastAsia="仿宋" w:cs="仿宋"/>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第二部分项目内容</w:t>
      </w:r>
    </w:p>
    <w:p>
      <w:pPr>
        <w:pStyle w:val="12"/>
        <w:adjustRightInd w:val="0"/>
        <w:snapToGrid w:val="0"/>
        <w:spacing w:line="500" w:lineRule="exact"/>
        <w:ind w:firstLine="560" w:firstLineChars="200"/>
        <w:rPr>
          <w:rFonts w:hint="eastAsia" w:ascii="仿宋" w:hAnsi="仿宋" w:eastAsia="仿宋" w:cs="仿宋"/>
          <w:b w:val="0"/>
          <w:bCs/>
          <w:color w:val="auto"/>
          <w:sz w:val="28"/>
          <w:szCs w:val="28"/>
          <w:highlight w:val="none"/>
          <w:lang w:val="zh-CN"/>
        </w:rPr>
      </w:pPr>
    </w:p>
    <w:p>
      <w:pPr>
        <w:adjustRightInd w:val="0"/>
        <w:snapToGrid w:val="0"/>
        <w:spacing w:line="300" w:lineRule="auto"/>
        <w:ind w:firstLine="560" w:firstLineChars="200"/>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 xml:space="preserve">报价单位须对本项目为单位的服务进行整体响应，任何只对其中一部分内容进行的响应都被视为无效响应。 </w:t>
      </w:r>
    </w:p>
    <w:p>
      <w:pPr>
        <w:spacing w:line="300" w:lineRule="auto"/>
        <w:ind w:firstLine="560" w:firstLineChars="200"/>
        <w:rPr>
          <w:rFonts w:hint="eastAsia" w:ascii="宋体" w:hAnsi="宋体" w:eastAsia="宋体" w:cs="宋体"/>
          <w:b w:val="0"/>
          <w:sz w:val="24"/>
          <w:szCs w:val="24"/>
        </w:rPr>
      </w:pPr>
      <w:r>
        <w:rPr>
          <w:rFonts w:hint="eastAsia" w:ascii="仿宋" w:hAnsi="仿宋" w:eastAsia="仿宋" w:cs="仿宋"/>
          <w:b w:val="0"/>
          <w:bCs w:val="0"/>
          <w:color w:val="auto"/>
          <w:sz w:val="28"/>
          <w:szCs w:val="28"/>
          <w:highlight w:val="none"/>
          <w:lang w:val="en-US"/>
        </w:rPr>
        <w:t>询价文件中所有要求均为实质性响应条款，供应商如有任何一条负偏离则导致响应文件无效。</w:t>
      </w:r>
    </w:p>
    <w:p>
      <w:pPr>
        <w:spacing w:line="30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一、实施范围</w:t>
      </w:r>
    </w:p>
    <w:p>
      <w:pPr>
        <w:spacing w:line="30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广州净水有限公司中心城区</w:t>
      </w:r>
      <w:r>
        <w:rPr>
          <w:rFonts w:hint="eastAsia" w:ascii="仿宋" w:hAnsi="仿宋" w:eastAsia="仿宋" w:cs="仿宋"/>
          <w:color w:val="auto"/>
          <w:sz w:val="28"/>
          <w:szCs w:val="28"/>
          <w:highlight w:val="none"/>
        </w:rPr>
        <w:t>早期建成厂区</w:t>
      </w:r>
      <w:r>
        <w:rPr>
          <w:rFonts w:hint="eastAsia" w:ascii="仿宋" w:hAnsi="仿宋" w:eastAsia="仿宋" w:cs="仿宋"/>
          <w:color w:val="auto"/>
          <w:sz w:val="28"/>
          <w:szCs w:val="28"/>
          <w:highlight w:val="none"/>
          <w:lang w:eastAsia="zh-CN"/>
        </w:rPr>
        <w:t>以及</w:t>
      </w:r>
      <w:r>
        <w:rPr>
          <w:rFonts w:hint="eastAsia" w:ascii="仿宋" w:hAnsi="仿宋" w:eastAsia="仿宋" w:cs="仿宋"/>
          <w:color w:val="auto"/>
          <w:sz w:val="28"/>
          <w:szCs w:val="28"/>
          <w:highlight w:val="none"/>
          <w:lang w:val="en-US" w:eastAsia="zh-CN"/>
        </w:rPr>
        <w:t>广州</w:t>
      </w:r>
      <w:r>
        <w:rPr>
          <w:rFonts w:hint="eastAsia" w:ascii="仿宋" w:hAnsi="仿宋" w:eastAsia="仿宋" w:cs="仿宋"/>
          <w:color w:val="auto"/>
          <w:sz w:val="28"/>
          <w:szCs w:val="28"/>
          <w:highlight w:val="none"/>
        </w:rPr>
        <w:t>从化</w:t>
      </w:r>
      <w:r>
        <w:rPr>
          <w:rFonts w:hint="eastAsia" w:ascii="仿宋" w:hAnsi="仿宋" w:eastAsia="仿宋" w:cs="仿宋"/>
          <w:color w:val="auto"/>
          <w:sz w:val="28"/>
          <w:szCs w:val="28"/>
          <w:highlight w:val="none"/>
          <w:lang w:val="en-US" w:eastAsia="zh-CN"/>
        </w:rPr>
        <w:t>净水有限</w:t>
      </w:r>
      <w:r>
        <w:rPr>
          <w:rFonts w:hint="eastAsia" w:ascii="仿宋" w:hAnsi="仿宋" w:eastAsia="仿宋" w:cs="仿宋"/>
          <w:color w:val="auto"/>
          <w:sz w:val="28"/>
          <w:szCs w:val="28"/>
          <w:highlight w:val="none"/>
        </w:rPr>
        <w:t>公司早期建成厂区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详见报价清单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000000" w:themeColor="text1"/>
          <w:sz w:val="28"/>
          <w:szCs w:val="28"/>
          <w:u w:val="none"/>
          <w14:textFill>
            <w14:solidFill>
              <w14:schemeClr w14:val="tx1"/>
            </w14:solidFill>
          </w14:textFill>
        </w:rPr>
        <w:t>广州市净水有限公司</w:t>
      </w:r>
      <w:r>
        <w:rPr>
          <w:rFonts w:hint="eastAsia" w:ascii="仿宋" w:hAnsi="仿宋" w:eastAsia="仿宋" w:cs="仿宋"/>
          <w:color w:val="000000" w:themeColor="text1"/>
          <w:sz w:val="28"/>
          <w:szCs w:val="28"/>
          <w:u w:val="none"/>
          <w:lang w:eastAsia="zh-CN"/>
          <w14:textFill>
            <w14:solidFill>
              <w14:schemeClr w14:val="tx1"/>
            </w14:solidFill>
          </w14:textFill>
        </w:rPr>
        <w:t>旧</w:t>
      </w:r>
      <w:r>
        <w:rPr>
          <w:rFonts w:hint="eastAsia" w:ascii="仿宋" w:hAnsi="仿宋" w:eastAsia="仿宋" w:cs="仿宋"/>
          <w:color w:val="000000" w:themeColor="text1"/>
          <w:sz w:val="28"/>
          <w:szCs w:val="28"/>
          <w:u w:val="none"/>
          <w14:textFill>
            <w14:solidFill>
              <w14:schemeClr w14:val="tx1"/>
            </w14:solidFill>
          </w14:textFill>
        </w:rPr>
        <w:t>厂区消防安全评估</w:t>
      </w:r>
      <w:r>
        <w:rPr>
          <w:rFonts w:hint="eastAsia" w:ascii="仿宋" w:hAnsi="仿宋" w:eastAsia="仿宋" w:cs="仿宋"/>
          <w:color w:val="000000" w:themeColor="text1"/>
          <w:sz w:val="28"/>
          <w:szCs w:val="28"/>
          <w:u w:val="none"/>
          <w:lang w:val="en-US" w:eastAsia="zh-CN"/>
          <w14:textFill>
            <w14:solidFill>
              <w14:schemeClr w14:val="tx1"/>
            </w14:solidFill>
          </w14:textFill>
        </w:rPr>
        <w:t>从化项目是</w:t>
      </w:r>
      <w:r>
        <w:rPr>
          <w:rFonts w:hint="eastAsia" w:ascii="仿宋" w:hAnsi="仿宋" w:eastAsia="仿宋" w:cs="仿宋"/>
          <w:color w:val="auto"/>
          <w:sz w:val="28"/>
          <w:szCs w:val="28"/>
          <w:highlight w:val="none"/>
          <w:lang w:eastAsia="zh-CN"/>
        </w:rPr>
        <w:t>广州从化净水有限公司委托广州市净水有限公司进行</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从化项目</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eastAsia="zh-CN"/>
        </w:rPr>
        <w:t>中标单位与广州从化净水有限公司签订合同。</w:t>
      </w:r>
    </w:p>
    <w:p>
      <w:pPr>
        <w:spacing w:line="30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二、服务内容</w:t>
      </w:r>
    </w:p>
    <w:p>
      <w:pPr>
        <w:spacing w:line="300" w:lineRule="auto"/>
        <w:ind w:firstLine="560" w:firstLineChars="200"/>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t>从建筑防火、建筑消防设施及器材、消防安全管理三大方面对</w:t>
      </w:r>
      <w:r>
        <w:rPr>
          <w:rFonts w:hint="eastAsia" w:ascii="仿宋" w:hAnsi="仿宋" w:eastAsia="仿宋" w:cs="仿宋"/>
          <w:color w:val="auto"/>
          <w:sz w:val="28"/>
          <w:szCs w:val="28"/>
          <w:highlight w:val="none"/>
          <w:lang w:val="en-US" w:eastAsia="zh-CN"/>
        </w:rPr>
        <w:t>实施范围厂区及生产、生活建（构）筑物等的</w:t>
      </w:r>
      <w:r>
        <w:rPr>
          <w:rFonts w:hint="eastAsia" w:ascii="仿宋" w:hAnsi="仿宋" w:eastAsia="仿宋" w:cs="仿宋"/>
          <w:color w:val="auto"/>
          <w:sz w:val="28"/>
          <w:szCs w:val="28"/>
          <w:highlight w:val="none"/>
        </w:rPr>
        <w:t>消防安全进行综合评估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出具评估报告(内容包括但不限于对</w:t>
      </w:r>
      <w:r>
        <w:rPr>
          <w:rFonts w:hint="eastAsia" w:ascii="仿宋" w:hAnsi="仿宋" w:eastAsia="仿宋" w:cs="仿宋"/>
          <w:color w:val="auto"/>
          <w:sz w:val="28"/>
          <w:szCs w:val="28"/>
          <w:highlight w:val="none"/>
        </w:rPr>
        <w:t>公司总体</w:t>
      </w:r>
      <w:r>
        <w:rPr>
          <w:rFonts w:hint="eastAsia" w:ascii="仿宋" w:hAnsi="仿宋" w:eastAsia="仿宋" w:cs="仿宋"/>
          <w:color w:val="auto"/>
          <w:sz w:val="28"/>
          <w:szCs w:val="28"/>
          <w:highlight w:val="none"/>
          <w:lang w:val="en-US" w:eastAsia="zh-CN"/>
        </w:rPr>
        <w:t>及实施范围厂区消防</w:t>
      </w:r>
      <w:r>
        <w:rPr>
          <w:rFonts w:hint="eastAsia" w:ascii="仿宋" w:hAnsi="仿宋" w:eastAsia="仿宋" w:cs="仿宋"/>
          <w:color w:val="auto"/>
          <w:sz w:val="28"/>
          <w:szCs w:val="28"/>
          <w:highlight w:val="none"/>
        </w:rPr>
        <w:t>情况</w:t>
      </w:r>
      <w:r>
        <w:rPr>
          <w:rFonts w:hint="eastAsia" w:ascii="仿宋" w:hAnsi="仿宋" w:eastAsia="仿宋" w:cs="仿宋"/>
          <w:color w:val="auto"/>
          <w:sz w:val="28"/>
          <w:szCs w:val="28"/>
          <w:highlight w:val="none"/>
          <w:lang w:eastAsia="zh-CN"/>
        </w:rPr>
        <w:t>的描述、项目过程中发现的</w:t>
      </w:r>
      <w:r>
        <w:rPr>
          <w:rFonts w:hint="eastAsia" w:ascii="仿宋" w:hAnsi="仿宋" w:eastAsia="仿宋" w:cs="仿宋"/>
          <w:color w:val="auto"/>
          <w:sz w:val="28"/>
          <w:szCs w:val="28"/>
          <w:highlight w:val="none"/>
        </w:rPr>
        <w:t>存在问题和整改建议</w:t>
      </w:r>
      <w:r>
        <w:rPr>
          <w:rFonts w:hint="eastAsia" w:ascii="仿宋" w:hAnsi="仿宋" w:eastAsia="仿宋" w:cs="仿宋"/>
          <w:color w:val="auto"/>
          <w:sz w:val="28"/>
          <w:szCs w:val="28"/>
          <w:highlight w:val="none"/>
          <w:lang w:val="en-US" w:eastAsia="zh-CN"/>
        </w:rPr>
        <w:t>)。</w:t>
      </w:r>
    </w:p>
    <w:p>
      <w:pPr>
        <w:spacing w:line="30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三、项目技术要求</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 本次项目包含现场消防检查、消防设施及器材检测、综合评估及报告编制三个方面。项目需符合以下规范：</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-《建筑消防安全评估标准》（</w:t>
      </w:r>
      <w:r>
        <w:rPr>
          <w:rFonts w:hint="eastAsia" w:ascii="仿宋" w:hAnsi="仿宋" w:eastAsia="仿宋" w:cs="仿宋"/>
          <w:spacing w:val="12"/>
          <w:sz w:val="28"/>
          <w:szCs w:val="28"/>
        </w:rPr>
        <w:t>DBJ</w:t>
      </w:r>
      <w:r>
        <w:rPr>
          <w:rFonts w:hint="eastAsia" w:ascii="仿宋" w:hAnsi="仿宋" w:eastAsia="仿宋" w:cs="仿宋"/>
          <w:spacing w:val="7"/>
          <w:sz w:val="28"/>
          <w:szCs w:val="28"/>
        </w:rPr>
        <w:t>/T</w:t>
      </w:r>
      <w:r>
        <w:rPr>
          <w:rFonts w:hint="eastAsia" w:ascii="仿宋" w:hAnsi="仿宋" w:eastAsia="仿宋" w:cs="仿宋"/>
          <w:spacing w:val="16"/>
          <w:sz w:val="28"/>
          <w:szCs w:val="28"/>
        </w:rPr>
        <w:t>15-144</w:t>
      </w:r>
      <w:r>
        <w:rPr>
          <w:rFonts w:hint="eastAsia" w:ascii="仿宋" w:hAnsi="仿宋" w:eastAsia="仿宋" w:cs="仿宋"/>
          <w:spacing w:val="2"/>
          <w:sz w:val="28"/>
          <w:szCs w:val="28"/>
        </w:rPr>
        <w:t>-2018</w:t>
      </w:r>
      <w:r>
        <w:rPr>
          <w:rFonts w:hint="eastAsia" w:ascii="仿宋" w:hAnsi="仿宋" w:eastAsia="仿宋" w:cs="仿宋"/>
          <w:sz w:val="28"/>
          <w:szCs w:val="28"/>
        </w:rPr>
        <w:t>）；</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-《建筑设计防火规范》（GB50016）；</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-《建筑内部装修设计防火规范》（GB50222）；</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pacing w:val="-3"/>
          <w:sz w:val="28"/>
          <w:szCs w:val="28"/>
        </w:rPr>
        <w:t>钢结构防火涂料应用技术规范》（</w:t>
      </w:r>
      <w:r>
        <w:rPr>
          <w:rFonts w:hint="eastAsia" w:ascii="仿宋" w:hAnsi="仿宋" w:eastAsia="仿宋" w:cs="仿宋"/>
          <w:sz w:val="28"/>
          <w:szCs w:val="28"/>
        </w:rPr>
        <w:t>CECS24∶90）；</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pacing w:val="-2"/>
          <w:sz w:val="28"/>
          <w:szCs w:val="28"/>
        </w:rPr>
        <w:t>《建筑钢结构防火技术规范》（</w:t>
      </w:r>
      <w:r>
        <w:rPr>
          <w:rFonts w:hint="eastAsia" w:ascii="仿宋" w:hAnsi="仿宋" w:eastAsia="仿宋" w:cs="仿宋"/>
          <w:sz w:val="28"/>
          <w:szCs w:val="28"/>
        </w:rPr>
        <w:t>GB51249）；</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-《汽车库、修车库、停车场设计防火规范》（GB50067）；</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-《民用建筑电气设计规范》（JGJ16）；</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-《建筑电气防火检测技术规程》（DBJ/T15-138）;</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-《建筑防火及消防设施检测技术规程》（DBJ/T15-110）；</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-《广东省建筑节能工程施工质量验收规范》（DBJ15-65）；</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-《消防安全重点单位微型消防站建设标准（试行）》；</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-《消防控制室通用技术要求》（GB25506）、</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-《建筑消防设施的维护管理》（GB25201）；</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-《建筑消防设施检测技术规程》（GA503）、</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-《建筑防火及消防设施检测技术规程》（DBJ/T15-110）、</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-《社会消防技术服务管理规定》（应急管理令第7号）</w:t>
      </w:r>
    </w:p>
    <w:p>
      <w:p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-《广东省专职消防队建设管理规定》；及</w:t>
      </w:r>
    </w:p>
    <w:p>
      <w:pPr>
        <w:spacing w:before="112" w:line="30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 其他</w:t>
      </w:r>
      <w:r>
        <w:rPr>
          <w:rFonts w:hint="eastAsia" w:ascii="仿宋" w:hAnsi="仿宋" w:eastAsia="仿宋" w:cs="仿宋"/>
          <w:color w:val="000000" w:themeColor="text1"/>
          <w:sz w:val="28"/>
          <w:szCs w:val="28"/>
          <w14:textFill>
            <w14:solidFill>
              <w14:schemeClr w14:val="tx1"/>
            </w14:solidFill>
          </w14:textFill>
        </w:rPr>
        <w:t>国家和地方的消防法律、法规、规章、标准和技术要求。</w:t>
      </w:r>
    </w:p>
    <w:p>
      <w:pPr>
        <w:numPr>
          <w:ilvl w:val="0"/>
          <w:numId w:val="1"/>
        </w:num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现场消防检查内容应包括但不限于：</w:t>
      </w:r>
      <w:r>
        <w:rPr>
          <w:rFonts w:hint="eastAsia" w:ascii="仿宋" w:hAnsi="仿宋" w:eastAsia="仿宋" w:cs="仿宋"/>
          <w:sz w:val="28"/>
          <w:szCs w:val="28"/>
          <w:lang w:val="en-US" w:eastAsia="zh-CN"/>
        </w:rPr>
        <w:t>厂区布局、</w:t>
      </w:r>
      <w:r>
        <w:rPr>
          <w:rFonts w:hint="eastAsia" w:ascii="仿宋" w:hAnsi="仿宋" w:eastAsia="仿宋" w:cs="仿宋"/>
          <w:sz w:val="28"/>
          <w:szCs w:val="28"/>
        </w:rPr>
        <w:t>建筑物耐火等级和总平面布局、建筑物防火分区、建筑物平面布置、全疏散和避难、电气安全、灭火救援、室内外装修和保温节能工程、通风和空气调节、防爆措施。</w:t>
      </w:r>
    </w:p>
    <w:p>
      <w:pPr>
        <w:numPr>
          <w:ilvl w:val="0"/>
          <w:numId w:val="1"/>
        </w:num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消防设施及器材检测范围应包括但不限于：消防给水及消火栓系统、自动灭火系统、火灾自动报警系统、防排烟系统、消防电源、疏散指示标志及应急照明、灭火器及其他消防器材。</w:t>
      </w:r>
    </w:p>
    <w:p>
      <w:pPr>
        <w:widowControl/>
        <w:numPr>
          <w:ilvl w:val="0"/>
          <w:numId w:val="1"/>
        </w:numPr>
        <w:spacing w:before="112"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综合评估还需从以下方面对企业的消防安全管理进行评估</w:t>
      </w:r>
      <w:r>
        <w:rPr>
          <w:rFonts w:hint="eastAsia" w:ascii="仿宋" w:hAnsi="仿宋" w:eastAsia="仿宋" w:cs="仿宋"/>
          <w:sz w:val="28"/>
          <w:szCs w:val="28"/>
          <w:lang w:eastAsia="zh-CN"/>
        </w:rPr>
        <w:t>，</w:t>
      </w:r>
      <w:r>
        <w:rPr>
          <w:rFonts w:hint="eastAsia" w:ascii="仿宋" w:hAnsi="仿宋" w:eastAsia="仿宋" w:cs="仿宋"/>
          <w:sz w:val="28"/>
          <w:szCs w:val="28"/>
        </w:rPr>
        <w:t>包括但不限于：消防行政审批情况、消防安全制度及操作规程的制订及执行情况、消防安全组织责任制、灭火和应急疏散预案及演练、防火巡查、检查及隐患整改、消防安全宣传教育培训。</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三、项目商务要求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1.工期及成果：见合同书格式。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2.质量要求：通过</w:t>
      </w:r>
      <w:r>
        <w:rPr>
          <w:rFonts w:hint="eastAsia" w:ascii="仿宋" w:hAnsi="仿宋" w:eastAsia="仿宋" w:cs="仿宋"/>
          <w:sz w:val="28"/>
          <w:szCs w:val="28"/>
          <w:lang w:eastAsia="zh-CN"/>
        </w:rPr>
        <w:t>专家</w:t>
      </w:r>
      <w:r>
        <w:rPr>
          <w:rFonts w:hint="eastAsia" w:ascii="仿宋" w:hAnsi="仿宋" w:eastAsia="仿宋" w:cs="仿宋"/>
          <w:sz w:val="28"/>
          <w:szCs w:val="28"/>
        </w:rPr>
        <w:t>审查。</w:t>
      </w:r>
    </w:p>
    <w:p>
      <w:pPr>
        <w:pStyle w:val="10"/>
        <w:spacing w:line="360" w:lineRule="auto"/>
        <w:rPr>
          <w:rFonts w:hint="eastAsia" w:ascii="仿宋" w:hAnsi="仿宋" w:eastAsia="仿宋" w:cs="仿宋"/>
          <w:lang w:val="en-US" w:eastAsia="zh-CN"/>
        </w:rPr>
      </w:pPr>
      <w:r>
        <w:rPr>
          <w:rFonts w:hint="eastAsia" w:ascii="仿宋" w:hAnsi="仿宋" w:eastAsia="仿宋" w:cs="仿宋"/>
          <w:sz w:val="28"/>
          <w:szCs w:val="28"/>
          <w:lang w:val="en-US" w:eastAsia="zh-CN"/>
        </w:rPr>
        <w:t xml:space="preserve">    3.人员要求：乙方如需更换编制人员的，需征得甲方书面同意。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.付款方式：见合同书格式。</w:t>
      </w:r>
    </w:p>
    <w:p>
      <w:pPr>
        <w:spacing w:line="360" w:lineRule="auto"/>
        <w:ind w:firstLine="560" w:firstLineChars="200"/>
        <w:rPr>
          <w:rFonts w:ascii="仿宋_GB2312" w:hAnsi="仿宋_GB2312" w:eastAsia="仿宋_GB2312" w:cs="仿宋_GB2312"/>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.承包方式：总价包干。</w:t>
      </w:r>
    </w:p>
    <w:p>
      <w:pPr>
        <w:rPr>
          <w:rFonts w:ascii="宋体" w:hAnsi="宋体" w:eastAsia="宋体" w:cs="宋体"/>
          <w:sz w:val="28"/>
          <w:szCs w:val="28"/>
        </w:rPr>
        <w:sectPr>
          <w:footerReference r:id="rId6" w:type="default"/>
          <w:pgSz w:w="11910" w:h="16840"/>
          <w:pgMar w:top="1480" w:right="1440" w:bottom="1220" w:left="1580" w:header="0" w:footer="1024" w:gutter="0"/>
          <w:cols w:space="720" w:num="1"/>
        </w:sectPr>
      </w:pPr>
    </w:p>
    <w:p>
      <w:pPr>
        <w:pStyle w:val="12"/>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报价须知</w:t>
      </w:r>
    </w:p>
    <w:p>
      <w:pPr>
        <w:pStyle w:val="12"/>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2"/>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2"/>
        <w:adjustRightInd w:val="0"/>
        <w:snapToGrid w:val="0"/>
        <w:spacing w:line="300" w:lineRule="auto"/>
        <w:ind w:left="54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2"/>
        <w:tabs>
          <w:tab w:val="left" w:pos="360"/>
        </w:tabs>
        <w:adjustRightInd w:val="0"/>
        <w:snapToGrid w:val="0"/>
        <w:spacing w:line="300" w:lineRule="auto"/>
        <w:ind w:left="542"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2"/>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2"/>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2"/>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2"/>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2"/>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2"/>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2"/>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2"/>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2"/>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2"/>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2"/>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2"/>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2"/>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2"/>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2"/>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8"/>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8"/>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8"/>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8"/>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2"/>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w:t>
      </w:r>
      <w:r>
        <w:rPr>
          <w:rFonts w:hint="eastAsia" w:ascii="仿宋" w:hAnsi="仿宋" w:eastAsia="仿宋" w:cs="仿宋_GB2312"/>
          <w:kern w:val="0"/>
          <w:sz w:val="28"/>
          <w:szCs w:val="28"/>
          <w:highlight w:val="none"/>
          <w:lang w:val="en-US" w:eastAsia="zh-CN"/>
        </w:rPr>
        <w:t>我</w:t>
      </w:r>
      <w:r>
        <w:rPr>
          <w:rFonts w:hint="eastAsia" w:ascii="仿宋" w:hAnsi="仿宋" w:eastAsia="仿宋" w:cs="仿宋_GB2312"/>
          <w:kern w:val="0"/>
          <w:sz w:val="28"/>
          <w:szCs w:val="28"/>
          <w:highlight w:val="none"/>
        </w:rPr>
        <w:t>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w:t>
      </w:r>
      <w:r>
        <w:rPr>
          <w:rFonts w:hint="eastAsia" w:ascii="仿宋" w:hAnsi="仿宋" w:eastAsia="仿宋" w:cs="仿宋_GB2312"/>
          <w:kern w:val="0"/>
          <w:sz w:val="28"/>
          <w:szCs w:val="28"/>
          <w:highlight w:val="none"/>
          <w:lang w:val="en-US" w:eastAsia="zh-CN"/>
        </w:rPr>
        <w:t>我</w:t>
      </w:r>
      <w:r>
        <w:rPr>
          <w:rFonts w:hint="eastAsia" w:ascii="仿宋" w:hAnsi="仿宋" w:eastAsia="仿宋" w:cs="仿宋_GB2312"/>
          <w:kern w:val="0"/>
          <w:sz w:val="28"/>
          <w:szCs w:val="28"/>
          <w:highlight w:val="none"/>
        </w:rPr>
        <w:t>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28"/>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rPr>
        <w:t>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widowControl/>
        <w:jc w:val="left"/>
        <w:rPr>
          <w:sz w:val="28"/>
          <w:szCs w:val="28"/>
        </w:rPr>
      </w:pPr>
      <w:r>
        <w:rPr>
          <w:sz w:val="28"/>
          <w:szCs w:val="28"/>
        </w:rPr>
        <w:br w:type="page"/>
      </w:r>
    </w:p>
    <w:p>
      <w:pPr>
        <w:pStyle w:val="4"/>
      </w:pPr>
      <w:bookmarkStart w:id="0" w:name="_Toc144974548"/>
      <w:bookmarkStart w:id="1" w:name="_Toc247085739"/>
      <w:bookmarkStart w:id="2" w:name="_Toc179632599"/>
      <w:bookmarkStart w:id="3" w:name="_Toc152045581"/>
      <w:bookmarkStart w:id="4" w:name="_Toc371433002"/>
      <w:bookmarkStart w:id="5" w:name="_Toc152042358"/>
      <w:r>
        <w:rPr>
          <w:rFonts w:hint="eastAsia"/>
        </w:rPr>
        <w:t>附件一报价记录表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广州市净水有限公司</w:t>
      </w:r>
      <w:r>
        <w:rPr>
          <w:rFonts w:hint="eastAsia" w:ascii="仿宋" w:hAnsi="仿宋" w:eastAsia="仿宋" w:cs="仿宋_GB2312"/>
          <w:bCs/>
          <w:color w:val="000000"/>
          <w:sz w:val="28"/>
          <w:szCs w:val="28"/>
          <w:u w:val="single"/>
          <w:lang w:eastAsia="zh-CN"/>
        </w:rPr>
        <w:t>旧</w:t>
      </w:r>
      <w:r>
        <w:rPr>
          <w:rFonts w:hint="eastAsia" w:ascii="仿宋" w:hAnsi="仿宋" w:eastAsia="仿宋" w:cs="仿宋_GB2312"/>
          <w:bCs/>
          <w:color w:val="000000"/>
          <w:sz w:val="28"/>
          <w:szCs w:val="28"/>
          <w:u w:val="single"/>
        </w:rPr>
        <w:t>厂区消防安全评估项目</w:t>
      </w: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报价文件开启时间：年月日时分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经办人：记录人：</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项目名称:广州市净水有限公司</w:t>
      </w:r>
      <w:r>
        <w:rPr>
          <w:rFonts w:hint="eastAsia" w:ascii="仿宋" w:hAnsi="仿宋" w:eastAsia="仿宋"/>
          <w:color w:val="000000"/>
          <w:sz w:val="24"/>
          <w:lang w:eastAsia="zh-CN"/>
        </w:rPr>
        <w:t>旧</w:t>
      </w:r>
      <w:r>
        <w:rPr>
          <w:rFonts w:hint="eastAsia" w:ascii="仿宋" w:hAnsi="仿宋" w:eastAsia="仿宋"/>
          <w:color w:val="000000"/>
          <w:sz w:val="24"/>
        </w:rPr>
        <w:t>厂区消防安全评估项目</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lang w:val="en-US" w:eastAsia="zh-CN"/>
              </w:rPr>
              <w:t>原</w:t>
            </w:r>
            <w:r>
              <w:rPr>
                <w:rFonts w:hint="eastAsia" w:ascii="宋体" w:hAnsi="宋体"/>
                <w:sz w:val="24"/>
              </w:rPr>
              <w:t>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3"/>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ind w:firstLine="640" w:firstLineChars="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经询价小组评审推荐，确定你单位为广州市净水有限公司</w:t>
      </w:r>
      <w:r>
        <w:rPr>
          <w:rFonts w:hint="eastAsia" w:ascii="仿宋" w:hAnsi="仿宋" w:eastAsia="仿宋" w:cs="STSong-Light"/>
          <w:color w:val="000000" w:themeColor="text1"/>
          <w:kern w:val="0"/>
          <w:sz w:val="32"/>
          <w:szCs w:val="32"/>
          <w:lang w:eastAsia="zh-CN"/>
          <w14:textFill>
            <w14:solidFill>
              <w14:schemeClr w14:val="tx1"/>
            </w14:solidFill>
          </w14:textFill>
        </w:rPr>
        <w:t>旧</w:t>
      </w:r>
      <w:r>
        <w:rPr>
          <w:rFonts w:ascii="仿宋" w:hAnsi="仿宋" w:eastAsia="仿宋" w:cs="STSong-Light"/>
          <w:color w:val="000000" w:themeColor="text1"/>
          <w:kern w:val="0"/>
          <w:sz w:val="32"/>
          <w:szCs w:val="32"/>
          <w14:textFill>
            <w14:solidFill>
              <w14:schemeClr w14:val="tx1"/>
            </w14:solidFill>
          </w14:textFill>
        </w:rPr>
        <w:t>厂区</w:t>
      </w:r>
      <w:r>
        <w:rPr>
          <w:rFonts w:hint="eastAsia" w:ascii="仿宋" w:hAnsi="仿宋" w:eastAsia="仿宋"/>
          <w:color w:val="000000"/>
          <w:sz w:val="32"/>
          <w:szCs w:val="28"/>
        </w:rPr>
        <w:t>消防安全评估</w:t>
      </w:r>
      <w:r>
        <w:rPr>
          <w:rFonts w:hint="eastAsia" w:ascii="仿宋" w:hAnsi="仿宋" w:eastAsia="仿宋" w:cs="STSong-Light"/>
          <w:color w:val="000000" w:themeColor="text1"/>
          <w:kern w:val="0"/>
          <w:sz w:val="32"/>
          <w:szCs w:val="32"/>
          <w14:textFill>
            <w14:solidFill>
              <w14:schemeClr w14:val="tx1"/>
            </w14:solidFill>
          </w14:textFill>
        </w:rPr>
        <w:t>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ind w:firstLine="640" w:firstLineChars="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项目负责人姓名：</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ind w:firstLine="6400" w:firstLineChars="20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年月日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20"/>
      </w:pPr>
      <w:r>
        <w:rPr>
          <w:rFonts w:hint="eastAsia"/>
        </w:rPr>
        <w:t>第四部分合同书格式</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400" w:lineRule="atLeast"/>
        <w:jc w:val="center"/>
        <w:rPr>
          <w:rFonts w:ascii="宋体" w:hAnsi="宋体" w:eastAsia="宋体" w:cs="宋体"/>
          <w:b/>
          <w:sz w:val="48"/>
          <w:szCs w:val="48"/>
        </w:rPr>
      </w:pPr>
      <w:r>
        <w:rPr>
          <w:rFonts w:hint="eastAsia" w:ascii="宋体" w:hAnsi="宋体" w:eastAsia="宋体" w:cs="宋体"/>
          <w:b/>
          <w:sz w:val="48"/>
          <w:szCs w:val="48"/>
        </w:rPr>
        <w:t>广州市净水有限公司</w:t>
      </w:r>
    </w:p>
    <w:p>
      <w:pPr>
        <w:spacing w:line="400" w:lineRule="atLeast"/>
        <w:jc w:val="center"/>
        <w:rPr>
          <w:rFonts w:ascii="宋体" w:hAnsi="宋体" w:eastAsia="宋体" w:cs="宋体"/>
          <w:b/>
          <w:sz w:val="48"/>
          <w:szCs w:val="48"/>
        </w:rPr>
      </w:pPr>
      <w:r>
        <w:rPr>
          <w:rFonts w:hint="eastAsia" w:ascii="宋体" w:hAnsi="宋体" w:eastAsia="宋体" w:cs="宋体"/>
          <w:b/>
          <w:bCs/>
          <w:color w:val="000000"/>
          <w:sz w:val="48"/>
          <w:szCs w:val="48"/>
        </w:rPr>
        <w:t>消防安全评估</w:t>
      </w:r>
      <w:r>
        <w:rPr>
          <w:rFonts w:hint="eastAsia" w:ascii="宋体" w:hAnsi="宋体" w:eastAsia="宋体" w:cs="宋体"/>
          <w:b/>
          <w:sz w:val="48"/>
          <w:szCs w:val="48"/>
        </w:rPr>
        <w:t>服务合同</w:t>
      </w:r>
    </w:p>
    <w:p>
      <w:pPr>
        <w:spacing w:after="160" w:line="480" w:lineRule="auto"/>
        <w:jc w:val="center"/>
        <w:rPr>
          <w:rFonts w:ascii="宋体" w:hAnsi="宋体" w:cs="宋体"/>
          <w:sz w:val="30"/>
          <w:szCs w:val="30"/>
        </w:rPr>
      </w:pPr>
    </w:p>
    <w:p>
      <w:pPr>
        <w:spacing w:after="160" w:line="480" w:lineRule="auto"/>
        <w:jc w:val="center"/>
        <w:rPr>
          <w:rFonts w:ascii="宋体" w:hAnsi="宋体" w:cs="宋体"/>
          <w:sz w:val="30"/>
          <w:szCs w:val="30"/>
        </w:rPr>
      </w:pPr>
    </w:p>
    <w:p>
      <w:pPr>
        <w:spacing w:after="160" w:line="480" w:lineRule="auto"/>
        <w:rPr>
          <w:rFonts w:ascii="宋体" w:hAnsi="宋体" w:cs="宋体"/>
          <w:b/>
          <w:bCs/>
          <w:sz w:val="30"/>
          <w:szCs w:val="30"/>
        </w:rPr>
      </w:pPr>
      <w:r>
        <w:rPr>
          <w:rFonts w:hint="eastAsia" w:ascii="宋体" w:hAnsi="宋体" w:cs="宋体"/>
          <w:b/>
          <w:bCs/>
          <w:sz w:val="30"/>
          <w:szCs w:val="30"/>
        </w:rPr>
        <w:t>项目名称：广州市净水公司</w:t>
      </w:r>
      <w:r>
        <w:rPr>
          <w:rFonts w:hint="eastAsia" w:ascii="宋体" w:hAnsi="宋体" w:cs="宋体"/>
          <w:b/>
          <w:bCs/>
          <w:sz w:val="30"/>
          <w:szCs w:val="30"/>
          <w:lang w:eastAsia="zh-CN"/>
        </w:rPr>
        <w:t>旧</w:t>
      </w:r>
      <w:r>
        <w:rPr>
          <w:rFonts w:hint="eastAsia" w:ascii="宋体" w:hAnsi="宋体" w:cs="宋体"/>
          <w:b/>
          <w:bCs/>
          <w:sz w:val="30"/>
          <w:szCs w:val="30"/>
        </w:rPr>
        <w:t>厂区</w:t>
      </w:r>
      <w:r>
        <w:rPr>
          <w:rFonts w:hint="eastAsia" w:ascii="宋体" w:hAnsi="宋体" w:eastAsia="宋体" w:cs="宋体"/>
          <w:b/>
          <w:bCs/>
          <w:color w:val="000000"/>
          <w:sz w:val="30"/>
          <w:szCs w:val="30"/>
        </w:rPr>
        <w:t>消防安全评估</w:t>
      </w:r>
      <w:r>
        <w:rPr>
          <w:rFonts w:hint="eastAsia" w:ascii="宋体" w:hAnsi="宋体" w:cs="宋体"/>
          <w:b/>
          <w:bCs/>
          <w:sz w:val="30"/>
          <w:szCs w:val="30"/>
        </w:rPr>
        <w:t>项目</w:t>
      </w:r>
    </w:p>
    <w:p>
      <w:pPr>
        <w:spacing w:after="160" w:line="480" w:lineRule="auto"/>
        <w:rPr>
          <w:rFonts w:ascii="宋体" w:hAnsi="宋体" w:cs="宋体"/>
          <w:b/>
          <w:bCs/>
          <w:sz w:val="30"/>
        </w:rPr>
      </w:pPr>
    </w:p>
    <w:p>
      <w:pPr>
        <w:spacing w:after="160"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穗净水合[]号</w:t>
      </w:r>
    </w:p>
    <w:p>
      <w:pPr>
        <w:spacing w:after="160" w:line="480" w:lineRule="auto"/>
        <w:rPr>
          <w:rFonts w:ascii="宋体" w:hAnsi="宋体" w:cs="宋体"/>
          <w:b/>
          <w:bCs/>
          <w:sz w:val="30"/>
        </w:rPr>
      </w:pPr>
    </w:p>
    <w:p>
      <w:pPr>
        <w:spacing w:after="160" w:line="480" w:lineRule="auto"/>
        <w:rPr>
          <w:rFonts w:hint="eastAsia" w:ascii="宋体" w:hAnsi="宋体" w:cs="宋体"/>
          <w:b/>
          <w:bCs/>
          <w:sz w:val="30"/>
        </w:rPr>
      </w:pPr>
      <w:r>
        <w:rPr>
          <w:rFonts w:hint="eastAsia" w:ascii="宋体" w:hAnsi="宋体" w:cs="宋体"/>
          <w:b/>
          <w:bCs/>
          <w:sz w:val="30"/>
        </w:rPr>
        <w:t>甲方：广州市净水有限公司</w:t>
      </w:r>
    </w:p>
    <w:p>
      <w:pPr>
        <w:spacing w:after="160" w:line="480" w:lineRule="auto"/>
        <w:rPr>
          <w:rFonts w:ascii="宋体" w:hAnsi="宋体" w:cs="宋体"/>
          <w:b/>
          <w:bCs/>
          <w:sz w:val="30"/>
        </w:rPr>
      </w:pPr>
      <w:r>
        <w:rPr>
          <w:rFonts w:hint="eastAsia" w:ascii="宋体" w:hAnsi="宋体" w:cs="宋体"/>
          <w:b/>
          <w:bCs/>
          <w:sz w:val="30"/>
        </w:rPr>
        <w:t>乙方：</w:t>
      </w:r>
    </w:p>
    <w:p>
      <w:pPr>
        <w:spacing w:after="160" w:line="480" w:lineRule="auto"/>
        <w:ind w:firstLine="2409" w:firstLineChars="800"/>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签订日期：年月日</w:t>
      </w:r>
    </w:p>
    <w:p>
      <w:pPr>
        <w:spacing w:after="160" w:line="480" w:lineRule="auto"/>
        <w:rPr>
          <w:rFonts w:ascii="宋体" w:hAnsi="宋体" w:cs="宋体"/>
          <w:b/>
          <w:bCs/>
          <w:sz w:val="30"/>
        </w:rPr>
      </w:pPr>
      <w:r>
        <w:rPr>
          <w:rFonts w:hint="eastAsia" w:ascii="宋体" w:hAnsi="宋体" w:cs="宋体"/>
          <w:b/>
          <w:bCs/>
          <w:sz w:val="30"/>
        </w:rPr>
        <w:t>签约地点：广州市</w:t>
      </w:r>
    </w:p>
    <w:p>
      <w:pPr>
        <w:widowControl/>
        <w:jc w:val="left"/>
        <w:rPr>
          <w:b/>
          <w:sz w:val="28"/>
          <w:szCs w:val="28"/>
        </w:rPr>
      </w:pPr>
      <w:r>
        <w:rPr>
          <w:b/>
          <w:sz w:val="28"/>
          <w:szCs w:val="28"/>
        </w:rPr>
        <w:br w:type="page"/>
      </w:r>
    </w:p>
    <w:p>
      <w:pPr>
        <w:spacing w:line="384" w:lineRule="auto"/>
        <w:ind w:firstLine="482"/>
        <w:rPr>
          <w:rFonts w:ascii="宋体" w:hAnsi="宋体" w:cs="宋体"/>
          <w:bCs/>
          <w:sz w:val="24"/>
        </w:rPr>
      </w:pPr>
      <w:r>
        <w:rPr>
          <w:rFonts w:hint="eastAsia" w:ascii="宋体" w:hAnsi="宋体" w:cs="宋体"/>
          <w:bCs/>
          <w:sz w:val="24"/>
        </w:rPr>
        <w:t>根据《中华人民共和国</w:t>
      </w:r>
      <w:r>
        <w:rPr>
          <w:rFonts w:hint="eastAsia" w:ascii="宋体" w:hAnsi="宋体" w:cs="宋体"/>
          <w:bCs/>
          <w:sz w:val="24"/>
          <w:lang w:val="en-US" w:eastAsia="zh-CN"/>
        </w:rPr>
        <w:t>民法典</w:t>
      </w:r>
      <w:r>
        <w:rPr>
          <w:rFonts w:hint="eastAsia" w:ascii="宋体" w:hAnsi="宋体" w:cs="宋体"/>
          <w:bCs/>
          <w:sz w:val="24"/>
        </w:rPr>
        <w:t>法》、《中华人民共和国消防法》和《广东省消防条例》</w:t>
      </w:r>
      <w:r>
        <w:rPr>
          <w:rFonts w:hint="eastAsia" w:ascii="宋体" w:hAnsi="宋体" w:cs="宋体"/>
          <w:bCs/>
          <w:sz w:val="24"/>
          <w:lang w:val="en-US" w:eastAsia="zh-CN"/>
        </w:rPr>
        <w:t>相关法律法规</w:t>
      </w:r>
      <w:r>
        <w:rPr>
          <w:rFonts w:hint="eastAsia" w:ascii="宋体" w:hAnsi="宋体" w:cs="宋体"/>
          <w:bCs/>
          <w:sz w:val="24"/>
        </w:rPr>
        <w:t>，</w:t>
      </w:r>
      <w:r>
        <w:rPr>
          <w:rFonts w:hint="eastAsia" w:ascii="宋体" w:hAnsi="宋体" w:cs="宋体"/>
          <w:bCs/>
          <w:sz w:val="24"/>
          <w:u w:val="single"/>
        </w:rPr>
        <w:t>广州市净水有限公司</w:t>
      </w:r>
      <w:r>
        <w:rPr>
          <w:rFonts w:hint="eastAsia" w:ascii="宋体" w:hAnsi="宋体" w:cs="宋体"/>
          <w:bCs/>
          <w:sz w:val="24"/>
        </w:rPr>
        <w:t>（以下简称“甲方”）与（以下简称“乙方”）就消防安全评估项目承接工作事宜，遵循平等、自愿、公平和诚实信用的原则，双方协商一致，订立本合同。</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第一条  编制依据</w:t>
      </w:r>
    </w:p>
    <w:p>
      <w:pPr>
        <w:spacing w:line="360" w:lineRule="auto"/>
        <w:ind w:firstLine="480" w:firstLineChars="200"/>
        <w:rPr>
          <w:rFonts w:ascii="宋体" w:hAnsi="宋体" w:cs="宋体"/>
          <w:sz w:val="24"/>
        </w:rPr>
      </w:pPr>
      <w:r>
        <w:rPr>
          <w:rFonts w:hint="eastAsia" w:ascii="宋体" w:hAnsi="宋体" w:cs="宋体"/>
          <w:sz w:val="24"/>
          <w:lang w:val="en-US" w:eastAsia="zh-CN"/>
        </w:rPr>
        <w:t>1.1</w:t>
      </w:r>
      <w:r>
        <w:rPr>
          <w:rFonts w:hint="eastAsia" w:ascii="宋体" w:hAnsi="宋体" w:cs="宋体"/>
          <w:color w:val="000000"/>
          <w:sz w:val="24"/>
          <w:szCs w:val="24"/>
        </w:rPr>
        <w:t>甲方给乙方的发包通知书</w:t>
      </w:r>
    </w:p>
    <w:p>
      <w:pPr>
        <w:spacing w:line="360" w:lineRule="auto"/>
        <w:ind w:firstLine="480" w:firstLineChars="200"/>
        <w:rPr>
          <w:rFonts w:ascii="宋体" w:hAnsi="宋体" w:cs="宋体"/>
          <w:sz w:val="24"/>
        </w:rPr>
      </w:pPr>
      <w:r>
        <w:rPr>
          <w:rFonts w:hint="eastAsia" w:ascii="宋体" w:hAnsi="宋体" w:cs="宋体"/>
          <w:sz w:val="24"/>
          <w:lang w:val="en-US" w:eastAsia="zh-CN"/>
        </w:rPr>
        <w:t>1.2</w:t>
      </w:r>
      <w:r>
        <w:rPr>
          <w:rFonts w:hint="eastAsia" w:ascii="宋体" w:hAnsi="宋体" w:cs="宋体"/>
          <w:sz w:val="24"/>
        </w:rPr>
        <w:t>甲方提交的基础资料</w:t>
      </w:r>
    </w:p>
    <w:p>
      <w:pPr>
        <w:spacing w:beforeLines="30" w:line="384" w:lineRule="auto"/>
        <w:ind w:firstLine="480" w:firstLineChars="200"/>
        <w:rPr>
          <w:rFonts w:ascii="宋体" w:hAnsi="宋体" w:cs="宋体"/>
          <w:sz w:val="24"/>
        </w:rPr>
      </w:pPr>
      <w:r>
        <w:rPr>
          <w:rFonts w:hint="eastAsia" w:ascii="宋体" w:hAnsi="宋体" w:cs="宋体"/>
          <w:sz w:val="24"/>
          <w:lang w:val="en-US" w:eastAsia="zh-CN"/>
        </w:rPr>
        <w:t>1.3</w:t>
      </w:r>
      <w:r>
        <w:rPr>
          <w:rFonts w:hint="eastAsia" w:ascii="宋体" w:hAnsi="宋体" w:cs="宋体"/>
          <w:sz w:val="24"/>
        </w:rPr>
        <w:t>乙方采用的主要技术标准包括但不限于：（1）《建筑消防安全评估标准》（DBJ/T15-144-2018）；（2）《建筑设计防火规范》（GB50016）；（3）《建筑内部装修设计防火规范》（GB50222）；（4）《钢结构防火涂料应用技术规范》（CECS24∶90）；（5）《建筑钢结构防火技术规范》（GB51249）；（6）《汽车库、修车库、停车场设计防火规范》（GB50067）；（7）《民用建筑电气设计规范》（JGJ16）；（8）《建筑电气防火检测技术规程》（DBJ/T15-138）；（9）《建筑防火及消防设施检测技术规程》（DBJ/T15-110）；（10）《广东省建筑节能工程施工质量验收规范》（DBJ15-65）；（11）《消防安全重点单位微型消防站建设标准（试行）》；（12）《消防控制室通用技术要求》（GB25506）；（13）《建筑消防设施的维护管理》（GB25201）；（14）《建筑消防设施检测技术规程》（GA503）；（15）《建筑防火及消防设施检测技术规程》（DBJ/T15-110）；（16）《广东省专职消防队建设管理规定》。</w:t>
      </w:r>
    </w:p>
    <w:p>
      <w:pPr>
        <w:spacing w:line="360" w:lineRule="auto"/>
        <w:ind w:firstLine="480" w:firstLineChars="200"/>
        <w:rPr>
          <w:rFonts w:ascii="宋体" w:hAnsi="宋体" w:cs="宋体"/>
          <w:sz w:val="24"/>
        </w:rPr>
      </w:pPr>
      <w:r>
        <w:rPr>
          <w:rFonts w:hint="eastAsia" w:ascii="宋体" w:hAnsi="宋体" w:cs="宋体"/>
          <w:sz w:val="24"/>
        </w:rPr>
        <w:t>上述规范如有更新的，以最新版本为准。</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第二条  合同文件的优先次序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⑴</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⑵本合同书；</w:t>
      </w:r>
    </w:p>
    <w:p>
      <w:pPr>
        <w:spacing w:line="384" w:lineRule="auto"/>
        <w:ind w:firstLine="482"/>
        <w:rPr>
          <w:rFonts w:ascii="宋体" w:hAnsi="宋体" w:cs="宋体"/>
          <w:bCs/>
          <w:sz w:val="24"/>
        </w:rPr>
      </w:pPr>
      <w:r>
        <w:rPr>
          <w:rFonts w:hint="eastAsia" w:ascii="宋体" w:hAnsi="宋体" w:cs="宋体"/>
          <w:bCs/>
          <w:sz w:val="24"/>
        </w:rPr>
        <w:t>⑶发包通知书；</w:t>
      </w:r>
    </w:p>
    <w:p>
      <w:pPr>
        <w:spacing w:line="384" w:lineRule="auto"/>
        <w:ind w:firstLine="482"/>
        <w:rPr>
          <w:rFonts w:ascii="宋体" w:hAnsi="宋体" w:cs="宋体"/>
          <w:bCs/>
          <w:sz w:val="24"/>
        </w:rPr>
      </w:pPr>
      <w:r>
        <w:rPr>
          <w:rFonts w:hint="eastAsia" w:ascii="宋体" w:hAnsi="宋体" w:cs="宋体"/>
          <w:bCs/>
          <w:sz w:val="24"/>
        </w:rPr>
        <w:t>⑷询价文件；</w:t>
      </w:r>
    </w:p>
    <w:p>
      <w:pPr>
        <w:spacing w:line="384" w:lineRule="auto"/>
        <w:ind w:firstLine="482"/>
        <w:rPr>
          <w:rFonts w:ascii="宋体" w:hAnsi="宋体" w:cs="宋体"/>
          <w:bCs/>
          <w:sz w:val="24"/>
        </w:rPr>
      </w:pPr>
      <w:r>
        <w:rPr>
          <w:rFonts w:hint="eastAsia" w:ascii="宋体" w:hAnsi="宋体" w:cs="宋体"/>
          <w:bCs/>
          <w:sz w:val="24"/>
        </w:rPr>
        <w:t>⑸响应文件；</w:t>
      </w:r>
    </w:p>
    <w:p>
      <w:pPr>
        <w:spacing w:line="384" w:lineRule="auto"/>
        <w:ind w:firstLine="482"/>
        <w:rPr>
          <w:rFonts w:ascii="宋体" w:hAnsi="宋体" w:cs="宋体"/>
          <w:bCs/>
          <w:sz w:val="24"/>
        </w:rPr>
      </w:pPr>
      <w:r>
        <w:rPr>
          <w:rFonts w:hint="eastAsia" w:ascii="宋体" w:hAnsi="宋体" w:cs="宋体"/>
          <w:bCs/>
          <w:sz w:val="24"/>
        </w:rPr>
        <w:t>⑹标准、规范及有关技术性文件。</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第三条  项目概况</w:t>
      </w:r>
    </w:p>
    <w:p>
      <w:pPr>
        <w:spacing w:line="300" w:lineRule="auto"/>
        <w:ind w:firstLine="480" w:firstLineChars="200"/>
        <w:rPr>
          <w:rFonts w:hint="eastAsia" w:ascii="宋体" w:hAnsi="宋体" w:cs="宋体" w:eastAsiaTheme="minorEastAsia"/>
          <w:bCs/>
          <w:sz w:val="24"/>
          <w:szCs w:val="22"/>
          <w:highlight w:val="none"/>
          <w:lang w:eastAsia="zh-CN"/>
        </w:rPr>
      </w:pPr>
      <w:r>
        <w:rPr>
          <w:rFonts w:hint="eastAsia" w:ascii="宋体" w:hAnsi="宋体" w:cs="宋体"/>
          <w:bCs/>
          <w:sz w:val="24"/>
        </w:rPr>
        <w:t>从建筑防火、建筑消防设施及器材、消防安全管理三大方面对</w:t>
      </w:r>
      <w:r>
        <w:rPr>
          <w:rFonts w:hint="eastAsia" w:ascii="宋体" w:hAnsi="宋体" w:eastAsia="宋体" w:cs="宋体"/>
          <w:sz w:val="24"/>
          <w:szCs w:val="24"/>
          <w:highlight w:val="none"/>
          <w:lang w:val="en-US" w:eastAsia="zh-CN"/>
        </w:rPr>
        <w:t>广州净水有限公司中心城区</w:t>
      </w:r>
      <w:r>
        <w:rPr>
          <w:rFonts w:hint="eastAsia" w:ascii="宋体" w:hAnsi="宋体" w:eastAsia="宋体" w:cs="宋体"/>
          <w:sz w:val="24"/>
          <w:szCs w:val="24"/>
          <w:highlight w:val="none"/>
          <w:u w:val="single"/>
          <w:lang w:val="en-US" w:eastAsia="zh-CN"/>
        </w:rPr>
        <w:t>/广州从化净水有限公司</w:t>
      </w:r>
      <w:r>
        <w:rPr>
          <w:rFonts w:hint="eastAsia" w:ascii="宋体" w:hAnsi="宋体" w:eastAsia="宋体" w:cs="宋体"/>
          <w:sz w:val="24"/>
          <w:szCs w:val="24"/>
          <w:highlight w:val="none"/>
          <w:u w:val="single"/>
        </w:rPr>
        <w:t>早期建成厂区</w:t>
      </w:r>
      <w:r>
        <w:rPr>
          <w:rFonts w:hint="eastAsia" w:ascii="宋体" w:hAnsi="宋体" w:eastAsia="宋体" w:cs="宋体"/>
          <w:sz w:val="24"/>
          <w:szCs w:val="24"/>
          <w:highlight w:val="none"/>
          <w:u w:val="single"/>
          <w:lang w:val="en-US" w:eastAsia="zh-CN"/>
        </w:rPr>
        <w:t>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详见附件2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w:t>
      </w:r>
      <w:r>
        <w:rPr>
          <w:rFonts w:hint="eastAsia" w:ascii="宋体" w:hAnsi="宋体" w:cs="宋体" w:eastAsiaTheme="minorEastAsia"/>
          <w:bCs/>
          <w:sz w:val="24"/>
          <w:szCs w:val="22"/>
          <w:lang w:val="en-US" w:eastAsia="zh-CN"/>
        </w:rPr>
        <w:t>厂区及生产、生活建（构）筑物等的消防安全进行综合评估</w:t>
      </w:r>
      <w:r>
        <w:rPr>
          <w:rFonts w:hint="eastAsia" w:ascii="宋体" w:hAnsi="宋体" w:cs="宋体" w:eastAsiaTheme="minorEastAsia"/>
          <w:bCs/>
          <w:sz w:val="24"/>
          <w:szCs w:val="22"/>
        </w:rPr>
        <w:t>。</w:t>
      </w:r>
    </w:p>
    <w:p>
      <w:pPr>
        <w:widowControl/>
        <w:numPr>
          <w:ilvl w:val="255"/>
          <w:numId w:val="0"/>
        </w:numPr>
        <w:spacing w:line="384" w:lineRule="auto"/>
        <w:ind w:firstLine="482"/>
        <w:jc w:val="left"/>
        <w:rPr>
          <w:rFonts w:ascii="宋体" w:hAnsi="宋体" w:cs="宋体"/>
          <w:bCs/>
          <w:sz w:val="24"/>
        </w:rPr>
      </w:pPr>
      <w:r>
        <w:rPr>
          <w:rFonts w:hint="eastAsia" w:ascii="宋体" w:hAnsi="宋体" w:cs="宋体"/>
          <w:bCs/>
          <w:sz w:val="24"/>
        </w:rPr>
        <w:t>本次项目包含现场消防检查、消防设施及器材检测、综合评估及报告编制三个方面。现场消防检查内容应包括但不限于</w:t>
      </w:r>
      <w:r>
        <w:rPr>
          <w:rFonts w:hint="eastAsia" w:ascii="宋体" w:hAnsi="宋体" w:cs="宋体"/>
          <w:bCs/>
          <w:sz w:val="24"/>
          <w:lang w:val="en-US" w:eastAsia="zh-CN"/>
        </w:rPr>
        <w:t>厂区布局、</w:t>
      </w:r>
      <w:r>
        <w:rPr>
          <w:rFonts w:hint="eastAsia" w:ascii="宋体" w:hAnsi="宋体" w:cs="宋体"/>
          <w:bCs/>
          <w:sz w:val="24"/>
        </w:rPr>
        <w:t>建筑物耐火等级和总平面布局、建筑物防火分区、建筑物平面布置、全疏散和避难、电气安全、灭火救援、室内外装修和保温节能工程、通风和空气调节、防爆措施。消防设施及器材检测范围应包</w:t>
      </w:r>
      <w:r>
        <w:rPr>
          <w:rFonts w:hint="eastAsia" w:ascii="宋体" w:hAnsi="宋体" w:cs="宋体"/>
          <w:bCs/>
          <w:sz w:val="24"/>
          <w:lang w:val="en-US" w:eastAsia="zh-CN"/>
        </w:rPr>
        <w:t>括但不限于</w:t>
      </w:r>
      <w:r>
        <w:rPr>
          <w:rFonts w:hint="eastAsia" w:ascii="宋体" w:hAnsi="宋体" w:cs="宋体"/>
          <w:bCs/>
          <w:sz w:val="24"/>
        </w:rPr>
        <w:t>消防给水及消火栓系统、自动灭火系统、火灾自动报警系统、防排烟系统、消防电源、疏散指示标志及应急照明、灭火器及其他消防器材。综合评估还需从消防行政审批情况、消防安全制度及操作规程的制订及执行情况、消防安全组织责任制、灭火和应急疏散预案及演练、防火巡查、检查及隐患整改、消防安全宣传教育培训等方面对企业的消防安全管理进行评估。</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第四条 乙方向甲方交付资料及文件</w:t>
      </w:r>
    </w:p>
    <w:p>
      <w:pPr>
        <w:widowControl/>
        <w:numPr>
          <w:ilvl w:val="255"/>
          <w:numId w:val="0"/>
        </w:numPr>
        <w:spacing w:line="384" w:lineRule="auto"/>
        <w:ind w:firstLine="482"/>
        <w:jc w:val="left"/>
        <w:rPr>
          <w:rFonts w:hint="eastAsia" w:ascii="宋体" w:hAnsi="宋体" w:cs="宋体"/>
          <w:sz w:val="24"/>
        </w:rPr>
      </w:pPr>
      <w:r>
        <w:rPr>
          <w:rFonts w:hint="eastAsia" w:ascii="宋体" w:hAnsi="宋体" w:cs="宋体"/>
          <w:sz w:val="24"/>
        </w:rPr>
        <w:t>4.1本合同签订后，乙方应在5个工作日内提交项目计划及项目人员名单，报经甲方批准。</w:t>
      </w:r>
      <w:r>
        <w:rPr>
          <w:rFonts w:hint="eastAsia" w:ascii="宋体" w:hAnsi="宋体" w:cs="宋体"/>
          <w:bCs/>
          <w:sz w:val="24"/>
          <w:highlight w:val="none"/>
        </w:rPr>
        <w:t>乙方应安排至少</w:t>
      </w:r>
      <w:r>
        <w:rPr>
          <w:rFonts w:hint="eastAsia" w:ascii="宋体" w:hAnsi="宋体" w:cs="宋体"/>
          <w:bCs/>
          <w:sz w:val="24"/>
          <w:highlight w:val="none"/>
          <w:lang w:val="en-US" w:eastAsia="zh-CN"/>
        </w:rPr>
        <w:t>1</w:t>
      </w:r>
      <w:r>
        <w:rPr>
          <w:rFonts w:hint="eastAsia" w:ascii="宋体" w:hAnsi="宋体" w:cs="宋体"/>
          <w:bCs/>
          <w:sz w:val="24"/>
          <w:highlight w:val="none"/>
        </w:rPr>
        <w:t>名注册消防工程师、</w:t>
      </w:r>
      <w:r>
        <w:rPr>
          <w:rFonts w:hint="eastAsia" w:ascii="宋体" w:hAnsi="宋体" w:cs="宋体"/>
          <w:bCs/>
          <w:sz w:val="24"/>
          <w:highlight w:val="none"/>
          <w:lang w:val="en-US" w:eastAsia="zh-CN"/>
        </w:rPr>
        <w:t>6</w:t>
      </w:r>
      <w:r>
        <w:rPr>
          <w:rFonts w:hint="eastAsia" w:ascii="宋体" w:hAnsi="宋体" w:cs="宋体"/>
          <w:bCs/>
          <w:sz w:val="24"/>
          <w:highlight w:val="none"/>
        </w:rPr>
        <w:t>名</w:t>
      </w:r>
      <w:r>
        <w:rPr>
          <w:rFonts w:hint="eastAsia" w:ascii="宋体" w:hAnsi="宋体" w:cs="宋体"/>
          <w:bCs/>
          <w:sz w:val="24"/>
          <w:highlight w:val="none"/>
          <w:lang w:eastAsia="zh-CN"/>
        </w:rPr>
        <w:t>持有</w:t>
      </w:r>
      <w:r>
        <w:rPr>
          <w:rFonts w:hint="eastAsia" w:ascii="宋体" w:hAnsi="宋体" w:cs="宋体"/>
          <w:bCs/>
          <w:sz w:val="24"/>
          <w:highlight w:val="none"/>
        </w:rPr>
        <w:t>消防设施操作员资格证或消防构筑物消防员资格证（其中至少有</w:t>
      </w:r>
      <w:r>
        <w:rPr>
          <w:rFonts w:hint="eastAsia" w:ascii="宋体" w:hAnsi="宋体" w:cs="宋体"/>
          <w:bCs/>
          <w:sz w:val="24"/>
          <w:highlight w:val="none"/>
          <w:lang w:val="en-US" w:eastAsia="zh-CN"/>
        </w:rPr>
        <w:t>2</w:t>
      </w:r>
      <w:r>
        <w:rPr>
          <w:rFonts w:hint="eastAsia" w:ascii="宋体" w:hAnsi="宋体" w:cs="宋体"/>
          <w:bCs/>
          <w:sz w:val="24"/>
          <w:highlight w:val="none"/>
        </w:rPr>
        <w:t>名持有中级以上资格证）的技术人员全程参与本项目，以及</w:t>
      </w:r>
      <w:r>
        <w:rPr>
          <w:rFonts w:hint="eastAsia" w:ascii="宋体" w:hAnsi="宋体" w:cs="宋体"/>
          <w:bCs/>
          <w:sz w:val="24"/>
          <w:highlight w:val="none"/>
          <w:lang w:val="en-US" w:eastAsia="zh-CN"/>
        </w:rPr>
        <w:t>另外</w:t>
      </w:r>
      <w:r>
        <w:rPr>
          <w:rFonts w:hint="eastAsia" w:ascii="宋体" w:hAnsi="宋体" w:cs="宋体"/>
          <w:bCs/>
          <w:sz w:val="24"/>
          <w:highlight w:val="none"/>
        </w:rPr>
        <w:t>安排至少</w:t>
      </w:r>
      <w:r>
        <w:rPr>
          <w:rFonts w:hint="eastAsia" w:ascii="宋体" w:hAnsi="宋体" w:cs="宋体"/>
          <w:bCs/>
          <w:sz w:val="24"/>
          <w:highlight w:val="none"/>
          <w:lang w:val="en-US" w:eastAsia="zh-CN"/>
        </w:rPr>
        <w:t>1</w:t>
      </w:r>
      <w:r>
        <w:rPr>
          <w:rFonts w:hint="eastAsia" w:ascii="宋体" w:hAnsi="宋体" w:cs="宋体"/>
          <w:bCs/>
          <w:sz w:val="24"/>
          <w:highlight w:val="none"/>
        </w:rPr>
        <w:t>名一级注册消防工程师审核该报告。</w:t>
      </w:r>
      <w:r>
        <w:rPr>
          <w:rFonts w:hint="eastAsia" w:ascii="宋体" w:hAnsi="宋体" w:cs="宋体"/>
          <w:sz w:val="24"/>
        </w:rPr>
        <w:t>乙方如需更换编制人员的，需征得甲方书面同意。</w:t>
      </w:r>
    </w:p>
    <w:p>
      <w:pPr>
        <w:widowControl/>
        <w:spacing w:line="384" w:lineRule="auto"/>
        <w:ind w:firstLine="482"/>
        <w:jc w:val="left"/>
        <w:rPr>
          <w:rFonts w:ascii="宋体" w:hAnsi="宋体" w:cs="宋体"/>
          <w:sz w:val="24"/>
        </w:rPr>
      </w:pPr>
    </w:p>
    <w:p>
      <w:pPr>
        <w:widowControl/>
        <w:numPr>
          <w:ilvl w:val="255"/>
          <w:numId w:val="0"/>
        </w:numPr>
        <w:spacing w:line="384" w:lineRule="auto"/>
        <w:ind w:firstLine="482"/>
        <w:jc w:val="left"/>
        <w:rPr>
          <w:rFonts w:hint="eastAsia" w:ascii="宋体" w:hAnsi="宋体" w:cs="宋体"/>
          <w:sz w:val="24"/>
          <w:lang w:val="en-US" w:eastAsia="zh-CN"/>
        </w:rPr>
      </w:pPr>
      <w:r>
        <w:rPr>
          <w:rFonts w:hint="eastAsia" w:ascii="宋体" w:hAnsi="宋体" w:cs="宋体"/>
          <w:sz w:val="24"/>
        </w:rPr>
        <w:t>4.2</w:t>
      </w:r>
      <w:r>
        <w:rPr>
          <w:rFonts w:hint="eastAsia" w:ascii="宋体" w:hAnsi="宋体" w:cs="宋体"/>
          <w:sz w:val="24"/>
          <w:lang w:val="en-US" w:eastAsia="zh-CN"/>
        </w:rPr>
        <w:t>合同签订后三个月内，乙方向甲方提交书面综合评估报告。</w:t>
      </w:r>
    </w:p>
    <w:p>
      <w:pPr>
        <w:widowControl/>
        <w:numPr>
          <w:ilvl w:val="255"/>
          <w:numId w:val="0"/>
        </w:numPr>
        <w:spacing w:line="384" w:lineRule="auto"/>
        <w:ind w:firstLine="482"/>
        <w:jc w:val="left"/>
        <w:rPr>
          <w:rFonts w:ascii="宋体" w:hAnsi="宋体" w:cs="宋体"/>
          <w:bCs/>
          <w:sz w:val="24"/>
          <w:highlight w:val="yellow"/>
        </w:rPr>
      </w:pPr>
      <w:r>
        <w:rPr>
          <w:rFonts w:hint="eastAsia" w:ascii="宋体" w:hAnsi="宋体" w:cs="宋体"/>
          <w:sz w:val="24"/>
          <w:lang w:val="en-US" w:eastAsia="zh-CN"/>
        </w:rPr>
        <w:t>4.2.1综合评估报告编制要求：</w:t>
      </w:r>
      <w:r>
        <w:rPr>
          <w:rFonts w:hint="eastAsia" w:ascii="宋体" w:hAnsi="宋体" w:cs="宋体"/>
          <w:sz w:val="24"/>
        </w:rPr>
        <w:t>综合评估报告</w:t>
      </w:r>
      <w:r>
        <w:rPr>
          <w:rFonts w:hint="eastAsia" w:ascii="宋体" w:hAnsi="宋体" w:cs="宋体"/>
          <w:sz w:val="24"/>
          <w:lang w:val="en-US" w:eastAsia="zh-CN"/>
        </w:rPr>
        <w:t>分为两份</w:t>
      </w:r>
      <w:r>
        <w:rPr>
          <w:rFonts w:hint="eastAsia" w:ascii="宋体" w:hAnsi="宋体" w:cs="宋体"/>
          <w:sz w:val="24"/>
        </w:rPr>
        <w:t>独立的报告</w:t>
      </w:r>
      <w:r>
        <w:rPr>
          <w:rFonts w:hint="eastAsia" w:ascii="宋体" w:hAnsi="宋体" w:cs="宋体"/>
          <w:sz w:val="24"/>
          <w:lang w:val="en-US" w:eastAsia="zh-CN"/>
        </w:rPr>
        <w:t>，分别</w:t>
      </w:r>
      <w:r>
        <w:rPr>
          <w:rFonts w:hint="eastAsia" w:ascii="宋体" w:hAnsi="宋体" w:cs="宋体"/>
          <w:sz w:val="24"/>
        </w:rPr>
        <w:t>以</w:t>
      </w:r>
      <w:r>
        <w:rPr>
          <w:rFonts w:hint="eastAsia" w:ascii="宋体" w:hAnsi="宋体" w:cs="宋体"/>
          <w:sz w:val="24"/>
          <w:lang w:val="en-US" w:eastAsia="zh-CN"/>
        </w:rPr>
        <w:t>广州净水公司中心城区</w:t>
      </w:r>
      <w:r>
        <w:rPr>
          <w:rFonts w:hint="eastAsia" w:ascii="宋体" w:hAnsi="宋体" w:eastAsia="宋体" w:cs="宋体"/>
          <w:sz w:val="24"/>
          <w:szCs w:val="24"/>
          <w:highlight w:val="none"/>
          <w:lang w:val="en-US" w:eastAsia="zh-CN"/>
        </w:rPr>
        <w:t>实施范围</w:t>
      </w:r>
      <w:r>
        <w:rPr>
          <w:rFonts w:hint="eastAsia" w:ascii="宋体" w:hAnsi="宋体" w:cs="宋体"/>
          <w:sz w:val="24"/>
          <w:highlight w:val="none"/>
          <w:lang w:val="en-US" w:eastAsia="zh-CN"/>
        </w:rPr>
        <w:t>厂区为单位编制/</w:t>
      </w:r>
      <w:r>
        <w:rPr>
          <w:rFonts w:hint="eastAsia" w:ascii="宋体" w:hAnsi="宋体" w:eastAsia="宋体" w:cs="宋体"/>
          <w:sz w:val="24"/>
          <w:szCs w:val="24"/>
          <w:highlight w:val="none"/>
          <w:lang w:val="en-US" w:eastAsia="zh-CN"/>
        </w:rPr>
        <w:t>广州从化净水有限公司实施范围</w:t>
      </w:r>
      <w:r>
        <w:rPr>
          <w:rFonts w:hint="eastAsia" w:ascii="宋体" w:hAnsi="宋体" w:eastAsia="宋体" w:cs="宋体"/>
          <w:sz w:val="24"/>
          <w:szCs w:val="24"/>
          <w:highlight w:val="none"/>
        </w:rPr>
        <w:t>厂区</w:t>
      </w:r>
      <w:r>
        <w:rPr>
          <w:rFonts w:hint="eastAsia" w:ascii="宋体" w:hAnsi="宋体" w:eastAsia="宋体" w:cs="宋体"/>
          <w:sz w:val="24"/>
          <w:szCs w:val="24"/>
          <w:highlight w:val="none"/>
          <w:lang w:val="en-US" w:eastAsia="zh-CN"/>
        </w:rPr>
        <w:t>为单位编制</w:t>
      </w:r>
      <w:r>
        <w:rPr>
          <w:rFonts w:hint="eastAsia" w:ascii="宋体" w:hAnsi="宋体" w:cs="宋体"/>
          <w:sz w:val="24"/>
          <w:highlight w:val="none"/>
        </w:rPr>
        <w:t>。</w:t>
      </w:r>
      <w:r>
        <w:rPr>
          <w:rFonts w:hint="eastAsia" w:ascii="宋体" w:hAnsi="宋体" w:eastAsia="宋体" w:cs="宋体"/>
          <w:sz w:val="24"/>
          <w:szCs w:val="24"/>
          <w:highlight w:val="none"/>
        </w:rPr>
        <w:t>评估报告应包含</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公司总体</w:t>
      </w:r>
      <w:r>
        <w:rPr>
          <w:rFonts w:hint="eastAsia" w:ascii="宋体" w:hAnsi="宋体" w:eastAsia="宋体" w:cs="宋体"/>
          <w:sz w:val="24"/>
          <w:szCs w:val="24"/>
          <w:highlight w:val="none"/>
          <w:lang w:val="en-US" w:eastAsia="zh-CN"/>
        </w:rPr>
        <w:t>及实施范围厂区消防</w:t>
      </w:r>
      <w:r>
        <w:rPr>
          <w:rFonts w:hint="eastAsia" w:ascii="宋体" w:hAnsi="宋体" w:eastAsia="宋体" w:cs="宋体"/>
          <w:sz w:val="24"/>
          <w:szCs w:val="24"/>
          <w:highlight w:val="none"/>
        </w:rPr>
        <w:t>情况</w:t>
      </w:r>
      <w:r>
        <w:rPr>
          <w:rFonts w:hint="eastAsia" w:ascii="宋体" w:hAnsi="宋体" w:eastAsia="宋体" w:cs="宋体"/>
          <w:sz w:val="24"/>
          <w:szCs w:val="24"/>
          <w:highlight w:val="none"/>
          <w:lang w:eastAsia="zh-CN"/>
        </w:rPr>
        <w:t>的描述、项目过程中发现的</w:t>
      </w:r>
      <w:r>
        <w:rPr>
          <w:rFonts w:hint="eastAsia" w:ascii="宋体" w:hAnsi="宋体" w:eastAsia="宋体" w:cs="宋体"/>
          <w:sz w:val="24"/>
          <w:szCs w:val="24"/>
          <w:highlight w:val="none"/>
        </w:rPr>
        <w:t>存在问题和整改建议（包括但不限于基于现行规范要求提出的公司可升级改造部分的建议）</w:t>
      </w:r>
      <w:r>
        <w:rPr>
          <w:rFonts w:hint="eastAsia" w:ascii="宋体" w:hAnsi="宋体" w:cs="宋体"/>
          <w:bCs/>
          <w:sz w:val="24"/>
          <w:highlight w:val="none"/>
        </w:rPr>
        <w:t>，以作为</w:t>
      </w:r>
      <w:r>
        <w:rPr>
          <w:rFonts w:hint="eastAsia" w:ascii="宋体" w:hAnsi="宋体" w:cs="宋体"/>
          <w:bCs/>
          <w:sz w:val="24"/>
          <w:highlight w:val="none"/>
          <w:lang w:eastAsia="zh-CN"/>
        </w:rPr>
        <w:t>实施范围</w:t>
      </w:r>
      <w:r>
        <w:rPr>
          <w:rFonts w:hint="eastAsia" w:ascii="宋体" w:hAnsi="宋体" w:cs="宋体"/>
          <w:bCs/>
          <w:sz w:val="24"/>
          <w:highlight w:val="none"/>
        </w:rPr>
        <w:t>厂区进行后续消防安全整改的指引。</w:t>
      </w:r>
    </w:p>
    <w:p>
      <w:pPr>
        <w:spacing w:line="360" w:lineRule="auto"/>
        <w:ind w:firstLine="0" w:firstLineChars="0"/>
        <w:rPr>
          <w:rFonts w:ascii="宋体" w:hAnsi="宋体" w:cs="宋体"/>
          <w:sz w:val="24"/>
        </w:rPr>
      </w:pPr>
      <w:r>
        <w:rPr>
          <w:rFonts w:hint="eastAsia" w:ascii="宋体" w:hAnsi="宋体" w:cs="宋体"/>
          <w:sz w:val="24"/>
          <w:lang w:val="en-US" w:eastAsia="zh-CN"/>
        </w:rPr>
        <w:t xml:space="preserve">   4.2.2</w:t>
      </w:r>
      <w:r>
        <w:rPr>
          <w:rFonts w:hint="eastAsia" w:ascii="宋体" w:hAnsi="宋体" w:cs="宋体"/>
          <w:sz w:val="24"/>
        </w:rPr>
        <w:t>综合评估报告经</w:t>
      </w:r>
      <w:r>
        <w:rPr>
          <w:rFonts w:hint="eastAsia" w:ascii="宋体" w:hAnsi="宋体" w:cs="宋体"/>
          <w:sz w:val="24"/>
          <w:lang w:eastAsia="zh-CN"/>
        </w:rPr>
        <w:t>专家</w:t>
      </w:r>
      <w:r>
        <w:rPr>
          <w:rFonts w:hint="eastAsia" w:ascii="宋体" w:hAnsi="宋体" w:cs="宋体"/>
          <w:sz w:val="24"/>
        </w:rPr>
        <w:t>评审，修改完善后</w:t>
      </w:r>
      <w:r>
        <w:rPr>
          <w:rFonts w:hint="eastAsia" w:ascii="宋体" w:hAnsi="宋体" w:cs="宋体"/>
          <w:sz w:val="24"/>
          <w:szCs w:val="24"/>
          <w:u w:val="single"/>
        </w:rPr>
        <w:t>10个</w:t>
      </w:r>
      <w:r>
        <w:rPr>
          <w:rFonts w:hint="eastAsia" w:ascii="宋体" w:hAnsi="宋体" w:cs="宋体"/>
          <w:sz w:val="24"/>
        </w:rPr>
        <w:t>工作日内，乙方向甲方交付正式的评估报告。</w:t>
      </w:r>
      <w:r>
        <w:rPr>
          <w:rFonts w:hint="eastAsia" w:ascii="宋体" w:hAnsi="宋体" w:cs="宋体"/>
          <w:sz w:val="24"/>
          <w:lang w:val="en-US" w:eastAsia="zh-CN"/>
        </w:rPr>
        <w:t>两个评估报告均</w:t>
      </w:r>
      <w:r>
        <w:rPr>
          <w:rFonts w:hint="eastAsia" w:ascii="宋体" w:hAnsi="宋体" w:cs="宋体"/>
          <w:sz w:val="24"/>
        </w:rPr>
        <w:t>一式</w:t>
      </w:r>
      <w:r>
        <w:rPr>
          <w:rFonts w:hint="eastAsia" w:ascii="宋体" w:hAnsi="宋体" w:cs="宋体"/>
          <w:sz w:val="24"/>
          <w:lang w:val="en-US" w:eastAsia="zh-CN"/>
        </w:rPr>
        <w:t>十五</w:t>
      </w:r>
      <w:r>
        <w:rPr>
          <w:rFonts w:hint="eastAsia" w:ascii="宋体" w:hAnsi="宋体" w:cs="宋体"/>
          <w:sz w:val="24"/>
        </w:rPr>
        <w:t>份，电子光盘2份（未加密且可编辑格式）。</w:t>
      </w:r>
    </w:p>
    <w:p>
      <w:pPr>
        <w:spacing w:line="360" w:lineRule="auto"/>
        <w:ind w:firstLine="480" w:firstLineChars="200"/>
        <w:rPr>
          <w:rFonts w:ascii="宋体" w:hAnsi="宋体" w:cs="宋体"/>
          <w:strike/>
          <w:sz w:val="24"/>
        </w:rPr>
      </w:pPr>
      <w:r>
        <w:rPr>
          <w:rFonts w:hint="eastAsia" w:ascii="宋体" w:hAnsi="宋体" w:cs="宋体"/>
          <w:sz w:val="24"/>
          <w:lang w:val="en-US" w:eastAsia="zh-CN"/>
        </w:rPr>
        <w:t>4.3</w:t>
      </w:r>
      <w:r>
        <w:rPr>
          <w:rFonts w:hint="eastAsia" w:ascii="宋体" w:hAnsi="宋体" w:cs="宋体"/>
          <w:sz w:val="24"/>
        </w:rPr>
        <w:t>乙方应配合甲方开展结算工作并提交结算的相关资料,若乙方逾期超过30天未提交完整的结算资料和结算报告等，甲方有权单方自行结算，由此产生的一切责任由乙方承担。</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 xml:space="preserve">第五条 费用 </w:t>
      </w:r>
    </w:p>
    <w:p>
      <w:pPr>
        <w:spacing w:line="360" w:lineRule="auto"/>
        <w:ind w:firstLine="480" w:firstLineChars="200"/>
        <w:rPr>
          <w:rFonts w:ascii="宋体" w:hAnsi="宋体" w:cs="宋体"/>
          <w:sz w:val="24"/>
        </w:rPr>
      </w:pPr>
      <w:r>
        <w:rPr>
          <w:rFonts w:hint="eastAsia" w:ascii="宋体" w:hAnsi="宋体" w:cs="宋体"/>
          <w:sz w:val="24"/>
        </w:rPr>
        <w:t>5.1本合同</w:t>
      </w:r>
      <w:r>
        <w:rPr>
          <w:rFonts w:hint="eastAsia" w:ascii="宋体" w:hAnsi="宋体" w:cs="宋体"/>
          <w:sz w:val="24"/>
          <w:lang w:val="en-US" w:eastAsia="zh-CN"/>
        </w:rPr>
        <w:t>以</w:t>
      </w:r>
      <w:r>
        <w:rPr>
          <w:rFonts w:hint="eastAsia" w:ascii="宋体" w:hAnsi="宋体" w:cs="宋体"/>
          <w:b/>
          <w:bCs/>
          <w:sz w:val="24"/>
        </w:rPr>
        <w:t>总价包干</w:t>
      </w:r>
      <w:r>
        <w:rPr>
          <w:rFonts w:hint="eastAsia" w:ascii="宋体" w:hAnsi="宋体" w:cs="宋体"/>
          <w:b/>
          <w:bCs/>
          <w:sz w:val="24"/>
          <w:lang w:val="en-US" w:eastAsia="zh-CN"/>
        </w:rPr>
        <w:t>形式，暂定</w:t>
      </w:r>
      <w:r>
        <w:rPr>
          <w:rFonts w:hint="eastAsia" w:ascii="宋体" w:hAnsi="宋体" w:cs="宋体"/>
          <w:sz w:val="24"/>
        </w:rPr>
        <w:t>为人民币</w:t>
      </w:r>
      <w:r>
        <w:rPr>
          <w:rFonts w:hint="eastAsia" w:ascii="宋体" w:hAnsi="宋体" w:cs="宋体"/>
          <w:b/>
          <w:sz w:val="24"/>
        </w:rPr>
        <w:t>万元</w:t>
      </w:r>
      <w:r>
        <w:rPr>
          <w:rFonts w:hint="eastAsia" w:ascii="宋体" w:hAnsi="宋体" w:cs="宋体"/>
          <w:sz w:val="24"/>
        </w:rPr>
        <w:t>（大写：</w:t>
      </w:r>
      <w:r>
        <w:rPr>
          <w:rFonts w:hint="eastAsia" w:ascii="宋体" w:hAnsi="宋体" w:cs="宋体"/>
          <w:sz w:val="24"/>
          <w:u w:val="single"/>
        </w:rPr>
        <w:t>人民币</w:t>
      </w:r>
      <w:r>
        <w:rPr>
          <w:rFonts w:hint="eastAsia" w:ascii="宋体" w:hAnsi="宋体" w:cs="宋体"/>
          <w:bCs/>
          <w:sz w:val="24"/>
          <w:u w:val="single"/>
        </w:rPr>
        <w:t xml:space="preserve">   元</w:t>
      </w:r>
      <w:r>
        <w:rPr>
          <w:rFonts w:hint="eastAsia" w:ascii="宋体" w:hAnsi="宋体" w:cs="宋体"/>
          <w:sz w:val="24"/>
        </w:rPr>
        <w:t>），含税率</w:t>
      </w:r>
      <w:r>
        <w:rPr>
          <w:rFonts w:hint="eastAsia" w:ascii="宋体" w:hAnsi="宋体" w:cs="宋体"/>
          <w:sz w:val="24"/>
          <w:lang w:eastAsia="zh-CN"/>
        </w:rPr>
        <w:t>（</w:t>
      </w:r>
      <w:r>
        <w:rPr>
          <w:rFonts w:hint="eastAsia" w:ascii="宋体" w:hAnsi="宋体" w:cs="宋体"/>
          <w:sz w:val="24"/>
          <w:lang w:val="en-US" w:eastAsia="zh-CN"/>
        </w:rPr>
        <w:t>%）</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5.2本合同</w:t>
      </w:r>
      <w:r>
        <w:rPr>
          <w:rFonts w:hint="eastAsia" w:ascii="宋体" w:hAnsi="宋体" w:cs="宋体"/>
          <w:sz w:val="24"/>
          <w:lang w:val="en-US" w:eastAsia="zh-CN"/>
        </w:rPr>
        <w:t>价</w:t>
      </w:r>
      <w:r>
        <w:rPr>
          <w:rFonts w:hint="eastAsia" w:ascii="宋体" w:hAnsi="宋体" w:cs="宋体"/>
          <w:sz w:val="24"/>
        </w:rPr>
        <w:t>包括完成本合同项下的所有工作内容所需要的直接和间接的一切费用</w:t>
      </w:r>
      <w:r>
        <w:rPr>
          <w:rFonts w:hint="eastAsia" w:ascii="宋体" w:hAnsi="宋体" w:cs="宋体"/>
          <w:sz w:val="24"/>
          <w:lang w:eastAsia="zh-CN"/>
        </w:rPr>
        <w:t>（</w:t>
      </w:r>
      <w:r>
        <w:rPr>
          <w:rFonts w:hint="eastAsia" w:ascii="宋体" w:hAnsi="宋体" w:cs="宋体"/>
          <w:sz w:val="24"/>
          <w:lang w:val="en-US" w:eastAsia="zh-CN"/>
        </w:rPr>
        <w:t>包括两次专家评审费用</w:t>
      </w:r>
      <w:r>
        <w:rPr>
          <w:rFonts w:hint="eastAsia" w:ascii="宋体" w:hAnsi="宋体" w:cs="宋体"/>
          <w:sz w:val="24"/>
          <w:lang w:eastAsia="zh-CN"/>
        </w:rPr>
        <w:t>）</w:t>
      </w:r>
      <w:r>
        <w:rPr>
          <w:rFonts w:hint="eastAsia" w:ascii="宋体" w:hAnsi="宋体" w:cs="宋体"/>
          <w:sz w:val="24"/>
        </w:rPr>
        <w:t>，不因人工、材料、设备的变化而作调整。</w:t>
      </w:r>
    </w:p>
    <w:p>
      <w:pPr>
        <w:pStyle w:val="28"/>
        <w:rPr>
          <w:rFonts w:hAnsi="宋体"/>
          <w:bCs/>
        </w:rPr>
      </w:pP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 xml:space="preserve">第六条 </w:t>
      </w:r>
      <w:r>
        <w:rPr>
          <w:rFonts w:hint="eastAsia" w:ascii="宋体" w:hAnsi="宋体" w:cs="宋体"/>
          <w:b/>
          <w:sz w:val="28"/>
          <w:szCs w:val="28"/>
          <w:lang w:val="en-US" w:eastAsia="zh-CN"/>
        </w:rPr>
        <w:t>合同费用及</w:t>
      </w:r>
      <w:r>
        <w:rPr>
          <w:rFonts w:hint="eastAsia" w:ascii="宋体" w:hAnsi="宋体" w:cs="宋体"/>
          <w:b/>
          <w:sz w:val="28"/>
          <w:szCs w:val="28"/>
        </w:rPr>
        <w:t>支付方式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.1</w:t>
      </w:r>
      <w:r>
        <w:rPr>
          <w:rFonts w:hint="eastAsia" w:ascii="宋体" w:hAnsi="宋体" w:cs="宋体"/>
          <w:sz w:val="24"/>
          <w:lang w:val="en-US" w:eastAsia="zh-CN"/>
        </w:rPr>
        <w:t>支付单位：广州市净水有限公司/支付单位：广州</w:t>
      </w:r>
      <w:r>
        <w:rPr>
          <w:rFonts w:hint="eastAsia" w:ascii="宋体" w:hAnsi="宋体" w:cs="宋体"/>
          <w:sz w:val="24"/>
        </w:rPr>
        <w:t>从化</w:t>
      </w:r>
      <w:r>
        <w:rPr>
          <w:rFonts w:hint="eastAsia" w:ascii="宋体" w:hAnsi="宋体" w:cs="宋体"/>
          <w:sz w:val="24"/>
          <w:lang w:val="en-US" w:eastAsia="zh-CN"/>
        </w:rPr>
        <w:t>净水有限</w:t>
      </w:r>
      <w:r>
        <w:rPr>
          <w:rFonts w:hint="eastAsia" w:ascii="宋体" w:hAnsi="宋体" w:cs="宋体"/>
          <w:sz w:val="24"/>
        </w:rPr>
        <w:t>公司。</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1.2</w:t>
      </w:r>
      <w:r>
        <w:rPr>
          <w:rFonts w:hint="eastAsia" w:ascii="宋体" w:hAnsi="宋体" w:cs="宋体"/>
          <w:sz w:val="24"/>
        </w:rPr>
        <w:t>乙方收款账号资料</w:t>
      </w:r>
    </w:p>
    <w:p>
      <w:pPr>
        <w:spacing w:line="384" w:lineRule="auto"/>
        <w:ind w:firstLine="720" w:firstLineChars="300"/>
        <w:rPr>
          <w:rFonts w:ascii="宋体" w:hAnsi="宋体" w:cs="宋体"/>
          <w:sz w:val="24"/>
        </w:rPr>
      </w:pP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 ；</w:t>
      </w:r>
    </w:p>
    <w:p>
      <w:pPr>
        <w:spacing w:line="384" w:lineRule="auto"/>
        <w:ind w:firstLine="720" w:firstLineChars="300"/>
        <w:rPr>
          <w:rFonts w:ascii="宋体" w:hAnsi="宋体" w:cs="宋体"/>
          <w:sz w:val="24"/>
        </w:rPr>
      </w:pPr>
      <w:r>
        <w:rPr>
          <w:rFonts w:hint="eastAsia" w:ascii="宋体" w:hAnsi="宋体" w:cs="宋体"/>
          <w:sz w:val="24"/>
        </w:rPr>
        <w:t>乙方在收款前需提交等额增值税专用发票。增值税专用发票信息：</w:t>
      </w:r>
    </w:p>
    <w:p>
      <w:pPr>
        <w:spacing w:line="384" w:lineRule="auto"/>
        <w:ind w:firstLine="960" w:firstLineChars="400"/>
        <w:rPr>
          <w:rFonts w:ascii="宋体" w:hAnsi="宋体" w:cs="宋体"/>
          <w:sz w:val="24"/>
          <w:u w:val="single"/>
        </w:rPr>
      </w:pPr>
      <w:r>
        <w:rPr>
          <w:rFonts w:hint="eastAsia" w:ascii="宋体" w:hAnsi="宋体" w:cs="宋体"/>
          <w:sz w:val="24"/>
        </w:rPr>
        <w:t>名称：</w:t>
      </w:r>
      <w:r>
        <w:rPr>
          <w:rFonts w:hint="eastAsia" w:ascii="宋体" w:hAnsi="宋体" w:cs="宋体"/>
          <w:sz w:val="24"/>
          <w:u w:val="single"/>
        </w:rPr>
        <w:t xml:space="preserve">                     ；</w:t>
      </w:r>
    </w:p>
    <w:p>
      <w:pPr>
        <w:spacing w:line="384" w:lineRule="auto"/>
        <w:ind w:firstLine="960" w:firstLineChars="400"/>
        <w:rPr>
          <w:rFonts w:ascii="宋体" w:hAnsi="宋体" w:cs="宋体"/>
          <w:sz w:val="24"/>
        </w:rPr>
      </w:pPr>
      <w:r>
        <w:rPr>
          <w:rFonts w:hint="eastAsia" w:ascii="宋体" w:hAnsi="宋体" w:cs="宋体"/>
          <w:sz w:val="24"/>
        </w:rPr>
        <w:t>税号：</w:t>
      </w:r>
      <w:r>
        <w:rPr>
          <w:rFonts w:hint="eastAsia" w:ascii="宋体" w:hAnsi="宋体" w:cs="宋体"/>
          <w:sz w:val="24"/>
          <w:u w:val="single"/>
        </w:rPr>
        <w:t>；</w:t>
      </w:r>
    </w:p>
    <w:p>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6.1.3</w:t>
      </w:r>
      <w:r>
        <w:rPr>
          <w:rFonts w:hint="eastAsia" w:ascii="宋体" w:hAnsi="宋体" w:cs="宋体"/>
          <w:sz w:val="24"/>
        </w:rPr>
        <w:t>付款方式：</w:t>
      </w:r>
      <w:r>
        <w:rPr>
          <w:rFonts w:hint="eastAsia" w:ascii="宋体" w:hAnsi="宋体" w:cs="宋体"/>
          <w:sz w:val="24"/>
        </w:rPr>
        <w:sym w:font="Wingdings" w:char="00FE"/>
      </w:r>
      <w:r>
        <w:rPr>
          <w:rFonts w:hint="eastAsia" w:ascii="宋体" w:hAnsi="宋体" w:cs="宋体"/>
          <w:sz w:val="24"/>
        </w:rPr>
        <w:t>网银支付；</w:t>
      </w:r>
      <w:r>
        <w:rPr>
          <w:rFonts w:hint="eastAsia" w:ascii="宋体" w:hAnsi="宋体" w:cs="宋体"/>
          <w:sz w:val="24"/>
        </w:rPr>
        <w:sym w:font="Wingdings" w:char="00A8"/>
      </w:r>
      <w:r>
        <w:rPr>
          <w:rFonts w:hint="eastAsia" w:ascii="宋体" w:hAnsi="宋体" w:cs="宋体"/>
          <w:sz w:val="24"/>
        </w:rPr>
        <w:t>支票；</w:t>
      </w:r>
      <w:r>
        <w:rPr>
          <w:rFonts w:hint="eastAsia" w:ascii="宋体" w:hAnsi="宋体" w:cs="宋体"/>
          <w:sz w:val="24"/>
        </w:rPr>
        <w:sym w:font="Wingdings" w:char="00A8"/>
      </w:r>
      <w:r>
        <w:rPr>
          <w:rFonts w:hint="eastAsia" w:ascii="宋体" w:hAnsi="宋体" w:cs="宋体"/>
          <w:sz w:val="24"/>
        </w:rPr>
        <w:t>其他：/</w:t>
      </w:r>
    </w:p>
    <w:p>
      <w:pPr>
        <w:spacing w:line="360" w:lineRule="auto"/>
        <w:ind w:firstLine="480" w:firstLineChars="200"/>
        <w:rPr>
          <w:rFonts w:ascii="宋体" w:hAnsi="宋体" w:cs="宋体"/>
          <w:sz w:val="24"/>
        </w:rPr>
      </w:pPr>
      <w:r>
        <w:rPr>
          <w:rFonts w:hint="eastAsia" w:ascii="宋体" w:hAnsi="宋体" w:cs="宋体"/>
          <w:sz w:val="24"/>
          <w:lang w:val="en-US" w:eastAsia="zh-CN"/>
        </w:rPr>
        <w:t>6.2</w:t>
      </w:r>
      <w:r>
        <w:rPr>
          <w:rFonts w:hint="eastAsia" w:ascii="宋体" w:hAnsi="宋体" w:cs="宋体"/>
          <w:sz w:val="24"/>
        </w:rPr>
        <w:t>本合同生效后，乙方向甲方提出定金支付申请，甲方向乙方支付</w:t>
      </w:r>
      <w:r>
        <w:rPr>
          <w:rFonts w:hint="eastAsia" w:ascii="宋体" w:hAnsi="宋体" w:cs="宋体"/>
          <w:sz w:val="24"/>
          <w:szCs w:val="24"/>
        </w:rPr>
        <w:t>合同</w:t>
      </w:r>
      <w:r>
        <w:rPr>
          <w:rFonts w:hint="eastAsia" w:ascii="宋体" w:hAnsi="宋体" w:cs="宋体"/>
          <w:sz w:val="24"/>
          <w:szCs w:val="24"/>
          <w:lang w:val="en-US" w:eastAsia="zh-CN"/>
        </w:rPr>
        <w:t>暂定</w:t>
      </w:r>
      <w:r>
        <w:rPr>
          <w:rFonts w:hint="eastAsia" w:ascii="宋体" w:hAnsi="宋体" w:cs="宋体"/>
          <w:sz w:val="24"/>
          <w:szCs w:val="24"/>
        </w:rPr>
        <w:t>价</w:t>
      </w:r>
      <w:r>
        <w:rPr>
          <w:rFonts w:hint="eastAsia" w:ascii="宋体" w:hAnsi="宋体" w:cs="宋体"/>
          <w:sz w:val="24"/>
        </w:rPr>
        <w:t>的</w:t>
      </w:r>
      <w:r>
        <w:rPr>
          <w:rFonts w:hint="eastAsia" w:ascii="宋体" w:hAnsi="宋体" w:cs="宋体"/>
          <w:b/>
          <w:bCs/>
          <w:sz w:val="24"/>
        </w:rPr>
        <w:t>20％</w:t>
      </w:r>
      <w:r>
        <w:rPr>
          <w:rFonts w:hint="eastAsia" w:ascii="宋体" w:hAnsi="宋体" w:cs="宋体"/>
          <w:sz w:val="24"/>
        </w:rPr>
        <w:t>作为定金，计万元。</w:t>
      </w:r>
    </w:p>
    <w:p>
      <w:pPr>
        <w:spacing w:line="360" w:lineRule="auto"/>
        <w:ind w:firstLine="480" w:firstLineChars="200"/>
        <w:rPr>
          <w:rFonts w:ascii="宋体" w:hAnsi="宋体" w:cs="宋体"/>
          <w:sz w:val="24"/>
          <w:szCs w:val="24"/>
        </w:rPr>
      </w:pPr>
      <w:r>
        <w:rPr>
          <w:rFonts w:hint="eastAsia" w:ascii="宋体" w:hAnsi="宋体" w:cs="宋体"/>
          <w:sz w:val="24"/>
          <w:lang w:val="en-US" w:eastAsia="zh-CN"/>
        </w:rPr>
        <w:t>6.3</w:t>
      </w:r>
      <w:r>
        <w:rPr>
          <w:rFonts w:hint="eastAsia" w:ascii="宋体" w:hAnsi="宋体" w:cs="宋体"/>
          <w:sz w:val="24"/>
        </w:rPr>
        <w:t xml:space="preserve"> </w:t>
      </w:r>
      <w:r>
        <w:rPr>
          <w:rFonts w:ascii="宋体" w:hAnsi="宋体" w:cs="宋体"/>
          <w:kern w:val="0"/>
          <w:sz w:val="24"/>
          <w:szCs w:val="24"/>
        </w:rPr>
        <w:t>乙方</w:t>
      </w:r>
      <w:r>
        <w:rPr>
          <w:rFonts w:hint="eastAsia" w:ascii="宋体" w:hAnsi="宋体" w:cs="宋体"/>
          <w:kern w:val="0"/>
          <w:sz w:val="24"/>
          <w:szCs w:val="24"/>
        </w:rPr>
        <w:t>消防安全综合评估报告</w:t>
      </w:r>
      <w:r>
        <w:rPr>
          <w:rFonts w:hint="eastAsia" w:ascii="宋体" w:hAnsi="宋体" w:cs="宋体"/>
          <w:kern w:val="0"/>
          <w:sz w:val="24"/>
          <w:szCs w:val="24"/>
          <w:lang w:val="en-US" w:eastAsia="zh-CN"/>
        </w:rPr>
        <w:t>编制完成且提交书面报告</w:t>
      </w:r>
      <w:r>
        <w:rPr>
          <w:rFonts w:hint="eastAsia" w:ascii="宋体" w:hAnsi="宋体" w:cs="宋体"/>
          <w:kern w:val="0"/>
          <w:sz w:val="24"/>
          <w:szCs w:val="24"/>
          <w:lang w:eastAsia="zh-CN"/>
        </w:rPr>
        <w:t>，</w:t>
      </w:r>
      <w:r>
        <w:rPr>
          <w:rFonts w:ascii="宋体" w:hAnsi="宋体" w:cs="宋体"/>
          <w:kern w:val="0"/>
          <w:sz w:val="24"/>
          <w:szCs w:val="24"/>
        </w:rPr>
        <w:t>甲方向乙方支付至</w:t>
      </w:r>
      <w:r>
        <w:rPr>
          <w:rFonts w:hint="eastAsia" w:ascii="宋体" w:hAnsi="宋体" w:cs="宋体"/>
          <w:sz w:val="24"/>
          <w:szCs w:val="24"/>
        </w:rPr>
        <w:t>合同</w:t>
      </w:r>
      <w:r>
        <w:rPr>
          <w:rFonts w:hint="eastAsia" w:ascii="宋体" w:hAnsi="宋体" w:cs="宋体"/>
          <w:sz w:val="24"/>
          <w:szCs w:val="24"/>
          <w:lang w:val="en-US" w:eastAsia="zh-CN"/>
        </w:rPr>
        <w:t>暂定</w:t>
      </w:r>
      <w:r>
        <w:rPr>
          <w:rFonts w:hint="eastAsia" w:ascii="宋体" w:hAnsi="宋体" w:cs="宋体"/>
          <w:sz w:val="24"/>
          <w:szCs w:val="24"/>
        </w:rPr>
        <w:t>价</w:t>
      </w:r>
      <w:r>
        <w:rPr>
          <w:rFonts w:ascii="宋体" w:hAnsi="宋体" w:cs="宋体"/>
          <w:kern w:val="0"/>
          <w:sz w:val="24"/>
          <w:szCs w:val="24"/>
        </w:rPr>
        <w:t xml:space="preserve">的60%（含定金）。 </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highlight w:val="none"/>
        </w:rPr>
        <w:t>4</w:t>
      </w:r>
      <w:r>
        <w:rPr>
          <w:rFonts w:hint="eastAsia" w:ascii="宋体" w:hAnsi="宋体" w:cs="宋体"/>
          <w:sz w:val="24"/>
          <w:szCs w:val="24"/>
          <w:highlight w:val="none"/>
        </w:rPr>
        <w:t>消防安全综合评估报告经</w:t>
      </w:r>
      <w:r>
        <w:rPr>
          <w:rFonts w:hint="eastAsia" w:ascii="宋体" w:hAnsi="宋体" w:cs="宋体"/>
          <w:sz w:val="24"/>
          <w:szCs w:val="24"/>
          <w:highlight w:val="none"/>
          <w:lang w:val="en-US" w:eastAsia="zh-CN"/>
        </w:rPr>
        <w:t>两次甲方组织的专家评审，</w:t>
      </w:r>
      <w:r>
        <w:rPr>
          <w:rFonts w:hint="eastAsia" w:ascii="宋体" w:hAnsi="宋体" w:cs="宋体"/>
          <w:sz w:val="24"/>
          <w:szCs w:val="24"/>
          <w:highlight w:val="none"/>
        </w:rPr>
        <w:t>并按评审意见修改完善后，</w:t>
      </w:r>
      <w:r>
        <w:rPr>
          <w:rFonts w:hint="eastAsia" w:ascii="宋体" w:hAnsi="宋体" w:cs="宋体"/>
          <w:sz w:val="24"/>
          <w:szCs w:val="24"/>
        </w:rPr>
        <w:t>乙方应于当月20日前将工程支付申请书一式四份报送给甲方，甲方向乙方支付至合同</w:t>
      </w:r>
      <w:r>
        <w:rPr>
          <w:rFonts w:hint="eastAsia" w:ascii="宋体" w:hAnsi="宋体" w:cs="宋体"/>
          <w:sz w:val="24"/>
          <w:szCs w:val="24"/>
          <w:lang w:val="en-US" w:eastAsia="zh-CN"/>
        </w:rPr>
        <w:t>暂定</w:t>
      </w:r>
      <w:r>
        <w:rPr>
          <w:rFonts w:hint="eastAsia" w:ascii="宋体" w:hAnsi="宋体" w:cs="宋体"/>
          <w:sz w:val="24"/>
          <w:szCs w:val="24"/>
        </w:rPr>
        <w:t>价的80%（含定金）。</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待相关部门终审结算后，甲方支付至合同结算</w:t>
      </w:r>
      <w:r>
        <w:rPr>
          <w:rFonts w:hint="eastAsia" w:ascii="宋体" w:hAnsi="宋体" w:cs="宋体"/>
          <w:sz w:val="24"/>
          <w:lang w:val="en-US" w:eastAsia="zh-CN"/>
        </w:rPr>
        <w:t>审定</w:t>
      </w:r>
      <w:r>
        <w:rPr>
          <w:rFonts w:hint="eastAsia" w:ascii="宋体" w:hAnsi="宋体" w:cs="宋体"/>
          <w:sz w:val="24"/>
        </w:rPr>
        <w:t>价的</w:t>
      </w:r>
      <w:r>
        <w:rPr>
          <w:rFonts w:ascii="宋体" w:hAnsi="宋体" w:cs="宋体"/>
          <w:sz w:val="24"/>
        </w:rPr>
        <w:t>100%</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在合同履行期间，甲方要求终止或解除合同，由双方协商支付费用，最高支付至合同价的六成。</w:t>
      </w:r>
    </w:p>
    <w:p>
      <w:pPr>
        <w:adjustRightInd w:val="0"/>
        <w:spacing w:line="360" w:lineRule="auto"/>
        <w:ind w:firstLine="480" w:firstLineChars="200"/>
        <w:jc w:val="left"/>
        <w:textAlignment w:val="baseline"/>
        <w:rPr>
          <w:color w:val="FF0000"/>
        </w:rPr>
      </w:pPr>
      <w:r>
        <w:rPr>
          <w:rFonts w:hint="eastAsia" w:ascii="宋体" w:hAnsi="宋体" w:cs="宋体"/>
          <w:sz w:val="24"/>
          <w:szCs w:val="24"/>
          <w:lang w:val="en-US" w:eastAsia="zh-CN"/>
        </w:rPr>
        <w:t>6.7</w:t>
      </w:r>
      <w:r>
        <w:rPr>
          <w:rFonts w:hint="eastAsia" w:ascii="宋体" w:hAnsi="宋体" w:cs="宋体"/>
          <w:sz w:val="24"/>
          <w:szCs w:val="24"/>
        </w:rPr>
        <w:t>乙方</w:t>
      </w:r>
      <w:r>
        <w:rPr>
          <w:rFonts w:hint="eastAsia" w:ascii="宋体" w:hAnsi="宋体"/>
          <w:sz w:val="24"/>
          <w:szCs w:val="24"/>
        </w:rPr>
        <w:t>在收取每一笔合同费用前，需向甲方提供等额有效的增值税专用发票。</w:t>
      </w:r>
    </w:p>
    <w:p>
      <w:pPr>
        <w:spacing w:line="360" w:lineRule="auto"/>
        <w:outlineLvl w:val="0"/>
        <w:rPr>
          <w:rFonts w:ascii="宋体" w:hAnsi="宋体"/>
          <w:b/>
          <w:sz w:val="28"/>
          <w:szCs w:val="28"/>
        </w:rPr>
      </w:pPr>
      <w:r>
        <w:rPr>
          <w:rFonts w:hint="eastAsia" w:ascii="宋体" w:hAnsi="宋体"/>
          <w:b/>
          <w:sz w:val="28"/>
          <w:szCs w:val="28"/>
        </w:rPr>
        <w:t>第七条 双方权利和义务</w:t>
      </w:r>
    </w:p>
    <w:p>
      <w:pPr>
        <w:spacing w:line="360" w:lineRule="auto"/>
        <w:ind w:firstLine="480" w:firstLineChars="200"/>
        <w:outlineLvl w:val="0"/>
        <w:rPr>
          <w:rFonts w:ascii="宋体" w:hAnsi="宋体"/>
          <w:sz w:val="24"/>
        </w:rPr>
      </w:pPr>
      <w:r>
        <w:rPr>
          <w:rFonts w:hint="eastAsia" w:ascii="宋体" w:hAnsi="宋体"/>
          <w:sz w:val="24"/>
          <w:lang w:val="en-US" w:eastAsia="zh-CN"/>
        </w:rPr>
        <w:t>7</w:t>
      </w:r>
      <w:r>
        <w:rPr>
          <w:rFonts w:hint="eastAsia" w:ascii="宋体" w:hAnsi="宋体"/>
          <w:sz w:val="24"/>
        </w:rPr>
        <w:t>.</w:t>
      </w:r>
      <w:r>
        <w:rPr>
          <w:rFonts w:ascii="宋体" w:hAnsi="宋体"/>
          <w:sz w:val="24"/>
        </w:rPr>
        <w:t>1</w:t>
      </w:r>
      <w:r>
        <w:rPr>
          <w:rFonts w:hint="eastAsia" w:ascii="宋体" w:hAnsi="宋体"/>
          <w:sz w:val="24"/>
        </w:rPr>
        <w:t>甲方权利和义务</w:t>
      </w:r>
    </w:p>
    <w:p>
      <w:pPr>
        <w:spacing w:line="360" w:lineRule="auto"/>
        <w:ind w:firstLine="480" w:firstLineChars="200"/>
        <w:outlineLvl w:val="0"/>
        <w:rPr>
          <w:rFonts w:ascii="宋体" w:hAnsi="宋体"/>
          <w:sz w:val="24"/>
        </w:rPr>
      </w:pPr>
      <w:r>
        <w:rPr>
          <w:rFonts w:hint="eastAsia" w:ascii="宋体" w:hAnsi="宋体"/>
          <w:sz w:val="24"/>
          <w:lang w:val="en-US" w:eastAsia="zh-CN"/>
        </w:rPr>
        <w:t>7</w:t>
      </w:r>
      <w:r>
        <w:rPr>
          <w:rFonts w:hint="eastAsia" w:ascii="宋体" w:hAnsi="宋体"/>
          <w:sz w:val="24"/>
        </w:rPr>
        <w:t>.1.1甲方有权对乙方履行合同进行督导，对于乙方不履行合同、不正确履行合同、不完全履行合同等行为，甲方有权要求乙方立即更正，并采取其他补救措施。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.1.2 合同生效后，</w:t>
      </w:r>
      <w:r>
        <w:rPr>
          <w:rFonts w:hint="eastAsia" w:ascii="宋体" w:hAnsi="宋体"/>
          <w:color w:val="000000"/>
          <w:sz w:val="24"/>
        </w:rPr>
        <w:t>由于甲方原因</w:t>
      </w:r>
      <w:r>
        <w:rPr>
          <w:rFonts w:hint="eastAsia" w:ascii="宋体" w:hAnsi="宋体"/>
          <w:sz w:val="24"/>
        </w:rPr>
        <w:t xml:space="preserve">要求终止或解除合同，乙方未开始项目工作的，不退还甲方已付的定金。 </w:t>
      </w:r>
    </w:p>
    <w:p>
      <w:p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.1.3在合同履行期间，已开始项目工作，因甲方要求终止或解除合同，甲方根据乙方已进行的实际工作量按实进行结算。</w:t>
      </w:r>
    </w:p>
    <w:p>
      <w:p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.1.4甲方要求乙方比合同规定时间提前交付编制文件时，需征得乙方同意，不得严重背离合理编制周期。</w:t>
      </w:r>
    </w:p>
    <w:p>
      <w:pPr>
        <w:spacing w:line="360" w:lineRule="auto"/>
        <w:ind w:firstLine="482" w:firstLineChars="200"/>
        <w:rPr>
          <w:rFonts w:ascii="宋体"/>
          <w:b/>
          <w:sz w:val="24"/>
        </w:rPr>
      </w:pPr>
      <w:r>
        <w:rPr>
          <w:rFonts w:hint="eastAsia" w:ascii="宋体"/>
          <w:b/>
          <w:sz w:val="24"/>
          <w:lang w:val="en-US" w:eastAsia="zh-CN"/>
        </w:rPr>
        <w:t>7</w:t>
      </w:r>
      <w:r>
        <w:rPr>
          <w:rFonts w:hint="eastAsia" w:ascii="宋体"/>
          <w:b/>
          <w:sz w:val="24"/>
        </w:rPr>
        <w:t>.</w:t>
      </w:r>
      <w:r>
        <w:rPr>
          <w:rFonts w:ascii="宋体"/>
          <w:b/>
          <w:sz w:val="24"/>
        </w:rPr>
        <w:t>2</w:t>
      </w:r>
      <w:r>
        <w:rPr>
          <w:rFonts w:hint="eastAsia" w:ascii="宋体" w:hAnsi="宋体"/>
          <w:b/>
          <w:sz w:val="24"/>
        </w:rPr>
        <w:t>乙方权利和义务</w:t>
      </w:r>
    </w:p>
    <w:p>
      <w:pPr>
        <w:spacing w:line="360" w:lineRule="auto"/>
        <w:ind w:firstLine="480" w:firstLineChars="200"/>
        <w:jc w:val="left"/>
        <w:rPr>
          <w:rFonts w:ascii="宋体"/>
          <w:sz w:val="24"/>
        </w:rPr>
      </w:pPr>
      <w:r>
        <w:rPr>
          <w:rFonts w:hint="eastAsia" w:ascii="宋体"/>
          <w:sz w:val="24"/>
          <w:lang w:val="en-US" w:eastAsia="zh-CN"/>
        </w:rPr>
        <w:t>7</w:t>
      </w:r>
      <w:r>
        <w:rPr>
          <w:rFonts w:hint="eastAsia" w:ascii="宋体"/>
          <w:sz w:val="24"/>
        </w:rPr>
        <w:t>.2.1 按甲方和合同书中的要求进行项目现场工作以及报告编制，保证质量并按合同规定期限提交成果。</w:t>
      </w:r>
    </w:p>
    <w:p>
      <w:pPr>
        <w:widowControl/>
        <w:spacing w:line="360" w:lineRule="auto"/>
        <w:ind w:firstLine="480" w:firstLineChars="200"/>
        <w:jc w:val="left"/>
        <w:rPr>
          <w:rFonts w:ascii="宋体"/>
          <w:sz w:val="24"/>
        </w:rPr>
      </w:pPr>
      <w:r>
        <w:rPr>
          <w:rFonts w:hint="eastAsia" w:ascii="宋体"/>
          <w:sz w:val="24"/>
          <w:lang w:val="en-US" w:eastAsia="zh-CN"/>
        </w:rPr>
        <w:t>7</w:t>
      </w:r>
      <w:r>
        <w:rPr>
          <w:rFonts w:hint="eastAsia" w:ascii="宋体"/>
          <w:sz w:val="24"/>
        </w:rPr>
        <w:t>.2.2 因文件质量问题引起返工，除由乙方继续完善外，并视造成损失大小，减收直至免收项目费用。</w:t>
      </w:r>
    </w:p>
    <w:p>
      <w:pPr>
        <w:spacing w:line="360" w:lineRule="auto"/>
        <w:ind w:firstLine="480" w:firstLineChars="200"/>
        <w:jc w:val="left"/>
        <w:rPr>
          <w:rFonts w:hint="eastAsia" w:ascii="宋体"/>
          <w:sz w:val="24"/>
        </w:rPr>
      </w:pPr>
      <w:r>
        <w:rPr>
          <w:rFonts w:hint="eastAsia" w:ascii="宋体"/>
          <w:sz w:val="24"/>
          <w:lang w:val="en-US" w:eastAsia="zh-CN"/>
        </w:rPr>
        <w:t>7</w:t>
      </w:r>
      <w:r>
        <w:rPr>
          <w:rFonts w:hint="eastAsia" w:ascii="宋体"/>
          <w:sz w:val="24"/>
        </w:rPr>
        <w:t>.2.3 乙方有责任对甲方提供的资料保密，未经许可，不得提供给与本项目无关的单位和人员使用。不论何种情况下保密内容失密的，乙方应当及时采取救济措施。若乙方怠于救济导致甲方损失扩大的，乙方对扩大部分承担赔偿责任。</w:t>
      </w:r>
    </w:p>
    <w:p>
      <w:pPr>
        <w:pStyle w:val="10"/>
        <w:rPr>
          <w:rFonts w:hint="default" w:eastAsia="宋体"/>
          <w:lang w:val="en-US" w:eastAsia="zh-CN"/>
        </w:rPr>
      </w:pPr>
      <w:r>
        <w:rPr>
          <w:rFonts w:hint="eastAsia"/>
          <w:sz w:val="24"/>
          <w:lang w:val="en-US" w:eastAsia="zh-CN"/>
        </w:rPr>
        <w:t xml:space="preserve">    7.2.4乙方未按照询价文件要求以及合同约定投入相应的项目人员，甲方有权扣除合同暂定金额2%/人。</w:t>
      </w:r>
    </w:p>
    <w:p>
      <w:pPr>
        <w:spacing w:line="360" w:lineRule="auto"/>
        <w:ind w:firstLine="480" w:firstLineChars="200"/>
        <w:jc w:val="left"/>
        <w:rPr>
          <w:rFonts w:ascii="宋体"/>
          <w:sz w:val="24"/>
        </w:rPr>
      </w:pPr>
      <w:r>
        <w:rPr>
          <w:rFonts w:hint="eastAsia" w:ascii="宋体"/>
          <w:sz w:val="24"/>
          <w:lang w:val="en-US" w:eastAsia="zh-CN"/>
        </w:rPr>
        <w:t>7</w:t>
      </w:r>
      <w:r>
        <w:rPr>
          <w:rFonts w:hint="eastAsia" w:ascii="宋体"/>
          <w:sz w:val="24"/>
        </w:rPr>
        <w:t>.2.</w:t>
      </w:r>
      <w:r>
        <w:rPr>
          <w:rFonts w:hint="eastAsia" w:ascii="宋体"/>
          <w:sz w:val="24"/>
          <w:lang w:val="en-US" w:eastAsia="zh-CN"/>
        </w:rPr>
        <w:t>5</w:t>
      </w:r>
      <w:r>
        <w:rPr>
          <w:rFonts w:hint="eastAsia" w:ascii="宋体"/>
          <w:sz w:val="24"/>
        </w:rPr>
        <w:t xml:space="preserve"> 若标准或计划变更，经甲方同意，乙方可顺延期。</w:t>
      </w:r>
    </w:p>
    <w:p>
      <w:pPr>
        <w:spacing w:line="360" w:lineRule="auto"/>
        <w:ind w:firstLine="480" w:firstLineChars="200"/>
        <w:jc w:val="left"/>
        <w:rPr>
          <w:rFonts w:ascii="宋体"/>
          <w:sz w:val="24"/>
        </w:rPr>
      </w:pPr>
      <w:r>
        <w:rPr>
          <w:rFonts w:hint="eastAsia" w:ascii="宋体"/>
          <w:sz w:val="24"/>
          <w:lang w:val="en-US" w:eastAsia="zh-CN"/>
        </w:rPr>
        <w:t>7</w:t>
      </w:r>
      <w:r>
        <w:rPr>
          <w:rFonts w:hint="eastAsia" w:ascii="宋体"/>
          <w:sz w:val="24"/>
        </w:rPr>
        <w:t>.2.</w:t>
      </w:r>
      <w:r>
        <w:rPr>
          <w:rFonts w:hint="eastAsia" w:ascii="宋体"/>
          <w:sz w:val="24"/>
          <w:lang w:val="en-US" w:eastAsia="zh-CN"/>
        </w:rPr>
        <w:t>6</w:t>
      </w:r>
      <w:r>
        <w:rPr>
          <w:rFonts w:hint="eastAsia" w:ascii="宋体"/>
          <w:sz w:val="24"/>
        </w:rPr>
        <w:t xml:space="preserve"> 合同生效后，乙方要求终止或解除合同，乙方应双倍退还甲方已支付的定金。</w:t>
      </w:r>
    </w:p>
    <w:p>
      <w:pPr>
        <w:spacing w:line="360" w:lineRule="auto"/>
        <w:ind w:firstLine="480" w:firstLineChars="200"/>
        <w:jc w:val="left"/>
        <w:rPr>
          <w:rFonts w:ascii="宋体"/>
          <w:sz w:val="24"/>
        </w:rPr>
      </w:pPr>
      <w:r>
        <w:rPr>
          <w:rFonts w:hint="eastAsia" w:ascii="宋体"/>
          <w:sz w:val="24"/>
          <w:lang w:val="en-US" w:eastAsia="zh-CN"/>
        </w:rPr>
        <w:t>7</w:t>
      </w:r>
      <w:r>
        <w:rPr>
          <w:rFonts w:hint="eastAsia" w:ascii="宋体"/>
          <w:sz w:val="24"/>
        </w:rPr>
        <w:t>.2.</w:t>
      </w:r>
      <w:r>
        <w:rPr>
          <w:rFonts w:hint="eastAsia" w:ascii="宋体"/>
          <w:sz w:val="24"/>
          <w:lang w:val="en-US" w:eastAsia="zh-CN"/>
        </w:rPr>
        <w:t>7</w:t>
      </w:r>
      <w:r>
        <w:rPr>
          <w:rFonts w:hint="eastAsia" w:ascii="宋体"/>
          <w:sz w:val="24"/>
        </w:rPr>
        <w:t>如甲方选择适用定金罚则，定金不足以弥补乙方违约造成的损失的，甲方可以请求赔偿超过定金数额的损失。</w:t>
      </w:r>
    </w:p>
    <w:p>
      <w:pPr>
        <w:spacing w:line="360" w:lineRule="auto"/>
        <w:ind w:firstLine="480" w:firstLineChars="200"/>
        <w:jc w:val="left"/>
        <w:rPr>
          <w:rFonts w:ascii="宋体"/>
          <w:sz w:val="24"/>
        </w:rPr>
      </w:pPr>
      <w:r>
        <w:rPr>
          <w:rFonts w:hint="eastAsia" w:ascii="宋体"/>
          <w:sz w:val="24"/>
          <w:lang w:val="en-US" w:eastAsia="zh-CN"/>
        </w:rPr>
        <w:t>7</w:t>
      </w:r>
      <w:r>
        <w:rPr>
          <w:rFonts w:hint="eastAsia" w:ascii="宋体"/>
          <w:sz w:val="24"/>
        </w:rPr>
        <w:t>.2.</w:t>
      </w:r>
      <w:r>
        <w:rPr>
          <w:rFonts w:hint="eastAsia" w:ascii="宋体"/>
          <w:sz w:val="24"/>
          <w:lang w:val="en-US" w:eastAsia="zh-CN"/>
        </w:rPr>
        <w:t>8</w:t>
      </w:r>
      <w:r>
        <w:rPr>
          <w:rFonts w:hint="eastAsia" w:ascii="宋体"/>
          <w:sz w:val="24"/>
        </w:rPr>
        <w:t>在合同有效期内，若乙方发生不诚信行为情形的，乙方自愿接受甲方按《广州市净水有限公司经营建设项目参建企业不诚信行为管理办法》处理，具体处理标准详见附件5。</w:t>
      </w:r>
    </w:p>
    <w:p>
      <w:pPr>
        <w:spacing w:line="360" w:lineRule="auto"/>
        <w:rPr>
          <w:rFonts w:ascii="宋体" w:hAnsi="宋体"/>
          <w:b/>
          <w:bCs/>
          <w:sz w:val="28"/>
          <w:szCs w:val="28"/>
        </w:rPr>
      </w:pPr>
      <w:r>
        <w:rPr>
          <w:rFonts w:hint="eastAsia" w:ascii="宋体" w:hAnsi="宋体"/>
          <w:b/>
          <w:bCs/>
          <w:sz w:val="28"/>
          <w:szCs w:val="28"/>
        </w:rPr>
        <w:t>第八条  知识产权</w:t>
      </w:r>
    </w:p>
    <w:p>
      <w:pPr>
        <w:pStyle w:val="12"/>
        <w:spacing w:line="360" w:lineRule="auto"/>
        <w:ind w:firstLine="480" w:firstLineChars="200"/>
        <w:rPr>
          <w:rFonts w:hAnsi="宋体" w:cs="宋体"/>
          <w:sz w:val="24"/>
          <w:szCs w:val="24"/>
        </w:rPr>
      </w:pPr>
      <w:r>
        <w:rPr>
          <w:rFonts w:hint="eastAsia" w:hAnsi="宋体" w:cs="宋体"/>
          <w:sz w:val="24"/>
          <w:szCs w:val="24"/>
        </w:rPr>
        <w:t>双方均应保护对方的知识产权，未经对方同意，任何一方均不得对对方的资料及文件擅自修改、复制或向第三人转让以及用于本合同项目外的项目。如发生以上情况，泄密方承担一切由此引起的后果并承担赔偿责任。</w:t>
      </w:r>
    </w:p>
    <w:p>
      <w:pPr>
        <w:tabs>
          <w:tab w:val="left" w:pos="360"/>
        </w:tabs>
        <w:overflowPunct w:val="0"/>
        <w:spacing w:line="360" w:lineRule="auto"/>
        <w:rPr>
          <w:rFonts w:ascii="宋体" w:hAnsi="宋体" w:cs="宋体"/>
          <w:b/>
          <w:sz w:val="28"/>
          <w:szCs w:val="28"/>
        </w:rPr>
      </w:pPr>
      <w:r>
        <w:rPr>
          <w:rFonts w:hint="eastAsia" w:ascii="宋体" w:hAnsi="宋体" w:cs="宋体"/>
          <w:b/>
          <w:sz w:val="28"/>
          <w:szCs w:val="28"/>
        </w:rPr>
        <w:t>第九条  仲裁、起诉</w:t>
      </w:r>
    </w:p>
    <w:p>
      <w:pPr>
        <w:spacing w:line="360" w:lineRule="auto"/>
        <w:ind w:firstLine="480" w:firstLineChars="200"/>
        <w:rPr>
          <w:rFonts w:ascii="宋体" w:hAnsi="宋体" w:cs="宋体"/>
          <w:sz w:val="24"/>
        </w:rPr>
      </w:pPr>
      <w:r>
        <w:rPr>
          <w:rFonts w:hint="eastAsia" w:ascii="宋体" w:hAnsi="宋体" w:cs="宋体"/>
          <w:sz w:val="24"/>
        </w:rPr>
        <w:t>本合同履行过程中发生争议，由双方当事人协商解决。协商不成的依法向甲方所在地的人民法院起诉。</w:t>
      </w:r>
    </w:p>
    <w:p>
      <w:pPr>
        <w:spacing w:line="360" w:lineRule="auto"/>
        <w:rPr>
          <w:rFonts w:ascii="宋体" w:hAnsi="宋体"/>
          <w:b/>
          <w:bCs/>
          <w:sz w:val="28"/>
          <w:szCs w:val="28"/>
        </w:rPr>
      </w:pPr>
      <w:r>
        <w:rPr>
          <w:rFonts w:hint="eastAsia" w:ascii="宋体" w:hAnsi="宋体"/>
          <w:b/>
          <w:bCs/>
          <w:sz w:val="28"/>
          <w:szCs w:val="28"/>
        </w:rPr>
        <w:t>第十条  合同生效及其他</w:t>
      </w:r>
    </w:p>
    <w:p>
      <w:pPr>
        <w:spacing w:line="360" w:lineRule="auto"/>
        <w:ind w:firstLine="480" w:firstLineChars="200"/>
        <w:rPr>
          <w:rFonts w:ascii="宋体" w:hAnsi="宋体"/>
          <w:sz w:val="24"/>
        </w:rPr>
      </w:pPr>
      <w:r>
        <w:rPr>
          <w:rFonts w:hint="eastAsia" w:ascii="宋体" w:hAnsi="宋体"/>
          <w:sz w:val="24"/>
          <w:lang w:val="en-US" w:eastAsia="zh-CN"/>
        </w:rPr>
        <w:t>10</w:t>
      </w:r>
      <w:r>
        <w:rPr>
          <w:rFonts w:hint="eastAsia" w:ascii="宋体" w:hAnsi="宋体"/>
          <w:sz w:val="24"/>
        </w:rPr>
        <w:t>.1 本合同自双方签字盖章之日起生效。</w:t>
      </w:r>
    </w:p>
    <w:p>
      <w:pPr>
        <w:spacing w:line="360" w:lineRule="auto"/>
        <w:ind w:firstLine="480" w:firstLineChars="200"/>
        <w:rPr>
          <w:rFonts w:ascii="宋体" w:hAnsi="宋体"/>
          <w:sz w:val="24"/>
        </w:rPr>
      </w:pPr>
      <w:r>
        <w:rPr>
          <w:rFonts w:hint="eastAsia" w:ascii="宋体" w:hAnsi="宋体"/>
          <w:sz w:val="24"/>
          <w:lang w:val="en-US" w:eastAsia="zh-CN"/>
        </w:rPr>
        <w:t>10</w:t>
      </w:r>
      <w:r>
        <w:rPr>
          <w:rFonts w:hint="eastAsia" w:ascii="宋体" w:hAnsi="宋体"/>
          <w:sz w:val="24"/>
        </w:rPr>
        <w:t>.2甲方委托乙方承担本合同内容以外的工作服务，需另行签订协议并支付费用。</w:t>
      </w:r>
    </w:p>
    <w:p>
      <w:pPr>
        <w:spacing w:line="360" w:lineRule="auto"/>
        <w:ind w:firstLine="480" w:firstLineChars="200"/>
        <w:rPr>
          <w:rFonts w:ascii="宋体" w:hAnsi="宋体"/>
          <w:sz w:val="24"/>
        </w:rPr>
      </w:pPr>
      <w:r>
        <w:rPr>
          <w:rFonts w:hint="eastAsia" w:ascii="宋体" w:hAnsi="宋体"/>
          <w:sz w:val="24"/>
          <w:lang w:val="en-US" w:eastAsia="zh-CN"/>
        </w:rPr>
        <w:t>10</w:t>
      </w:r>
      <w:r>
        <w:rPr>
          <w:rFonts w:hint="eastAsia" w:ascii="宋体" w:hAnsi="宋体"/>
          <w:sz w:val="24"/>
        </w:rPr>
        <w:t>.3由于不可抗力因素致使合同无法履行时，双方应及时协商解决。</w:t>
      </w:r>
    </w:p>
    <w:p>
      <w:pPr>
        <w:spacing w:line="360" w:lineRule="auto"/>
        <w:ind w:firstLine="480" w:firstLineChars="200"/>
        <w:rPr>
          <w:rFonts w:ascii="宋体" w:hAnsi="宋体"/>
          <w:sz w:val="24"/>
        </w:rPr>
      </w:pPr>
      <w:r>
        <w:rPr>
          <w:rFonts w:hint="eastAsia" w:ascii="宋体"/>
          <w:sz w:val="24"/>
          <w:lang w:val="en-US" w:eastAsia="zh-CN"/>
        </w:rPr>
        <w:t>10</w:t>
      </w:r>
      <w:r>
        <w:rPr>
          <w:rFonts w:hint="eastAsia" w:ascii="宋体"/>
          <w:sz w:val="24"/>
        </w:rPr>
        <w:t>.4本合同正本一式</w:t>
      </w:r>
      <w:r>
        <w:rPr>
          <w:rFonts w:hint="eastAsia" w:ascii="宋体"/>
          <w:sz w:val="24"/>
          <w:u w:val="single"/>
        </w:rPr>
        <w:t>贰</w:t>
      </w:r>
      <w:r>
        <w:rPr>
          <w:rFonts w:hint="eastAsia" w:ascii="宋体"/>
          <w:sz w:val="24"/>
        </w:rPr>
        <w:t>份，甲方执</w:t>
      </w:r>
      <w:r>
        <w:rPr>
          <w:rFonts w:hint="eastAsia" w:ascii="宋体"/>
          <w:sz w:val="24"/>
          <w:u w:val="single"/>
        </w:rPr>
        <w:t>壹</w:t>
      </w:r>
      <w:r>
        <w:rPr>
          <w:rFonts w:hint="eastAsia" w:ascii="宋体"/>
          <w:sz w:val="24"/>
        </w:rPr>
        <w:t>份，乙方执</w:t>
      </w:r>
      <w:r>
        <w:rPr>
          <w:rFonts w:hint="eastAsia" w:ascii="宋体"/>
          <w:sz w:val="24"/>
          <w:u w:val="single"/>
        </w:rPr>
        <w:t>壹</w:t>
      </w:r>
      <w:r>
        <w:rPr>
          <w:rFonts w:hint="eastAsia" w:ascii="宋体"/>
          <w:sz w:val="24"/>
        </w:rPr>
        <w:t>份；副本一式</w:t>
      </w:r>
      <w:r>
        <w:rPr>
          <w:rFonts w:hint="eastAsia" w:ascii="宋体"/>
          <w:sz w:val="24"/>
          <w:u w:val="single"/>
        </w:rPr>
        <w:t>捌</w:t>
      </w:r>
      <w:r>
        <w:rPr>
          <w:rFonts w:hint="eastAsia" w:ascii="宋体"/>
          <w:sz w:val="24"/>
        </w:rPr>
        <w:t>份，甲方执</w:t>
      </w:r>
      <w:r>
        <w:rPr>
          <w:rFonts w:hint="eastAsia" w:ascii="宋体"/>
          <w:sz w:val="24"/>
          <w:u w:val="single"/>
        </w:rPr>
        <w:t>伍</w:t>
      </w:r>
      <w:r>
        <w:rPr>
          <w:rFonts w:hint="eastAsia" w:ascii="宋体"/>
          <w:sz w:val="24"/>
        </w:rPr>
        <w:t>份，乙方执</w:t>
      </w:r>
      <w:r>
        <w:rPr>
          <w:rFonts w:hint="eastAsia" w:ascii="宋体"/>
          <w:sz w:val="24"/>
          <w:u w:val="single"/>
        </w:rPr>
        <w:t>叁</w:t>
      </w:r>
      <w:r>
        <w:rPr>
          <w:rFonts w:hint="eastAsia" w:ascii="宋体"/>
          <w:sz w:val="24"/>
        </w:rPr>
        <w:t>份，双方所执合同具同等法律效力（若正本与副本有差异，以正本为准。）</w:t>
      </w:r>
    </w:p>
    <w:p>
      <w:pPr>
        <w:spacing w:line="360" w:lineRule="auto"/>
        <w:ind w:firstLine="480" w:firstLineChars="200"/>
        <w:rPr>
          <w:rFonts w:ascii="宋体"/>
        </w:rPr>
      </w:pPr>
      <w:r>
        <w:rPr>
          <w:rFonts w:hint="eastAsia" w:ascii="宋体" w:hAnsi="宋体"/>
          <w:sz w:val="24"/>
          <w:lang w:val="en-US" w:eastAsia="zh-CN"/>
        </w:rPr>
        <w:t>10</w:t>
      </w:r>
      <w:r>
        <w:rPr>
          <w:rFonts w:hint="eastAsia" w:ascii="宋体" w:hAnsi="宋体"/>
          <w:sz w:val="24"/>
        </w:rPr>
        <w:t>.5双方履行完合同规定的义务后，本合同即行终止。</w:t>
      </w:r>
    </w:p>
    <w:p>
      <w:pPr>
        <w:spacing w:line="360" w:lineRule="auto"/>
        <w:rPr>
          <w:rFonts w:ascii="宋体" w:hAnsi="宋体"/>
          <w:sz w:val="24"/>
        </w:rPr>
      </w:pPr>
      <w:r>
        <w:rPr>
          <w:rFonts w:hint="eastAsia" w:ascii="宋体" w:hAnsi="宋体"/>
          <w:sz w:val="24"/>
        </w:rPr>
        <w:t xml:space="preserve">    </w:t>
      </w:r>
      <w:r>
        <w:rPr>
          <w:rFonts w:hint="eastAsia" w:ascii="宋体" w:hAnsi="宋体"/>
          <w:sz w:val="24"/>
          <w:lang w:val="en-US" w:eastAsia="zh-CN"/>
        </w:rPr>
        <w:t>10.</w:t>
      </w:r>
      <w:r>
        <w:rPr>
          <w:rFonts w:hint="eastAsia" w:ascii="宋体" w:hAnsi="宋体"/>
          <w:sz w:val="24"/>
        </w:rPr>
        <w:t>6双方认可的来往传真、会议纪要等，均为合同的组成部分，与本合同具有同等法律效力。</w:t>
      </w:r>
    </w:p>
    <w:p>
      <w:pPr>
        <w:spacing w:line="360" w:lineRule="auto"/>
        <w:ind w:firstLine="480" w:firstLineChars="200"/>
        <w:rPr>
          <w:rFonts w:ascii="宋体" w:hAnsi="宋体"/>
          <w:sz w:val="24"/>
        </w:rPr>
      </w:pPr>
      <w:r>
        <w:rPr>
          <w:rFonts w:hint="eastAsia" w:ascii="宋体" w:hAnsi="宋体"/>
          <w:sz w:val="24"/>
          <w:lang w:val="en-US" w:eastAsia="zh-CN"/>
        </w:rPr>
        <w:t>10.</w:t>
      </w:r>
      <w:r>
        <w:rPr>
          <w:rFonts w:hint="eastAsia" w:ascii="宋体" w:hAnsi="宋体"/>
          <w:sz w:val="24"/>
        </w:rPr>
        <w:t>7未尽事宜，双方协商一致，可签订补充协议，补充协议与本合同具有同等效力。</w:t>
      </w:r>
    </w:p>
    <w:p>
      <w:pPr>
        <w:pStyle w:val="13"/>
        <w:spacing w:line="360" w:lineRule="auto"/>
        <w:ind w:left="0" w:leftChars="0" w:firstLine="480" w:firstLineChars="200"/>
        <w:rPr>
          <w:rFonts w:ascii="宋体" w:hAnsi="宋体" w:cs="宋体"/>
          <w:sz w:val="24"/>
        </w:rPr>
      </w:pPr>
      <w:r>
        <w:rPr>
          <w:rFonts w:hint="eastAsia" w:ascii="宋体" w:hAnsi="宋体" w:cs="宋体"/>
          <w:sz w:val="24"/>
        </w:rPr>
        <w:t>13.</w:t>
      </w:r>
      <w:r>
        <w:rPr>
          <w:rFonts w:hint="eastAsia" w:ascii="宋体" w:hAnsi="宋体" w:cs="宋体"/>
          <w:sz w:val="24"/>
          <w:lang w:val="en-US" w:eastAsia="zh-CN"/>
        </w:rPr>
        <w:t>8</w:t>
      </w:r>
      <w:r>
        <w:rPr>
          <w:rFonts w:hint="eastAsia" w:ascii="宋体" w:hAnsi="宋体" w:cs="宋体"/>
          <w:sz w:val="24"/>
        </w:rPr>
        <w:t>本合同附件是合同不可分割的一部分，具有相同的法律效力，具体附件如下：</w:t>
      </w:r>
    </w:p>
    <w:p>
      <w:pPr>
        <w:pStyle w:val="13"/>
        <w:spacing w:line="360" w:lineRule="auto"/>
        <w:ind w:left="0" w:leftChars="0" w:firstLine="480" w:firstLineChars="200"/>
        <w:rPr>
          <w:rFonts w:ascii="宋体" w:hAnsi="宋体" w:cs="宋体"/>
          <w:sz w:val="24"/>
        </w:rPr>
      </w:pPr>
      <w:r>
        <w:rPr>
          <w:rFonts w:hint="eastAsia" w:ascii="宋体" w:hAnsi="宋体" w:cs="宋体"/>
          <w:sz w:val="24"/>
        </w:rPr>
        <w:t>附件1：发包通知书</w:t>
      </w:r>
    </w:p>
    <w:p>
      <w:pPr>
        <w:pStyle w:val="13"/>
        <w:spacing w:line="360" w:lineRule="auto"/>
        <w:ind w:left="0" w:leftChars="0" w:firstLine="480" w:firstLineChars="200"/>
        <w:rPr>
          <w:rFonts w:ascii="宋体" w:hAnsi="宋体" w:cs="宋体"/>
          <w:sz w:val="24"/>
        </w:rPr>
      </w:pPr>
      <w:r>
        <w:rPr>
          <w:rFonts w:hint="eastAsia" w:ascii="宋体" w:hAnsi="宋体" w:cs="宋体"/>
          <w:sz w:val="24"/>
        </w:rPr>
        <w:t>附件2：合同价款明细表</w:t>
      </w:r>
    </w:p>
    <w:p>
      <w:pPr>
        <w:pStyle w:val="13"/>
        <w:spacing w:line="360" w:lineRule="auto"/>
        <w:ind w:left="0" w:leftChars="0" w:firstLine="480" w:firstLineChars="200"/>
        <w:rPr>
          <w:rFonts w:ascii="宋体" w:hAnsi="宋体" w:cs="宋体"/>
          <w:sz w:val="24"/>
        </w:rPr>
      </w:pPr>
      <w:r>
        <w:rPr>
          <w:rFonts w:hint="eastAsia" w:ascii="宋体" w:hAnsi="宋体" w:cs="宋体"/>
          <w:sz w:val="24"/>
        </w:rPr>
        <w:t>附件3：廉洁协议</w:t>
      </w:r>
    </w:p>
    <w:p>
      <w:pPr>
        <w:pStyle w:val="13"/>
        <w:spacing w:line="360" w:lineRule="auto"/>
        <w:ind w:left="0" w:leftChars="0" w:firstLine="480" w:firstLineChars="200"/>
        <w:rPr>
          <w:rFonts w:ascii="宋体" w:hAnsi="宋体" w:cs="宋体"/>
          <w:sz w:val="24"/>
        </w:rPr>
      </w:pPr>
      <w:r>
        <w:rPr>
          <w:rFonts w:hint="eastAsia" w:ascii="宋体" w:hAnsi="宋体" w:cs="宋体"/>
          <w:sz w:val="24"/>
        </w:rPr>
        <w:t>附件4：安全协议书</w:t>
      </w:r>
    </w:p>
    <w:p>
      <w:pPr>
        <w:pStyle w:val="13"/>
        <w:spacing w:line="360" w:lineRule="auto"/>
        <w:ind w:left="0" w:leftChars="0" w:firstLine="480" w:firstLineChars="200"/>
        <w:rPr>
          <w:rFonts w:ascii="宋体" w:hAnsi="宋体" w:cs="宋体"/>
          <w:sz w:val="24"/>
        </w:rPr>
      </w:pPr>
      <w:r>
        <w:rPr>
          <w:rFonts w:hint="eastAsia" w:ascii="宋体" w:hAnsi="宋体" w:cs="宋体"/>
          <w:sz w:val="24"/>
        </w:rPr>
        <w:t>附件5：不诚信行为的情形及相应被暂停参与投标活动的处理标准</w:t>
      </w:r>
    </w:p>
    <w:p>
      <w:pPr>
        <w:pStyle w:val="13"/>
        <w:spacing w:line="360" w:lineRule="auto"/>
        <w:ind w:left="0" w:leftChars="0" w:firstLine="480" w:firstLineChars="200"/>
        <w:rPr>
          <w:rFonts w:ascii="宋体" w:hAnsi="宋体" w:cs="宋体"/>
          <w:sz w:val="24"/>
        </w:rPr>
      </w:pPr>
      <w:r>
        <w:rPr>
          <w:rFonts w:hint="eastAsia" w:ascii="宋体" w:hAnsi="宋体" w:cs="宋体"/>
          <w:sz w:val="24"/>
        </w:rPr>
        <w:t>附件6：防疫管理协议书</w:t>
      </w:r>
    </w:p>
    <w:p>
      <w:pPr>
        <w:pStyle w:val="13"/>
        <w:spacing w:line="360" w:lineRule="auto"/>
        <w:ind w:left="465" w:leftChars="50" w:hanging="360" w:hangingChars="150"/>
        <w:rPr>
          <w:rFonts w:ascii="宋体" w:hAnsi="宋体" w:cs="宋体"/>
          <w:sz w:val="24"/>
        </w:rPr>
      </w:pPr>
      <w:r>
        <w:rPr>
          <w:rFonts w:hint="eastAsia" w:ascii="宋体" w:hAnsi="宋体" w:cs="宋体"/>
          <w:sz w:val="24"/>
        </w:rPr>
        <w:t>（以下无正文）</w:t>
      </w:r>
    </w:p>
    <w:p>
      <w:pPr>
        <w:spacing w:after="160" w:line="460" w:lineRule="exact"/>
        <w:ind w:firstLine="638" w:firstLineChars="266"/>
        <w:rPr>
          <w:rFonts w:ascii="宋体" w:hAnsi="宋体" w:cs="宋体"/>
          <w:sz w:val="24"/>
        </w:rPr>
      </w:pPr>
    </w:p>
    <w:p>
      <w:pPr>
        <w:pStyle w:val="28"/>
      </w:pPr>
    </w:p>
    <w:tbl>
      <w:tblPr>
        <w:tblStyle w:val="22"/>
        <w:tblW w:w="0" w:type="auto"/>
        <w:jc w:val="center"/>
        <w:tblLayout w:type="fixed"/>
        <w:tblCellMar>
          <w:top w:w="0" w:type="dxa"/>
          <w:left w:w="28" w:type="dxa"/>
          <w:bottom w:w="0" w:type="dxa"/>
          <w:right w:w="28" w:type="dxa"/>
        </w:tblCellMar>
      </w:tblPr>
      <w:tblGrid>
        <w:gridCol w:w="4134"/>
        <w:gridCol w:w="5033"/>
      </w:tblGrid>
      <w:tr>
        <w:tblPrEx>
          <w:tblCellMar>
            <w:top w:w="0" w:type="dxa"/>
            <w:left w:w="28" w:type="dxa"/>
            <w:bottom w:w="0" w:type="dxa"/>
            <w:right w:w="28" w:type="dxa"/>
          </w:tblCellMar>
        </w:tblPrEx>
        <w:trPr>
          <w:trHeight w:val="310" w:hRule="atLeast"/>
          <w:jc w:val="center"/>
        </w:trPr>
        <w:tc>
          <w:tcPr>
            <w:tcW w:w="4134" w:type="dxa"/>
          </w:tcPr>
          <w:p>
            <w:pPr>
              <w:spacing w:line="360" w:lineRule="auto"/>
              <w:rPr>
                <w:rFonts w:ascii="宋体" w:hAnsi="宋体" w:cs="宋体"/>
                <w:sz w:val="24"/>
              </w:rPr>
            </w:pPr>
            <w:r>
              <w:rPr>
                <w:rFonts w:hint="eastAsia" w:ascii="宋体" w:hAnsi="宋体" w:cs="宋体"/>
                <w:sz w:val="24"/>
              </w:rPr>
              <w:t>甲方：</w:t>
            </w:r>
          </w:p>
        </w:tc>
        <w:tc>
          <w:tcPr>
            <w:tcW w:w="5033" w:type="dxa"/>
          </w:tcPr>
          <w:p>
            <w:pPr>
              <w:spacing w:line="360" w:lineRule="auto"/>
              <w:rPr>
                <w:rFonts w:ascii="宋体" w:hAnsi="宋体" w:cs="宋体"/>
                <w:sz w:val="24"/>
              </w:rPr>
            </w:pPr>
            <w:r>
              <w:rPr>
                <w:rFonts w:hint="eastAsia" w:ascii="宋体" w:hAnsi="宋体" w:cs="宋体"/>
                <w:sz w:val="24"/>
              </w:rPr>
              <w:t>乙方：</w:t>
            </w:r>
          </w:p>
        </w:tc>
      </w:tr>
      <w:tr>
        <w:tblPrEx>
          <w:tblCellMar>
            <w:top w:w="0" w:type="dxa"/>
            <w:left w:w="28" w:type="dxa"/>
            <w:bottom w:w="0" w:type="dxa"/>
            <w:right w:w="28" w:type="dxa"/>
          </w:tblCellMar>
        </w:tblPrEx>
        <w:trPr>
          <w:trHeight w:val="620"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（盖章）</w:t>
            </w:r>
          </w:p>
          <w:p>
            <w:pPr>
              <w:spacing w:line="360" w:lineRule="auto"/>
              <w:rPr>
                <w:rFonts w:ascii="宋体" w:hAnsi="宋体" w:cs="宋体"/>
                <w:sz w:val="24"/>
              </w:rPr>
            </w:pPr>
          </w:p>
        </w:tc>
        <w:tc>
          <w:tcPr>
            <w:tcW w:w="5033" w:type="dxa"/>
          </w:tcPr>
          <w:p>
            <w:pPr>
              <w:spacing w:line="360" w:lineRule="auto"/>
              <w:rPr>
                <w:rFonts w:ascii="宋体" w:hAnsi="宋体" w:cs="宋体"/>
                <w:sz w:val="24"/>
              </w:rPr>
            </w:pPr>
            <w:r>
              <w:rPr>
                <w:rFonts w:hint="eastAsia" w:ascii="宋体" w:hAnsi="宋体" w:cs="宋体"/>
                <w:sz w:val="24"/>
              </w:rPr>
              <w:t>（盖章）</w:t>
            </w:r>
          </w:p>
          <w:p>
            <w:pPr>
              <w:spacing w:line="360" w:lineRule="auto"/>
              <w:rPr>
                <w:rFonts w:ascii="宋体" w:hAnsi="宋体" w:cs="宋体"/>
                <w:sz w:val="24"/>
              </w:rPr>
            </w:pPr>
          </w:p>
        </w:tc>
      </w:tr>
      <w:tr>
        <w:tblPrEx>
          <w:tblCellMar>
            <w:top w:w="0" w:type="dxa"/>
            <w:left w:w="28" w:type="dxa"/>
            <w:bottom w:w="0" w:type="dxa"/>
            <w:right w:w="28" w:type="dxa"/>
          </w:tblCellMar>
        </w:tblPrEx>
        <w:trPr>
          <w:trHeight w:val="930"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法定代表人/授权代理人：</w:t>
            </w:r>
          </w:p>
          <w:p>
            <w:pPr>
              <w:spacing w:line="360" w:lineRule="auto"/>
              <w:rPr>
                <w:rFonts w:ascii="宋体" w:hAnsi="宋体" w:cs="宋体"/>
                <w:sz w:val="24"/>
              </w:rPr>
            </w:pPr>
          </w:p>
        </w:tc>
        <w:tc>
          <w:tcPr>
            <w:tcW w:w="5033" w:type="dxa"/>
          </w:tcPr>
          <w:p>
            <w:pPr>
              <w:spacing w:line="360" w:lineRule="auto"/>
              <w:rPr>
                <w:rFonts w:ascii="宋体" w:hAnsi="宋体" w:cs="宋体"/>
                <w:sz w:val="24"/>
              </w:rPr>
            </w:pPr>
            <w:r>
              <w:rPr>
                <w:rFonts w:hint="eastAsia" w:ascii="宋体" w:hAnsi="宋体" w:cs="宋体"/>
                <w:sz w:val="24"/>
              </w:rPr>
              <w:t>法定代表人/授权代理人：</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联系人：</w:t>
            </w:r>
          </w:p>
        </w:tc>
        <w:tc>
          <w:tcPr>
            <w:tcW w:w="5033" w:type="dxa"/>
          </w:tcPr>
          <w:p>
            <w:pPr>
              <w:spacing w:line="360" w:lineRule="auto"/>
              <w:rPr>
                <w:rFonts w:ascii="宋体" w:hAnsi="宋体" w:cs="宋体"/>
                <w:sz w:val="24"/>
              </w:rPr>
            </w:pPr>
            <w:r>
              <w:rPr>
                <w:rFonts w:hint="eastAsia" w:ascii="宋体" w:hAnsi="宋体" w:cs="宋体"/>
                <w:sz w:val="24"/>
              </w:rPr>
              <w:t>联系人：</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地址：</w:t>
            </w:r>
          </w:p>
        </w:tc>
        <w:tc>
          <w:tcPr>
            <w:tcW w:w="5033" w:type="dxa"/>
          </w:tcPr>
          <w:p>
            <w:pPr>
              <w:spacing w:line="360" w:lineRule="auto"/>
              <w:rPr>
                <w:rFonts w:ascii="宋体" w:hAnsi="宋体" w:cs="宋体"/>
                <w:sz w:val="24"/>
              </w:rPr>
            </w:pPr>
            <w:r>
              <w:rPr>
                <w:rFonts w:hint="eastAsia" w:ascii="宋体" w:hAnsi="宋体" w:cs="宋体"/>
                <w:sz w:val="24"/>
              </w:rPr>
              <w:t>地址：</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邮政编码：</w:t>
            </w:r>
          </w:p>
        </w:tc>
        <w:tc>
          <w:tcPr>
            <w:tcW w:w="5033" w:type="dxa"/>
          </w:tcPr>
          <w:p>
            <w:pPr>
              <w:spacing w:line="360" w:lineRule="auto"/>
              <w:rPr>
                <w:rFonts w:ascii="宋体" w:hAnsi="宋体" w:cs="宋体"/>
                <w:sz w:val="24"/>
              </w:rPr>
            </w:pPr>
            <w:r>
              <w:rPr>
                <w:rFonts w:hint="eastAsia" w:ascii="宋体" w:hAnsi="宋体" w:cs="宋体"/>
                <w:sz w:val="24"/>
              </w:rPr>
              <w:t>邮政编码：</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电话：</w:t>
            </w:r>
          </w:p>
        </w:tc>
        <w:tc>
          <w:tcPr>
            <w:tcW w:w="5033" w:type="dxa"/>
          </w:tcPr>
          <w:p>
            <w:pPr>
              <w:spacing w:line="360" w:lineRule="auto"/>
              <w:rPr>
                <w:rFonts w:ascii="宋体" w:hAnsi="宋体" w:cs="宋体"/>
                <w:sz w:val="24"/>
              </w:rPr>
            </w:pPr>
            <w:r>
              <w:rPr>
                <w:rFonts w:hint="eastAsia" w:ascii="宋体" w:hAnsi="宋体" w:cs="宋体"/>
                <w:sz w:val="24"/>
              </w:rPr>
              <w:t>电话：</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sz w:val="24"/>
              </w:rPr>
            </w:pPr>
          </w:p>
        </w:tc>
        <w:tc>
          <w:tcPr>
            <w:tcW w:w="5033" w:type="dxa"/>
          </w:tcPr>
          <w:p>
            <w:pPr>
              <w:spacing w:line="360" w:lineRule="auto"/>
              <w:rPr>
                <w:rFonts w:ascii="宋体" w:hAnsi="宋体" w:cs="宋体"/>
                <w:sz w:val="24"/>
              </w:rPr>
            </w:pPr>
            <w:r>
              <w:rPr>
                <w:rFonts w:hint="eastAsia" w:ascii="宋体" w:hAnsi="宋体" w:cs="宋体"/>
                <w:sz w:val="24"/>
              </w:rPr>
              <w:t>开户行：</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sz w:val="24"/>
              </w:rPr>
            </w:pPr>
          </w:p>
        </w:tc>
        <w:tc>
          <w:tcPr>
            <w:tcW w:w="5033" w:type="dxa"/>
          </w:tcPr>
          <w:p>
            <w:pPr>
              <w:spacing w:line="360" w:lineRule="auto"/>
              <w:rPr>
                <w:rFonts w:ascii="宋体" w:hAnsi="宋体" w:cs="宋体"/>
                <w:sz w:val="24"/>
              </w:rPr>
            </w:pPr>
            <w:r>
              <w:rPr>
                <w:rFonts w:hint="eastAsia" w:ascii="宋体" w:hAnsi="宋体" w:cs="宋体"/>
                <w:sz w:val="24"/>
              </w:rPr>
              <w:t>账号：</w:t>
            </w:r>
          </w:p>
        </w:tc>
      </w:tr>
      <w:tr>
        <w:tblPrEx>
          <w:tblCellMar>
            <w:top w:w="0" w:type="dxa"/>
            <w:left w:w="28" w:type="dxa"/>
            <w:bottom w:w="0" w:type="dxa"/>
            <w:right w:w="28" w:type="dxa"/>
          </w:tblCellMar>
        </w:tblPrEx>
        <w:trPr>
          <w:trHeight w:val="414" w:hRule="atLeast"/>
          <w:jc w:val="center"/>
        </w:trPr>
        <w:tc>
          <w:tcPr>
            <w:tcW w:w="4134" w:type="dxa"/>
            <w:vAlign w:val="center"/>
          </w:tcPr>
          <w:p>
            <w:pPr>
              <w:spacing w:line="360" w:lineRule="auto"/>
              <w:rPr>
                <w:rFonts w:ascii="宋体" w:hAnsi="宋体" w:cs="宋体"/>
                <w:sz w:val="24"/>
              </w:rPr>
            </w:pPr>
            <w:r>
              <w:rPr>
                <w:rFonts w:hint="eastAsia" w:ascii="宋体" w:hAnsi="宋体" w:cs="宋体"/>
                <w:sz w:val="24"/>
              </w:rPr>
              <w:t>签定日期：20年 月 日</w:t>
            </w:r>
          </w:p>
        </w:tc>
        <w:tc>
          <w:tcPr>
            <w:tcW w:w="5033" w:type="dxa"/>
          </w:tcPr>
          <w:p>
            <w:pPr>
              <w:spacing w:line="360" w:lineRule="auto"/>
              <w:rPr>
                <w:rFonts w:ascii="宋体" w:hAnsi="宋体" w:cs="宋体"/>
                <w:sz w:val="24"/>
              </w:rPr>
            </w:pPr>
            <w:r>
              <w:rPr>
                <w:rFonts w:hint="eastAsia" w:ascii="宋体" w:hAnsi="宋体" w:cs="宋体"/>
                <w:sz w:val="24"/>
              </w:rPr>
              <w:t>签定日期：20年 月 日</w:t>
            </w:r>
          </w:p>
        </w:tc>
      </w:tr>
    </w:tbl>
    <w:p>
      <w:pPr>
        <w:pStyle w:val="28"/>
        <w:rPr>
          <w:rFonts w:hAnsi="宋体" w:eastAsiaTheme="minorEastAsia"/>
          <w:b/>
          <w:bCs/>
          <w:color w:val="auto"/>
          <w:kern w:val="2"/>
          <w:sz w:val="21"/>
          <w:szCs w:val="21"/>
        </w:rPr>
      </w:pPr>
      <w:r>
        <w:rPr>
          <w:rFonts w:hint="eastAsia" w:hAnsi="宋体" w:eastAsiaTheme="minorEastAsia"/>
          <w:b/>
          <w:bCs/>
          <w:color w:val="auto"/>
          <w:kern w:val="2"/>
          <w:sz w:val="21"/>
          <w:szCs w:val="21"/>
        </w:rPr>
        <w:t>附件1 发包通知书</w:t>
      </w:r>
    </w:p>
    <w:p>
      <w:pPr>
        <w:pStyle w:val="28"/>
        <w:rPr>
          <w:rFonts w:hAnsi="宋体" w:eastAsiaTheme="minorEastAsia"/>
          <w:b/>
          <w:bCs/>
          <w:color w:val="auto"/>
          <w:kern w:val="2"/>
          <w:sz w:val="21"/>
          <w:szCs w:val="21"/>
        </w:rPr>
      </w:pPr>
      <w:r>
        <w:rPr>
          <w:rFonts w:hint="eastAsia" w:hAnsi="宋体" w:eastAsiaTheme="minorEastAsia"/>
          <w:b/>
          <w:bCs/>
          <w:color w:val="auto"/>
          <w:kern w:val="2"/>
          <w:sz w:val="21"/>
          <w:szCs w:val="21"/>
        </w:rPr>
        <w:t>附件2 合同价款明细表</w:t>
      </w:r>
    </w:p>
    <w:p>
      <w:pPr>
        <w:pStyle w:val="28"/>
        <w:rPr>
          <w:rFonts w:hAnsi="宋体" w:eastAsiaTheme="minorEastAsia"/>
          <w:b/>
          <w:bCs/>
          <w:color w:val="auto"/>
          <w:kern w:val="2"/>
          <w:sz w:val="21"/>
          <w:szCs w:val="21"/>
        </w:rPr>
      </w:pPr>
      <w:r>
        <w:rPr>
          <w:rFonts w:hint="eastAsia" w:hAnsi="宋体" w:eastAsiaTheme="minorEastAsia"/>
          <w:b/>
          <w:bCs/>
          <w:color w:val="auto"/>
          <w:kern w:val="2"/>
          <w:sz w:val="21"/>
          <w:szCs w:val="21"/>
        </w:rPr>
        <w:t>附件3 廉洁协议</w:t>
      </w:r>
    </w:p>
    <w:p>
      <w:pPr>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广州市净水公司</w:t>
      </w:r>
      <w:r>
        <w:rPr>
          <w:rFonts w:hint="eastAsia" w:ascii="仿宋_GB2312" w:hAnsi="仿宋_GB2312" w:eastAsia="仿宋_GB2312" w:cs="仿宋_GB2312"/>
          <w:bCs/>
          <w:sz w:val="28"/>
          <w:szCs w:val="28"/>
          <w:u w:val="single"/>
          <w:lang w:eastAsia="zh-CN"/>
        </w:rPr>
        <w:t>旧</w:t>
      </w:r>
      <w:r>
        <w:rPr>
          <w:rFonts w:hint="eastAsia" w:ascii="仿宋_GB2312" w:hAnsi="仿宋_GB2312" w:eastAsia="仿宋_GB2312" w:cs="仿宋_GB2312"/>
          <w:bCs/>
          <w:sz w:val="28"/>
          <w:szCs w:val="28"/>
          <w:u w:val="single"/>
        </w:rPr>
        <w:t>厂区消防安全评估项目合同</w:t>
      </w:r>
      <w:r>
        <w:rPr>
          <w:rFonts w:hint="eastAsia" w:ascii="仿宋_GB2312" w:hAnsi="仿宋_GB2312" w:eastAsia="仿宋_GB2312" w:cs="仿宋_GB2312"/>
          <w:bCs/>
          <w:sz w:val="28"/>
          <w:szCs w:val="28"/>
        </w:rPr>
        <w:t>（以下简称：主合同），自觉履行合同约定的相关义务。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3"/>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19"/>
        <w:widowControl/>
        <w:spacing w:beforeAutospacing="0"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9"/>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19"/>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19"/>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19"/>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19"/>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19"/>
        <w:widowControl/>
        <w:spacing w:beforeAutospacing="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19"/>
        <w:widowControl/>
        <w:spacing w:beforeAutospacing="0"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广州市净水公司</w:t>
      </w:r>
      <w:r>
        <w:rPr>
          <w:rFonts w:hint="eastAsia" w:ascii="仿宋_GB2312" w:hAnsi="仿宋_GB2312" w:eastAsia="仿宋_GB2312" w:cs="仿宋_GB2312"/>
          <w:bCs/>
          <w:sz w:val="28"/>
          <w:szCs w:val="28"/>
          <w:u w:val="single"/>
          <w:lang w:eastAsia="zh-CN"/>
        </w:rPr>
        <w:t>旧</w:t>
      </w:r>
      <w:r>
        <w:rPr>
          <w:rFonts w:hint="eastAsia" w:ascii="仿宋_GB2312" w:hAnsi="仿宋_GB2312" w:eastAsia="仿宋_GB2312" w:cs="仿宋_GB2312"/>
          <w:bCs/>
          <w:sz w:val="28"/>
          <w:szCs w:val="28"/>
          <w:u w:val="single"/>
        </w:rPr>
        <w:t>厂区消防安全评估项目合同（穗净水合[20]    号）</w:t>
      </w:r>
      <w:r>
        <w:rPr>
          <w:rFonts w:hint="eastAsia" w:ascii="仿宋_GB2312" w:hAnsi="仿宋_GB2312" w:eastAsia="仿宋_GB2312" w:cs="仿宋_GB2312"/>
          <w:bCs/>
          <w:sz w:val="28"/>
          <w:szCs w:val="28"/>
        </w:rPr>
        <w:t>的附件，并具有同等的法律效力，本协议自双方签字盖章之日起生效，与主合同同时终止。</w:t>
      </w: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6"/>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日期:20年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 xml:space="preserve">     日期：20年  月  日</w:t>
      </w:r>
    </w:p>
    <w:p>
      <w:pPr>
        <w:widowControl/>
        <w:rPr>
          <w:rFonts w:ascii="Cambria" w:hAnsi="Cambria"/>
          <w:b/>
          <w:bCs/>
          <w:sz w:val="32"/>
          <w:szCs w:val="32"/>
        </w:rPr>
      </w:pPr>
      <w:r>
        <w:rPr>
          <w:rFonts w:ascii="Cambria" w:hAnsi="Cambria"/>
          <w:b/>
          <w:bCs/>
          <w:sz w:val="32"/>
          <w:szCs w:val="32"/>
        </w:rPr>
        <w:br w:type="page"/>
      </w:r>
    </w:p>
    <w:p>
      <w:pPr>
        <w:adjustRightInd w:val="0"/>
        <w:snapToGrid w:val="0"/>
        <w:spacing w:after="160" w:line="360" w:lineRule="auto"/>
        <w:rPr>
          <w:rFonts w:ascii="宋体" w:hAnsi="宋体"/>
          <w:b/>
          <w:color w:val="000000" w:themeColor="text1"/>
          <w:sz w:val="32"/>
          <w:szCs w:val="32"/>
          <w14:textFill>
            <w14:solidFill>
              <w14:schemeClr w14:val="tx1"/>
            </w14:solidFill>
          </w14:textFill>
        </w:rPr>
      </w:pPr>
      <w:r>
        <w:rPr>
          <w:rFonts w:hint="eastAsia" w:ascii="宋体" w:hAnsi="宋体" w:cs="宋体"/>
          <w:b/>
          <w:bCs/>
          <w:szCs w:val="21"/>
        </w:rPr>
        <w:t>附件4安全协议书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hint="default" w:ascii="宋体" w:hAnsi="宋体" w:cs="Arial" w:eastAsiaTheme="minorEastAsia"/>
          <w:kern w:val="0"/>
          <w:sz w:val="24"/>
          <w:lang w:val="en-US" w:eastAsia="zh-CN"/>
        </w:rPr>
      </w:pPr>
      <w:r>
        <w:rPr>
          <w:rFonts w:hint="eastAsia" w:ascii="宋体" w:hAnsi="宋体" w:cs="Arial"/>
          <w:kern w:val="0"/>
          <w:sz w:val="24"/>
        </w:rPr>
        <w:t>甲方：</w:t>
      </w:r>
      <w:r>
        <w:rPr>
          <w:rFonts w:hint="eastAsia"/>
          <w:sz w:val="24"/>
        </w:rPr>
        <w:t>广州市净水有限公司</w:t>
      </w:r>
      <w:r>
        <w:rPr>
          <w:rFonts w:hint="eastAsia"/>
          <w:sz w:val="24"/>
          <w:lang w:val="en-US" w:eastAsia="zh-CN"/>
        </w:rPr>
        <w:t xml:space="preserve"> </w:t>
      </w:r>
    </w:p>
    <w:p>
      <w:pPr>
        <w:spacing w:line="560" w:lineRule="exact"/>
        <w:rPr>
          <w:rFonts w:ascii="宋体" w:hAnsi="宋体" w:cs="Arial"/>
          <w:kern w:val="0"/>
          <w:sz w:val="24"/>
        </w:rPr>
      </w:pPr>
      <w:r>
        <w:rPr>
          <w:rFonts w:hint="eastAsia" w:ascii="宋体" w:hAnsi="宋体" w:cs="Arial"/>
          <w:kern w:val="0"/>
          <w:sz w:val="24"/>
        </w:rPr>
        <w:t>乙方：</w:t>
      </w:r>
    </w:p>
    <w:p>
      <w:pPr>
        <w:adjustRightInd w:val="0"/>
        <w:snapToGrid w:val="0"/>
        <w:spacing w:line="560" w:lineRule="exact"/>
        <w:jc w:val="left"/>
        <w:rPr>
          <w:rStyle w:val="25"/>
          <w:rFonts w:ascii="宋体" w:hAnsi="宋体"/>
          <w:b w:val="0"/>
          <w:u w:val="single"/>
        </w:rPr>
      </w:pPr>
    </w:p>
    <w:p>
      <w:pPr>
        <w:adjustRightInd w:val="0"/>
        <w:snapToGrid w:val="0"/>
        <w:spacing w:line="560" w:lineRule="exact"/>
        <w:ind w:firstLine="480" w:firstLineChars="200"/>
        <w:jc w:val="left"/>
        <w:rPr>
          <w:rFonts w:ascii="宋体" w:hAnsi="宋体"/>
          <w:sz w:val="24"/>
        </w:rPr>
      </w:pPr>
      <w:r>
        <w:rPr>
          <w:rFonts w:hint="eastAsia" w:ascii="宋体" w:hAnsi="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一、本协议与主合同的关系</w:t>
      </w:r>
    </w:p>
    <w:p>
      <w:pPr>
        <w:adjustRightInd w:val="0"/>
        <w:snapToGrid w:val="0"/>
        <w:spacing w:line="560" w:lineRule="exact"/>
        <w:ind w:firstLine="480" w:firstLineChars="200"/>
        <w:jc w:val="left"/>
        <w:rPr>
          <w:rFonts w:ascii="宋体" w:hAnsi="宋体"/>
          <w:sz w:val="24"/>
        </w:rPr>
      </w:pPr>
      <w:r>
        <w:rPr>
          <w:rFonts w:hint="eastAsia" w:ascii="宋体" w:hAnsi="宋体"/>
          <w:sz w:val="24"/>
        </w:rPr>
        <w:t>本协议作为广州市净水公司消防安全评估项目合同的组成部分，与主合同具有同等法律。</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二、甲方权责</w:t>
      </w:r>
    </w:p>
    <w:p>
      <w:pPr>
        <w:adjustRightInd w:val="0"/>
        <w:snapToGrid w:val="0"/>
        <w:spacing w:line="560" w:lineRule="exact"/>
        <w:ind w:firstLine="480" w:firstLineChars="200"/>
        <w:jc w:val="left"/>
        <w:rPr>
          <w:rFonts w:ascii="宋体" w:hAnsi="宋体"/>
          <w:sz w:val="24"/>
        </w:rPr>
      </w:pPr>
      <w:r>
        <w:rPr>
          <w:rFonts w:hint="eastAsia" w:ascii="宋体" w:hAnsi="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三、乙方权责</w:t>
      </w:r>
    </w:p>
    <w:p>
      <w:pPr>
        <w:adjustRightInd w:val="0"/>
        <w:snapToGrid w:val="0"/>
        <w:spacing w:line="560" w:lineRule="exact"/>
        <w:ind w:firstLine="480" w:firstLineChars="200"/>
        <w:jc w:val="left"/>
        <w:rPr>
          <w:rFonts w:ascii="宋体" w:hAnsi="宋体"/>
          <w:sz w:val="24"/>
        </w:rPr>
      </w:pPr>
      <w:r>
        <w:rPr>
          <w:rFonts w:hint="eastAsia" w:ascii="宋体" w:hAnsi="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rPr>
      </w:pPr>
      <w:r>
        <w:rPr>
          <w:rFonts w:hint="eastAsia" w:ascii="宋体" w:hAnsi="宋体"/>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sz w:val="24"/>
        </w:rPr>
      </w:pPr>
      <w:r>
        <w:rPr>
          <w:rFonts w:hint="eastAsia" w:ascii="宋体" w:hAnsi="宋体"/>
          <w:sz w:val="24"/>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（四）遵守甲方制定的安全管理要求。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（五）配合甲方的安全监督检查，并立即对提出的问题隐患进行整改。</w:t>
      </w:r>
    </w:p>
    <w:p>
      <w:pPr>
        <w:adjustRightInd w:val="0"/>
        <w:snapToGrid w:val="0"/>
        <w:spacing w:line="560" w:lineRule="exact"/>
        <w:ind w:firstLine="480" w:firstLineChars="200"/>
        <w:jc w:val="left"/>
        <w:rPr>
          <w:rFonts w:ascii="宋体" w:hAnsi="宋体"/>
          <w:sz w:val="24"/>
        </w:rPr>
      </w:pPr>
      <w:r>
        <w:rPr>
          <w:rFonts w:hint="eastAsia" w:ascii="宋体" w:hAnsi="宋体"/>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sz w:val="24"/>
        </w:rPr>
      </w:pPr>
      <w:r>
        <w:rPr>
          <w:rFonts w:hint="eastAsia" w:ascii="宋体" w:hAnsi="宋体"/>
          <w:sz w:val="24"/>
        </w:rPr>
        <w:t>（七）乙方聘请、委托的个人或单位，违反本协议的，全部责任均由乙方承担。</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四、事故责任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sz w:val="24"/>
        </w:rPr>
      </w:pPr>
      <w:r>
        <w:rPr>
          <w:rFonts w:hint="eastAsia" w:ascii="宋体" w:hAnsi="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sz w:val="24"/>
        </w:rPr>
      </w:pPr>
      <w:r>
        <w:rPr>
          <w:rFonts w:hint="eastAsia" w:ascii="宋体" w:hAnsi="宋体"/>
          <w:sz w:val="24"/>
        </w:rPr>
        <w:t>（七）委托的第三方运输单位或个人，违反本协议的，全部责任均由乙方承担。</w:t>
      </w:r>
    </w:p>
    <w:p>
      <w:pPr>
        <w:pStyle w:val="48"/>
        <w:spacing w:line="560" w:lineRule="exact"/>
        <w:ind w:firstLine="482" w:firstLineChars="200"/>
        <w:rPr>
          <w:rFonts w:ascii="宋体" w:hAnsi="宋体"/>
          <w:sz w:val="24"/>
        </w:rPr>
      </w:pPr>
      <w:r>
        <w:rPr>
          <w:rFonts w:hint="eastAsia" w:ascii="宋体" w:hAnsi="宋体"/>
          <w:b/>
          <w:sz w:val="24"/>
        </w:rPr>
        <w:t>五、补充条款：</w:t>
      </w:r>
      <w:r>
        <w:rPr>
          <w:rFonts w:hint="eastAsia" w:ascii="宋体" w:hAnsi="宋体"/>
          <w:sz w:val="24"/>
          <w:u w:val="single"/>
        </w:rPr>
        <w:t xml:space="preserve"> 无 </w:t>
      </w:r>
      <w:r>
        <w:rPr>
          <w:rFonts w:hint="eastAsia" w:ascii="宋体" w:hAnsi="宋体"/>
          <w:sz w:val="24"/>
        </w:rPr>
        <w:t>。</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六、附则</w:t>
      </w:r>
    </w:p>
    <w:p>
      <w:pPr>
        <w:adjustRightInd w:val="0"/>
        <w:snapToGrid w:val="0"/>
        <w:spacing w:line="560" w:lineRule="exact"/>
        <w:ind w:firstLine="480" w:firstLineChars="200"/>
        <w:jc w:val="left"/>
        <w:rPr>
          <w:rFonts w:ascii="宋体" w:hAns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after="160" w:line="360" w:lineRule="auto"/>
        <w:ind w:firstLine="480" w:firstLineChars="200"/>
        <w:rPr>
          <w:rFonts w:ascii="宋体" w:hAnsi="宋体"/>
          <w:color w:val="000000" w:themeColor="text1"/>
          <w:sz w:val="24"/>
          <w14:textFill>
            <w14:solidFill>
              <w14:schemeClr w14:val="tx1"/>
            </w14:solidFill>
          </w14:textFill>
        </w:rPr>
      </w:pPr>
    </w:p>
    <w:tbl>
      <w:tblPr>
        <w:tblStyle w:val="22"/>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tcPr>
          <w:p>
            <w:pPr>
              <w:adjustRightInd w:val="0"/>
              <w:snapToGrid w:val="0"/>
              <w:spacing w:line="560" w:lineRule="exact"/>
              <w:rPr>
                <w:rFonts w:ascii="宋体" w:hAnsi="宋体"/>
                <w:sz w:val="24"/>
              </w:rPr>
            </w:pPr>
            <w:r>
              <w:rPr>
                <w:rFonts w:hint="eastAsia" w:ascii="宋体" w:hAnsi="宋体"/>
                <w:sz w:val="24"/>
              </w:rPr>
              <w:t>甲方：广州市净水有限公司</w:t>
            </w:r>
          </w:p>
          <w:p>
            <w:pPr>
              <w:adjustRightInd w:val="0"/>
              <w:snapToGrid w:val="0"/>
              <w:spacing w:line="560" w:lineRule="exact"/>
              <w:rPr>
                <w:rFonts w:ascii="宋体" w:hAnsi="宋体"/>
                <w:sz w:val="24"/>
              </w:rPr>
            </w:pPr>
            <w:r>
              <w:rPr>
                <w:rFonts w:hint="eastAsia" w:ascii="宋体" w:hAnsi="宋体"/>
                <w:sz w:val="24"/>
              </w:rPr>
              <w:t>签约代表：</w:t>
            </w:r>
          </w:p>
          <w:p>
            <w:pPr>
              <w:adjustRightInd w:val="0"/>
              <w:snapToGrid w:val="0"/>
              <w:spacing w:line="560" w:lineRule="exact"/>
              <w:rPr>
                <w:rFonts w:ascii="宋体" w:hAnsi="宋体"/>
                <w:sz w:val="24"/>
              </w:rPr>
            </w:pPr>
            <w:r>
              <w:rPr>
                <w:rFonts w:hint="eastAsia" w:ascii="宋体" w:hAnsi="宋体"/>
                <w:sz w:val="24"/>
              </w:rPr>
              <w:t>联系电话：38890463</w:t>
            </w:r>
          </w:p>
          <w:p>
            <w:pPr>
              <w:adjustRightInd w:val="0"/>
              <w:snapToGrid w:val="0"/>
              <w:spacing w:line="560" w:lineRule="exact"/>
              <w:ind w:firstLine="240" w:firstLineChars="100"/>
              <w:jc w:val="right"/>
              <w:rPr>
                <w:rFonts w:ascii="宋体" w:hAnsi="宋体"/>
                <w:sz w:val="24"/>
              </w:rPr>
            </w:pPr>
            <w:r>
              <w:rPr>
                <w:rFonts w:hint="eastAsia" w:ascii="宋体" w:hAnsi="宋体"/>
                <w:sz w:val="24"/>
              </w:rPr>
              <w:t>20年  月  日</w:t>
            </w:r>
          </w:p>
        </w:tc>
        <w:tc>
          <w:tcPr>
            <w:tcW w:w="4474" w:type="dxa"/>
            <w:noWrap/>
          </w:tcPr>
          <w:p>
            <w:pPr>
              <w:adjustRightInd w:val="0"/>
              <w:snapToGrid w:val="0"/>
              <w:spacing w:line="560" w:lineRule="exact"/>
              <w:rPr>
                <w:rFonts w:ascii="宋体" w:hAnsi="宋体"/>
                <w:sz w:val="24"/>
              </w:rPr>
            </w:pPr>
            <w:r>
              <w:rPr>
                <w:rFonts w:hint="eastAsia" w:ascii="宋体" w:hAnsi="宋体"/>
                <w:sz w:val="24"/>
              </w:rPr>
              <w:t>乙方：</w:t>
            </w:r>
          </w:p>
          <w:p>
            <w:pPr>
              <w:adjustRightInd w:val="0"/>
              <w:snapToGrid w:val="0"/>
              <w:spacing w:line="560" w:lineRule="exact"/>
              <w:rPr>
                <w:rFonts w:ascii="宋体" w:hAnsi="宋体"/>
                <w:sz w:val="24"/>
              </w:rPr>
            </w:pPr>
            <w:r>
              <w:rPr>
                <w:rFonts w:hint="eastAsia" w:ascii="宋体" w:hAnsi="宋体"/>
                <w:sz w:val="24"/>
              </w:rPr>
              <w:t>签约代表：</w:t>
            </w:r>
          </w:p>
          <w:p>
            <w:pPr>
              <w:adjustRightInd w:val="0"/>
              <w:snapToGrid w:val="0"/>
              <w:spacing w:line="560" w:lineRule="exact"/>
              <w:rPr>
                <w:rFonts w:ascii="宋体" w:hAnsi="宋体"/>
                <w:sz w:val="24"/>
              </w:rPr>
            </w:pPr>
            <w:r>
              <w:rPr>
                <w:rFonts w:hint="eastAsia" w:ascii="宋体" w:hAnsi="宋体"/>
                <w:sz w:val="24"/>
              </w:rPr>
              <w:t>联系电话：</w:t>
            </w:r>
          </w:p>
          <w:p>
            <w:pPr>
              <w:adjustRightInd w:val="0"/>
              <w:snapToGrid w:val="0"/>
              <w:spacing w:line="560" w:lineRule="exact"/>
              <w:jc w:val="right"/>
              <w:rPr>
                <w:rFonts w:ascii="宋体" w:hAnsi="宋体"/>
                <w:sz w:val="24"/>
              </w:rPr>
            </w:pPr>
            <w:r>
              <w:rPr>
                <w:rFonts w:hint="eastAsia" w:ascii="宋体" w:hAnsi="宋体"/>
                <w:sz w:val="24"/>
              </w:rPr>
              <w:t>20年  月  日</w:t>
            </w:r>
          </w:p>
        </w:tc>
      </w:tr>
    </w:tbl>
    <w:p>
      <w:pPr>
        <w:rPr>
          <w:rFonts w:ascii="宋体" w:hAnsi="宋体" w:cs="宋体"/>
          <w:bCs/>
          <w:sz w:val="24"/>
        </w:rPr>
      </w:pPr>
      <w:r>
        <w:rPr>
          <w:rFonts w:ascii="宋体" w:hAnsi="宋体" w:cs="宋体"/>
          <w:bCs/>
          <w:sz w:val="24"/>
        </w:rPr>
        <w:br w:type="page"/>
      </w:r>
    </w:p>
    <w:p>
      <w:pPr>
        <w:spacing w:line="560" w:lineRule="exact"/>
        <w:jc w:val="left"/>
        <w:rPr>
          <w:rFonts w:ascii="宋体" w:hAnsi="宋体" w:cs="宋体"/>
          <w:b/>
          <w:bCs/>
          <w:szCs w:val="21"/>
        </w:rPr>
      </w:pPr>
      <w:r>
        <w:rPr>
          <w:rFonts w:hint="eastAsia" w:ascii="宋体" w:hAnsi="宋体" w:cs="宋体"/>
          <w:b/>
          <w:bCs/>
          <w:szCs w:val="21"/>
        </w:rPr>
        <w:t>附件5：</w:t>
      </w: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contextualSpacing/>
        <w:jc w:val="left"/>
        <w:rPr>
          <w:rFonts w:ascii="仿宋_GB2312" w:hAnsi="仿宋_GB2312" w:eastAsia="仿宋_GB2312" w:cs="仿宋_GB2312"/>
          <w:sz w:val="24"/>
        </w:rPr>
      </w:pPr>
      <w:r>
        <w:rPr>
          <w:rFonts w:hint="eastAsia" w:ascii="仿宋_GB2312" w:hAnsi="仿宋_GB2312" w:eastAsia="仿宋_GB2312" w:cs="仿宋_GB2312"/>
          <w:sz w:val="24"/>
        </w:rPr>
        <w:t>备注：本处理标准出自《广州市净水有限公司经营建设项目参建企业不诚信行为管理办法》。</w:t>
      </w:r>
    </w:p>
    <w:p>
      <w:pPr>
        <w:rPr>
          <w:rFonts w:ascii="仿宋_GB2312" w:eastAsia="仿宋_GB2312"/>
          <w:b/>
          <w:sz w:val="28"/>
          <w:szCs w:val="28"/>
        </w:rPr>
      </w:pPr>
      <w:r>
        <w:rPr>
          <w:rFonts w:ascii="宋体" w:hAnsi="宋体" w:cs="宋体"/>
          <w:bCs/>
          <w:sz w:val="24"/>
        </w:rPr>
        <w:br w:type="page"/>
      </w:r>
      <w:r>
        <w:rPr>
          <w:rFonts w:hint="eastAsia" w:ascii="宋体" w:hAnsi="宋体" w:cs="宋体"/>
          <w:b/>
          <w:bCs/>
          <w:szCs w:val="21"/>
        </w:rPr>
        <w:t>附件6：防疫管理协议书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5"/>
          <w:rFonts w:ascii="仿宋" w:hAnsi="仿宋" w:eastAsia="仿宋" w:cs="仿宋"/>
          <w:b w:val="0"/>
          <w:u w:val="single"/>
        </w:rPr>
      </w:pPr>
      <w:bookmarkStart w:id="6" w:name="_Toc21391"/>
      <w:r>
        <w:rPr>
          <w:rFonts w:hint="eastAsia" w:ascii="仿宋" w:hAnsi="仿宋" w:eastAsia="仿宋" w:cs="仿宋"/>
          <w:sz w:val="24"/>
        </w:rPr>
        <w:t xml:space="preserve">乙方: </w:t>
      </w:r>
    </w:p>
    <w:bookmarkEnd w:id="6"/>
    <w:p>
      <w:pPr>
        <w:spacing w:line="440" w:lineRule="exact"/>
        <w:ind w:firstLine="540" w:firstLineChars="225"/>
        <w:rPr>
          <w:rFonts w:ascii="仿宋" w:hAnsi="仿宋" w:eastAsia="仿宋" w:cs="仿宋"/>
          <w:sz w:val="24"/>
        </w:rPr>
      </w:pPr>
      <w:r>
        <w:rPr>
          <w:rFonts w:hint="eastAsia" w:ascii="仿宋" w:hAnsi="仿宋" w:eastAsia="仿宋" w:cs="仿宋"/>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一、本协议与主协议的关系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广州市净水公司</w:t>
      </w:r>
      <w:r>
        <w:rPr>
          <w:rFonts w:hint="eastAsia" w:ascii="仿宋" w:hAnsi="仿宋" w:eastAsia="仿宋" w:cs="仿宋"/>
          <w:bCs/>
          <w:sz w:val="24"/>
          <w:u w:val="single"/>
          <w:lang w:eastAsia="zh-CN"/>
        </w:rPr>
        <w:t>旧</w:t>
      </w:r>
      <w:r>
        <w:rPr>
          <w:rFonts w:hint="eastAsia" w:ascii="仿宋" w:hAnsi="仿宋" w:eastAsia="仿宋" w:cs="仿宋"/>
          <w:bCs/>
          <w:sz w:val="24"/>
          <w:u w:val="single"/>
        </w:rPr>
        <w:t>厂区消防安全评估项目合同</w:t>
      </w:r>
      <w:r>
        <w:rPr>
          <w:rFonts w:hint="eastAsia" w:ascii="仿宋" w:hAnsi="仿宋" w:eastAsia="仿宋" w:cs="仿宋"/>
          <w:sz w:val="24"/>
        </w:rPr>
        <w:t>的组成部分，与主合同具有同等法律</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二、甲方的义务</w:t>
      </w:r>
    </w:p>
    <w:p>
      <w:pPr>
        <w:adjustRightInd w:val="0"/>
        <w:snapToGrid w:val="0"/>
        <w:spacing w:line="440" w:lineRule="exact"/>
        <w:ind w:firstLine="480"/>
        <w:jc w:val="left"/>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rPr>
        <w:t>与建设主管部门和属地疫情防控指挥部门形成联防联控机制，建立快速有效的处置工作流程。</w:t>
      </w:r>
    </w:p>
    <w:p>
      <w:pPr>
        <w:pStyle w:val="8"/>
        <w:spacing w:line="440" w:lineRule="exact"/>
        <w:ind w:firstLine="480" w:firstLineChars="0"/>
        <w:jc w:val="left"/>
        <w:rPr>
          <w:rFonts w:ascii="仿宋" w:hAnsi="仿宋" w:eastAsia="仿宋" w:cs="仿宋"/>
          <w:sz w:val="24"/>
          <w:szCs w:val="24"/>
        </w:rPr>
      </w:pPr>
      <w:r>
        <w:rPr>
          <w:rFonts w:hint="eastAsia" w:ascii="仿宋" w:hAnsi="仿宋" w:eastAsia="仿宋" w:cs="仿宋"/>
          <w:sz w:val="24"/>
          <w:szCs w:val="24"/>
        </w:rPr>
        <w:t>（二）对乙方防控工作的落实情况进行监督。</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三、乙方的义务</w:t>
      </w:r>
    </w:p>
    <w:p>
      <w:pPr>
        <w:pStyle w:val="8"/>
        <w:spacing w:line="440" w:lineRule="exact"/>
        <w:ind w:firstLine="480"/>
        <w:rPr>
          <w:rFonts w:ascii="仿宋" w:hAnsi="仿宋" w:eastAsia="仿宋" w:cs="仿宋"/>
          <w:sz w:val="24"/>
          <w:szCs w:val="24"/>
        </w:rPr>
      </w:pPr>
      <w:r>
        <w:rPr>
          <w:rFonts w:hint="eastAsia" w:ascii="仿宋" w:hAnsi="仿宋" w:eastAsia="仿宋" w:cs="仿宋"/>
          <w:sz w:val="24"/>
          <w:szCs w:val="24"/>
        </w:rPr>
        <w:t>（一）开展疫情防控宣传教育，提高</w:t>
      </w:r>
      <w:r>
        <w:rPr>
          <w:rFonts w:hint="eastAsia" w:ascii="仿宋" w:hAnsi="仿宋" w:eastAsia="仿宋" w:cs="仿宋"/>
          <w:sz w:val="24"/>
        </w:rPr>
        <w:t>乙方</w:t>
      </w:r>
      <w:r>
        <w:rPr>
          <w:rFonts w:hint="eastAsia" w:ascii="仿宋" w:hAnsi="仿宋" w:eastAsia="仿宋" w:cs="仿宋"/>
          <w:sz w:val="24"/>
          <w:szCs w:val="24"/>
        </w:rPr>
        <w:t>人员自我防护意识，最大限度减少人员暴露和感染的风险。</w:t>
      </w:r>
    </w:p>
    <w:p>
      <w:pPr>
        <w:pStyle w:val="8"/>
        <w:spacing w:line="440" w:lineRule="exact"/>
        <w:ind w:firstLine="480"/>
        <w:rPr>
          <w:rFonts w:ascii="仿宋" w:hAnsi="仿宋" w:eastAsia="仿宋" w:cs="仿宋"/>
          <w:sz w:val="24"/>
        </w:rPr>
      </w:pPr>
      <w:r>
        <w:rPr>
          <w:rFonts w:hint="eastAsia" w:ascii="仿宋" w:hAnsi="仿宋" w:eastAsia="仿宋" w:cs="仿宋"/>
          <w:sz w:val="24"/>
          <w:szCs w:val="24"/>
        </w:rPr>
        <w:t>（二）</w:t>
      </w:r>
      <w:r>
        <w:rPr>
          <w:rFonts w:hint="eastAsia" w:ascii="仿宋" w:hAnsi="仿宋" w:eastAsia="仿宋" w:cs="仿宋"/>
          <w:sz w:val="24"/>
        </w:rPr>
        <w:t>做好乙方人员防控工作管理，及时提交防疫资料，落实疫情防控备案，必要时需</w:t>
      </w:r>
      <w:r>
        <w:rPr>
          <w:rFonts w:hint="eastAsia" w:ascii="仿宋" w:hAnsi="仿宋" w:eastAsia="仿宋" w:cs="仿宋"/>
          <w:sz w:val="24"/>
          <w:szCs w:val="24"/>
        </w:rPr>
        <w:t>编制防控管理工作方案</w:t>
      </w:r>
      <w:r>
        <w:rPr>
          <w:rFonts w:hint="eastAsia" w:ascii="仿宋" w:hAnsi="仿宋" w:eastAsia="仿宋" w:cs="仿宋"/>
          <w:sz w:val="32"/>
          <w:szCs w:val="32"/>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 xml:space="preserve">    （三）乙方人员须按照</w:t>
      </w:r>
      <w:r>
        <w:rPr>
          <w:rFonts w:hint="eastAsia" w:ascii="仿宋" w:hAnsi="仿宋" w:eastAsia="仿宋" w:cs="仿宋"/>
          <w:sz w:val="24"/>
          <w:szCs w:val="24"/>
        </w:rPr>
        <w:t>甲方各厂区进厂门岗防控要求</w:t>
      </w:r>
      <w:r>
        <w:rPr>
          <w:rFonts w:hint="eastAsia" w:ascii="仿宋" w:hAnsi="仿宋" w:eastAsia="仿宋" w:cs="仿宋"/>
          <w:sz w:val="24"/>
        </w:rPr>
        <w:t>进行疫苗接种及核酸检测，未满足相关要求的人员甲方有权限制进入厂区。</w:t>
      </w:r>
    </w:p>
    <w:p>
      <w:pPr>
        <w:pStyle w:val="8"/>
        <w:spacing w:line="440" w:lineRule="exact"/>
        <w:ind w:firstLine="480"/>
        <w:rPr>
          <w:rFonts w:ascii="仿宋" w:hAnsi="仿宋" w:eastAsia="仿宋" w:cs="仿宋"/>
          <w:sz w:val="24"/>
          <w:szCs w:val="24"/>
        </w:rPr>
      </w:pPr>
      <w:r>
        <w:rPr>
          <w:rFonts w:hint="eastAsia" w:ascii="仿宋" w:hAnsi="仿宋" w:eastAsia="仿宋" w:cs="仿宋"/>
          <w:sz w:val="24"/>
          <w:szCs w:val="24"/>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rPr>
      </w:pPr>
      <w:r>
        <w:rPr>
          <w:rFonts w:hint="eastAsia" w:ascii="仿宋" w:hAnsi="仿宋" w:eastAsia="仿宋" w:cs="仿宋"/>
          <w:sz w:val="24"/>
          <w:szCs w:val="24"/>
        </w:rPr>
        <w:t>（五）各级政府、有关部门及甲方的其他</w:t>
      </w:r>
      <w:r>
        <w:rPr>
          <w:rFonts w:hint="eastAsia" w:ascii="仿宋" w:hAnsi="仿宋" w:eastAsia="仿宋" w:cs="仿宋"/>
          <w:sz w:val="24"/>
        </w:rPr>
        <w:t>防控要求</w:t>
      </w:r>
      <w:r>
        <w:rPr>
          <w:rFonts w:hint="eastAsia" w:ascii="仿宋" w:hAnsi="仿宋" w:eastAsia="仿宋" w:cs="仿宋"/>
          <w:sz w:val="24"/>
          <w:szCs w:val="24"/>
        </w:rPr>
        <w:t>。</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四、违约责任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仿宋" w:hAnsi="仿宋" w:eastAsia="仿宋" w:cs="仿宋"/>
          <w:sz w:val="24"/>
        </w:rPr>
      </w:pPr>
    </w:p>
    <w:p>
      <w:pPr>
        <w:pStyle w:val="48"/>
        <w:spacing w:line="440" w:lineRule="exact"/>
        <w:rPr>
          <w:rFonts w:ascii="仿宋" w:hAnsi="仿宋" w:eastAsia="仿宋" w:cs="仿宋"/>
          <w:sz w:val="24"/>
        </w:rPr>
      </w:pPr>
      <w:r>
        <w:rPr>
          <w:rFonts w:hint="eastAsia" w:ascii="仿宋" w:hAnsi="仿宋" w:eastAsia="仿宋" w:cs="仿宋"/>
          <w:sz w:val="24"/>
        </w:rPr>
        <w:t>五、补充条款：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六、附则</w:t>
      </w: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本协议与合同同时签订、同时终止、同时生效，具有相同的法律效力。合同由甲乙双方签字、盖章生效，甲乙双方各份。</w:t>
      </w:r>
    </w:p>
    <w:p>
      <w:pPr>
        <w:adjustRightInd w:val="0"/>
        <w:snapToGrid w:val="0"/>
        <w:spacing w:line="440" w:lineRule="exact"/>
        <w:rPr>
          <w:rFonts w:ascii="仿宋" w:hAnsi="仿宋" w:eastAsia="仿宋" w:cs="仿宋"/>
          <w:sz w:val="24"/>
        </w:rPr>
      </w:pPr>
    </w:p>
    <w:p>
      <w:pPr>
        <w:adjustRightInd w:val="0"/>
        <w:snapToGrid w:val="0"/>
        <w:spacing w:line="440" w:lineRule="exact"/>
        <w:ind w:left="1330" w:leftChars="5" w:hanging="1320" w:hangingChars="550"/>
        <w:rPr>
          <w:rFonts w:ascii="仿宋" w:hAnsi="仿宋" w:eastAsia="仿宋" w:cs="仿宋"/>
          <w:sz w:val="24"/>
        </w:rPr>
      </w:pPr>
      <w:r>
        <w:rPr>
          <w:rFonts w:hint="eastAsia" w:ascii="仿宋" w:hAnsi="仿宋" w:eastAsia="仿宋" w:cs="仿宋"/>
          <w:sz w:val="24"/>
        </w:rPr>
        <w:t>甲方代表 （章）：                             乙方代表（章）：                                                           　　              　　　　　　　</w:t>
      </w:r>
    </w:p>
    <w:p>
      <w:pPr>
        <w:adjustRightInd w:val="0"/>
        <w:snapToGrid w:val="0"/>
        <w:spacing w:line="440" w:lineRule="exact"/>
        <w:rPr>
          <w:rFonts w:ascii="仿宋" w:hAnsi="仿宋" w:eastAsia="仿宋" w:cs="仿宋"/>
          <w:sz w:val="24"/>
        </w:rPr>
      </w:pPr>
      <w:r>
        <w:rPr>
          <w:rFonts w:hint="eastAsia" w:ascii="仿宋" w:hAnsi="仿宋" w:eastAsia="仿宋" w:cs="仿宋"/>
          <w:sz w:val="24"/>
        </w:rPr>
        <w:t xml:space="preserve">      年 　月　  日　　　　　                 年   月  　日</w:t>
      </w:r>
    </w:p>
    <w:p/>
    <w:p>
      <w:pPr>
        <w:pStyle w:val="28"/>
      </w:pPr>
    </w:p>
    <w:p>
      <w:pPr>
        <w:widowControl/>
        <w:jc w:val="left"/>
        <w:rPr>
          <w:sz w:val="24"/>
          <w:szCs w:val="24"/>
        </w:rPr>
      </w:pPr>
      <w:r>
        <w:rPr>
          <w:sz w:val="24"/>
          <w:szCs w:val="24"/>
        </w:rPr>
        <w:br w:type="page"/>
      </w:r>
    </w:p>
    <w:p>
      <w:pPr>
        <w:pStyle w:val="28"/>
      </w:pPr>
    </w:p>
    <w:p>
      <w:pPr>
        <w:pStyle w:val="5"/>
        <w:spacing w:line="360" w:lineRule="auto"/>
        <w:ind w:firstLine="560"/>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12"/>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2"/>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2"/>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2"/>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2"/>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12"/>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12"/>
        <w:jc w:val="center"/>
        <w:rPr>
          <w:rFonts w:ascii="仿宋" w:hAnsi="仿宋" w:eastAsia="仿宋" w:cs="仿宋_GB2312"/>
          <w:b/>
          <w:color w:val="000000" w:themeColor="text1"/>
          <w:sz w:val="24"/>
          <w:szCs w:val="24"/>
          <w14:textFill>
            <w14:solidFill>
              <w14:schemeClr w14:val="tx1"/>
            </w14:solidFill>
          </w14:textFill>
        </w:rPr>
      </w:pPr>
    </w:p>
    <w:p>
      <w:pPr>
        <w:pStyle w:val="12"/>
        <w:jc w:val="center"/>
        <w:rPr>
          <w:rFonts w:ascii="仿宋" w:hAnsi="仿宋" w:eastAsia="仿宋" w:cs="仿宋_GB2312"/>
          <w:b/>
          <w:color w:val="000000" w:themeColor="text1"/>
          <w:sz w:val="24"/>
          <w:szCs w:val="24"/>
          <w14:textFill>
            <w14:solidFill>
              <w14:schemeClr w14:val="tx1"/>
            </w14:solidFill>
          </w14:textFill>
        </w:rPr>
      </w:pPr>
    </w:p>
    <w:p>
      <w:pPr>
        <w:pStyle w:val="12"/>
        <w:jc w:val="center"/>
        <w:rPr>
          <w:rFonts w:ascii="仿宋" w:hAnsi="仿宋" w:eastAsia="仿宋" w:cs="仿宋_GB2312"/>
          <w:b/>
          <w:color w:val="000000" w:themeColor="text1"/>
          <w:sz w:val="24"/>
          <w:szCs w:val="24"/>
          <w14:textFill>
            <w14:solidFill>
              <w14:schemeClr w14:val="tx1"/>
            </w14:solidFill>
          </w14:textFill>
        </w:rPr>
      </w:pPr>
    </w:p>
    <w:p>
      <w:pPr>
        <w:pStyle w:val="12"/>
        <w:jc w:val="center"/>
        <w:rPr>
          <w:rFonts w:ascii="仿宋" w:hAnsi="仿宋" w:eastAsia="仿宋" w:cs="仿宋_GB2312"/>
          <w:b/>
          <w:color w:val="000000" w:themeColor="text1"/>
          <w:sz w:val="24"/>
          <w:szCs w:val="24"/>
          <w14:textFill>
            <w14:solidFill>
              <w14:schemeClr w14:val="tx1"/>
            </w14:solidFill>
          </w14:textFill>
        </w:rPr>
      </w:pPr>
    </w:p>
    <w:p>
      <w:pPr>
        <w:pStyle w:val="12"/>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12"/>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14:textFill>
            <w14:solidFill>
              <w14:schemeClr w14:val="tx1"/>
            </w14:solidFill>
          </w14:textFill>
        </w:rPr>
      </w:pPr>
    </w:p>
    <w:p>
      <w:pPr>
        <w:pStyle w:val="12"/>
        <w:jc w:val="center"/>
        <w:rPr>
          <w:rFonts w:ascii="仿宋" w:hAnsi="仿宋" w:eastAsia="仿宋" w:cs="仿宋_GB2312"/>
          <w:b/>
          <w:color w:val="000000" w:themeColor="text1"/>
          <w:sz w:val="28"/>
          <w:szCs w:val="28"/>
          <w14:textFill>
            <w14:solidFill>
              <w14:schemeClr w14:val="tx1"/>
            </w14:solidFill>
          </w14:textFill>
        </w:rPr>
      </w:pPr>
    </w:p>
    <w:p>
      <w:pPr>
        <w:pStyle w:val="12"/>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3"/>
        <w:spacing w:line="360" w:lineRule="auto"/>
        <w:ind w:firstLine="560" w:firstLineChars="200"/>
        <w:rPr>
          <w:rFonts w:ascii="仿宋" w:hAnsi="仿宋" w:eastAsia="仿宋" w:cs="仿宋"/>
          <w:b/>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b w:val="0"/>
          <w:bCs w:val="0"/>
          <w:color w:val="000000" w:themeColor="text1"/>
          <w:sz w:val="28"/>
          <w:szCs w:val="28"/>
          <w14:textFill>
            <w14:solidFill>
              <w14:schemeClr w14:val="tx1"/>
            </w14:solidFill>
          </w14:textFill>
        </w:rPr>
        <w:t>广州净水有限公司</w:t>
      </w:r>
      <w:r>
        <w:rPr>
          <w:rFonts w:hint="eastAsia" w:ascii="仿宋" w:hAnsi="仿宋" w:eastAsia="仿宋" w:cs="仿宋_GB2312"/>
          <w:b w:val="0"/>
          <w:bCs w:val="0"/>
          <w:color w:val="000000" w:themeColor="text1"/>
          <w:sz w:val="28"/>
          <w:szCs w:val="28"/>
          <w:lang w:eastAsia="zh-CN"/>
          <w14:textFill>
            <w14:solidFill>
              <w14:schemeClr w14:val="tx1"/>
            </w14:solidFill>
          </w14:textFill>
        </w:rPr>
        <w:t>旧</w:t>
      </w:r>
      <w:r>
        <w:rPr>
          <w:rFonts w:hint="eastAsia" w:ascii="仿宋" w:hAnsi="仿宋" w:eastAsia="仿宋" w:cs="仿宋_GB2312"/>
          <w:b w:val="0"/>
          <w:bCs w:val="0"/>
          <w:color w:val="000000" w:themeColor="text1"/>
          <w:sz w:val="28"/>
          <w:szCs w:val="28"/>
          <w14:textFill>
            <w14:solidFill>
              <w14:schemeClr w14:val="tx1"/>
            </w14:solidFill>
          </w14:textFill>
        </w:rPr>
        <w:t>厂区</w:t>
      </w:r>
      <w:r>
        <w:rPr>
          <w:rFonts w:hint="eastAsia" w:ascii="仿宋" w:hAnsi="仿宋" w:eastAsia="仿宋" w:cs="仿宋"/>
          <w:b w:val="0"/>
          <w:bCs w:val="0"/>
          <w:sz w:val="28"/>
          <w:szCs w:val="28"/>
        </w:rPr>
        <w:t>消防安全评估</w:t>
      </w:r>
      <w:r>
        <w:rPr>
          <w:rFonts w:hint="eastAsia" w:ascii="仿宋" w:hAnsi="仿宋" w:eastAsia="仿宋" w:cs="仿宋"/>
          <w:b w:val="0"/>
          <w:bCs w:val="0"/>
          <w:color w:val="000000" w:themeColor="text1"/>
          <w:sz w:val="28"/>
          <w:szCs w:val="28"/>
          <w14:textFill>
            <w14:solidFill>
              <w14:schemeClr w14:val="tx1"/>
            </w14:solidFill>
          </w14:textFill>
        </w:rPr>
        <w:t>项目</w:t>
      </w: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ind w:firstLine="632" w:firstLineChars="300"/>
        <w:rPr>
          <w:rFonts w:ascii="仿宋" w:hAnsi="仿宋" w:eastAsia="仿宋" w:cs="仿宋_GB2312"/>
          <w:b/>
          <w:color w:val="000000" w:themeColor="text1"/>
          <w14:textFill>
            <w14:solidFill>
              <w14:schemeClr w14:val="tx1"/>
            </w14:solidFill>
          </w14:textFill>
        </w:rPr>
      </w:pPr>
    </w:p>
    <w:p>
      <w:pPr>
        <w:pStyle w:val="12"/>
        <w:spacing w:line="360" w:lineRule="auto"/>
        <w:ind w:firstLine="560" w:firstLineChars="200"/>
        <w:rPr>
          <w:rFonts w:ascii="仿宋" w:hAnsi="仿宋" w:eastAsia="仿宋" w:cs="仿宋_GB2312"/>
          <w:b w:val="0"/>
          <w:bCs/>
          <w:color w:val="000000" w:themeColor="text1"/>
          <w:sz w:val="28"/>
          <w:szCs w:val="28"/>
          <w:u w:val="single"/>
          <w14:textFill>
            <w14:solidFill>
              <w14:schemeClr w14:val="tx1"/>
            </w14:solidFill>
          </w14:textFill>
        </w:rPr>
      </w:pPr>
      <w:r>
        <w:rPr>
          <w:rFonts w:hint="eastAsia" w:ascii="仿宋" w:hAnsi="仿宋" w:eastAsia="仿宋" w:cs="仿宋_GB2312"/>
          <w:b w:val="0"/>
          <w:bCs/>
          <w:color w:val="000000" w:themeColor="text1"/>
          <w:sz w:val="28"/>
          <w:szCs w:val="28"/>
          <w14:textFill>
            <w14:solidFill>
              <w14:schemeClr w14:val="tx1"/>
            </w14:solidFill>
          </w14:textFill>
        </w:rPr>
        <w:t>报价单位名称：</w:t>
      </w:r>
    </w:p>
    <w:p>
      <w:pPr>
        <w:autoSpaceDE w:val="0"/>
        <w:autoSpaceDN w:val="0"/>
        <w:spacing w:line="240" w:lineRule="atLeast"/>
        <w:ind w:firstLine="560" w:firstLineChars="200"/>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val="0"/>
          <w:bCs/>
          <w:color w:val="000000" w:themeColor="text1"/>
          <w:sz w:val="28"/>
          <w:szCs w:val="28"/>
          <w14:textFill>
            <w14:solidFill>
              <w14:schemeClr w14:val="tx1"/>
            </w14:solidFill>
          </w14:textFill>
        </w:rPr>
        <w:t>日期：</w:t>
      </w:r>
      <w:r>
        <w:rPr>
          <w:rFonts w:hint="eastAsia" w:ascii="仿宋" w:hAnsi="仿宋" w:eastAsia="仿宋" w:cs="仿宋_GB2312"/>
          <w:b w:val="0"/>
          <w:bCs/>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val="0"/>
          <w:bCs/>
          <w:color w:val="000000" w:themeColor="text1"/>
          <w:sz w:val="28"/>
          <w:szCs w:val="28"/>
          <w14:textFill>
            <w14:solidFill>
              <w14:schemeClr w14:val="tx1"/>
            </w14:solidFill>
          </w14:textFill>
        </w:rPr>
        <w:t>年</w:t>
      </w:r>
      <w:r>
        <w:rPr>
          <w:rFonts w:hint="eastAsia" w:ascii="仿宋" w:hAnsi="仿宋" w:eastAsia="仿宋" w:cs="仿宋_GB2312"/>
          <w:b w:val="0"/>
          <w:bCs/>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val="0"/>
          <w:bCs/>
          <w:color w:val="000000" w:themeColor="text1"/>
          <w:sz w:val="28"/>
          <w:szCs w:val="28"/>
          <w14:textFill>
            <w14:solidFill>
              <w14:schemeClr w14:val="tx1"/>
            </w14:solidFill>
          </w14:textFill>
        </w:rPr>
        <w:t>月</w:t>
      </w:r>
      <w:r>
        <w:rPr>
          <w:rFonts w:hint="eastAsia" w:ascii="仿宋" w:hAnsi="仿宋" w:eastAsia="仿宋" w:cs="仿宋_GB2312"/>
          <w:b w:val="0"/>
          <w:bCs/>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val="0"/>
          <w:bCs/>
          <w:color w:val="000000" w:themeColor="text1"/>
          <w:sz w:val="28"/>
          <w:szCs w:val="28"/>
          <w14:textFill>
            <w14:solidFill>
              <w14:schemeClr w14:val="tx1"/>
            </w14:solidFill>
          </w14:textFill>
        </w:rPr>
        <w:t>日</w:t>
      </w:r>
    </w:p>
    <w:p>
      <w:pPr>
        <w:widowControl/>
        <w:jc w:val="left"/>
        <w:rPr>
          <w:rFonts w:ascii="宋体" w:hAnsi="宋体" w:cs="宋体"/>
          <w:bCs/>
          <w:sz w:val="24"/>
        </w:rPr>
      </w:pPr>
      <w:r>
        <w:rPr>
          <w:rFonts w:ascii="宋体" w:hAnsi="宋体" w:cs="宋体"/>
          <w:bCs/>
          <w:sz w:val="24"/>
        </w:rPr>
        <w:br w:type="page"/>
      </w:r>
    </w:p>
    <w:p>
      <w:pPr>
        <w:pStyle w:val="5"/>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hint="eastAsia" w:ascii="宋体" w:hAnsi="宋体" w:cs="Times New Roman" w:eastAsiaTheme="minorEastAsia"/>
          <w:sz w:val="24"/>
          <w:szCs w:val="24"/>
          <w:lang w:eastAsia="zh-CN"/>
        </w:rPr>
      </w:pPr>
      <w:r>
        <w:rPr>
          <w:rFonts w:hint="eastAsia" w:ascii="宋体" w:hAnsi="宋体" w:eastAsia="宋体" w:cs="Times New Roman"/>
          <w:sz w:val="24"/>
          <w:szCs w:val="24"/>
        </w:rPr>
        <w:t>法定代表人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themeColor="text1"/>
                <w:sz w:val="24"/>
                <w:szCs w:val="24"/>
                <w14:textFill>
                  <w14:solidFill>
                    <w14:schemeClr w14:val="tx1"/>
                  </w14:solidFill>
                </w14:textFill>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国徽面</w:t>
            </w:r>
          </w:p>
          <w:p>
            <w:pPr>
              <w:pStyle w:val="28"/>
            </w:pPr>
          </w:p>
          <w:p>
            <w:pPr>
              <w:spacing w:line="360" w:lineRule="auto"/>
              <w:jc w:val="left"/>
              <w:rPr>
                <w:rFonts w:ascii="宋体" w:hAnsi="宋体"/>
                <w:sz w:val="24"/>
                <w:szCs w:val="24"/>
              </w:rPr>
            </w:pPr>
          </w:p>
        </w:tc>
      </w:tr>
    </w:tbl>
    <w:p>
      <w:pPr>
        <w:spacing w:line="440" w:lineRule="exact"/>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宋体" w:hAnsi="宋体" w:eastAsia="宋体" w:cs="Times New Roman"/>
          <w:sz w:val="24"/>
          <w:szCs w:val="24"/>
        </w:rPr>
      </w:pPr>
    </w:p>
    <w:p>
      <w:pPr>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（法人姓名）（法人签字或盖私章）</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项目(项目编号：)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附：签发日期：   年 月 日       有效期限：</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_GB2312" w:hAnsi="仿宋_GB2312" w:eastAsia="仿宋_GB2312" w:cs="仿宋_GB2312"/>
          <w:sz w:val="28"/>
          <w:szCs w:val="28"/>
        </w:rPr>
      </w:pPr>
      <w:r>
        <w:rPr>
          <w:rFonts w:hint="eastAsia" w:ascii="仿宋" w:hAnsi="仿宋" w:eastAsia="仿宋" w:cs="仿宋_GB2312"/>
          <w:color w:val="000000"/>
          <w:sz w:val="28"/>
          <w:szCs w:val="28"/>
        </w:rPr>
        <w:t>　　</w:t>
      </w:r>
      <w:r>
        <w:rPr>
          <w:rFonts w:hint="eastAsia" w:ascii="仿宋" w:hAnsi="仿宋" w:eastAsia="仿宋" w:cs="仿宋_GB2312"/>
          <w:color w:val="000000"/>
          <w:sz w:val="28"/>
          <w:szCs w:val="28"/>
          <w:lang w:val="en-US" w:eastAsia="zh-CN"/>
        </w:rPr>
        <w:t>联系电话</w:t>
      </w:r>
      <w:r>
        <w:rPr>
          <w:rFonts w:hint="eastAsia" w:ascii="仿宋" w:hAnsi="仿宋" w:eastAsia="仿宋" w:cs="仿宋_GB2312"/>
          <w:color w:val="000000"/>
          <w:sz w:val="28"/>
          <w:szCs w:val="28"/>
        </w:rPr>
        <w:t>：</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 w:hAnsi="仿宋" w:eastAsia="仿宋" w:cs="仿宋_GB2312"/>
          <w:color w:val="000000"/>
          <w:sz w:val="24"/>
          <w:szCs w:val="24"/>
        </w:rPr>
      </w:pPr>
      <w:r>
        <w:rPr>
          <w:rFonts w:hint="eastAsia" w:ascii="仿宋_GB2312" w:hAnsi="仿宋_GB2312" w:eastAsia="仿宋_GB2312" w:cs="仿宋_GB2312"/>
          <w:color w:val="000000"/>
          <w:sz w:val="24"/>
          <w:szCs w:val="24"/>
        </w:rPr>
        <w:t>说明：</w:t>
      </w:r>
      <w:r>
        <w:rPr>
          <w:rFonts w:ascii="仿宋" w:hAnsi="仿宋" w:eastAsia="仿宋" w:cs="仿宋_GB2312"/>
          <w:color w:val="000000"/>
          <w:sz w:val="24"/>
          <w:szCs w:val="24"/>
        </w:rPr>
        <w:t>1.法定代表人为企业事业单位、国家机关、社会团体的主要行政负责人。</w:t>
      </w:r>
    </w:p>
    <w:p>
      <w:pPr>
        <w:spacing w:line="480" w:lineRule="exact"/>
        <w:rPr>
          <w:rFonts w:ascii="仿宋" w:hAnsi="仿宋" w:eastAsia="仿宋" w:cs="仿宋_GB2312"/>
          <w:color w:val="000000"/>
          <w:sz w:val="24"/>
          <w:szCs w:val="24"/>
        </w:rPr>
      </w:pPr>
      <w:r>
        <w:rPr>
          <w:rFonts w:ascii="仿宋" w:hAnsi="仿宋" w:eastAsia="仿宋" w:cs="仿宋_GB2312"/>
          <w:color w:val="000000"/>
          <w:sz w:val="24"/>
          <w:szCs w:val="24"/>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ascii="仿宋" w:hAnsi="仿宋" w:eastAsia="仿宋" w:cs="仿宋_GB2312"/>
          <w:color w:val="000000"/>
          <w:sz w:val="24"/>
          <w:szCs w:val="24"/>
        </w:rPr>
        <w:t>3.将此证明书提交对方作为合同附件</w:t>
      </w:r>
      <w:r>
        <w:rPr>
          <w:rFonts w:hint="eastAsia" w:ascii="仿宋" w:hAnsi="仿宋" w:eastAsia="仿宋" w:cs="仿宋_GB2312"/>
          <w:b/>
          <w:color w:val="000000"/>
          <w:sz w:val="24"/>
          <w:szCs w:val="24"/>
        </w:rPr>
        <w:t>。</w:t>
      </w:r>
    </w:p>
    <w:p>
      <w:pPr>
        <w:spacing w:line="480" w:lineRule="exact"/>
        <w:ind w:firstLine="720" w:firstLineChars="300"/>
        <w:rPr>
          <w:rFonts w:ascii="仿宋" w:hAnsi="仿宋" w:eastAsia="仿宋" w:cs="仿宋_GB2312"/>
          <w:color w:val="000000"/>
          <w:sz w:val="24"/>
          <w:szCs w:val="24"/>
        </w:rPr>
      </w:pPr>
      <w:r>
        <w:rPr>
          <w:rFonts w:ascii="仿宋" w:hAnsi="仿宋" w:eastAsia="仿宋" w:cs="仿宋_GB2312"/>
          <w:color w:val="000000"/>
          <w:sz w:val="24"/>
          <w:szCs w:val="24"/>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ascii="仿宋" w:hAnsi="仿宋" w:eastAsia="仿宋" w:cs="仿宋_GB2312"/>
          <w:color w:val="000000"/>
          <w:sz w:val="24"/>
          <w:szCs w:val="24"/>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ascii="仿宋" w:hAnsi="仿宋" w:eastAsia="仿宋" w:cs="仿宋_GB2312"/>
          <w:color w:val="000000"/>
          <w:sz w:val="24"/>
          <w:szCs w:val="24"/>
        </w:rPr>
        <w:t>6.谈判签字代表为法定代表人，则本表不适用。</w:t>
      </w:r>
    </w:p>
    <w:p>
      <w:pPr>
        <w:spacing w:line="440" w:lineRule="exact"/>
        <w:ind w:firstLine="736" w:firstLineChars="307"/>
        <w:rPr>
          <w:rFonts w:ascii="仿宋_GB2312" w:hAnsi="仿宋_GB2312" w:eastAsia="仿宋_GB2312" w:cs="仿宋_GB2312"/>
          <w:sz w:val="28"/>
          <w:szCs w:val="28"/>
        </w:rPr>
      </w:pPr>
      <w:r>
        <w:rPr>
          <w:rFonts w:ascii="仿宋" w:hAnsi="仿宋" w:eastAsia="仿宋" w:cs="仿宋_GB2312"/>
          <w:color w:val="000000"/>
          <w:sz w:val="24"/>
          <w:szCs w:val="24"/>
        </w:rPr>
        <w:t>7.提供授权委托人在本单位近三个月社保记录（以加盖社会保险基金管理中心印章的《缴费历史明细表》或《社会保险参保人员证明》为准），否则为无效代理人，询价响应文件无效。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hint="eastAsia" w:ascii="宋体" w:hAnsi="宋体" w:eastAsia="宋体" w:cs="Times New Roman"/>
          <w:sz w:val="24"/>
          <w:szCs w:val="24"/>
        </w:rPr>
      </w:pPr>
    </w:p>
    <w:p>
      <w:pPr>
        <w:pStyle w:val="28"/>
      </w:pPr>
    </w:p>
    <w:p>
      <w:pPr>
        <w:spacing w:line="440" w:lineRule="exact"/>
        <w:rPr>
          <w:rFonts w:hint="eastAsia" w:ascii="宋体" w:hAnsi="宋体" w:eastAsia="宋体" w:cs="Times New Roman"/>
          <w:sz w:val="24"/>
          <w:szCs w:val="24"/>
        </w:rPr>
      </w:pPr>
    </w:p>
    <w:p>
      <w:pPr>
        <w:spacing w:line="440" w:lineRule="exact"/>
        <w:rPr>
          <w:rFonts w:hint="eastAsia" w:ascii="宋体" w:hAnsi="宋体" w:eastAsiaTheme="minorEastAsia"/>
          <w:sz w:val="24"/>
          <w:szCs w:val="24"/>
          <w:lang w:eastAsia="zh-CN"/>
        </w:rPr>
      </w:pPr>
      <w:r>
        <w:rPr>
          <w:rFonts w:hint="eastAsia" w:ascii="宋体" w:hAnsi="宋体" w:eastAsia="宋体" w:cs="Times New Roman"/>
          <w:sz w:val="24"/>
          <w:szCs w:val="24"/>
        </w:rPr>
        <w:t>授权代理人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人像面</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sz w:val="24"/>
                <w:szCs w:val="24"/>
              </w:rPr>
            </w:pPr>
          </w:p>
          <w:p>
            <w:pPr>
              <w:spacing w:line="360" w:lineRule="auto"/>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p>
        </w:tc>
      </w:tr>
    </w:tbl>
    <w:p>
      <w:pPr>
        <w:spacing w:line="480" w:lineRule="exact"/>
        <w:ind w:firstLine="843" w:firstLineChars="300"/>
        <w:rPr>
          <w:rFonts w:ascii="仿宋" w:hAnsi="仿宋" w:eastAsia="仿宋" w:cs="仿宋_GB2312"/>
          <w:b/>
          <w:color w:val="000000"/>
          <w:sz w:val="28"/>
          <w:szCs w:val="28"/>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w:t>
            </w:r>
            <w:r>
              <w:rPr>
                <w:rFonts w:hint="eastAsia" w:ascii="宋体" w:hAnsi="宋体" w:cs="Times New Roman"/>
                <w:sz w:val="24"/>
                <w:szCs w:val="24"/>
                <w:lang w:val="en-US" w:eastAsia="zh-CN"/>
              </w:rPr>
              <w:t>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8"/>
        <w:spacing w:line="480" w:lineRule="exact"/>
        <w:ind w:firstLine="720" w:firstLineChars="300"/>
        <w:rPr>
          <w:rFonts w:ascii="仿宋" w:hAnsi="仿宋" w:eastAsia="仿宋" w:cs="仿宋_GB2312"/>
          <w:color w:val="000000" w:themeColor="text1"/>
          <w:kern w:val="2"/>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5"/>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3</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44"/>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w:t>
      </w:r>
      <w:r>
        <w:rPr>
          <w:rFonts w:hint="eastAsia" w:ascii="Times New Roman" w:hAnsi="Times New Roman" w:eastAsia="仿宋_GB2312" w:cs="Times New Roman"/>
          <w:color w:val="auto"/>
          <w:sz w:val="24"/>
          <w:lang w:val="en-US" w:eastAsia="zh-CN"/>
        </w:rPr>
        <w:t>我方完全理解询价文件中所有要求均为实质性响应条款，如有任何一条负偏离或者不满足将导致询价无效。</w:t>
      </w:r>
      <w:r>
        <w:rPr>
          <w:rFonts w:ascii="Times New Roman" w:hAnsi="Times New Roman" w:eastAsia="仿宋_GB2312" w:cs="Times New Roman"/>
          <w:color w:val="auto"/>
          <w:sz w:val="24"/>
        </w:rPr>
        <w:t>我方保证将按照本项目询价文件</w:t>
      </w:r>
      <w:r>
        <w:rPr>
          <w:rFonts w:hint="eastAsia" w:ascii="Times New Roman" w:hAnsi="Times New Roman" w:eastAsia="仿宋_GB2312" w:cs="Times New Roman"/>
          <w:color w:val="auto"/>
          <w:sz w:val="24"/>
          <w:lang w:val="en-US" w:eastAsia="zh-CN"/>
        </w:rPr>
        <w:t>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w:t>
      </w:r>
      <w:r>
        <w:rPr>
          <w:rFonts w:hint="eastAsia" w:ascii="仿宋_GB2312" w:hAnsi="仿宋" w:eastAsia="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 w:eastAsia="仿宋_GB2312" w:cs="仿宋_GB2312"/>
          <w:color w:val="000000" w:themeColor="text1"/>
          <w:sz w:val="24"/>
          <w14:textFill>
            <w14:solidFill>
              <w14:schemeClr w14:val="tx1"/>
            </w14:solidFill>
          </w14:textFill>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43"/>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43"/>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43"/>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w:t>
      </w:r>
      <w:r>
        <w:rPr>
          <w:rFonts w:hint="eastAsia" w:ascii="仿宋_GB2312" w:hAnsi="仿宋" w:eastAsia="仿宋_GB2312" w:cs="仿宋_GB2312"/>
          <w:color w:val="000000" w:themeColor="text1"/>
          <w:lang w:val="en-US" w:eastAsia="zh-CN"/>
          <w14:textFill>
            <w14:solidFill>
              <w14:schemeClr w14:val="tx1"/>
            </w14:solidFill>
          </w14:textFill>
        </w:rPr>
        <w:t>私</w:t>
      </w:r>
      <w:r>
        <w:rPr>
          <w:rFonts w:hint="eastAsia" w:ascii="仿宋_GB2312" w:hAnsi="仿宋" w:eastAsia="仿宋_GB2312" w:cs="仿宋_GB2312"/>
          <w:color w:val="000000" w:themeColor="text1"/>
          <w14:textFill>
            <w14:solidFill>
              <w14:schemeClr w14:val="tx1"/>
            </w14:solidFill>
          </w14:textFill>
        </w:rPr>
        <w:t>章）：</w:t>
      </w:r>
    </w:p>
    <w:p>
      <w:pPr>
        <w:pStyle w:val="43"/>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日期：年月日</w:t>
      </w:r>
    </w:p>
    <w:p>
      <w:pPr>
        <w:pStyle w:val="43"/>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4</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5报价清单</w:t>
      </w:r>
    </w:p>
    <w:tbl>
      <w:tblPr>
        <w:tblStyle w:val="22"/>
        <w:tblpPr w:leftFromText="180" w:rightFromText="180" w:vertAnchor="text" w:horzAnchor="page" w:tblpX="1373" w:tblpY="518"/>
        <w:tblOverlap w:val="never"/>
        <w:tblW w:w="8513" w:type="dxa"/>
        <w:tblInd w:w="0" w:type="dxa"/>
        <w:tblLayout w:type="fixed"/>
        <w:tblCellMar>
          <w:top w:w="0" w:type="dxa"/>
          <w:left w:w="108" w:type="dxa"/>
          <w:bottom w:w="0" w:type="dxa"/>
          <w:right w:w="108" w:type="dxa"/>
        </w:tblCellMar>
      </w:tblPr>
      <w:tblGrid>
        <w:gridCol w:w="865"/>
        <w:gridCol w:w="1081"/>
        <w:gridCol w:w="3260"/>
        <w:gridCol w:w="1477"/>
        <w:gridCol w:w="1830"/>
      </w:tblGrid>
      <w:tr>
        <w:tblPrEx>
          <w:tblCellMar>
            <w:top w:w="0" w:type="dxa"/>
            <w:left w:w="108" w:type="dxa"/>
            <w:bottom w:w="0" w:type="dxa"/>
            <w:right w:w="108" w:type="dxa"/>
          </w:tblCellMar>
        </w:tblPrEx>
        <w:trPr>
          <w:trHeight w:val="375" w:hRule="atLeast"/>
        </w:trPr>
        <w:tc>
          <w:tcPr>
            <w:tcW w:w="8513" w:type="dxa"/>
            <w:gridSpan w:val="5"/>
            <w:tcBorders>
              <w:top w:val="nil"/>
              <w:left w:val="nil"/>
              <w:bottom w:val="nil"/>
              <w:right w:val="nil"/>
            </w:tcBorders>
            <w:shd w:val="clear" w:color="auto" w:fill="auto"/>
            <w:noWrap/>
            <w:vAlign w:val="bottom"/>
          </w:tcPr>
          <w:p>
            <w:pPr>
              <w:widowControl/>
              <w:jc w:val="center"/>
              <w:textAlignment w:val="bottom"/>
              <w:rPr>
                <w:rFonts w:ascii="黑体" w:hAnsi="宋体" w:eastAsia="黑体" w:cs="黑体"/>
                <w:b/>
                <w:bCs/>
                <w:color w:val="000000"/>
                <w:sz w:val="28"/>
                <w:szCs w:val="28"/>
              </w:rPr>
            </w:pPr>
            <w:r>
              <w:rPr>
                <w:rFonts w:hint="eastAsia" w:ascii="黑体" w:hAnsi="宋体" w:eastAsia="黑体" w:cs="黑体"/>
                <w:b/>
                <w:bCs/>
                <w:color w:val="000000"/>
                <w:kern w:val="0"/>
                <w:sz w:val="28"/>
                <w:szCs w:val="28"/>
              </w:rPr>
              <w:t>广州净水公司</w:t>
            </w:r>
            <w:r>
              <w:rPr>
                <w:rFonts w:hint="eastAsia" w:ascii="黑体" w:hAnsi="宋体" w:eastAsia="黑体" w:cs="黑体"/>
                <w:b/>
                <w:bCs/>
                <w:color w:val="000000"/>
                <w:kern w:val="0"/>
                <w:sz w:val="28"/>
                <w:szCs w:val="28"/>
                <w:lang w:eastAsia="zh-CN"/>
              </w:rPr>
              <w:t>旧</w:t>
            </w:r>
            <w:r>
              <w:rPr>
                <w:rFonts w:hint="eastAsia" w:ascii="黑体" w:hAnsi="宋体" w:eastAsia="黑体" w:cs="黑体"/>
                <w:b/>
                <w:bCs/>
                <w:color w:val="000000"/>
                <w:kern w:val="0"/>
                <w:sz w:val="28"/>
                <w:szCs w:val="28"/>
              </w:rPr>
              <w:t>厂区消防安全评估报价明细表</w:t>
            </w:r>
          </w:p>
        </w:tc>
      </w:tr>
      <w:tr>
        <w:tblPrEx>
          <w:tblCellMar>
            <w:top w:w="0" w:type="dxa"/>
            <w:left w:w="108" w:type="dxa"/>
            <w:bottom w:w="0" w:type="dxa"/>
            <w:right w:w="108" w:type="dxa"/>
          </w:tblCellMar>
        </w:tblPrEx>
        <w:trPr>
          <w:trHeight w:val="312"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E2EFD9"/>
            <w:vAlign w:val="center"/>
          </w:tcPr>
          <w:p>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rPr>
              <w:t>序号</w:t>
            </w:r>
          </w:p>
        </w:tc>
        <w:tc>
          <w:tcPr>
            <w:tcW w:w="4341" w:type="dxa"/>
            <w:gridSpan w:val="2"/>
            <w:vMerge w:val="restart"/>
            <w:tcBorders>
              <w:top w:val="single" w:color="000000" w:sz="4" w:space="0"/>
              <w:left w:val="single" w:color="000000" w:sz="4" w:space="0"/>
              <w:bottom w:val="single" w:color="000000" w:sz="4" w:space="0"/>
              <w:right w:val="single" w:color="000000" w:sz="4" w:space="0"/>
            </w:tcBorders>
            <w:shd w:val="clear" w:color="auto" w:fill="E2EFD9"/>
            <w:vAlign w:val="center"/>
          </w:tcPr>
          <w:p>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rPr>
              <w:t>项目名称</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E2EFD9"/>
            <w:vAlign w:val="center"/>
          </w:tcPr>
          <w:p>
            <w:pPr>
              <w:widowControl/>
              <w:jc w:val="center"/>
              <w:textAlignment w:val="center"/>
              <w:rPr>
                <w:rFonts w:hint="eastAsia" w:ascii="黑体" w:hAnsi="宋体" w:eastAsia="黑体" w:cs="黑体"/>
                <w:b/>
                <w:bCs/>
                <w:color w:val="000000"/>
                <w:kern w:val="0"/>
                <w:sz w:val="24"/>
                <w:szCs w:val="24"/>
                <w:lang w:eastAsia="zh-CN"/>
              </w:rPr>
            </w:pPr>
            <w:r>
              <w:rPr>
                <w:rFonts w:hint="eastAsia" w:ascii="黑体" w:hAnsi="宋体" w:eastAsia="黑体" w:cs="黑体"/>
                <w:b/>
                <w:bCs/>
                <w:color w:val="000000"/>
                <w:kern w:val="0"/>
                <w:sz w:val="24"/>
                <w:szCs w:val="24"/>
              </w:rPr>
              <w:t>建筑面积</w:t>
            </w:r>
          </w:p>
          <w:p>
            <w:pPr>
              <w:pStyle w:val="10"/>
              <w:rPr>
                <w:rFonts w:hint="eastAsia"/>
                <w:lang w:eastAsia="zh-CN"/>
              </w:rPr>
            </w:pPr>
          </w:p>
          <w:p>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rPr>
              <w:t>（平方米）</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E2EFD9"/>
            <w:vAlign w:val="center"/>
          </w:tcPr>
          <w:p>
            <w:pPr>
              <w:widowControl/>
              <w:jc w:val="center"/>
              <w:textAlignment w:val="center"/>
              <w:rPr>
                <w:rFonts w:hint="eastAsia" w:ascii="黑体" w:hAnsi="宋体" w:eastAsia="黑体" w:cs="黑体"/>
                <w:b/>
                <w:bCs/>
                <w:color w:val="000000"/>
                <w:kern w:val="0"/>
                <w:sz w:val="24"/>
                <w:szCs w:val="24"/>
                <w:lang w:eastAsia="zh-CN"/>
              </w:rPr>
            </w:pPr>
            <w:r>
              <w:rPr>
                <w:rFonts w:hint="eastAsia" w:ascii="黑体" w:hAnsi="宋体" w:eastAsia="黑体" w:cs="黑体"/>
                <w:b/>
                <w:bCs/>
                <w:color w:val="000000"/>
                <w:kern w:val="0"/>
                <w:sz w:val="24"/>
                <w:szCs w:val="24"/>
              </w:rPr>
              <w:t>检测费用</w:t>
            </w:r>
          </w:p>
          <w:p>
            <w:pPr>
              <w:pStyle w:val="10"/>
              <w:rPr>
                <w:rFonts w:hint="eastAsia"/>
                <w:lang w:eastAsia="zh-CN"/>
              </w:rPr>
            </w:pPr>
          </w:p>
          <w:p>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rPr>
              <w:t>（元）</w:t>
            </w:r>
          </w:p>
        </w:tc>
      </w:tr>
      <w:tr>
        <w:tblPrEx>
          <w:tblCellMar>
            <w:top w:w="0" w:type="dxa"/>
            <w:left w:w="108" w:type="dxa"/>
            <w:bottom w:w="0" w:type="dxa"/>
            <w:right w:w="108" w:type="dxa"/>
          </w:tblCellMar>
        </w:tblPrEx>
        <w:trPr>
          <w:trHeight w:val="38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E2EFD9"/>
            <w:vAlign w:val="center"/>
          </w:tcPr>
          <w:p>
            <w:pPr>
              <w:jc w:val="center"/>
              <w:rPr>
                <w:rFonts w:ascii="黑体" w:hAnsi="宋体" w:eastAsia="黑体" w:cs="黑体"/>
                <w:b/>
                <w:bCs/>
                <w:color w:val="000000"/>
                <w:sz w:val="24"/>
                <w:szCs w:val="24"/>
              </w:rPr>
            </w:pPr>
          </w:p>
        </w:tc>
        <w:tc>
          <w:tcPr>
            <w:tcW w:w="4341" w:type="dxa"/>
            <w:gridSpan w:val="2"/>
            <w:vMerge w:val="continue"/>
            <w:tcBorders>
              <w:top w:val="single" w:color="000000" w:sz="4" w:space="0"/>
              <w:left w:val="single" w:color="000000" w:sz="4" w:space="0"/>
              <w:bottom w:val="single" w:color="000000" w:sz="4" w:space="0"/>
              <w:right w:val="single" w:color="000000" w:sz="4" w:space="0"/>
            </w:tcBorders>
            <w:shd w:val="clear" w:color="auto" w:fill="E2EFD9"/>
            <w:vAlign w:val="center"/>
          </w:tcPr>
          <w:p>
            <w:pPr>
              <w:jc w:val="center"/>
              <w:rPr>
                <w:rFonts w:ascii="黑体" w:hAnsi="宋体" w:eastAsia="黑体" w:cs="黑体"/>
                <w:b/>
                <w:bCs/>
                <w:color w:val="000000"/>
                <w:sz w:val="24"/>
                <w:szCs w:val="24"/>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E2EFD9"/>
            <w:vAlign w:val="center"/>
          </w:tcPr>
          <w:p>
            <w:pPr>
              <w:jc w:val="center"/>
              <w:rPr>
                <w:rFonts w:ascii="黑体" w:hAnsi="宋体" w:eastAsia="黑体" w:cs="黑体"/>
                <w:b/>
                <w:bCs/>
                <w:color w:val="000000"/>
                <w:sz w:val="24"/>
                <w:szCs w:val="24"/>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E2EFD9"/>
            <w:vAlign w:val="center"/>
          </w:tcPr>
          <w:p>
            <w:pPr>
              <w:jc w:val="center"/>
              <w:rPr>
                <w:rFonts w:ascii="黑体" w:hAnsi="宋体" w:eastAsia="黑体" w:cs="黑体"/>
                <w:b/>
                <w:bCs/>
                <w:color w:val="000000"/>
                <w:sz w:val="24"/>
                <w:szCs w:val="24"/>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1</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中心城区项目</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大沙地分公司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黑体" w:hAnsi="黑体" w:eastAsia="黑体" w:cs="黑体"/>
                <w:color w:val="000000"/>
                <w:kern w:val="0"/>
                <w:sz w:val="22"/>
              </w:rPr>
              <w:t>10855</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9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2</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西朗厂一期</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15369</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3</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京溪分公司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31683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4</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沥滘厂一二期</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10037</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5</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竹料分公司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8700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6</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大坦沙污水处理厂一、二、三期</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42062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7</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龙归分公司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9271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8</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石井净水分公司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89261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9</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石井分公司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10714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10</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猎德分公司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49842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黑体" w:hAnsi="宋体" w:eastAsia="黑体" w:cs="黑体"/>
                <w:color w:val="000000"/>
                <w:szCs w:val="21"/>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47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合计</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b/>
                <w:bCs/>
                <w:color w:val="000000"/>
                <w:szCs w:val="21"/>
              </w:rPr>
            </w:pPr>
          </w:p>
        </w:tc>
      </w:tr>
      <w:tr>
        <w:tblPrEx>
          <w:tblCellMar>
            <w:top w:w="0" w:type="dxa"/>
            <w:left w:w="108" w:type="dxa"/>
            <w:bottom w:w="0" w:type="dxa"/>
            <w:right w:w="108" w:type="dxa"/>
          </w:tblCellMar>
        </w:tblPrEx>
        <w:trPr>
          <w:trHeight w:val="270" w:hRule="atLeast"/>
        </w:trPr>
        <w:tc>
          <w:tcPr>
            <w:tcW w:w="668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kern w:val="0"/>
                <w:szCs w:val="21"/>
              </w:rPr>
            </w:pPr>
            <w:r>
              <w:rPr>
                <w:rFonts w:hint="eastAsia" w:ascii="黑体" w:hAnsi="宋体" w:eastAsia="黑体" w:cs="黑体"/>
                <w:b/>
                <w:bCs/>
                <w:color w:val="000000"/>
                <w:kern w:val="0"/>
                <w:szCs w:val="21"/>
              </w:rPr>
              <w:t>中心城区项目检测部分合计报价：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b/>
                <w:bCs/>
                <w:color w:val="000000"/>
                <w:szCs w:val="21"/>
              </w:rPr>
            </w:pPr>
          </w:p>
        </w:tc>
      </w:tr>
      <w:tr>
        <w:tblPrEx>
          <w:tblCellMar>
            <w:top w:w="0" w:type="dxa"/>
            <w:left w:w="108" w:type="dxa"/>
            <w:bottom w:w="0" w:type="dxa"/>
            <w:right w:w="108" w:type="dxa"/>
          </w:tblCellMar>
        </w:tblPrEx>
        <w:trPr>
          <w:trHeight w:val="270" w:hRule="atLeast"/>
        </w:trPr>
        <w:tc>
          <w:tcPr>
            <w:tcW w:w="668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b/>
                <w:bCs/>
                <w:color w:val="000000"/>
                <w:kern w:val="0"/>
                <w:szCs w:val="21"/>
              </w:rPr>
            </w:pPr>
            <w:r>
              <w:rPr>
                <w:rFonts w:hint="eastAsia" w:ascii="黑体" w:hAnsi="宋体" w:eastAsia="黑体" w:cs="黑体"/>
                <w:b/>
                <w:bCs/>
                <w:color w:val="000000"/>
                <w:kern w:val="0"/>
                <w:szCs w:val="21"/>
              </w:rPr>
              <w:t>中心城区项目评估部分合计报价</w:t>
            </w:r>
          </w:p>
          <w:p>
            <w:pPr>
              <w:widowControl/>
              <w:jc w:val="center"/>
              <w:textAlignment w:val="bottom"/>
              <w:rPr>
                <w:rFonts w:ascii="黑体" w:hAnsi="宋体" w:eastAsia="黑体" w:cs="黑体"/>
                <w:color w:val="000000"/>
                <w:kern w:val="0"/>
                <w:szCs w:val="21"/>
              </w:rPr>
            </w:pPr>
            <w:r>
              <w:rPr>
                <w:rFonts w:hint="eastAsia" w:ascii="黑体" w:hAnsi="宋体" w:eastAsia="黑体" w:cs="黑体"/>
                <w:b/>
                <w:bCs/>
                <w:color w:val="000000"/>
                <w:kern w:val="0"/>
                <w:szCs w:val="21"/>
              </w:rPr>
              <w:t>（按检测部分40%计算）</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b/>
                <w:bCs/>
                <w:color w:val="000000"/>
                <w:szCs w:val="21"/>
              </w:rPr>
            </w:pPr>
          </w:p>
        </w:tc>
      </w:tr>
      <w:tr>
        <w:tblPrEx>
          <w:tblCellMar>
            <w:top w:w="0" w:type="dxa"/>
            <w:left w:w="108" w:type="dxa"/>
            <w:bottom w:w="0" w:type="dxa"/>
            <w:right w:w="108" w:type="dxa"/>
          </w:tblCellMar>
        </w:tblPrEx>
        <w:trPr>
          <w:trHeight w:val="270" w:hRule="atLeast"/>
        </w:trPr>
        <w:tc>
          <w:tcPr>
            <w:tcW w:w="668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kern w:val="0"/>
                <w:szCs w:val="21"/>
              </w:rPr>
            </w:pPr>
            <w:r>
              <w:rPr>
                <w:rFonts w:hint="eastAsia" w:ascii="黑体" w:hAnsi="宋体" w:eastAsia="黑体" w:cs="黑体"/>
                <w:b/>
                <w:bCs/>
                <w:color w:val="000000"/>
                <w:kern w:val="0"/>
                <w:szCs w:val="21"/>
              </w:rPr>
              <w:t>消防安全评估合计总费用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b/>
                <w:bCs/>
                <w:color w:val="000000"/>
                <w:szCs w:val="21"/>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11</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从化公司项目</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中心净水厂及青苔坑泵站</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6889</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12</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太平净水厂</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1909</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13</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温泉净水厂及泵站</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4663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14</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良口净水厂及泵站</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4122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15</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明珠净水厂及提标改造</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3501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16</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鳌头净水厂</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4514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17</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吕田净水厂</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1201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27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18</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从化水质净化厂及提标改造</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rPr>
              <w:t>1817</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宋体" w:hAnsi="宋体" w:eastAsia="宋体" w:cs="宋体"/>
                <w:color w:val="000000"/>
                <w:sz w:val="22"/>
              </w:rPr>
            </w:pPr>
          </w:p>
        </w:tc>
      </w:tr>
      <w:tr>
        <w:tblPrEx>
          <w:tblCellMar>
            <w:top w:w="0" w:type="dxa"/>
            <w:left w:w="108" w:type="dxa"/>
            <w:bottom w:w="0" w:type="dxa"/>
            <w:right w:w="108" w:type="dxa"/>
          </w:tblCellMar>
        </w:tblPrEx>
        <w:trPr>
          <w:trHeight w:val="332"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黑体" w:hAnsi="宋体" w:eastAsia="黑体" w:cs="黑体"/>
                <w:color w:val="000000"/>
                <w:szCs w:val="21"/>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s="黑体"/>
                <w:color w:val="000000"/>
                <w:szCs w:val="21"/>
              </w:rPr>
            </w:pPr>
          </w:p>
        </w:tc>
        <w:tc>
          <w:tcPr>
            <w:tcW w:w="473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color w:val="000000"/>
                <w:szCs w:val="21"/>
              </w:rPr>
            </w:pPr>
            <w:r>
              <w:rPr>
                <w:rFonts w:hint="eastAsia" w:ascii="黑体" w:hAnsi="宋体" w:eastAsia="黑体" w:cs="黑体"/>
                <w:color w:val="000000"/>
                <w:kern w:val="0"/>
                <w:szCs w:val="21"/>
              </w:rPr>
              <w:t>合计</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b/>
                <w:bCs/>
                <w:color w:val="000000"/>
                <w:szCs w:val="21"/>
              </w:rPr>
            </w:pPr>
          </w:p>
        </w:tc>
      </w:tr>
      <w:tr>
        <w:tblPrEx>
          <w:tblCellMar>
            <w:top w:w="0" w:type="dxa"/>
            <w:left w:w="108" w:type="dxa"/>
            <w:bottom w:w="0" w:type="dxa"/>
            <w:right w:w="108" w:type="dxa"/>
          </w:tblCellMar>
        </w:tblPrEx>
        <w:trPr>
          <w:trHeight w:val="300" w:hRule="atLeast"/>
        </w:trPr>
        <w:tc>
          <w:tcPr>
            <w:tcW w:w="668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b/>
                <w:bCs/>
                <w:color w:val="000000"/>
                <w:szCs w:val="21"/>
              </w:rPr>
            </w:pPr>
            <w:r>
              <w:rPr>
                <w:rFonts w:hint="eastAsia" w:ascii="黑体" w:hAnsi="宋体" w:eastAsia="黑体" w:cs="黑体"/>
                <w:b/>
                <w:bCs/>
                <w:color w:val="000000"/>
                <w:kern w:val="0"/>
                <w:szCs w:val="21"/>
              </w:rPr>
              <w:t>从化公司项目检测部分合计报价：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b/>
                <w:bCs/>
                <w:color w:val="000000"/>
                <w:szCs w:val="21"/>
              </w:rPr>
            </w:pPr>
          </w:p>
        </w:tc>
      </w:tr>
      <w:tr>
        <w:tblPrEx>
          <w:tblCellMar>
            <w:top w:w="0" w:type="dxa"/>
            <w:left w:w="108" w:type="dxa"/>
            <w:bottom w:w="0" w:type="dxa"/>
            <w:right w:w="108" w:type="dxa"/>
          </w:tblCellMar>
        </w:tblPrEx>
        <w:trPr>
          <w:trHeight w:val="300" w:hRule="atLeast"/>
        </w:trPr>
        <w:tc>
          <w:tcPr>
            <w:tcW w:w="668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b/>
                <w:bCs/>
                <w:color w:val="000000"/>
                <w:kern w:val="0"/>
                <w:szCs w:val="21"/>
              </w:rPr>
            </w:pPr>
            <w:r>
              <w:rPr>
                <w:rFonts w:hint="eastAsia" w:ascii="黑体" w:hAnsi="宋体" w:eastAsia="黑体" w:cs="黑体"/>
                <w:b/>
                <w:bCs/>
                <w:color w:val="000000"/>
                <w:kern w:val="0"/>
                <w:szCs w:val="21"/>
              </w:rPr>
              <w:t>从化公司项目评估部分合计报价</w:t>
            </w:r>
          </w:p>
          <w:p>
            <w:pPr>
              <w:widowControl/>
              <w:jc w:val="center"/>
              <w:textAlignment w:val="bottom"/>
              <w:rPr>
                <w:rFonts w:ascii="黑体" w:hAnsi="宋体" w:eastAsia="黑体" w:cs="黑体"/>
                <w:b/>
                <w:bCs/>
                <w:color w:val="000000"/>
                <w:kern w:val="0"/>
                <w:szCs w:val="21"/>
              </w:rPr>
            </w:pPr>
            <w:r>
              <w:rPr>
                <w:rFonts w:hint="eastAsia" w:ascii="黑体" w:hAnsi="宋体" w:eastAsia="黑体" w:cs="黑体"/>
                <w:b/>
                <w:bCs/>
                <w:color w:val="000000"/>
                <w:kern w:val="0"/>
                <w:szCs w:val="21"/>
              </w:rPr>
              <w:t>（按检测部分40%计算）</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b/>
                <w:bCs/>
                <w:color w:val="000000"/>
                <w:kern w:val="0"/>
                <w:szCs w:val="21"/>
              </w:rPr>
            </w:pPr>
          </w:p>
        </w:tc>
      </w:tr>
      <w:tr>
        <w:tblPrEx>
          <w:tblCellMar>
            <w:top w:w="0" w:type="dxa"/>
            <w:left w:w="108" w:type="dxa"/>
            <w:bottom w:w="0" w:type="dxa"/>
            <w:right w:w="108" w:type="dxa"/>
          </w:tblCellMar>
        </w:tblPrEx>
        <w:trPr>
          <w:trHeight w:val="300" w:hRule="atLeast"/>
        </w:trPr>
        <w:tc>
          <w:tcPr>
            <w:tcW w:w="668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b/>
                <w:bCs/>
                <w:color w:val="000000"/>
                <w:kern w:val="0"/>
                <w:szCs w:val="21"/>
              </w:rPr>
            </w:pPr>
            <w:r>
              <w:rPr>
                <w:rFonts w:hint="eastAsia" w:ascii="黑体" w:hAnsi="宋体" w:eastAsia="黑体" w:cs="黑体"/>
                <w:b/>
                <w:bCs/>
                <w:color w:val="000000"/>
                <w:kern w:val="0"/>
                <w:szCs w:val="21"/>
              </w:rPr>
              <w:t>从化公司项目消防安全评估合计总费用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黑体" w:hAnsi="宋体" w:eastAsia="黑体" w:cs="黑体"/>
                <w:b/>
                <w:bCs/>
                <w:color w:val="000000"/>
                <w:kern w:val="0"/>
                <w:szCs w:val="21"/>
              </w:rPr>
            </w:pPr>
          </w:p>
        </w:tc>
      </w:tr>
    </w:tbl>
    <w:p>
      <w:pPr>
        <w:spacing w:line="360" w:lineRule="auto"/>
        <w:rPr>
          <w:rFonts w:ascii="黑体" w:hAnsi="黑体" w:eastAsia="黑体" w:cs="黑体"/>
          <w:sz w:val="24"/>
          <w:szCs w:val="24"/>
        </w:rPr>
      </w:pPr>
    </w:p>
    <w:p>
      <w:pPr>
        <w:spacing w:line="360" w:lineRule="auto"/>
        <w:rPr>
          <w:rFonts w:ascii="黑体" w:hAnsi="黑体" w:eastAsia="黑体" w:cs="黑体"/>
          <w:sz w:val="15"/>
          <w:szCs w:val="15"/>
        </w:rPr>
      </w:pPr>
      <w:r>
        <w:rPr>
          <w:rFonts w:hint="eastAsia" w:ascii="黑体" w:hAnsi="黑体" w:eastAsia="黑体" w:cs="黑体"/>
          <w:sz w:val="15"/>
          <w:szCs w:val="15"/>
        </w:rPr>
        <w:t>报价说明：</w:t>
      </w:r>
    </w:p>
    <w:p>
      <w:pPr>
        <w:spacing w:line="360" w:lineRule="auto"/>
        <w:rPr>
          <w:rFonts w:ascii="黑体" w:hAnsi="黑体" w:eastAsia="黑体" w:cs="黑体"/>
          <w:sz w:val="15"/>
          <w:szCs w:val="15"/>
        </w:rPr>
      </w:pPr>
      <w:r>
        <w:rPr>
          <w:rFonts w:hint="eastAsia" w:ascii="黑体" w:hAnsi="黑体" w:eastAsia="黑体" w:cs="黑体"/>
          <w:sz w:val="15"/>
          <w:szCs w:val="15"/>
        </w:rPr>
        <w:t>1.消防安全评估费用由检测费用及评估费用组成。</w:t>
      </w:r>
    </w:p>
    <w:p>
      <w:pPr>
        <w:spacing w:line="360" w:lineRule="auto"/>
        <w:rPr>
          <w:rFonts w:ascii="黑体" w:hAnsi="黑体" w:eastAsia="黑体" w:cs="黑体"/>
          <w:sz w:val="15"/>
          <w:szCs w:val="15"/>
        </w:rPr>
      </w:pPr>
      <w:r>
        <w:rPr>
          <w:rFonts w:hint="eastAsia" w:ascii="黑体" w:hAnsi="黑体" w:eastAsia="黑体" w:cs="黑体"/>
          <w:sz w:val="15"/>
          <w:szCs w:val="15"/>
        </w:rPr>
        <w:t>2.评估费用总价包干。</w:t>
      </w:r>
    </w:p>
    <w:p>
      <w:pPr>
        <w:spacing w:line="360" w:lineRule="auto"/>
        <w:rPr>
          <w:rFonts w:ascii="黑体" w:hAnsi="黑体" w:eastAsia="黑体" w:cs="黑体"/>
          <w:sz w:val="15"/>
          <w:szCs w:val="15"/>
        </w:rPr>
      </w:pPr>
      <w:r>
        <w:rPr>
          <w:rFonts w:hint="eastAsia" w:ascii="黑体" w:hAnsi="黑体" w:eastAsia="黑体" w:cs="黑体"/>
          <w:sz w:val="15"/>
          <w:szCs w:val="15"/>
        </w:rPr>
        <w:t>3.各厂区及泵站提供的部分建筑面积为预估值。</w:t>
      </w:r>
    </w:p>
    <w:p>
      <w:pPr>
        <w:spacing w:line="384" w:lineRule="auto"/>
        <w:rPr>
          <w:rFonts w:hint="eastAsia" w:ascii="仿宋" w:hAnsi="仿宋" w:eastAsia="仿宋" w:cs="仿宋_GB2312"/>
          <w:b/>
          <w:color w:val="000000"/>
          <w:sz w:val="28"/>
          <w:szCs w:val="28"/>
          <w:lang w:val="en-US" w:eastAsia="zh-CN"/>
        </w:rPr>
      </w:pPr>
      <w:r>
        <w:rPr>
          <w:rFonts w:hint="eastAsia" w:ascii="黑体" w:hAnsi="黑体" w:eastAsia="黑体" w:cs="黑体"/>
          <w:sz w:val="15"/>
          <w:szCs w:val="15"/>
        </w:rPr>
        <w:t>4.以上报价含税（税率6%）</w:t>
      </w:r>
    </w:p>
    <w:p>
      <w:pPr>
        <w:widowControl/>
        <w:tabs>
          <w:tab w:val="left" w:pos="851"/>
        </w:tabs>
        <w:adjustRightInd w:val="0"/>
        <w:snapToGrid w:val="0"/>
        <w:spacing w:line="384"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lang w:val="en-US" w:eastAsia="zh-CN"/>
        </w:rPr>
        <w:t xml:space="preserve">6 </w:t>
      </w:r>
      <w:r>
        <w:rPr>
          <w:rFonts w:hint="eastAsia" w:ascii="仿宋" w:hAnsi="仿宋" w:eastAsia="仿宋" w:cs="仿宋_GB2312"/>
          <w:b/>
          <w:bCs/>
          <w:color w:val="000000" w:themeColor="text1"/>
          <w:sz w:val="28"/>
          <w:szCs w:val="28"/>
          <w14:textFill>
            <w14:solidFill>
              <w14:schemeClr w14:val="tx1"/>
            </w14:solidFill>
          </w14:textFill>
        </w:rPr>
        <w:t>项目单位、人员资格情况</w:t>
      </w:r>
    </w:p>
    <w:p>
      <w:pPr>
        <w:jc w:val="center"/>
        <w:rPr>
          <w:rFonts w:ascii="仿宋" w:hAnsi="仿宋" w:eastAsia="仿宋" w:cs="仿宋_GB2312"/>
          <w:b/>
          <w:color w:val="000000"/>
          <w:sz w:val="28"/>
          <w:szCs w:val="28"/>
          <w:highlight w:val="yellow"/>
        </w:rPr>
      </w:pPr>
    </w:p>
    <w:p>
      <w:pPr>
        <w:widowControl/>
        <w:jc w:val="left"/>
        <w:rPr>
          <w:rFonts w:ascii="宋体" w:hAnsi="宋体" w:cs="宋体"/>
          <w:bCs/>
          <w:sz w:val="24"/>
        </w:rPr>
      </w:pPr>
    </w:p>
    <w:p>
      <w:pPr>
        <w:widowControl/>
        <w:tabs>
          <w:tab w:val="left" w:pos="851"/>
        </w:tabs>
        <w:adjustRightInd w:val="0"/>
        <w:snapToGrid w:val="0"/>
        <w:spacing w:line="384" w:lineRule="auto"/>
        <w:jc w:val="center"/>
        <w:rPr>
          <w:rFonts w:ascii="宋体" w:hAnsi="宋体" w:cs="宋体"/>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3688080</wp:posOffset>
              </wp:positionH>
              <wp:positionV relativeFrom="page">
                <wp:posOffset>9901555</wp:posOffset>
              </wp:positionV>
              <wp:extent cx="184785" cy="1727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4785" cy="172720"/>
                      </a:xfrm>
                      <a:prstGeom prst="rect">
                        <a:avLst/>
                      </a:prstGeom>
                      <a:noFill/>
                      <a:ln>
                        <a:noFill/>
                      </a:ln>
                      <a:effectLst/>
                    </wps:spPr>
                    <wps:txbx>
                      <w:txbxContent>
                        <w:p>
                          <w:pPr>
                            <w:spacing w:before="10"/>
                            <w:ind w:left="40"/>
                            <w:jc w:val="left"/>
                            <w:rPr>
                              <w:rFonts w:ascii="Times New Roman"/>
                            </w:rPr>
                          </w:pPr>
                          <w:r>
                            <w:fldChar w:fldCharType="begin"/>
                          </w:r>
                          <w:r>
                            <w:rPr>
                              <w:rFonts w:ascii="Times New Roman"/>
                            </w:rPr>
                            <w:instrText xml:space="preserve"> PAGE </w:instrText>
                          </w:r>
                          <w:r>
                            <w:fldChar w:fldCharType="separate"/>
                          </w:r>
                          <w:r>
                            <w:rPr>
                              <w:rFonts w:ascii="Times New Roman"/>
                            </w:rP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0.4pt;margin-top:779.65pt;height:13.6pt;width:14.55pt;mso-position-horizontal-relative:page;mso-position-vertical-relative:page;z-index:-251656192;mso-width-relative:page;mso-height-relative:page;" filled="f" stroked="f" coordsize="21600,21600" o:gfxdata="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8PQZI2gAAAA0BAAAP&#10;AAAAAAAAAAEAIAAAACIAAABkcnMvZG93bnJldi54bWxQSwECFAAUAAAACACHTuJABC0YlKQBAAAx&#10;AwAADgAAAAAAAAABACAAAAApAQAAZHJzL2Uyb0RvYy54bWxQSwUGAAAAAAYABgBZAQAAPwUAAAAA&#10;">
              <v:fill on="f" focussize="0,0"/>
              <v:stroke on="f"/>
              <v:imagedata o:title=""/>
              <o:lock v:ext="edit" aspectratio="f"/>
              <v:textbox inset="0mm,0mm,0mm,0mm">
                <w:txbxContent>
                  <w:p>
                    <w:pPr>
                      <w:spacing w:before="10"/>
                      <w:ind w:left="40"/>
                      <w:jc w:val="left"/>
                      <w:rPr>
                        <w:rFonts w:ascii="Times New Roman"/>
                      </w:rPr>
                    </w:pPr>
                    <w:r>
                      <w:fldChar w:fldCharType="begin"/>
                    </w:r>
                    <w:r>
                      <w:rPr>
                        <w:rFonts w:ascii="Times New Roman"/>
                      </w:rPr>
                      <w:instrText xml:space="preserve"> PAGE </w:instrText>
                    </w:r>
                    <w:r>
                      <w:fldChar w:fldCharType="separate"/>
                    </w:r>
                    <w:r>
                      <w:rPr>
                        <w:rFonts w:ascii="Times New Roman"/>
                      </w:rP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69B8F5E2"/>
    <w:multiLevelType w:val="singleLevel"/>
    <w:tmpl w:val="69B8F5E2"/>
    <w:lvl w:ilvl="0" w:tentative="0">
      <w:start w:val="2"/>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FA"/>
    <w:rsid w:val="00006243"/>
    <w:rsid w:val="000644E6"/>
    <w:rsid w:val="000657B9"/>
    <w:rsid w:val="000A513D"/>
    <w:rsid w:val="000B2E59"/>
    <w:rsid w:val="000E45BC"/>
    <w:rsid w:val="000F0E33"/>
    <w:rsid w:val="00112127"/>
    <w:rsid w:val="00113A79"/>
    <w:rsid w:val="001467CA"/>
    <w:rsid w:val="00163A61"/>
    <w:rsid w:val="00175C22"/>
    <w:rsid w:val="00194425"/>
    <w:rsid w:val="00196351"/>
    <w:rsid w:val="001F46A9"/>
    <w:rsid w:val="001F5CC8"/>
    <w:rsid w:val="00204AB7"/>
    <w:rsid w:val="002144D7"/>
    <w:rsid w:val="00230C77"/>
    <w:rsid w:val="00235700"/>
    <w:rsid w:val="00243240"/>
    <w:rsid w:val="00250256"/>
    <w:rsid w:val="00285EFB"/>
    <w:rsid w:val="002A21F8"/>
    <w:rsid w:val="002F588A"/>
    <w:rsid w:val="00320FA9"/>
    <w:rsid w:val="00335D77"/>
    <w:rsid w:val="00352134"/>
    <w:rsid w:val="00356EFB"/>
    <w:rsid w:val="003A0C70"/>
    <w:rsid w:val="003A30A6"/>
    <w:rsid w:val="003B107E"/>
    <w:rsid w:val="003D205C"/>
    <w:rsid w:val="003D66E3"/>
    <w:rsid w:val="003E3A96"/>
    <w:rsid w:val="004273C1"/>
    <w:rsid w:val="0046764A"/>
    <w:rsid w:val="00477301"/>
    <w:rsid w:val="00481194"/>
    <w:rsid w:val="004814F2"/>
    <w:rsid w:val="004E1354"/>
    <w:rsid w:val="0050227A"/>
    <w:rsid w:val="00504917"/>
    <w:rsid w:val="00525D06"/>
    <w:rsid w:val="00527A1E"/>
    <w:rsid w:val="005328FE"/>
    <w:rsid w:val="00536854"/>
    <w:rsid w:val="00570096"/>
    <w:rsid w:val="00570D85"/>
    <w:rsid w:val="00576C8D"/>
    <w:rsid w:val="005840C1"/>
    <w:rsid w:val="005A4EA8"/>
    <w:rsid w:val="005F336B"/>
    <w:rsid w:val="006077E7"/>
    <w:rsid w:val="00613B10"/>
    <w:rsid w:val="00653163"/>
    <w:rsid w:val="006840DB"/>
    <w:rsid w:val="006E0C83"/>
    <w:rsid w:val="006F100F"/>
    <w:rsid w:val="00703691"/>
    <w:rsid w:val="00724C42"/>
    <w:rsid w:val="007263F2"/>
    <w:rsid w:val="007331F2"/>
    <w:rsid w:val="00747A49"/>
    <w:rsid w:val="007550D7"/>
    <w:rsid w:val="00786097"/>
    <w:rsid w:val="007957B4"/>
    <w:rsid w:val="0079655F"/>
    <w:rsid w:val="007A6F35"/>
    <w:rsid w:val="007B6895"/>
    <w:rsid w:val="007D172A"/>
    <w:rsid w:val="007F6D48"/>
    <w:rsid w:val="007F7F8F"/>
    <w:rsid w:val="008077D6"/>
    <w:rsid w:val="0083305F"/>
    <w:rsid w:val="00833F4E"/>
    <w:rsid w:val="0083463C"/>
    <w:rsid w:val="008410FC"/>
    <w:rsid w:val="00850945"/>
    <w:rsid w:val="00854ED4"/>
    <w:rsid w:val="00876F4F"/>
    <w:rsid w:val="008A3A31"/>
    <w:rsid w:val="008B03F8"/>
    <w:rsid w:val="008E4F0E"/>
    <w:rsid w:val="00933EEF"/>
    <w:rsid w:val="00940686"/>
    <w:rsid w:val="0095329C"/>
    <w:rsid w:val="00974494"/>
    <w:rsid w:val="0098076A"/>
    <w:rsid w:val="009B1F7B"/>
    <w:rsid w:val="009C7F95"/>
    <w:rsid w:val="00A042A5"/>
    <w:rsid w:val="00A07297"/>
    <w:rsid w:val="00A10754"/>
    <w:rsid w:val="00A37654"/>
    <w:rsid w:val="00A55510"/>
    <w:rsid w:val="00A66265"/>
    <w:rsid w:val="00A9730C"/>
    <w:rsid w:val="00AC7CE3"/>
    <w:rsid w:val="00AE2741"/>
    <w:rsid w:val="00AF5C08"/>
    <w:rsid w:val="00B057D6"/>
    <w:rsid w:val="00B322B9"/>
    <w:rsid w:val="00B41AF6"/>
    <w:rsid w:val="00B76342"/>
    <w:rsid w:val="00B908B9"/>
    <w:rsid w:val="00B936D7"/>
    <w:rsid w:val="00BA63CA"/>
    <w:rsid w:val="00BC5308"/>
    <w:rsid w:val="00BC63F4"/>
    <w:rsid w:val="00BD0A61"/>
    <w:rsid w:val="00BD2540"/>
    <w:rsid w:val="00BD6CB0"/>
    <w:rsid w:val="00BF29CD"/>
    <w:rsid w:val="00C00DEE"/>
    <w:rsid w:val="00C2525F"/>
    <w:rsid w:val="00C351CD"/>
    <w:rsid w:val="00C40D7A"/>
    <w:rsid w:val="00C669FA"/>
    <w:rsid w:val="00CA61FE"/>
    <w:rsid w:val="00CC428A"/>
    <w:rsid w:val="00D0201F"/>
    <w:rsid w:val="00D141CE"/>
    <w:rsid w:val="00D30450"/>
    <w:rsid w:val="00D32BCA"/>
    <w:rsid w:val="00D61CC7"/>
    <w:rsid w:val="00D61E8F"/>
    <w:rsid w:val="00D70B32"/>
    <w:rsid w:val="00DB0C60"/>
    <w:rsid w:val="00DC06EB"/>
    <w:rsid w:val="00E135A3"/>
    <w:rsid w:val="00EB7847"/>
    <w:rsid w:val="00EE09EB"/>
    <w:rsid w:val="00EE5DF6"/>
    <w:rsid w:val="00F056F1"/>
    <w:rsid w:val="00F222B0"/>
    <w:rsid w:val="00F35C04"/>
    <w:rsid w:val="00F44C25"/>
    <w:rsid w:val="00F72BF8"/>
    <w:rsid w:val="00F81A4F"/>
    <w:rsid w:val="00FC38AC"/>
    <w:rsid w:val="00FC4531"/>
    <w:rsid w:val="00FD2A30"/>
    <w:rsid w:val="0230556B"/>
    <w:rsid w:val="02343436"/>
    <w:rsid w:val="027C51E7"/>
    <w:rsid w:val="02C45024"/>
    <w:rsid w:val="02DD3998"/>
    <w:rsid w:val="02DE0B86"/>
    <w:rsid w:val="03037CF8"/>
    <w:rsid w:val="035F0B77"/>
    <w:rsid w:val="03DB1883"/>
    <w:rsid w:val="045421B6"/>
    <w:rsid w:val="04DE6D1E"/>
    <w:rsid w:val="04FF3508"/>
    <w:rsid w:val="05095E75"/>
    <w:rsid w:val="05174B77"/>
    <w:rsid w:val="052054B8"/>
    <w:rsid w:val="06243476"/>
    <w:rsid w:val="06355894"/>
    <w:rsid w:val="06C54929"/>
    <w:rsid w:val="078E406D"/>
    <w:rsid w:val="07966214"/>
    <w:rsid w:val="09A31FD9"/>
    <w:rsid w:val="09C22631"/>
    <w:rsid w:val="09CC34BD"/>
    <w:rsid w:val="09D62F87"/>
    <w:rsid w:val="0A130BDB"/>
    <w:rsid w:val="0A310C5B"/>
    <w:rsid w:val="0A810BB7"/>
    <w:rsid w:val="0BCC12D4"/>
    <w:rsid w:val="0BDD185B"/>
    <w:rsid w:val="0C2C1C4E"/>
    <w:rsid w:val="0C6531BD"/>
    <w:rsid w:val="0C9D4947"/>
    <w:rsid w:val="0CD71487"/>
    <w:rsid w:val="0CED7B7E"/>
    <w:rsid w:val="0D6152C6"/>
    <w:rsid w:val="0DBF1D0E"/>
    <w:rsid w:val="0E1D291D"/>
    <w:rsid w:val="0E1D472A"/>
    <w:rsid w:val="0EE9157F"/>
    <w:rsid w:val="10370330"/>
    <w:rsid w:val="10896337"/>
    <w:rsid w:val="10D9654E"/>
    <w:rsid w:val="10EE560A"/>
    <w:rsid w:val="11795574"/>
    <w:rsid w:val="118C396D"/>
    <w:rsid w:val="120339C7"/>
    <w:rsid w:val="12B5724A"/>
    <w:rsid w:val="13B331D6"/>
    <w:rsid w:val="14347FA8"/>
    <w:rsid w:val="144D02B6"/>
    <w:rsid w:val="14BA2BF8"/>
    <w:rsid w:val="16821D00"/>
    <w:rsid w:val="16DD47BB"/>
    <w:rsid w:val="17374AFE"/>
    <w:rsid w:val="180E3909"/>
    <w:rsid w:val="181668B9"/>
    <w:rsid w:val="18832F1A"/>
    <w:rsid w:val="196F7096"/>
    <w:rsid w:val="19824D9A"/>
    <w:rsid w:val="198533A4"/>
    <w:rsid w:val="19EE3322"/>
    <w:rsid w:val="19FC795C"/>
    <w:rsid w:val="1A4E22BB"/>
    <w:rsid w:val="1A596716"/>
    <w:rsid w:val="1B0273E9"/>
    <w:rsid w:val="1C3C20F0"/>
    <w:rsid w:val="1CD74E98"/>
    <w:rsid w:val="1D055DF6"/>
    <w:rsid w:val="1D331CEE"/>
    <w:rsid w:val="1DDC2BB3"/>
    <w:rsid w:val="1F1B4A01"/>
    <w:rsid w:val="1F366DE3"/>
    <w:rsid w:val="1F8174D8"/>
    <w:rsid w:val="1FAC1212"/>
    <w:rsid w:val="1FC72481"/>
    <w:rsid w:val="1FD24E5F"/>
    <w:rsid w:val="201607F8"/>
    <w:rsid w:val="201C0EBB"/>
    <w:rsid w:val="20AC391D"/>
    <w:rsid w:val="20DA7D04"/>
    <w:rsid w:val="211A4E6B"/>
    <w:rsid w:val="21DA2129"/>
    <w:rsid w:val="22532BAA"/>
    <w:rsid w:val="22C943A4"/>
    <w:rsid w:val="2344568D"/>
    <w:rsid w:val="23B40BAD"/>
    <w:rsid w:val="24497AFE"/>
    <w:rsid w:val="24B62D0B"/>
    <w:rsid w:val="24D34CC3"/>
    <w:rsid w:val="24E76AE1"/>
    <w:rsid w:val="25471DC0"/>
    <w:rsid w:val="25522FCB"/>
    <w:rsid w:val="257874B1"/>
    <w:rsid w:val="25972AF3"/>
    <w:rsid w:val="27E84EF3"/>
    <w:rsid w:val="27EF76F4"/>
    <w:rsid w:val="283B16A2"/>
    <w:rsid w:val="28B67AA9"/>
    <w:rsid w:val="28F033EC"/>
    <w:rsid w:val="2A203634"/>
    <w:rsid w:val="2AFA2A43"/>
    <w:rsid w:val="2BCB53FF"/>
    <w:rsid w:val="2BF02967"/>
    <w:rsid w:val="2C7D57F3"/>
    <w:rsid w:val="2CF27BFD"/>
    <w:rsid w:val="2CFF2AC4"/>
    <w:rsid w:val="2DAB1D7F"/>
    <w:rsid w:val="2E1C0350"/>
    <w:rsid w:val="2E9A7907"/>
    <w:rsid w:val="2EBB01E8"/>
    <w:rsid w:val="2ED44369"/>
    <w:rsid w:val="2EF5442D"/>
    <w:rsid w:val="2F384E2C"/>
    <w:rsid w:val="2F3C67E8"/>
    <w:rsid w:val="2FF148BC"/>
    <w:rsid w:val="30D47D69"/>
    <w:rsid w:val="324754BF"/>
    <w:rsid w:val="33577F1A"/>
    <w:rsid w:val="335D4DF8"/>
    <w:rsid w:val="33E05741"/>
    <w:rsid w:val="34313EA1"/>
    <w:rsid w:val="349C0065"/>
    <w:rsid w:val="355911F2"/>
    <w:rsid w:val="35971342"/>
    <w:rsid w:val="35A51965"/>
    <w:rsid w:val="35BC3E9B"/>
    <w:rsid w:val="35CA051A"/>
    <w:rsid w:val="35F30600"/>
    <w:rsid w:val="368A751D"/>
    <w:rsid w:val="36F605F6"/>
    <w:rsid w:val="3702227D"/>
    <w:rsid w:val="37942F37"/>
    <w:rsid w:val="37D12C4F"/>
    <w:rsid w:val="38527913"/>
    <w:rsid w:val="38E32DF0"/>
    <w:rsid w:val="38F70FAB"/>
    <w:rsid w:val="3BF06E58"/>
    <w:rsid w:val="3C1B2FB1"/>
    <w:rsid w:val="3CC13F04"/>
    <w:rsid w:val="3D204756"/>
    <w:rsid w:val="3D3B66A0"/>
    <w:rsid w:val="3D6D7DB5"/>
    <w:rsid w:val="3E1C262E"/>
    <w:rsid w:val="3EB863C2"/>
    <w:rsid w:val="3EC8123A"/>
    <w:rsid w:val="3EEE5D0B"/>
    <w:rsid w:val="4033011A"/>
    <w:rsid w:val="40385B1B"/>
    <w:rsid w:val="4053122F"/>
    <w:rsid w:val="41120516"/>
    <w:rsid w:val="416D3C2F"/>
    <w:rsid w:val="418A72E9"/>
    <w:rsid w:val="41E946A4"/>
    <w:rsid w:val="42093E84"/>
    <w:rsid w:val="4262402A"/>
    <w:rsid w:val="42640D5D"/>
    <w:rsid w:val="42BF01C5"/>
    <w:rsid w:val="43BD4763"/>
    <w:rsid w:val="440F37B8"/>
    <w:rsid w:val="44FD12C2"/>
    <w:rsid w:val="454C315F"/>
    <w:rsid w:val="454E7DE8"/>
    <w:rsid w:val="45594965"/>
    <w:rsid w:val="45757F91"/>
    <w:rsid w:val="45A963CC"/>
    <w:rsid w:val="45D61028"/>
    <w:rsid w:val="463254C2"/>
    <w:rsid w:val="46C66A03"/>
    <w:rsid w:val="47846DD6"/>
    <w:rsid w:val="47977170"/>
    <w:rsid w:val="480139C4"/>
    <w:rsid w:val="486C199F"/>
    <w:rsid w:val="48DB21ED"/>
    <w:rsid w:val="48F4528B"/>
    <w:rsid w:val="48F93512"/>
    <w:rsid w:val="49581783"/>
    <w:rsid w:val="49B179A8"/>
    <w:rsid w:val="4AB117FB"/>
    <w:rsid w:val="4AC9251A"/>
    <w:rsid w:val="4AD538F4"/>
    <w:rsid w:val="4B383EDB"/>
    <w:rsid w:val="4BEF3113"/>
    <w:rsid w:val="4C7F7DEE"/>
    <w:rsid w:val="4CDF39B5"/>
    <w:rsid w:val="4D284C9B"/>
    <w:rsid w:val="4D2E7271"/>
    <w:rsid w:val="4DE72AAB"/>
    <w:rsid w:val="4DEE54CD"/>
    <w:rsid w:val="4F1E452A"/>
    <w:rsid w:val="4FBF1539"/>
    <w:rsid w:val="4FD5327D"/>
    <w:rsid w:val="506F14E1"/>
    <w:rsid w:val="50D93CDE"/>
    <w:rsid w:val="51751E8D"/>
    <w:rsid w:val="51A926EA"/>
    <w:rsid w:val="523A3295"/>
    <w:rsid w:val="537F7BFD"/>
    <w:rsid w:val="53C94685"/>
    <w:rsid w:val="544B68D5"/>
    <w:rsid w:val="551B04BA"/>
    <w:rsid w:val="55461FCB"/>
    <w:rsid w:val="556570FC"/>
    <w:rsid w:val="568F3541"/>
    <w:rsid w:val="56A0149E"/>
    <w:rsid w:val="58142685"/>
    <w:rsid w:val="584222D3"/>
    <w:rsid w:val="59BC3ADE"/>
    <w:rsid w:val="5A237243"/>
    <w:rsid w:val="5A4B4D99"/>
    <w:rsid w:val="5AE17FEC"/>
    <w:rsid w:val="5B1E4FDA"/>
    <w:rsid w:val="5BDE5DC4"/>
    <w:rsid w:val="5C31230A"/>
    <w:rsid w:val="5C955D81"/>
    <w:rsid w:val="5C9D13DD"/>
    <w:rsid w:val="5CE372E9"/>
    <w:rsid w:val="5D13722C"/>
    <w:rsid w:val="5D22107F"/>
    <w:rsid w:val="5D2B2BF7"/>
    <w:rsid w:val="5D600D50"/>
    <w:rsid w:val="5DD0123C"/>
    <w:rsid w:val="5E923752"/>
    <w:rsid w:val="5E9E5336"/>
    <w:rsid w:val="5EC57A5D"/>
    <w:rsid w:val="5F317AD2"/>
    <w:rsid w:val="6006486E"/>
    <w:rsid w:val="60F44D12"/>
    <w:rsid w:val="610E61C3"/>
    <w:rsid w:val="61D15218"/>
    <w:rsid w:val="61FD598A"/>
    <w:rsid w:val="625A7148"/>
    <w:rsid w:val="62FA1F3F"/>
    <w:rsid w:val="63210181"/>
    <w:rsid w:val="6331176E"/>
    <w:rsid w:val="633B6BC7"/>
    <w:rsid w:val="63526B3A"/>
    <w:rsid w:val="635B2FCA"/>
    <w:rsid w:val="641E22E7"/>
    <w:rsid w:val="64645106"/>
    <w:rsid w:val="64F91503"/>
    <w:rsid w:val="650F4020"/>
    <w:rsid w:val="656D5914"/>
    <w:rsid w:val="656D64FA"/>
    <w:rsid w:val="65B7025E"/>
    <w:rsid w:val="65C14B96"/>
    <w:rsid w:val="65E70AB6"/>
    <w:rsid w:val="65FE44F9"/>
    <w:rsid w:val="66183A6E"/>
    <w:rsid w:val="6621278F"/>
    <w:rsid w:val="662C5896"/>
    <w:rsid w:val="663E29E6"/>
    <w:rsid w:val="66CC4DB8"/>
    <w:rsid w:val="670D5B84"/>
    <w:rsid w:val="670D7173"/>
    <w:rsid w:val="67346786"/>
    <w:rsid w:val="681869FD"/>
    <w:rsid w:val="68B04B65"/>
    <w:rsid w:val="68CA488E"/>
    <w:rsid w:val="68D7023B"/>
    <w:rsid w:val="690B2C05"/>
    <w:rsid w:val="690F46FD"/>
    <w:rsid w:val="691B4A51"/>
    <w:rsid w:val="6A013CC7"/>
    <w:rsid w:val="6A222E05"/>
    <w:rsid w:val="6A3320AF"/>
    <w:rsid w:val="6ABB5727"/>
    <w:rsid w:val="6AD14050"/>
    <w:rsid w:val="6C225202"/>
    <w:rsid w:val="6C3E2890"/>
    <w:rsid w:val="6D0324C8"/>
    <w:rsid w:val="6DB81DC1"/>
    <w:rsid w:val="6E2D4357"/>
    <w:rsid w:val="6E493685"/>
    <w:rsid w:val="6E82663E"/>
    <w:rsid w:val="6EC407B0"/>
    <w:rsid w:val="6F1C436F"/>
    <w:rsid w:val="70387A35"/>
    <w:rsid w:val="704240EF"/>
    <w:rsid w:val="70B3009D"/>
    <w:rsid w:val="71CE6C6C"/>
    <w:rsid w:val="7204047E"/>
    <w:rsid w:val="726817EF"/>
    <w:rsid w:val="72903204"/>
    <w:rsid w:val="72D4751D"/>
    <w:rsid w:val="72F1363F"/>
    <w:rsid w:val="73AB6820"/>
    <w:rsid w:val="73B40DD1"/>
    <w:rsid w:val="7565703A"/>
    <w:rsid w:val="762C6AC8"/>
    <w:rsid w:val="765F78EC"/>
    <w:rsid w:val="76672E12"/>
    <w:rsid w:val="7746449A"/>
    <w:rsid w:val="7806536B"/>
    <w:rsid w:val="78621568"/>
    <w:rsid w:val="791131DC"/>
    <w:rsid w:val="79333058"/>
    <w:rsid w:val="7945241B"/>
    <w:rsid w:val="7955561B"/>
    <w:rsid w:val="796A6B6B"/>
    <w:rsid w:val="79DB4EE3"/>
    <w:rsid w:val="7ABA05C2"/>
    <w:rsid w:val="7B28685D"/>
    <w:rsid w:val="7C8C4D0F"/>
    <w:rsid w:val="7CD86862"/>
    <w:rsid w:val="7EE37B56"/>
    <w:rsid w:val="7F0B2A41"/>
    <w:rsid w:val="7F4B65E7"/>
    <w:rsid w:val="7FD039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3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33"/>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paragraph" w:styleId="7">
    <w:name w:val="heading 7"/>
    <w:basedOn w:val="1"/>
    <w:next w:val="1"/>
    <w:qFormat/>
    <w:uiPriority w:val="1"/>
    <w:pPr>
      <w:spacing w:before="115"/>
      <w:jc w:val="center"/>
      <w:outlineLvl w:val="6"/>
    </w:pPr>
    <w:rPr>
      <w:rFonts w:ascii="宋体" w:hAnsi="宋体" w:eastAsia="宋体" w:cs="宋体"/>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link w:val="42"/>
    <w:semiHidden/>
    <w:unhideWhenUsed/>
    <w:qFormat/>
    <w:uiPriority w:val="99"/>
    <w:pPr>
      <w:spacing w:after="120"/>
      <w:ind w:left="420" w:leftChars="200"/>
    </w:pPr>
  </w:style>
  <w:style w:type="paragraph" w:styleId="8">
    <w:name w:val="Normal Indent"/>
    <w:basedOn w:val="1"/>
    <w:qFormat/>
    <w:uiPriority w:val="0"/>
    <w:pPr>
      <w:ind w:firstLine="420" w:firstLineChars="200"/>
    </w:pPr>
  </w:style>
  <w:style w:type="paragraph" w:styleId="9">
    <w:name w:val="annotation text"/>
    <w:basedOn w:val="1"/>
    <w:link w:val="40"/>
    <w:qFormat/>
    <w:uiPriority w:val="0"/>
    <w:pPr>
      <w:jc w:val="left"/>
    </w:pPr>
    <w:rPr>
      <w:rFonts w:ascii="Times New Roman" w:hAnsi="Times New Roman" w:eastAsia="宋体" w:cs="Times New Roman"/>
      <w:szCs w:val="24"/>
    </w:rPr>
  </w:style>
  <w:style w:type="paragraph" w:styleId="10">
    <w:name w:val="Body Text"/>
    <w:basedOn w:val="1"/>
    <w:next w:val="11"/>
    <w:qFormat/>
    <w:uiPriority w:val="1"/>
    <w:rPr>
      <w:rFonts w:ascii="宋体" w:hAnsi="宋体" w:eastAsia="宋体" w:cs="宋体"/>
      <w:sz w:val="24"/>
      <w:szCs w:val="24"/>
    </w:rPr>
  </w:style>
  <w:style w:type="paragraph" w:styleId="11">
    <w:name w:val="Body Text 2"/>
    <w:basedOn w:val="1"/>
    <w:unhideWhenUsed/>
    <w:qFormat/>
    <w:uiPriority w:val="99"/>
    <w:pPr>
      <w:spacing w:after="120" w:line="480" w:lineRule="auto"/>
    </w:pPr>
  </w:style>
  <w:style w:type="paragraph" w:styleId="12">
    <w:name w:val="Plain Text"/>
    <w:basedOn w:val="1"/>
    <w:link w:val="37"/>
    <w:qFormat/>
    <w:uiPriority w:val="0"/>
    <w:rPr>
      <w:rFonts w:ascii="宋体" w:hAnsi="Courier New" w:eastAsia="宋体" w:cs="Courier New"/>
      <w:szCs w:val="21"/>
    </w:rPr>
  </w:style>
  <w:style w:type="paragraph" w:styleId="13">
    <w:name w:val="Body Text Indent 2"/>
    <w:basedOn w:val="1"/>
    <w:qFormat/>
    <w:uiPriority w:val="0"/>
    <w:pPr>
      <w:spacing w:after="120" w:line="480" w:lineRule="auto"/>
      <w:ind w:left="420" w:leftChars="200"/>
    </w:pPr>
  </w:style>
  <w:style w:type="paragraph" w:styleId="14">
    <w:name w:val="Balloon Text"/>
    <w:basedOn w:val="1"/>
    <w:link w:val="46"/>
    <w:semiHidden/>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rFonts w:ascii="Times New Roman" w:hAnsi="Times New Roman" w:eastAsia="宋体" w:cs="Times New Roman"/>
      <w:szCs w:val="24"/>
    </w:rPr>
  </w:style>
  <w:style w:type="paragraph" w:styleId="18">
    <w:name w:val="Body Text Indent 3"/>
    <w:basedOn w:val="1"/>
    <w:link w:val="35"/>
    <w:qFormat/>
    <w:uiPriority w:val="99"/>
    <w:pPr>
      <w:widowControl/>
      <w:spacing w:after="120" w:line="259" w:lineRule="auto"/>
      <w:ind w:left="420" w:leftChars="200"/>
      <w:jc w:val="left"/>
    </w:pPr>
    <w:rPr>
      <w:kern w:val="0"/>
      <w:sz w:val="16"/>
      <w:szCs w:val="16"/>
    </w:rPr>
  </w:style>
  <w:style w:type="paragraph" w:styleId="19">
    <w:name w:val="Normal (Web)"/>
    <w:basedOn w:val="1"/>
    <w:unhideWhenUsed/>
    <w:qFormat/>
    <w:uiPriority w:val="99"/>
    <w:pPr>
      <w:spacing w:before="100" w:beforeAutospacing="1" w:after="100" w:afterAutospacing="1"/>
      <w:jc w:val="left"/>
    </w:pPr>
    <w:rPr>
      <w:rFonts w:cs="Times New Roman"/>
      <w:kern w:val="0"/>
      <w:sz w:val="24"/>
    </w:rPr>
  </w:style>
  <w:style w:type="paragraph" w:styleId="20">
    <w:name w:val="Title"/>
    <w:basedOn w:val="1"/>
    <w:next w:val="1"/>
    <w:link w:val="39"/>
    <w:qFormat/>
    <w:uiPriority w:val="0"/>
    <w:pPr>
      <w:spacing w:before="240" w:after="60"/>
      <w:jc w:val="center"/>
      <w:outlineLvl w:val="0"/>
    </w:pPr>
    <w:rPr>
      <w:rFonts w:ascii="Cambria" w:hAnsi="Cambria" w:eastAsia="宋体" w:cs="Times New Roman"/>
      <w:b/>
      <w:bCs/>
      <w:sz w:val="32"/>
      <w:szCs w:val="32"/>
    </w:rPr>
  </w:style>
  <w:style w:type="paragraph" w:styleId="21">
    <w:name w:val="Body Text First Indent"/>
    <w:basedOn w:val="10"/>
    <w:qFormat/>
    <w:uiPriority w:val="0"/>
    <w:pPr>
      <w:tabs>
        <w:tab w:val="left" w:pos="720"/>
      </w:tabs>
      <w:snapToGrid w:val="0"/>
      <w:spacing w:after="120" w:line="240" w:lineRule="auto"/>
      <w:ind w:firstLine="420"/>
      <w:textAlignment w:val="auto"/>
    </w:pPr>
    <w:rPr>
      <w:rFonts w:ascii="Times New Roman"/>
      <w:kern w:val="2"/>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annotation reference"/>
    <w:basedOn w:val="24"/>
    <w:qFormat/>
    <w:uiPriority w:val="0"/>
    <w:rPr>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4"/>
    <w:link w:val="16"/>
    <w:qFormat/>
    <w:uiPriority w:val="99"/>
    <w:rPr>
      <w:sz w:val="18"/>
      <w:szCs w:val="18"/>
    </w:rPr>
  </w:style>
  <w:style w:type="character" w:customStyle="1" w:styleId="30">
    <w:name w:val="页脚 Char"/>
    <w:basedOn w:val="24"/>
    <w:link w:val="15"/>
    <w:qFormat/>
    <w:uiPriority w:val="99"/>
    <w:rPr>
      <w:sz w:val="18"/>
      <w:szCs w:val="18"/>
    </w:rPr>
  </w:style>
  <w:style w:type="paragraph" w:customStyle="1" w:styleId="31">
    <w:name w:val="列出段落1"/>
    <w:basedOn w:val="1"/>
    <w:qFormat/>
    <w:uiPriority w:val="34"/>
    <w:pPr>
      <w:ind w:firstLine="420" w:firstLineChars="200"/>
    </w:pPr>
    <w:rPr>
      <w:rFonts w:ascii="Calibri" w:hAnsi="Calibri" w:eastAsia="宋体" w:cs="Times New Roman"/>
    </w:rPr>
  </w:style>
  <w:style w:type="character" w:customStyle="1" w:styleId="32">
    <w:name w:val="标题 5 Char"/>
    <w:basedOn w:val="24"/>
    <w:link w:val="6"/>
    <w:semiHidden/>
    <w:qFormat/>
    <w:uiPriority w:val="9"/>
    <w:rPr>
      <w:b/>
      <w:bCs/>
      <w:sz w:val="28"/>
      <w:szCs w:val="28"/>
    </w:rPr>
  </w:style>
  <w:style w:type="character" w:customStyle="1" w:styleId="33">
    <w:name w:val="标题 5 Char1"/>
    <w:basedOn w:val="24"/>
    <w:link w:val="6"/>
    <w:qFormat/>
    <w:uiPriority w:val="9"/>
    <w:rPr>
      <w:rFonts w:asciiTheme="majorHAnsi" w:hAnsiTheme="majorHAnsi" w:eastAsiaTheme="majorEastAsia" w:cstheme="majorBidi"/>
      <w:color w:val="376092" w:themeColor="accent1" w:themeShade="BF"/>
      <w:kern w:val="0"/>
      <w:sz w:val="22"/>
    </w:rPr>
  </w:style>
  <w:style w:type="character" w:customStyle="1" w:styleId="34">
    <w:name w:val="正文文本缩进 3 Char"/>
    <w:basedOn w:val="24"/>
    <w:link w:val="18"/>
    <w:semiHidden/>
    <w:qFormat/>
    <w:uiPriority w:val="99"/>
    <w:rPr>
      <w:sz w:val="16"/>
      <w:szCs w:val="16"/>
    </w:rPr>
  </w:style>
  <w:style w:type="character" w:customStyle="1" w:styleId="35">
    <w:name w:val="正文文本缩进 3 Char1"/>
    <w:basedOn w:val="24"/>
    <w:link w:val="18"/>
    <w:qFormat/>
    <w:uiPriority w:val="99"/>
    <w:rPr>
      <w:kern w:val="0"/>
      <w:sz w:val="16"/>
      <w:szCs w:val="16"/>
    </w:rPr>
  </w:style>
  <w:style w:type="paragraph" w:styleId="36">
    <w:name w:val="List Paragraph"/>
    <w:basedOn w:val="1"/>
    <w:qFormat/>
    <w:uiPriority w:val="34"/>
    <w:pPr>
      <w:ind w:firstLine="420" w:firstLineChars="200"/>
    </w:pPr>
  </w:style>
  <w:style w:type="character" w:customStyle="1" w:styleId="37">
    <w:name w:val="纯文本 Char"/>
    <w:basedOn w:val="24"/>
    <w:link w:val="12"/>
    <w:qFormat/>
    <w:uiPriority w:val="0"/>
    <w:rPr>
      <w:rFonts w:ascii="宋体" w:hAnsi="Courier New" w:eastAsia="宋体" w:cs="Courier New"/>
      <w:szCs w:val="21"/>
    </w:rPr>
  </w:style>
  <w:style w:type="character" w:customStyle="1" w:styleId="38">
    <w:name w:val="标题 2 Char"/>
    <w:basedOn w:val="24"/>
    <w:link w:val="4"/>
    <w:semiHidden/>
    <w:qFormat/>
    <w:uiPriority w:val="9"/>
    <w:rPr>
      <w:rFonts w:asciiTheme="majorHAnsi" w:hAnsiTheme="majorHAnsi" w:eastAsiaTheme="majorEastAsia" w:cstheme="majorBidi"/>
      <w:b/>
      <w:bCs/>
      <w:sz w:val="32"/>
      <w:szCs w:val="32"/>
    </w:rPr>
  </w:style>
  <w:style w:type="character" w:customStyle="1" w:styleId="39">
    <w:name w:val="标题 Char"/>
    <w:basedOn w:val="24"/>
    <w:link w:val="20"/>
    <w:qFormat/>
    <w:uiPriority w:val="0"/>
    <w:rPr>
      <w:rFonts w:ascii="Cambria" w:hAnsi="Cambria" w:eastAsia="宋体" w:cs="Times New Roman"/>
      <w:b/>
      <w:bCs/>
      <w:sz w:val="32"/>
      <w:szCs w:val="32"/>
    </w:rPr>
  </w:style>
  <w:style w:type="character" w:customStyle="1" w:styleId="40">
    <w:name w:val="批注文字 Char"/>
    <w:basedOn w:val="24"/>
    <w:link w:val="9"/>
    <w:qFormat/>
    <w:uiPriority w:val="0"/>
    <w:rPr>
      <w:rFonts w:ascii="Times New Roman" w:hAnsi="Times New Roman" w:eastAsia="宋体" w:cs="Times New Roman"/>
      <w:szCs w:val="24"/>
    </w:rPr>
  </w:style>
  <w:style w:type="character" w:customStyle="1" w:styleId="41">
    <w:name w:val="标题 3 Char"/>
    <w:basedOn w:val="24"/>
    <w:link w:val="5"/>
    <w:semiHidden/>
    <w:qFormat/>
    <w:uiPriority w:val="9"/>
    <w:rPr>
      <w:b/>
      <w:bCs/>
      <w:sz w:val="32"/>
      <w:szCs w:val="32"/>
    </w:rPr>
  </w:style>
  <w:style w:type="character" w:customStyle="1" w:styleId="42">
    <w:name w:val="正文文本缩进 Char"/>
    <w:basedOn w:val="24"/>
    <w:link w:val="3"/>
    <w:semiHidden/>
    <w:qFormat/>
    <w:uiPriority w:val="99"/>
  </w:style>
  <w:style w:type="paragraph" w:customStyle="1" w:styleId="43">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5">
    <w:name w:val="apple-converted-space"/>
    <w:basedOn w:val="24"/>
    <w:qFormat/>
    <w:uiPriority w:val="0"/>
  </w:style>
  <w:style w:type="character" w:customStyle="1" w:styleId="46">
    <w:name w:val="批注框文本 Char"/>
    <w:basedOn w:val="24"/>
    <w:link w:val="14"/>
    <w:semiHidden/>
    <w:qFormat/>
    <w:uiPriority w:val="99"/>
    <w:rPr>
      <w:kern w:val="2"/>
      <w:sz w:val="18"/>
      <w:szCs w:val="18"/>
    </w:rPr>
  </w:style>
  <w:style w:type="paragraph" w:customStyle="1" w:styleId="47">
    <w:name w:val="表格文字"/>
    <w:basedOn w:val="1"/>
    <w:next w:val="12"/>
    <w:qFormat/>
    <w:uiPriority w:val="0"/>
    <w:pPr>
      <w:spacing w:before="25" w:after="25"/>
      <w:jc w:val="left"/>
    </w:pPr>
    <w:rPr>
      <w:bCs/>
      <w:spacing w:val="10"/>
      <w:kern w:val="0"/>
      <w:sz w:val="24"/>
      <w:szCs w:val="20"/>
    </w:rPr>
  </w:style>
  <w:style w:type="paragraph" w:styleId="4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14D70-2D37-492B-849D-1B5330ED1FA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2939</Words>
  <Characters>16754</Characters>
  <Lines>139</Lines>
  <Paragraphs>39</Paragraphs>
  <TotalTime>18</TotalTime>
  <ScaleCrop>false</ScaleCrop>
  <LinksUpToDate>false</LinksUpToDate>
  <CharactersWithSpaces>19654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2020-12-07T02:55:00Z</dcterms:created>
  <dc:creator>李嘉雯</dc:creator>
  <cp:lastModifiedBy>林煜韩</cp:lastModifiedBy>
  <cp:lastPrinted>2022-01-19T01:59:00Z</cp:lastPrinted>
  <dcterms:modified xsi:type="dcterms:W3CDTF">2022-02-17T02:04:46Z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BBEA3F5193F54A2E895E408A18B0F810</vt:lpwstr>
  </property>
</Properties>
</file>