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b/>
          <w:bCs/>
          <w:sz w:val="72"/>
        </w:rPr>
        <w:t>询价文件</w:t>
      </w:r>
    </w:p>
    <w:p>
      <w:pPr>
        <w:spacing w:line="500" w:lineRule="exact"/>
        <w:jc w:val="center"/>
        <w:rPr>
          <w:rFonts w:ascii="仿宋_GB2312" w:hAnsi="仿宋_GB2312" w:eastAsia="仿宋_GB2312" w:cs="仿宋_GB2312"/>
          <w:bCs/>
        </w:rPr>
      </w:pPr>
    </w:p>
    <w:p>
      <w:pPr>
        <w:spacing w:line="500" w:lineRule="exact"/>
        <w:jc w:val="left"/>
        <w:rPr>
          <w:rFonts w:ascii="仿宋" w:hAnsi="仿宋" w:eastAsia="仿宋" w:cs="仿宋_GB2312"/>
          <w:b/>
          <w:sz w:val="32"/>
          <w:szCs w:val="32"/>
        </w:rPr>
      </w:pPr>
    </w:p>
    <w:p>
      <w:pPr>
        <w:spacing w:line="500" w:lineRule="exact"/>
        <w:ind w:firstLine="643" w:firstLineChars="200"/>
        <w:jc w:val="left"/>
        <w:rPr>
          <w:rFonts w:ascii="仿宋" w:hAnsi="仿宋" w:eastAsia="仿宋" w:cs="仿宋_GB2312"/>
          <w:b/>
          <w:sz w:val="32"/>
          <w:szCs w:val="32"/>
        </w:rPr>
      </w:pPr>
      <w:r>
        <w:rPr>
          <w:rFonts w:hint="eastAsia" w:ascii="仿宋" w:hAnsi="仿宋" w:eastAsia="仿宋" w:cs="仿宋_GB2312"/>
          <w:b/>
          <w:sz w:val="32"/>
          <w:szCs w:val="32"/>
        </w:rPr>
        <w:t>项目编号：</w:t>
      </w:r>
      <w:r>
        <w:rPr>
          <w:rFonts w:hint="eastAsia" w:ascii="仿宋" w:hAnsi="仿宋" w:eastAsia="仿宋" w:cs="仿宋_GB2312"/>
          <w:b/>
          <w:sz w:val="32"/>
          <w:szCs w:val="32"/>
          <w:lang w:val="en-US" w:eastAsia="zh-CN"/>
        </w:rPr>
        <w:t>XJ-20220107-4</w:t>
      </w:r>
      <w:r>
        <w:rPr>
          <w:rFonts w:hint="eastAsia" w:ascii="仿宋" w:hAnsi="仿宋" w:eastAsia="仿宋" w:cs="仿宋_GB2312"/>
          <w:b/>
          <w:sz w:val="32"/>
          <w:szCs w:val="32"/>
        </w:rPr>
        <w:t xml:space="preserve"> </w:t>
      </w:r>
      <w:r>
        <w:rPr>
          <w:b/>
          <w:sz w:val="32"/>
          <w:szCs w:val="32"/>
        </w:rPr>
        <w:fldChar w:fldCharType="begin"/>
      </w:r>
      <w:r>
        <w:rPr>
          <w:b/>
          <w:sz w:val="32"/>
          <w:szCs w:val="32"/>
        </w:rPr>
        <w:instrText xml:space="preserve"> DOCVARIABLE  采购编号  \* MERGEFORMAT </w:instrText>
      </w:r>
      <w:r>
        <w:rPr>
          <w:b/>
          <w:sz w:val="32"/>
          <w:szCs w:val="32"/>
        </w:rPr>
        <w:fldChar w:fldCharType="end"/>
      </w:r>
    </w:p>
    <w:p>
      <w:pPr>
        <w:spacing w:line="500" w:lineRule="exact"/>
        <w:ind w:firstLine="643" w:firstLineChars="200"/>
        <w:jc w:val="left"/>
        <w:rPr>
          <w:rFonts w:hint="eastAsia" w:ascii="仿宋" w:hAnsi="仿宋" w:eastAsia="仿宋" w:cs="仿宋_GB2312"/>
          <w:b/>
          <w:sz w:val="32"/>
          <w:szCs w:val="32"/>
        </w:rPr>
      </w:pPr>
      <w:r>
        <w:rPr>
          <w:rFonts w:hint="eastAsia" w:ascii="仿宋" w:hAnsi="仿宋" w:eastAsia="仿宋" w:cs="仿宋_GB2312"/>
          <w:b/>
          <w:sz w:val="32"/>
          <w:szCs w:val="32"/>
        </w:rPr>
        <w:t>项目名称：广州市净水有限公司江高分公司干化PLC电房增加</w:t>
      </w:r>
    </w:p>
    <w:p>
      <w:pPr>
        <w:spacing w:line="500" w:lineRule="exact"/>
        <w:ind w:firstLine="2249" w:firstLineChars="700"/>
        <w:jc w:val="left"/>
        <w:rPr>
          <w:rFonts w:ascii="仿宋_GB2312" w:hAnsi="仿宋_GB2312" w:eastAsia="仿宋" w:cs="仿宋_GB2312"/>
          <w:b/>
          <w:bCs/>
        </w:rPr>
      </w:pPr>
      <w:r>
        <w:rPr>
          <w:rFonts w:hint="eastAsia" w:ascii="仿宋" w:hAnsi="仿宋" w:eastAsia="仿宋" w:cs="仿宋_GB2312"/>
          <w:b/>
          <w:sz w:val="32"/>
          <w:szCs w:val="32"/>
        </w:rPr>
        <w:t>柜式七氟丙烷气体灭火系统项目</w:t>
      </w: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广州市净水有限公司 编制</w:t>
      </w:r>
    </w:p>
    <w:p>
      <w:pPr>
        <w:spacing w:line="360" w:lineRule="auto"/>
        <w:jc w:val="center"/>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发布日期：20</w:t>
      </w:r>
      <w:r>
        <w:rPr>
          <w:rFonts w:ascii="仿宋_GB2312" w:hAnsi="仿宋_GB2312" w:eastAsia="仿宋_GB2312" w:cs="仿宋_GB2312"/>
          <w:b/>
          <w:bCs/>
          <w:sz w:val="28"/>
        </w:rPr>
        <w:t>2</w:t>
      </w:r>
      <w:r>
        <w:rPr>
          <w:rFonts w:hint="eastAsia" w:ascii="仿宋_GB2312" w:hAnsi="仿宋_GB2312" w:eastAsia="仿宋_GB2312" w:cs="仿宋_GB2312"/>
          <w:b/>
          <w:bCs/>
          <w:sz w:val="28"/>
          <w:lang w:val="en-US" w:eastAsia="zh-CN"/>
        </w:rPr>
        <w:t>2</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1</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7</w:t>
      </w:r>
      <w:r>
        <w:rPr>
          <w:rFonts w:hint="eastAsia" w:ascii="仿宋_GB2312" w:hAnsi="仿宋_GB2312" w:eastAsia="仿宋_GB2312"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20"/>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51"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34"/>
        <w:rPr>
          <w:rFonts w:ascii="仿宋_GB2312" w:hAnsi="仿宋_GB2312" w:cs="仿宋_GB2312"/>
          <w:b/>
          <w:color w:val="auto"/>
          <w:sz w:val="28"/>
          <w:szCs w:val="28"/>
        </w:rPr>
      </w:pPr>
    </w:p>
    <w:p>
      <w:pPr>
        <w:pStyle w:val="34"/>
        <w:rPr>
          <w:rFonts w:ascii="仿宋_GB2312" w:hAnsi="仿宋_GB2312" w:cs="仿宋_GB2312"/>
          <w:b/>
          <w:color w:val="auto"/>
          <w:sz w:val="28"/>
          <w:szCs w:val="28"/>
        </w:rPr>
      </w:pPr>
    </w:p>
    <w:p>
      <w:pPr>
        <w:pStyle w:val="24"/>
        <w:rPr>
          <w:rFonts w:ascii="仿宋_GB2312" w:hAnsi="仿宋_GB2312" w:eastAsia="仿宋_GB2312" w:cs="仿宋_GB2312"/>
          <w:kern w:val="0"/>
        </w:rPr>
      </w:pPr>
      <w:bookmarkStart w:id="0" w:name="_Toc24572_WPSOffice_Level1"/>
      <w:r>
        <w:rPr>
          <w:rFonts w:hint="eastAsia" w:ascii="仿宋_GB2312" w:hAnsi="仿宋_GB2312" w:eastAsia="仿宋_GB2312" w:cs="仿宋_GB2312"/>
          <w:kern w:val="0"/>
        </w:rPr>
        <w:t>第一部分报价邀请函</w:t>
      </w:r>
      <w:bookmarkEnd w:id="0"/>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spacing w:line="360" w:lineRule="auto"/>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 w:hAnsi="仿宋" w:eastAsia="仿宋" w:cs="仿宋"/>
          <w:b w:val="0"/>
          <w:bCs/>
          <w:color w:val="000000"/>
          <w:sz w:val="28"/>
          <w:szCs w:val="28"/>
          <w:u w:val="single"/>
          <w:lang w:val="en-US" w:eastAsia="zh-CN"/>
        </w:rPr>
        <w:t>江高分公司干化PLC电房增加柜式七氟丙烷气体灭火系统项目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rPr>
        <w:t>企业自有资金</w:t>
      </w:r>
    </w:p>
    <w:p>
      <w:pPr>
        <w:autoSpaceDE w:val="0"/>
        <w:autoSpaceDN w:val="0"/>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XJ-20220107-4</w:t>
      </w:r>
    </w:p>
    <w:p>
      <w:pPr>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_GB2312" w:hAnsi="仿宋_GB2312" w:eastAsia="仿宋_GB2312" w:cs="仿宋_GB2312"/>
          <w:sz w:val="28"/>
          <w:szCs w:val="28"/>
          <w:lang w:val="zh-CN"/>
        </w:rPr>
        <w:t>三</w:t>
      </w:r>
      <w:r>
        <w:rPr>
          <w:rFonts w:hint="eastAsia" w:ascii="仿宋" w:hAnsi="仿宋" w:eastAsia="仿宋" w:cs="仿宋"/>
          <w:b w:val="0"/>
          <w:bCs/>
          <w:color w:val="000000"/>
          <w:sz w:val="28"/>
          <w:szCs w:val="28"/>
          <w:lang w:val="en-US" w:eastAsia="zh-CN"/>
        </w:rPr>
        <w:t>、项目名称：</w:t>
      </w:r>
      <w:r>
        <w:rPr>
          <w:rFonts w:hint="eastAsia" w:ascii="仿宋" w:hAnsi="仿宋" w:eastAsia="仿宋" w:cs="仿宋"/>
          <w:b w:val="0"/>
          <w:bCs/>
          <w:color w:val="000000"/>
          <w:sz w:val="28"/>
          <w:szCs w:val="28"/>
          <w:u w:val="single"/>
          <w:lang w:val="en-US" w:eastAsia="zh-CN"/>
        </w:rPr>
        <w:t>广州市净水有限公司江高分公司干化PLC电房增加柜式七氟丙烷气体灭火系统项目</w:t>
      </w:r>
    </w:p>
    <w:p>
      <w:pPr>
        <w:autoSpaceDE w:val="0"/>
        <w:autoSpaceDN w:val="0"/>
        <w:adjustRightInd w:val="0"/>
        <w:spacing w:line="540" w:lineRule="exact"/>
        <w:ind w:firstLine="560" w:firstLineChars="200"/>
        <w:rPr>
          <w:rFonts w:ascii="仿宋_GB2312" w:hAnsi="仿宋_GB2312" w:eastAsia="仿宋_GB2312" w:cs="仿宋_GB2312"/>
          <w:color w:val="auto"/>
          <w:sz w:val="28"/>
          <w:szCs w:val="28"/>
          <w:highlight w:val="none"/>
          <w:lang w:val="zh-CN"/>
        </w:rPr>
      </w:pPr>
      <w:r>
        <w:rPr>
          <w:rFonts w:hint="eastAsia" w:ascii="仿宋" w:hAnsi="仿宋" w:eastAsia="仿宋" w:cs="仿宋"/>
          <w:b w:val="0"/>
          <w:bCs/>
          <w:color w:val="000000"/>
          <w:sz w:val="28"/>
          <w:szCs w:val="28"/>
          <w:lang w:val="zh-CN" w:eastAsia="zh-CN"/>
        </w:rPr>
        <w:t>四、最高限价：</w:t>
      </w:r>
      <w:r>
        <w:rPr>
          <w:rFonts w:hint="eastAsia" w:ascii="仿宋" w:hAnsi="仿宋" w:eastAsia="仿宋" w:cs="仿宋"/>
          <w:b w:val="0"/>
          <w:bCs/>
          <w:color w:val="000000"/>
          <w:sz w:val="28"/>
          <w:szCs w:val="28"/>
          <w:u w:val="single"/>
          <w:lang w:val="en-US" w:eastAsia="zh-CN"/>
        </w:rPr>
        <w:t>10.1304998</w:t>
      </w:r>
      <w:r>
        <w:rPr>
          <w:rFonts w:hint="eastAsia" w:ascii="仿宋" w:hAnsi="仿宋" w:eastAsia="仿宋" w:cs="仿宋"/>
          <w:b w:val="0"/>
          <w:bCs/>
          <w:color w:val="000000"/>
          <w:sz w:val="28"/>
          <w:szCs w:val="28"/>
          <w:u w:val="single"/>
          <w:lang w:val="zh-CN" w:eastAsia="zh-CN"/>
        </w:rPr>
        <w:t>万元</w:t>
      </w:r>
      <w:r>
        <w:rPr>
          <w:rFonts w:hint="eastAsia" w:ascii="仿宋" w:hAnsi="仿宋" w:eastAsia="仿宋" w:cs="仿宋"/>
          <w:b w:val="0"/>
          <w:bCs/>
          <w:color w:val="000000"/>
          <w:sz w:val="28"/>
          <w:szCs w:val="28"/>
          <w:u w:val="none"/>
          <w:lang w:val="zh-CN" w:eastAsia="zh-CN"/>
        </w:rPr>
        <w:t>（其中不含税工程造价为92940.362元，税率为9%，按费率计算的绿色施工安全防护措施费为2724.5145元。</w:t>
      </w:r>
      <w:r>
        <w:rPr>
          <w:rFonts w:hint="eastAsia" w:ascii="仿宋_GB2312" w:hAnsi="仿宋_GB2312" w:eastAsia="仿宋_GB2312" w:cs="仿宋_GB2312"/>
          <w:color w:val="auto"/>
          <w:sz w:val="28"/>
          <w:szCs w:val="28"/>
          <w:highlight w:val="none"/>
          <w:lang w:val="zh-CN"/>
        </w:rPr>
        <w:t>绿色施工安全防护措施费为非竞争性费用，报价时须按询价文件规定的金额填写，不得参与竞争，否则亦视为无效报价。</w:t>
      </w:r>
    </w:p>
    <w:p>
      <w:pPr>
        <w:spacing w:line="360" w:lineRule="auto"/>
        <w:ind w:firstLine="560" w:firstLineChars="2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五</w:t>
      </w:r>
      <w:r>
        <w:rPr>
          <w:rFonts w:hint="eastAsia" w:ascii="仿宋" w:hAnsi="仿宋" w:eastAsia="仿宋" w:cs="仿宋"/>
          <w:b w:val="0"/>
          <w:bCs/>
          <w:color w:val="000000"/>
          <w:sz w:val="28"/>
          <w:szCs w:val="28"/>
          <w:lang w:val="zh-CN" w:eastAsia="zh-CN"/>
        </w:rPr>
        <w:t>、</w:t>
      </w:r>
      <w:r>
        <w:rPr>
          <w:rFonts w:hint="eastAsia" w:ascii="仿宋" w:hAnsi="仿宋" w:eastAsia="仿宋" w:cs="仿宋"/>
          <w:b w:val="0"/>
          <w:bCs/>
          <w:color w:val="000000"/>
          <w:sz w:val="28"/>
          <w:szCs w:val="28"/>
          <w:lang w:val="en-US" w:eastAsia="zh-CN"/>
        </w:rPr>
        <w:t>项目内容及需求：</w:t>
      </w:r>
    </w:p>
    <w:p>
      <w:pPr>
        <w:spacing w:line="360" w:lineRule="auto"/>
        <w:ind w:firstLine="560" w:firstLineChars="200"/>
        <w:rPr>
          <w:rFonts w:ascii="仿宋_GB2312" w:hAnsi="仿宋_GB2312" w:eastAsia="仿宋_GB2312" w:cs="仿宋_GB2312"/>
          <w:sz w:val="28"/>
          <w:szCs w:val="28"/>
          <w:lang w:val="zh-CN"/>
        </w:rPr>
      </w:pPr>
      <w:r>
        <w:rPr>
          <w:rFonts w:hint="eastAsia" w:ascii="仿宋" w:hAnsi="仿宋" w:eastAsia="仿宋" w:cs="仿宋"/>
          <w:b w:val="0"/>
          <w:bCs/>
          <w:color w:val="000000"/>
          <w:sz w:val="28"/>
          <w:szCs w:val="28"/>
          <w:lang w:val="en-US" w:eastAsia="zh-CN"/>
        </w:rPr>
        <w:t>广州市净水有限公司江高分公司干化PLC电房增加柜式七氟丙烷气体灭火系统项目</w:t>
      </w:r>
      <w:r>
        <w:rPr>
          <w:rFonts w:hint="eastAsia" w:ascii="仿宋_GB2312" w:hAnsi="仿宋_GB2312" w:eastAsia="仿宋_GB2312" w:cs="仿宋_GB2312"/>
          <w:sz w:val="28"/>
          <w:szCs w:val="28"/>
        </w:rPr>
        <w:t>内容包括</w:t>
      </w:r>
      <w:r>
        <w:rPr>
          <w:rFonts w:hint="eastAsia" w:ascii="仿宋_GB2312" w:hAnsi="仿宋_GB2312" w:eastAsia="仿宋_GB2312" w:cs="仿宋_GB2312"/>
          <w:sz w:val="28"/>
          <w:szCs w:val="28"/>
          <w:lang w:val="zh-CN"/>
        </w:rPr>
        <w:t>：</w:t>
      </w:r>
    </w:p>
    <w:p>
      <w:pPr>
        <w:spacing w:line="360" w:lineRule="auto"/>
        <w:ind w:firstLine="560" w:firstLineChars="200"/>
        <w:rPr>
          <w:rFonts w:ascii="仿宋_GB2312" w:hAnsi="仿宋_GB2312" w:eastAsia="仿宋_GB2312" w:cs="仿宋_GB2312"/>
          <w:sz w:val="28"/>
          <w:szCs w:val="28"/>
        </w:rPr>
      </w:pPr>
      <w:r>
        <w:rPr>
          <w:rFonts w:hint="eastAsia" w:ascii="仿宋" w:hAnsi="仿宋" w:eastAsia="仿宋" w:cs="仿宋"/>
          <w:b w:val="0"/>
          <w:bCs/>
          <w:color w:val="000000"/>
          <w:sz w:val="28"/>
          <w:szCs w:val="28"/>
          <w:lang w:val="en-US" w:eastAsia="zh-CN"/>
        </w:rPr>
        <w:t>为保证江高分公司干化PLC电房火警发生时第一时间能实施自动灭火，将在该电房进行增加柜式七氟丙烷气体灭火系统，该系统由火灾报警系统、灭火控制系统及气体灭火系统三部分组成，火灾报警系统设计烟感温感两路报警，通过气体灭火控制器进行控制，控制线路采用镀锌电线管敷设，管网系统管道采用加厚镀锌钢管，沿梁底吊架固定。声光报警器安装在防护区内部，以便火灾报警时工作人员易听到的地方，能及时撤离。声光报警器，警铃离地面2.2m，控制器、紧急操作盘离地面1.5m，便于操作。放气灯安装在防护区门外正上方0.2m处，所有布线应采用金属穿管保护，信号线采用ZR-RVS 2×1.5mm2；电源线采用ZR-BV 1.5mm2</w:t>
      </w:r>
      <w:r>
        <w:rPr>
          <w:rFonts w:hint="eastAsia" w:ascii="仿宋_GB2312" w:hAnsi="仿宋_GB2312" w:eastAsia="仿宋_GB2312" w:cs="仿宋_GB2312"/>
          <w:sz w:val="28"/>
          <w:szCs w:val="28"/>
        </w:rPr>
        <w:t>。</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、报价单位资格要求：</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1.报价单位须是在中华人民共和国境内注册的法人或其他组织，持有工商行政管理部门核发的营业执照，且能开具增值税发票。</w:t>
      </w:r>
    </w:p>
    <w:p>
      <w:pPr>
        <w:autoSpaceDE w:val="0"/>
        <w:autoSpaceDN w:val="0"/>
        <w:ind w:firstLine="560" w:firstLineChars="200"/>
        <w:rPr>
          <w:rFonts w:ascii="仿宋_GB2312" w:hAnsi="仿宋_GB2312" w:eastAsia="仿宋_GB2312" w:cs="仿宋_GB2312"/>
          <w:color w:val="auto"/>
          <w:sz w:val="28"/>
          <w:szCs w:val="28"/>
          <w:highlight w:val="cyan"/>
          <w:u w:val="single"/>
        </w:rPr>
      </w:pPr>
      <w:r>
        <w:rPr>
          <w:rFonts w:hint="eastAsia" w:ascii="仿宋_GB2312" w:hAnsi="仿宋_GB2312" w:eastAsia="仿宋_GB2312" w:cs="仿宋_GB2312"/>
          <w:sz w:val="28"/>
          <w:szCs w:val="28"/>
          <w:u w:val="single"/>
        </w:rPr>
        <w:t>2.</w:t>
      </w:r>
      <w:r>
        <w:rPr>
          <w:rFonts w:hint="eastAsia" w:ascii="仿宋_GB2312" w:hAnsi="仿宋_GB2312" w:eastAsia="仿宋_GB2312" w:cs="仿宋_GB2312"/>
          <w:sz w:val="28"/>
          <w:szCs w:val="28"/>
          <w:u w:val="single"/>
          <w:lang w:val="zh-CN"/>
        </w:rPr>
        <w:t>报价单位</w:t>
      </w:r>
      <w:r>
        <w:rPr>
          <w:rFonts w:hint="eastAsia" w:ascii="仿宋_GB2312" w:hAnsi="仿宋_GB2312" w:eastAsia="仿宋_GB2312" w:cs="仿宋_GB2312"/>
          <w:sz w:val="28"/>
          <w:szCs w:val="28"/>
          <w:u w:val="single"/>
        </w:rPr>
        <w:t>须具有</w:t>
      </w:r>
      <w:r>
        <w:rPr>
          <w:rFonts w:hint="eastAsia" w:ascii="仿宋_GB2312" w:hAnsi="仿宋_GB2312" w:eastAsia="仿宋_GB2312" w:cs="仿宋_GB2312"/>
          <w:color w:val="auto"/>
          <w:sz w:val="28"/>
          <w:szCs w:val="28"/>
          <w:u w:val="single"/>
        </w:rPr>
        <w:t>消防设施工程专业承包二级（或以上）；</w:t>
      </w:r>
      <w:r>
        <w:rPr>
          <w:rFonts w:ascii="仿宋" w:hAnsi="仿宋" w:eastAsia="仿宋" w:cs="仿宋_GB2312"/>
          <w:color w:val="auto"/>
          <w:sz w:val="28"/>
          <w:szCs w:val="28"/>
          <w:u w:val="single"/>
        </w:rPr>
        <w:t>持有效期内建设主管部门颁发的《安全生产许可证》</w:t>
      </w:r>
      <w:r>
        <w:rPr>
          <w:rFonts w:hint="eastAsia" w:ascii="仿宋" w:hAnsi="仿宋" w:eastAsia="仿宋" w:cs="仿宋_GB2312"/>
          <w:color w:val="auto"/>
          <w:sz w:val="28"/>
          <w:szCs w:val="28"/>
          <w:u w:val="single"/>
        </w:rPr>
        <w:t>。</w:t>
      </w:r>
    </w:p>
    <w:p>
      <w:pPr>
        <w:autoSpaceDE w:val="0"/>
        <w:autoSpaceDN w:val="0"/>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3.销售业绩要求</w:t>
      </w:r>
      <w:r>
        <w:rPr>
          <w:rFonts w:hint="eastAsia" w:ascii="仿宋_GB2312" w:hAnsi="仿宋_GB2312" w:eastAsia="仿宋_GB2312" w:cs="仿宋_GB2312"/>
          <w:color w:val="auto"/>
          <w:sz w:val="28"/>
          <w:szCs w:val="28"/>
          <w:u w:val="single"/>
          <w:lang w:val="zh-CN"/>
        </w:rPr>
        <w:t>：201</w:t>
      </w:r>
      <w:r>
        <w:rPr>
          <w:rFonts w:hint="eastAsia" w:ascii="仿宋_GB2312" w:hAnsi="仿宋_GB2312" w:eastAsia="仿宋_GB2312" w:cs="仿宋_GB2312"/>
          <w:color w:val="auto"/>
          <w:sz w:val="28"/>
          <w:szCs w:val="28"/>
          <w:u w:val="single"/>
        </w:rPr>
        <w:t>9年1月1日至今，最少具有</w:t>
      </w:r>
      <w:r>
        <w:rPr>
          <w:rFonts w:hint="eastAsia" w:ascii="仿宋_GB2312" w:hAnsi="仿宋_GB2312" w:eastAsia="仿宋_GB2312" w:cs="仿宋_GB2312"/>
          <w:color w:val="auto"/>
          <w:sz w:val="28"/>
          <w:szCs w:val="28"/>
          <w:u w:val="single"/>
          <w:lang w:val="en-US" w:eastAsia="zh-CN"/>
        </w:rPr>
        <w:t>一</w:t>
      </w:r>
      <w:r>
        <w:rPr>
          <w:rFonts w:hint="eastAsia" w:ascii="仿宋_GB2312" w:hAnsi="仿宋_GB2312" w:eastAsia="仿宋_GB2312" w:cs="仿宋_GB2312"/>
          <w:color w:val="auto"/>
          <w:sz w:val="28"/>
          <w:szCs w:val="28"/>
          <w:u w:val="single"/>
        </w:rPr>
        <w:t>项</w:t>
      </w:r>
      <w:r>
        <w:rPr>
          <w:rFonts w:hint="eastAsia" w:ascii="仿宋_GB2312" w:hAnsi="仿宋_GB2312" w:eastAsia="仿宋_GB2312" w:cs="仿宋_GB2312"/>
          <w:color w:val="auto"/>
          <w:sz w:val="28"/>
          <w:szCs w:val="28"/>
          <w:u w:val="single"/>
          <w:lang w:val="zh-CN"/>
        </w:rPr>
        <w:t>气体灭火系统工程项目</w:t>
      </w:r>
      <w:r>
        <w:rPr>
          <w:rFonts w:hint="eastAsia" w:ascii="仿宋_GB2312" w:hAnsi="仿宋_GB2312" w:eastAsia="仿宋_GB2312" w:cs="仿宋_GB2312"/>
          <w:color w:val="auto"/>
          <w:sz w:val="28"/>
          <w:szCs w:val="28"/>
          <w:u w:val="single"/>
        </w:rPr>
        <w:t>实施业绩（提供合同复印件证明，包括但不限于项目名称、金额及实施内容、合同双方签字盖章、签订日期，并加盖单位公章）</w:t>
      </w:r>
      <w:r>
        <w:rPr>
          <w:rFonts w:hint="eastAsia" w:ascii="仿宋_GB2312" w:hAnsi="仿宋_GB2312" w:eastAsia="仿宋_GB2312" w:cs="仿宋_GB2312"/>
          <w:color w:val="auto"/>
          <w:sz w:val="28"/>
          <w:szCs w:val="28"/>
          <w:u w:val="single"/>
          <w:lang w:val="zh-CN"/>
        </w:rPr>
        <w:t>。</w:t>
      </w:r>
    </w:p>
    <w:p>
      <w:pPr>
        <w:autoSpaceDE w:val="0"/>
        <w:autoSpaceDN w:val="0"/>
        <w:ind w:firstLine="560" w:firstLineChars="200"/>
        <w:rPr>
          <w:rFonts w:ascii="仿宋_GB2312" w:hAnsi="仿宋_GB2312" w:eastAsia="仿宋_GB2312" w:cs="仿宋_GB2312"/>
          <w:color w:val="auto"/>
          <w:sz w:val="28"/>
          <w:szCs w:val="28"/>
          <w:u w:val="single"/>
          <w:lang w:val="zh-CN"/>
        </w:rPr>
      </w:pPr>
      <w:r>
        <w:rPr>
          <w:rFonts w:hint="eastAsia" w:ascii="仿宋_GB2312" w:hAnsi="仿宋_GB2312" w:eastAsia="仿宋_GB2312" w:cs="仿宋_GB2312"/>
          <w:color w:val="auto"/>
          <w:sz w:val="28"/>
          <w:szCs w:val="28"/>
          <w:u w:val="single"/>
        </w:rPr>
        <w:t>4.报价单位拟担任本工程项目负责人和安全员的人员资质须满足下列要求，且项目负责人不得同时兼任本项目专职安全人员：</w:t>
      </w:r>
    </w:p>
    <w:p>
      <w:pPr>
        <w:autoSpaceDE w:val="0"/>
        <w:autoSpaceDN w:val="0"/>
        <w:ind w:firstLine="560" w:firstLineChars="200"/>
        <w:rPr>
          <w:rFonts w:ascii="仿宋_GB2312" w:hAnsi="仿宋_GB2312" w:eastAsia="仿宋_GB2312" w:cs="仿宋_GB2312"/>
          <w:color w:val="auto"/>
          <w:sz w:val="28"/>
          <w:szCs w:val="28"/>
          <w:u w:val="single"/>
          <w:lang w:val="zh-CN"/>
        </w:rPr>
      </w:pPr>
      <w:r>
        <w:rPr>
          <w:rFonts w:hint="eastAsia" w:ascii="仿宋_GB2312" w:hAnsi="仿宋_GB2312" w:eastAsia="仿宋_GB2312" w:cs="仿宋_GB2312"/>
          <w:color w:val="auto"/>
          <w:sz w:val="28"/>
          <w:szCs w:val="28"/>
          <w:u w:val="single"/>
          <w:lang w:val="en"/>
        </w:rPr>
        <w:t>（</w:t>
      </w:r>
      <w:r>
        <w:rPr>
          <w:rFonts w:hint="eastAsia" w:ascii="仿宋_GB2312" w:hAnsi="仿宋_GB2312" w:eastAsia="仿宋_GB2312" w:cs="仿宋_GB2312"/>
          <w:color w:val="auto"/>
          <w:sz w:val="28"/>
          <w:szCs w:val="28"/>
          <w:u w:val="single"/>
        </w:rPr>
        <w:t>1</w:t>
      </w:r>
      <w:r>
        <w:rPr>
          <w:rFonts w:hint="eastAsia" w:ascii="仿宋_GB2312" w:hAnsi="仿宋_GB2312" w:eastAsia="仿宋_GB2312" w:cs="仿宋_GB2312"/>
          <w:color w:val="auto"/>
          <w:sz w:val="28"/>
          <w:szCs w:val="28"/>
          <w:u w:val="single"/>
          <w:lang w:val="en"/>
        </w:rPr>
        <w:t>）</w:t>
      </w:r>
      <w:r>
        <w:rPr>
          <w:rFonts w:hint="eastAsia" w:ascii="仿宋_GB2312" w:hAnsi="仿宋_GB2312" w:eastAsia="仿宋_GB2312" w:cs="仿宋_GB2312"/>
          <w:color w:val="auto"/>
          <w:sz w:val="28"/>
          <w:szCs w:val="28"/>
          <w:u w:val="single"/>
          <w:lang w:val="zh-CN"/>
        </w:rPr>
        <w:t>拟担任本工程</w:t>
      </w:r>
      <w:r>
        <w:rPr>
          <w:rFonts w:hint="eastAsia" w:ascii="仿宋_GB2312" w:hAnsi="仿宋_GB2312" w:eastAsia="仿宋_GB2312" w:cs="仿宋_GB2312"/>
          <w:color w:val="auto"/>
          <w:sz w:val="28"/>
          <w:szCs w:val="28"/>
          <w:u w:val="single"/>
        </w:rPr>
        <w:t>的</w:t>
      </w:r>
      <w:r>
        <w:rPr>
          <w:rFonts w:hint="eastAsia" w:ascii="仿宋_GB2312" w:hAnsi="仿宋_GB2312" w:eastAsia="仿宋_GB2312" w:cs="仿宋_GB2312"/>
          <w:color w:val="auto"/>
          <w:sz w:val="28"/>
          <w:szCs w:val="28"/>
          <w:u w:val="single"/>
          <w:lang w:val="zh-CN"/>
        </w:rPr>
        <w:t>项目负责人</w:t>
      </w:r>
      <w:r>
        <w:rPr>
          <w:rFonts w:hint="eastAsia" w:ascii="仿宋_GB2312" w:hAnsi="仿宋_GB2312" w:eastAsia="仿宋_GB2312" w:cs="仿宋_GB2312"/>
          <w:color w:val="auto"/>
          <w:sz w:val="28"/>
          <w:szCs w:val="28"/>
          <w:u w:val="single"/>
        </w:rPr>
        <w:t>须同时满足下列要求</w:t>
      </w:r>
      <w:r>
        <w:rPr>
          <w:rFonts w:hint="eastAsia" w:ascii="仿宋_GB2312" w:hAnsi="仿宋_GB2312" w:eastAsia="仿宋_GB2312" w:cs="仿宋_GB2312"/>
          <w:color w:val="auto"/>
          <w:sz w:val="28"/>
          <w:szCs w:val="28"/>
          <w:u w:val="single"/>
          <w:lang w:val="zh-CN"/>
        </w:rPr>
        <w:t>：</w:t>
      </w:r>
      <w:r>
        <w:rPr>
          <w:rFonts w:ascii="仿宋_GB2312" w:hAnsi="仿宋_GB2312" w:eastAsia="仿宋_GB2312" w:cs="仿宋_GB2312"/>
          <w:color w:val="auto"/>
          <w:sz w:val="28"/>
          <w:szCs w:val="28"/>
          <w:u w:val="single"/>
        </w:rPr>
        <w:t>①</w:t>
      </w:r>
      <w:r>
        <w:rPr>
          <w:rFonts w:hint="eastAsia" w:ascii="仿宋_GB2312" w:hAnsi="仿宋_GB2312" w:eastAsia="仿宋_GB2312" w:cs="仿宋_GB2312"/>
          <w:color w:val="auto"/>
          <w:sz w:val="28"/>
          <w:szCs w:val="28"/>
          <w:u w:val="single"/>
        </w:rPr>
        <w:t>机电</w:t>
      </w:r>
      <w:r>
        <w:rPr>
          <w:rFonts w:ascii="仿宋" w:hAnsi="仿宋" w:eastAsia="仿宋" w:cs="仿宋_GB2312"/>
          <w:color w:val="auto"/>
          <w:sz w:val="28"/>
          <w:szCs w:val="28"/>
          <w:u w:val="single"/>
        </w:rPr>
        <w:t>专业二级（或以上级别）的注册建造师</w:t>
      </w:r>
      <w:r>
        <w:rPr>
          <w:rFonts w:hint="eastAsia" w:ascii="仿宋" w:hAnsi="仿宋" w:eastAsia="仿宋" w:cs="仿宋_GB2312"/>
          <w:color w:val="auto"/>
          <w:sz w:val="28"/>
          <w:szCs w:val="28"/>
          <w:u w:val="single"/>
        </w:rPr>
        <w:t>；</w:t>
      </w:r>
      <w:r>
        <w:rPr>
          <w:rFonts w:ascii="仿宋_GB2312" w:hAnsi="仿宋_GB2312" w:eastAsia="仿宋_GB2312" w:cs="仿宋_GB2312"/>
          <w:color w:val="auto"/>
          <w:sz w:val="28"/>
          <w:szCs w:val="28"/>
          <w:u w:val="single"/>
        </w:rPr>
        <w:t>②</w:t>
      </w:r>
      <w:r>
        <w:rPr>
          <w:rFonts w:ascii="仿宋" w:hAnsi="仿宋" w:eastAsia="仿宋" w:cs="仿宋_GB2312"/>
          <w:color w:val="auto"/>
          <w:sz w:val="28"/>
          <w:szCs w:val="28"/>
          <w:u w:val="single"/>
        </w:rPr>
        <w:t>持有项目负责人安全生产考核合格证（B类</w:t>
      </w:r>
      <w:r>
        <w:rPr>
          <w:rFonts w:hint="eastAsia" w:ascii="仿宋" w:hAnsi="仿宋" w:eastAsia="仿宋" w:cs="仿宋_GB2312"/>
          <w:color w:val="auto"/>
          <w:sz w:val="28"/>
          <w:szCs w:val="28"/>
          <w:u w:val="single"/>
        </w:rPr>
        <w:t>）（或能够提供广东省建筑施工企业管理人员安全生产考核信息系统安全生产管理人员证书信息的网页截图）</w:t>
      </w:r>
      <w:r>
        <w:rPr>
          <w:rFonts w:hint="eastAsia" w:ascii="仿宋_GB2312" w:hAnsi="仿宋_GB2312" w:eastAsia="仿宋_GB2312" w:cs="仿宋_GB2312"/>
          <w:color w:val="auto"/>
          <w:sz w:val="28"/>
          <w:szCs w:val="28"/>
          <w:u w:val="single"/>
          <w:lang w:val="zh-CN"/>
        </w:rPr>
        <w:t>。</w:t>
      </w:r>
    </w:p>
    <w:p>
      <w:pPr>
        <w:autoSpaceDE w:val="0"/>
        <w:autoSpaceDN w:val="0"/>
        <w:ind w:firstLine="560" w:firstLineChars="200"/>
        <w:rPr>
          <w:rFonts w:ascii="仿宋_GB2312" w:hAnsi="仿宋_GB2312" w:eastAsia="仿宋_GB2312" w:cs="仿宋_GB2312"/>
          <w:color w:val="auto"/>
          <w:sz w:val="28"/>
          <w:szCs w:val="28"/>
          <w:u w:val="single"/>
          <w:lang w:val="zh-CN"/>
        </w:rPr>
      </w:pPr>
      <w:r>
        <w:rPr>
          <w:rFonts w:hint="eastAsia" w:ascii="仿宋_GB2312" w:hAnsi="仿宋_GB2312" w:eastAsia="仿宋_GB2312" w:cs="仿宋_GB2312"/>
          <w:color w:val="auto"/>
          <w:sz w:val="28"/>
          <w:szCs w:val="28"/>
          <w:u w:val="single"/>
          <w:lang w:val="zh-CN"/>
        </w:rPr>
        <w:t>（</w:t>
      </w:r>
      <w:r>
        <w:rPr>
          <w:rFonts w:hint="eastAsia" w:ascii="仿宋_GB2312" w:hAnsi="仿宋_GB2312" w:eastAsia="仿宋_GB2312" w:cs="仿宋_GB2312"/>
          <w:color w:val="auto"/>
          <w:sz w:val="28"/>
          <w:szCs w:val="28"/>
          <w:u w:val="single"/>
        </w:rPr>
        <w:t>2</w:t>
      </w:r>
      <w:r>
        <w:rPr>
          <w:rFonts w:hint="eastAsia" w:ascii="仿宋_GB2312" w:hAnsi="仿宋_GB2312" w:eastAsia="仿宋_GB2312" w:cs="仿宋_GB2312"/>
          <w:color w:val="auto"/>
          <w:sz w:val="28"/>
          <w:szCs w:val="28"/>
          <w:u w:val="single"/>
          <w:lang w:val="zh-CN"/>
        </w:rPr>
        <w:t>）专职安全人员：</w:t>
      </w:r>
      <w:r>
        <w:rPr>
          <w:rFonts w:ascii="仿宋" w:hAnsi="仿宋" w:eastAsia="仿宋" w:cs="仿宋_GB2312"/>
          <w:color w:val="auto"/>
          <w:sz w:val="28"/>
          <w:szCs w:val="28"/>
          <w:u w:val="single"/>
        </w:rPr>
        <w:t>须具有安全生产考核合格证（C类）</w:t>
      </w:r>
      <w:r>
        <w:rPr>
          <w:rFonts w:hint="eastAsia" w:ascii="仿宋" w:hAnsi="仿宋" w:eastAsia="仿宋" w:cs="仿宋_GB2312"/>
          <w:color w:val="auto"/>
          <w:sz w:val="28"/>
          <w:szCs w:val="28"/>
          <w:u w:val="single"/>
        </w:rPr>
        <w:t>（或能够提供广东省建筑施工企业管理人员安全生产考核信息系统安全生产管理人员证书信息的网页截图）</w:t>
      </w:r>
      <w:r>
        <w:rPr>
          <w:rFonts w:hint="eastAsia" w:ascii="仿宋_GB2312" w:hAnsi="仿宋_GB2312" w:eastAsia="仿宋_GB2312" w:cs="仿宋_GB2312"/>
          <w:color w:val="auto"/>
          <w:sz w:val="28"/>
          <w:szCs w:val="28"/>
          <w:u w:val="single"/>
          <w:lang w:val="zh-CN"/>
        </w:rPr>
        <w:t>。</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val="zh-CN"/>
        </w:rPr>
        <w:t>、现场踏勘(答疑会)时间、地点：</w:t>
      </w:r>
      <w:r>
        <w:rPr>
          <w:rFonts w:hint="eastAsia" w:ascii="仿宋" w:hAnsi="仿宋" w:eastAsia="仿宋" w:cs="仿宋_GB2312"/>
          <w:color w:val="000000" w:themeColor="text1"/>
          <w:sz w:val="28"/>
          <w:szCs w:val="28"/>
          <w14:textFill>
            <w14:solidFill>
              <w14:schemeClr w14:val="tx1"/>
            </w14:solidFill>
          </w14:textFill>
        </w:rPr>
        <w:t>须在提交响应文件前进行现场踏勘，未进行现场踏勘的，报价一律视为无效报价，提交报价响应文件时需附上现场踏勘委派书（需求单位及报价单位均需盖章，详见附件）。</w:t>
      </w:r>
    </w:p>
    <w:p>
      <w:pPr>
        <w:autoSpaceDE w:val="0"/>
        <w:autoSpaceDN w:val="0"/>
        <w:ind w:firstLine="560" w:firstLineChars="200"/>
        <w:rPr>
          <w:rFonts w:ascii="仿宋" w:hAnsi="仿宋" w:eastAsia="仿宋" w:cs="仿宋_GB2312"/>
          <w:color w:val="00B050"/>
          <w:sz w:val="28"/>
          <w:szCs w:val="28"/>
        </w:rPr>
      </w:pPr>
      <w:r>
        <w:rPr>
          <w:rFonts w:hint="eastAsia" w:ascii="仿宋" w:hAnsi="仿宋" w:eastAsia="仿宋" w:cs="仿宋_GB2312"/>
          <w:color w:val="000000" w:themeColor="text1"/>
          <w:sz w:val="28"/>
          <w:szCs w:val="28"/>
          <w14:textFill>
            <w14:solidFill>
              <w14:schemeClr w14:val="tx1"/>
            </w14:solidFill>
          </w14:textFill>
        </w:rPr>
        <w:t>1. 现场踏勘(答疑会)集合时间：</w:t>
      </w:r>
      <w:r>
        <w:rPr>
          <w:rFonts w:hint="eastAsia" w:ascii="仿宋" w:hAnsi="仿宋" w:eastAsia="仿宋" w:cs="仿宋_GB2312"/>
          <w:color w:val="000000" w:themeColor="text1"/>
          <w:sz w:val="28"/>
          <w:szCs w:val="28"/>
          <w:lang w:val="en-US" w:eastAsia="zh-CN"/>
          <w14:textFill>
            <w14:solidFill>
              <w14:schemeClr w14:val="tx1"/>
            </w14:solidFill>
          </w14:textFill>
        </w:rPr>
        <w:t>2022</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11</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15</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p>
    <w:p>
      <w:pPr>
        <w:autoSpaceDE w:val="0"/>
        <w:autoSpaceDN w:val="0"/>
        <w:ind w:firstLine="560" w:firstLineChars="200"/>
        <w:rPr>
          <w:rFonts w:hint="eastAsia" w:ascii="仿宋_GB2312" w:hAnsi="仿宋_GB2312" w:eastAsia="仿宋" w:cs="仿宋_GB2312"/>
          <w:color w:val="00B050"/>
          <w:sz w:val="28"/>
          <w:szCs w:val="28"/>
          <w:lang w:val="en-US" w:eastAsia="zh-CN"/>
        </w:rPr>
      </w:pPr>
      <w:r>
        <w:rPr>
          <w:rFonts w:hint="eastAsia" w:ascii="仿宋" w:hAnsi="仿宋" w:eastAsia="仿宋" w:cs="仿宋_GB2312"/>
          <w:color w:val="000000" w:themeColor="text1"/>
          <w:sz w:val="28"/>
          <w:szCs w:val="28"/>
          <w14:textFill>
            <w14:solidFill>
              <w14:schemeClr w14:val="tx1"/>
            </w14:solidFill>
          </w14:textFill>
        </w:rPr>
        <w:t>2. 现场踏勘(答疑会)集合地点：广州市白云区江高镇南贤路1号江高净水厂</w:t>
      </w:r>
      <w:r>
        <w:rPr>
          <w:rFonts w:hint="eastAsia" w:ascii="仿宋" w:hAnsi="仿宋" w:eastAsia="仿宋" w:cs="仿宋_GB2312"/>
          <w:color w:val="000000" w:themeColor="text1"/>
          <w:sz w:val="28"/>
          <w:szCs w:val="28"/>
          <w:lang w:eastAsia="zh-CN"/>
          <w14:textFill>
            <w14:solidFill>
              <w14:schemeClr w14:val="tx1"/>
            </w14:solidFill>
          </w14:textFill>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、询价文件的获取：202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w:t>
      </w:r>
      <w:r>
        <w:rPr>
          <w:rFonts w:hint="eastAsia" w:ascii="仿宋_GB2312" w:hAnsi="仿宋_GB2312" w:eastAsia="仿宋_GB2312" w:cs="仿宋_GB2312"/>
          <w:color w:val="auto"/>
          <w:sz w:val="28"/>
          <w:szCs w:val="28"/>
        </w:rPr>
        <w:t>前，在广州市净水有限公司门户网站免费下载。</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rPr>
        <w:t>、询价响应文件递交时间：202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年1月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分至</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分；询价响应文件递交截止时间：202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lang w:val="en-US" w:eastAsia="zh-CN"/>
        </w:rPr>
        <w:t>00</w:t>
      </w:r>
      <w:r>
        <w:rPr>
          <w:rFonts w:hint="eastAsia" w:ascii="仿宋_GB2312" w:hAnsi="仿宋_GB2312" w:eastAsia="仿宋_GB2312" w:cs="仿宋_GB2312"/>
          <w:sz w:val="28"/>
          <w:szCs w:val="28"/>
        </w:rPr>
        <w:t>分。递交响应文件时须提供授权委托人身份证原件备查。</w:t>
      </w:r>
    </w:p>
    <w:p>
      <w:pPr>
        <w:ind w:firstLine="588" w:firstLineChars="210"/>
        <w:rPr>
          <w:rFonts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sz w:val="28"/>
          <w:szCs w:val="28"/>
          <w:highlight w:val="none"/>
        </w:rPr>
        <w:t>询价响应文件送达地点：广州市天河区临江大道501号广州市净水有限公司。</w:t>
      </w:r>
      <w:r>
        <w:rPr>
          <w:rFonts w:hint="eastAsia" w:ascii="仿宋_GB2312" w:hAnsi="仿宋_GB2312" w:eastAsia="仿宋_GB2312" w:cs="仿宋_GB2312"/>
          <w:color w:val="000000"/>
          <w:sz w:val="28"/>
          <w:szCs w:val="28"/>
        </w:rPr>
        <w:t>（注：基于疫情防控形势，授权委托人须通过“广州净水公司”微信公众号（提前）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、评审时间：</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、评审地点：广州市净水有限公司</w:t>
      </w:r>
      <w:r>
        <w:rPr>
          <w:rFonts w:hint="eastAsia" w:ascii="仿宋_GB2312" w:hAnsi="仿宋_GB2312" w:eastAsia="仿宋_GB2312" w:cs="仿宋_GB2312"/>
          <w:color w:val="auto"/>
          <w:sz w:val="28"/>
          <w:szCs w:val="28"/>
          <w:highlight w:val="none"/>
        </w:rPr>
        <w:t xml:space="preserve">六楼招标办  </w:t>
      </w:r>
      <w:r>
        <w:rPr>
          <w:rFonts w:hint="eastAsia" w:ascii="仿宋_GB2312" w:hAnsi="仿宋_GB2312" w:eastAsia="仿宋_GB2312" w:cs="仿宋_GB2312"/>
          <w:sz w:val="28"/>
          <w:szCs w:val="28"/>
        </w:rPr>
        <w:t xml:space="preserve">                    </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、询价人的联系方式</w:t>
      </w:r>
    </w:p>
    <w:p>
      <w:pPr>
        <w:snapToGrid w:val="0"/>
        <w:spacing w:line="360" w:lineRule="auto"/>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询价人：广州市净水有限公司</w:t>
      </w:r>
    </w:p>
    <w:p>
      <w:pPr>
        <w:snapToGrid w:val="0"/>
        <w:spacing w:line="360" w:lineRule="auto"/>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联系地址：广州市天河区临江大道501号            </w:t>
      </w:r>
    </w:p>
    <w:p>
      <w:pPr>
        <w:snapToGrid w:val="0"/>
        <w:spacing w:line="240" w:lineRule="auto"/>
        <w:ind w:firstLine="630" w:firstLineChars="225"/>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color w:val="auto"/>
          <w:sz w:val="28"/>
          <w:szCs w:val="28"/>
          <w:highlight w:val="none"/>
          <w:lang w:val="en-US" w:eastAsia="zh-CN"/>
        </w:rPr>
        <w:t>黄</w:t>
      </w:r>
      <w:r>
        <w:rPr>
          <w:rFonts w:hint="eastAsia" w:ascii="仿宋_GB2312" w:hAnsi="仿宋_GB2312" w:eastAsia="仿宋_GB2312" w:cs="仿宋_GB2312"/>
          <w:color w:val="auto"/>
          <w:sz w:val="28"/>
          <w:szCs w:val="28"/>
          <w:highlight w:val="none"/>
        </w:rPr>
        <w:t>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联系方式：</w:t>
      </w:r>
      <w:r>
        <w:rPr>
          <w:rFonts w:hint="eastAsia" w:ascii="仿宋_GB2312" w:hAnsi="仿宋_GB2312" w:eastAsia="仿宋_GB2312" w:cs="仿宋_GB2312"/>
          <w:sz w:val="28"/>
          <w:szCs w:val="28"/>
          <w:lang w:val="zh-CN"/>
        </w:rPr>
        <w:t>020-62315524</w:t>
      </w:r>
    </w:p>
    <w:p>
      <w:pPr>
        <w:spacing w:line="240" w:lineRule="auto"/>
        <w:ind w:firstLine="6160" w:firstLineChars="2200"/>
        <w:rPr>
          <w:rFonts w:ascii="仿宋_GB2312" w:hAnsi="仿宋_GB2312" w:eastAsia="仿宋_GB2312" w:cs="仿宋_GB2312"/>
          <w:sz w:val="28"/>
          <w:szCs w:val="28"/>
        </w:rPr>
      </w:pPr>
      <w:r>
        <w:rPr>
          <w:rFonts w:hint="eastAsia" w:ascii="仿宋_GB2312" w:hAnsi="仿宋_GB2312" w:eastAsia="仿宋_GB2312" w:cs="仿宋_GB2312"/>
          <w:sz w:val="28"/>
          <w:szCs w:val="28"/>
        </w:rPr>
        <w:t>广州市净水有限公司</w:t>
      </w:r>
    </w:p>
    <w:p>
      <w:pPr>
        <w:ind w:firstLine="3920" w:firstLineChars="1400"/>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2022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日</w:t>
      </w:r>
    </w:p>
    <w:p>
      <w:pPr>
        <w:spacing w:line="480" w:lineRule="auto"/>
        <w:jc w:val="center"/>
        <w:rPr>
          <w:rFonts w:hint="eastAsia" w:ascii="仿宋_GB2312" w:hAnsi="仿宋_GB2312" w:eastAsia="仿宋_GB2312" w:cs="仿宋_GB2312"/>
          <w:b/>
          <w:color w:val="auto"/>
          <w:sz w:val="28"/>
          <w:szCs w:val="28"/>
          <w:highlight w:val="none"/>
        </w:rPr>
      </w:pPr>
      <w:bookmarkStart w:id="1" w:name="_Toc17623_WPSOffice_Level1"/>
    </w:p>
    <w:p>
      <w:pPr>
        <w:spacing w:line="480" w:lineRule="auto"/>
        <w:jc w:val="center"/>
        <w:rPr>
          <w:rFonts w:hint="eastAsia" w:ascii="仿宋_GB2312" w:hAnsi="仿宋_GB2312" w:eastAsia="仿宋_GB2312" w:cs="仿宋_GB2312"/>
          <w:b/>
          <w:color w:val="auto"/>
          <w:sz w:val="28"/>
          <w:szCs w:val="28"/>
          <w:highlight w:val="none"/>
        </w:rPr>
      </w:pPr>
    </w:p>
    <w:p>
      <w:pPr>
        <w:spacing w:line="480" w:lineRule="auto"/>
        <w:jc w:val="center"/>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现场踏勘委派书</w:t>
      </w:r>
    </w:p>
    <w:p>
      <w:pPr>
        <w:spacing w:line="360" w:lineRule="auto"/>
        <w:rPr>
          <w:rFonts w:ascii="宋体" w:hAnsi="宋体"/>
          <w:color w:val="auto"/>
          <w:szCs w:val="21"/>
          <w:highlight w:val="none"/>
        </w:rPr>
      </w:pP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致：广州净水有限公司</w:t>
      </w:r>
      <w:r>
        <w:rPr>
          <w:rFonts w:hint="eastAsia" w:ascii="仿宋_GB2312" w:hAnsi="仿宋_GB2312" w:eastAsia="仿宋_GB2312" w:cs="仿宋_GB2312"/>
          <w:color w:val="auto"/>
          <w:sz w:val="28"/>
          <w:szCs w:val="28"/>
          <w:highlight w:val="none"/>
          <w:lang w:val="en-US" w:eastAsia="zh-CN"/>
        </w:rPr>
        <w:t>江高</w:t>
      </w:r>
      <w:r>
        <w:rPr>
          <w:rFonts w:hint="eastAsia" w:ascii="仿宋_GB2312" w:hAnsi="仿宋_GB2312" w:eastAsia="仿宋_GB2312" w:cs="仿宋_GB2312"/>
          <w:color w:val="auto"/>
          <w:sz w:val="28"/>
          <w:szCs w:val="28"/>
          <w:highlight w:val="none"/>
        </w:rPr>
        <w:t>分公司</w:t>
      </w:r>
    </w:p>
    <w:p>
      <w:pPr>
        <w:spacing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我公司（单位）</w:t>
      </w:r>
      <w:r>
        <w:rPr>
          <w:rFonts w:hint="eastAsia" w:ascii="仿宋_GB2312" w:hAnsi="仿宋_GB2312" w:eastAsia="仿宋_GB2312" w:cs="仿宋_GB2312"/>
          <w:color w:val="auto"/>
          <w:sz w:val="28"/>
          <w:szCs w:val="28"/>
          <w:highlight w:val="none"/>
          <w:u w:val="single"/>
        </w:rPr>
        <w:t xml:space="preserve">      （报价单位名称）</w:t>
      </w:r>
      <w:r>
        <w:rPr>
          <w:rFonts w:hint="eastAsia" w:ascii="仿宋_GB2312" w:hAnsi="仿宋_GB2312" w:eastAsia="仿宋_GB2312" w:cs="仿宋_GB2312"/>
          <w:i/>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现委派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i/>
          <w:color w:val="auto"/>
          <w:sz w:val="28"/>
          <w:szCs w:val="28"/>
          <w:highlight w:val="none"/>
          <w:u w:val="single"/>
        </w:rPr>
        <w:t xml:space="preserve">（姓名、职务、身份证号）    </w:t>
      </w:r>
      <w:r>
        <w:rPr>
          <w:rFonts w:hint="eastAsia" w:ascii="仿宋_GB2312" w:hAnsi="仿宋_GB2312" w:eastAsia="仿宋_GB2312" w:cs="仿宋_GB2312"/>
          <w:color w:val="auto"/>
          <w:sz w:val="28"/>
          <w:szCs w:val="28"/>
          <w:highlight w:val="none"/>
        </w:rPr>
        <w:t>处理本项目</w:t>
      </w:r>
      <w:r>
        <w:rPr>
          <w:rFonts w:hint="eastAsia" w:ascii="仿宋" w:hAnsi="仿宋" w:eastAsia="仿宋" w:cs="仿宋"/>
          <w:b w:val="0"/>
          <w:bCs/>
          <w:color w:val="000000"/>
          <w:sz w:val="28"/>
          <w:szCs w:val="28"/>
          <w:lang w:val="en-US" w:eastAsia="zh-CN"/>
        </w:rPr>
        <w:t>江高分公司干化PLC电房增加柜式七氟丙烷气体灭火系统项目</w:t>
      </w: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的现场踏勘事宜。</w:t>
      </w:r>
    </w:p>
    <w:p>
      <w:pPr>
        <w:spacing w:line="360" w:lineRule="auto"/>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000000"/>
          <w:sz w:val="28"/>
          <w:szCs w:val="28"/>
        </w:rPr>
        <w:t>注：基于疫情防控形势，授权委托人须通过“广州净水公司”微信公众号（提前）预约，填写访客预约信息（包括：1.三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auto"/>
          <w:sz w:val="28"/>
          <w:szCs w:val="28"/>
          <w:highlight w:val="none"/>
        </w:rPr>
        <w:t>）</w:t>
      </w:r>
    </w:p>
    <w:p>
      <w:pPr>
        <w:spacing w:line="360" w:lineRule="auto"/>
        <w:ind w:firstLine="54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pPr>
        <w:pStyle w:val="34"/>
        <w:rPr>
          <w:color w:val="auto"/>
          <w:highlight w:val="none"/>
        </w:rPr>
      </w:pPr>
    </w:p>
    <w:p>
      <w:pPr>
        <w:adjustRightInd w:val="0"/>
        <w:snapToGrid w:val="0"/>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报价单位法定代表人（或法定授权代表）签字：</w:t>
      </w:r>
      <w:r>
        <w:rPr>
          <w:rFonts w:hint="eastAsia" w:ascii="仿宋_GB2312" w:hAnsi="仿宋_GB2312" w:eastAsia="仿宋_GB2312" w:cs="仿宋_GB2312"/>
          <w:color w:val="auto"/>
          <w:sz w:val="28"/>
          <w:szCs w:val="28"/>
          <w:highlight w:val="none"/>
          <w:u w:val="single"/>
        </w:rPr>
        <w:t xml:space="preserve">                   </w:t>
      </w:r>
    </w:p>
    <w:p>
      <w:pPr>
        <w:adjustRightInd w:val="0"/>
        <w:snapToGrid w:val="0"/>
        <w:spacing w:line="360" w:lineRule="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报价单位名称（签章）：</w:t>
      </w:r>
      <w:r>
        <w:rPr>
          <w:rFonts w:hint="eastAsia" w:ascii="仿宋_GB2312" w:hAnsi="仿宋_GB2312" w:eastAsia="仿宋_GB2312" w:cs="仿宋_GB2312"/>
          <w:color w:val="auto"/>
          <w:sz w:val="28"/>
          <w:szCs w:val="28"/>
          <w:highlight w:val="none"/>
          <w:u w:val="single"/>
        </w:rPr>
        <w:t xml:space="preserve">                        </w:t>
      </w:r>
    </w:p>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   年   月   日</w:t>
      </w:r>
    </w:p>
    <w:p>
      <w:pPr>
        <w:pStyle w:val="34"/>
        <w:rPr>
          <w:color w:val="auto"/>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4050" w:type="dxa"/>
            <w:shd w:val="clear" w:color="auto" w:fill="auto"/>
          </w:tcPr>
          <w:p>
            <w:pPr>
              <w:spacing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广州净水有限公司</w:t>
            </w:r>
            <w:r>
              <w:rPr>
                <w:rFonts w:hint="eastAsia" w:ascii="仿宋_GB2312" w:hAnsi="仿宋_GB2312" w:eastAsia="仿宋_GB2312" w:cs="仿宋_GB2312"/>
                <w:color w:val="auto"/>
                <w:sz w:val="28"/>
                <w:szCs w:val="28"/>
                <w:highlight w:val="none"/>
                <w:lang w:val="en-US" w:eastAsia="zh-CN"/>
              </w:rPr>
              <w:t>江高</w:t>
            </w:r>
            <w:r>
              <w:rPr>
                <w:rFonts w:hint="eastAsia" w:ascii="仿宋_GB2312" w:hAnsi="仿宋_GB2312" w:eastAsia="仿宋_GB2312" w:cs="仿宋_GB2312"/>
                <w:color w:val="auto"/>
                <w:sz w:val="28"/>
                <w:szCs w:val="28"/>
                <w:highlight w:val="none"/>
              </w:rPr>
              <w:t>分公司（盖章）</w:t>
            </w:r>
          </w:p>
          <w:p>
            <w:p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经办人：陈工</w:t>
            </w:r>
          </w:p>
          <w:p>
            <w:pPr>
              <w:spacing w:line="360" w:lineRule="auto"/>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eastAsia="仿宋_GB2312" w:cs="仿宋_GB2312"/>
                <w:color w:val="auto"/>
                <w:kern w:val="0"/>
                <w:sz w:val="28"/>
                <w:szCs w:val="28"/>
                <w:highlight w:val="none"/>
                <w:lang w:val="en-US" w:eastAsia="zh-CN"/>
              </w:rPr>
              <w:t>13431032302</w:t>
            </w:r>
          </w:p>
        </w:tc>
      </w:tr>
    </w:tbl>
    <w:p>
      <w:pPr>
        <w:pStyle w:val="15"/>
        <w:adjustRightInd w:val="0"/>
        <w:snapToGrid w:val="0"/>
        <w:spacing w:line="300" w:lineRule="auto"/>
        <w:rPr>
          <w:rFonts w:ascii="仿宋_GB2312" w:hAnsi="仿宋_GB2312" w:eastAsia="仿宋_GB2312" w:cs="仿宋_GB2312"/>
          <w:b/>
          <w:color w:val="auto"/>
          <w:sz w:val="28"/>
          <w:szCs w:val="28"/>
          <w:highlight w:val="none"/>
          <w:lang w:val="zh-CN"/>
        </w:rPr>
      </w:pPr>
    </w:p>
    <w:p>
      <w:pPr>
        <w:pStyle w:val="15"/>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15"/>
        <w:adjustRightInd w:val="0"/>
        <w:snapToGrid w:val="0"/>
        <w:spacing w:line="300" w:lineRule="auto"/>
        <w:jc w:val="center"/>
        <w:rPr>
          <w:rFonts w:hint="eastAsia" w:ascii="仿宋_GB2312" w:hAnsi="仿宋_GB2312" w:eastAsia="仿宋_GB2312" w:cs="仿宋_GB2312"/>
          <w:b/>
          <w:color w:val="auto"/>
          <w:sz w:val="28"/>
          <w:szCs w:val="28"/>
          <w:highlight w:val="none"/>
          <w:lang w:val="zh-CN"/>
        </w:rPr>
      </w:pPr>
    </w:p>
    <w:p>
      <w:pPr>
        <w:pStyle w:val="24"/>
        <w:ind w:firstLine="0" w:firstLineChars="0"/>
        <w:jc w:val="center"/>
        <w:rPr>
          <w:rFonts w:hint="eastAsia" w:ascii="仿宋_GB2312" w:hAnsi="仿宋_GB2312" w:eastAsia="仿宋_GB2312" w:cs="仿宋_GB2312"/>
          <w:lang w:val="zh-CN"/>
        </w:rPr>
      </w:pPr>
    </w:p>
    <w:p>
      <w:pPr>
        <w:pStyle w:val="24"/>
        <w:ind w:firstLine="0" w:firstLineChars="0"/>
        <w:jc w:val="center"/>
        <w:rPr>
          <w:rFonts w:ascii="仿宋_GB2312" w:hAnsi="仿宋_GB2312" w:eastAsia="仿宋_GB2312" w:cs="仿宋_GB2312"/>
          <w:lang w:val="zh-CN"/>
        </w:rPr>
      </w:pPr>
      <w:r>
        <w:rPr>
          <w:rFonts w:hint="eastAsia" w:ascii="仿宋_GB2312" w:hAnsi="仿宋_GB2312" w:eastAsia="仿宋_GB2312" w:cs="仿宋_GB2312"/>
          <w:lang w:val="zh-CN"/>
        </w:rPr>
        <w:t>第二部分项目内容</w:t>
      </w:r>
      <w:bookmarkEnd w:id="1"/>
    </w:p>
    <w:p>
      <w:pPr>
        <w:spacing w:line="300" w:lineRule="auto"/>
        <w:ind w:firstLine="560" w:firstLineChars="200"/>
        <w:rPr>
          <w:rFonts w:hint="eastAsia" w:ascii="仿宋" w:hAnsi="仿宋" w:eastAsia="仿宋" w:cs="仿宋"/>
          <w:bCs/>
          <w:color w:val="000000"/>
          <w:sz w:val="28"/>
          <w:szCs w:val="28"/>
          <w:lang w:val="en-US"/>
        </w:rPr>
      </w:pPr>
      <w:r>
        <w:rPr>
          <w:rFonts w:hint="eastAsia" w:ascii="仿宋" w:hAnsi="仿宋" w:eastAsia="仿宋" w:cs="仿宋"/>
          <w:bCs/>
          <w:color w:val="000000"/>
          <w:sz w:val="28"/>
          <w:szCs w:val="28"/>
          <w:lang w:val="en-US"/>
        </w:rPr>
        <w:t xml:space="preserve">报价单位须对本项目为单位的服务进行整体响应，任何只对其中一部分内容进行的响应都被视为无效响应。 </w:t>
      </w:r>
    </w:p>
    <w:p>
      <w:pPr>
        <w:spacing w:line="300" w:lineRule="auto"/>
        <w:ind w:firstLine="560" w:firstLineChars="200"/>
        <w:rPr>
          <w:rFonts w:hint="eastAsia" w:ascii="仿宋" w:hAnsi="仿宋" w:eastAsia="仿宋" w:cs="仿宋"/>
          <w:bCs/>
          <w:color w:val="000000"/>
          <w:sz w:val="28"/>
          <w:szCs w:val="28"/>
          <w:lang w:val="en-US"/>
        </w:rPr>
      </w:pPr>
      <w:r>
        <w:rPr>
          <w:rFonts w:hint="eastAsia" w:ascii="仿宋" w:hAnsi="仿宋" w:eastAsia="仿宋" w:cs="仿宋"/>
          <w:bCs/>
          <w:color w:val="000000"/>
          <w:sz w:val="28"/>
          <w:szCs w:val="28"/>
          <w:lang w:val="en-US"/>
        </w:rPr>
        <w:t>询价文件中所有要求均为实质性响应条款，供应商如有任何一条负偏离则导致响应文件无效。</w:t>
      </w:r>
    </w:p>
    <w:p>
      <w:pPr>
        <w:pStyle w:val="4"/>
        <w:rPr>
          <w:rFonts w:ascii="仿宋_GB2312" w:hAnsi="仿宋_GB2312" w:eastAsia="仿宋_GB2312" w:cs="仿宋_GB2312"/>
        </w:rPr>
      </w:pPr>
      <w:bookmarkStart w:id="2" w:name="_Toc2260_WPSOffice_Level2"/>
      <w:r>
        <w:rPr>
          <w:rFonts w:hint="eastAsia" w:ascii="仿宋_GB2312" w:hAnsi="仿宋_GB2312" w:eastAsia="仿宋_GB2312" w:cs="仿宋_GB2312"/>
        </w:rPr>
        <w:t>一、目标需求</w:t>
      </w:r>
      <w:bookmarkEnd w:id="2"/>
    </w:p>
    <w:p>
      <w:pPr>
        <w:pStyle w:val="5"/>
        <w:jc w:val="left"/>
        <w:rPr>
          <w:rFonts w:ascii="仿宋_GB2312" w:hAnsi="仿宋_GB2312" w:eastAsia="仿宋_GB2312" w:cs="仿宋_GB2312"/>
          <w:sz w:val="28"/>
          <w:szCs w:val="28"/>
        </w:rPr>
      </w:pPr>
      <w:bookmarkStart w:id="3" w:name="_Toc17623_WPSOffice_Level3"/>
      <w:r>
        <w:rPr>
          <w:rFonts w:hint="eastAsia" w:ascii="仿宋_GB2312" w:hAnsi="仿宋_GB2312" w:eastAsia="仿宋_GB2312" w:cs="仿宋_GB2312"/>
          <w:sz w:val="28"/>
          <w:szCs w:val="28"/>
        </w:rPr>
        <w:t>（一）目标</w:t>
      </w:r>
      <w:bookmarkEnd w:id="3"/>
    </w:p>
    <w:p>
      <w:pPr>
        <w:spacing w:line="300" w:lineRule="auto"/>
        <w:ind w:firstLine="560" w:firstLineChars="200"/>
        <w:rPr>
          <w:rFonts w:ascii="仿宋" w:hAnsi="仿宋" w:eastAsia="仿宋" w:cs="仿宋"/>
          <w:bCs/>
          <w:sz w:val="28"/>
          <w:szCs w:val="28"/>
        </w:rPr>
      </w:pPr>
      <w:r>
        <w:rPr>
          <w:rFonts w:hint="eastAsia" w:ascii="仿宋_GB2312" w:hAnsi="仿宋_GB2312" w:eastAsia="仿宋_GB2312" w:cs="仿宋_GB2312"/>
          <w:color w:val="auto"/>
          <w:sz w:val="28"/>
          <w:szCs w:val="28"/>
          <w:highlight w:val="none"/>
        </w:rPr>
        <w:t>本项目为</w:t>
      </w:r>
      <w:r>
        <w:rPr>
          <w:rFonts w:hint="eastAsia" w:ascii="仿宋" w:hAnsi="仿宋" w:eastAsia="仿宋" w:cs="仿宋"/>
          <w:b w:val="0"/>
          <w:bCs/>
          <w:color w:val="000000"/>
          <w:sz w:val="28"/>
          <w:szCs w:val="28"/>
          <w:lang w:val="en-US" w:eastAsia="zh-CN"/>
        </w:rPr>
        <w:t>广州市净水有限公司江高分公司干化PLC电房增加柜式七氟丙烷气体灭火系统项目</w:t>
      </w:r>
      <w:r>
        <w:rPr>
          <w:rFonts w:hint="eastAsia" w:ascii="仿宋_GB2312" w:hAnsi="仿宋_GB2312" w:eastAsia="仿宋_GB2312" w:cs="仿宋_GB2312"/>
          <w:color w:val="auto"/>
          <w:sz w:val="28"/>
          <w:szCs w:val="28"/>
          <w:highlight w:val="none"/>
        </w:rPr>
        <w:t>，</w:t>
      </w:r>
      <w:r>
        <w:rPr>
          <w:rFonts w:hint="eastAsia" w:ascii="仿宋" w:hAnsi="仿宋" w:eastAsia="仿宋" w:cs="仿宋"/>
          <w:bCs/>
          <w:sz w:val="28"/>
          <w:szCs w:val="28"/>
        </w:rPr>
        <w:t>主要达成的目标如下：</w:t>
      </w:r>
    </w:p>
    <w:p>
      <w:pPr>
        <w:ind w:firstLine="560" w:firstLineChars="200"/>
        <w:rPr>
          <w:rFonts w:eastAsia="仿宋_GB2312"/>
          <w:color w:val="auto"/>
          <w:highlight w:val="none"/>
        </w:rPr>
      </w:pPr>
      <w:r>
        <w:rPr>
          <w:rFonts w:hint="eastAsia" w:ascii="Times New Roman" w:hAnsi="宋体" w:eastAsia="仿宋" w:cs="宋体"/>
          <w:color w:val="000000" w:themeColor="text1"/>
          <w:kern w:val="0"/>
          <w:sz w:val="28"/>
          <w:szCs w:val="28"/>
          <w:lang w:val="en-US" w:eastAsia="zh-CN"/>
          <w14:textFill>
            <w14:solidFill>
              <w14:schemeClr w14:val="tx1"/>
            </w14:solidFill>
          </w14:textFill>
        </w:rPr>
        <w:t>江高分公司干化PLC电房没有消防系统，</w:t>
      </w:r>
      <w:r>
        <w:rPr>
          <w:rFonts w:hint="eastAsia" w:ascii="仿宋" w:hAnsi="仿宋" w:eastAsia="仿宋" w:cs="仿宋"/>
          <w:b w:val="0"/>
          <w:bCs/>
          <w:color w:val="000000"/>
          <w:sz w:val="28"/>
          <w:szCs w:val="28"/>
          <w:lang w:val="en-US" w:eastAsia="zh-CN"/>
        </w:rPr>
        <w:t>该电房主要设备为电柜，</w:t>
      </w:r>
      <w:r>
        <w:rPr>
          <w:rFonts w:hint="eastAsia" w:hAnsi="宋体" w:eastAsia="仿宋" w:cs="宋体"/>
          <w:color w:val="000000" w:themeColor="text1"/>
          <w:kern w:val="0"/>
          <w:sz w:val="28"/>
          <w:szCs w:val="28"/>
          <w:lang w:val="en-US" w:eastAsia="zh-CN"/>
          <w14:textFill>
            <w14:solidFill>
              <w14:schemeClr w14:val="tx1"/>
            </w14:solidFill>
          </w14:textFill>
        </w:rPr>
        <w:t>在发生特发性火灾，会影响整个供配电系统的运转，造成经济损失，严重的甚至出现危及生命的情况，如增加了灭火系统，能第一时间把损失减至最低，同时确保厂内员工生命的安全重要性。</w:t>
      </w:r>
    </w:p>
    <w:p>
      <w:pPr>
        <w:pStyle w:val="4"/>
        <w:numPr>
          <w:ilvl w:val="0"/>
          <w:numId w:val="1"/>
        </w:num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技术服务要求</w:t>
      </w:r>
    </w:p>
    <w:p>
      <w:pPr>
        <w:ind w:firstLine="560" w:firstLineChars="200"/>
        <w:rPr>
          <w:color w:val="auto"/>
          <w:highlight w:val="none"/>
        </w:rPr>
      </w:pPr>
      <w:r>
        <w:rPr>
          <w:rFonts w:hint="eastAsia" w:ascii="仿宋_GB2312" w:hAnsi="仿宋_GB2312" w:eastAsia="仿宋_GB2312" w:cs="仿宋_GB2312"/>
          <w:color w:val="auto"/>
          <w:sz w:val="28"/>
          <w:szCs w:val="28"/>
          <w:highlight w:val="none"/>
        </w:rPr>
        <w:t>新购设备及配件须完全符合技术参数以的要求及数量的要求，</w:t>
      </w:r>
      <w:r>
        <w:rPr>
          <w:rFonts w:hint="eastAsia" w:ascii="仿宋_GB2312" w:eastAsia="仿宋_GB2312"/>
          <w:color w:val="auto"/>
          <w:sz w:val="28"/>
          <w:szCs w:val="28"/>
          <w:highlight w:val="none"/>
        </w:rPr>
        <w:t>所用设备品牌及厂商必须经询价人认可，产品必须检验合格</w:t>
      </w:r>
      <w:r>
        <w:rPr>
          <w:rFonts w:hint="eastAsia" w:ascii="仿宋_GB2312" w:hAnsi="仿宋_GB2312" w:eastAsia="仿宋_GB2312" w:cs="仿宋_GB2312"/>
          <w:color w:val="auto"/>
          <w:sz w:val="28"/>
          <w:szCs w:val="28"/>
          <w:highlight w:val="none"/>
        </w:rPr>
        <w:t>。</w:t>
      </w:r>
    </w:p>
    <w:p>
      <w:pPr>
        <w:rPr>
          <w:rFonts w:hint="eastAsia"/>
        </w:rPr>
      </w:pPr>
    </w:p>
    <w:tbl>
      <w:tblPr>
        <w:tblStyle w:val="28"/>
        <w:tblW w:w="8996" w:type="dxa"/>
        <w:tblInd w:w="93" w:type="dxa"/>
        <w:shd w:val="clear" w:color="auto" w:fill="auto"/>
        <w:tblLayout w:type="autofit"/>
        <w:tblCellMar>
          <w:top w:w="0" w:type="dxa"/>
          <w:left w:w="108" w:type="dxa"/>
          <w:bottom w:w="0" w:type="dxa"/>
          <w:right w:w="108" w:type="dxa"/>
        </w:tblCellMar>
      </w:tblPr>
      <w:tblGrid>
        <w:gridCol w:w="856"/>
        <w:gridCol w:w="2"/>
        <w:gridCol w:w="1483"/>
        <w:gridCol w:w="5"/>
        <w:gridCol w:w="3121"/>
        <w:gridCol w:w="11"/>
        <w:gridCol w:w="1568"/>
        <w:gridCol w:w="1950"/>
      </w:tblGrid>
      <w:tr>
        <w:tblPrEx>
          <w:shd w:val="clear" w:color="auto" w:fill="auto"/>
          <w:tblCellMar>
            <w:top w:w="0" w:type="dxa"/>
            <w:left w:w="108" w:type="dxa"/>
            <w:bottom w:w="0" w:type="dxa"/>
            <w:right w:w="108"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157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95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shd w:val="clear" w:color="auto" w:fill="auto"/>
          <w:tblCellMar>
            <w:top w:w="0" w:type="dxa"/>
            <w:left w:w="108" w:type="dxa"/>
            <w:bottom w:w="0" w:type="dxa"/>
            <w:right w:w="108"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4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1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7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95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08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无管网气体灭火装置</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1.类型:柜式七氟丙烷气体灭火装置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2.型号、规格:MP150/2.5GW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3.含药剂</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点型探测器</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1.名称:点型光电感烟火灾探测器</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点型探测器</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1.名称:点型光电感温火灾探测器</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shd w:val="clear" w:color="auto" w:fill="auto"/>
          <w:tblCellMar>
            <w:top w:w="0" w:type="dxa"/>
            <w:left w:w="108" w:type="dxa"/>
            <w:bottom w:w="0" w:type="dxa"/>
            <w:right w:w="108"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按钮</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1.名称:紧急启动停止按钮</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1.名称:火灾声光报警器</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1.名称:放气释放报警</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模块(模块箱)</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1.名称:输出模块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2.输出形式:单输出</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108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4.配置形式:明配</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tblPrEx>
          <w:shd w:val="clear" w:color="auto" w:fill="auto"/>
          <w:tblCellMar>
            <w:top w:w="0" w:type="dxa"/>
            <w:left w:w="108" w:type="dxa"/>
            <w:bottom w:w="0" w:type="dxa"/>
            <w:right w:w="108"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2.型号:ZR-BV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3.规格:1.0mm2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5.配线部位:室内</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tblPrEx>
          <w:shd w:val="clear" w:color="auto" w:fill="auto"/>
          <w:tblCellMar>
            <w:top w:w="0" w:type="dxa"/>
            <w:left w:w="108" w:type="dxa"/>
            <w:bottom w:w="0" w:type="dxa"/>
            <w:right w:w="108"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2.型号:ZR-RVS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3.规格:2*1.5mm2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4.材质:铜芯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5.配线部位:室内</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shd w:val="clear" w:color="auto" w:fill="auto"/>
          <w:tblCellMar>
            <w:top w:w="0" w:type="dxa"/>
            <w:left w:w="108" w:type="dxa"/>
            <w:bottom w:w="0" w:type="dxa"/>
            <w:right w:w="108"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接线盒</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1.名称:接线盒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2.材质:镀锌铁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3.规格:86*86*40</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tblPrEx>
          <w:shd w:val="clear" w:color="auto" w:fill="auto"/>
          <w:tblCellMar>
            <w:top w:w="0" w:type="dxa"/>
            <w:left w:w="108" w:type="dxa"/>
            <w:bottom w:w="0" w:type="dxa"/>
            <w:right w:w="108"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防火涂料</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1.涂刷(喷)品种:防火涂料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2.涂刷(喷)遍数、漆膜厚度:漆膜 2遍</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shd w:val="clear" w:color="auto" w:fill="auto"/>
          <w:tblCellMar>
            <w:top w:w="0" w:type="dxa"/>
            <w:left w:w="108" w:type="dxa"/>
            <w:bottom w:w="0" w:type="dxa"/>
            <w:right w:w="108"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碳钢风口、散流器、百叶窗</w:t>
            </w:r>
          </w:p>
        </w:tc>
        <w:tc>
          <w:tcPr>
            <w:tcW w:w="31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1.名称:机械泄压口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2.规格:500*500</w:t>
            </w:r>
          </w:p>
        </w:tc>
        <w:tc>
          <w:tcPr>
            <w:tcW w:w="157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1335" w:hRule="atLeast"/>
        </w:trPr>
        <w:tc>
          <w:tcPr>
            <w:tcW w:w="85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1.名称:人工打洞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2.规格:500*500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4.填充(恢复)方式:水泥砂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5.混凝土标准:M10</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570" w:hRule="atLeast"/>
        </w:trPr>
        <w:tc>
          <w:tcPr>
            <w:tcW w:w="85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自动报警系统调试</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1.名称:自动报警系统调试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2.点数:16</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shd w:val="clear" w:color="auto" w:fill="auto"/>
          <w:tblCellMar>
            <w:top w:w="0" w:type="dxa"/>
            <w:left w:w="108" w:type="dxa"/>
            <w:bottom w:w="0" w:type="dxa"/>
            <w:right w:w="108" w:type="dxa"/>
          </w:tblCellMar>
        </w:tblPrEx>
        <w:trPr>
          <w:trHeight w:val="360" w:hRule="atLeast"/>
        </w:trPr>
        <w:tc>
          <w:tcPr>
            <w:tcW w:w="85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shd w:val="clear" w:color="auto" w:fill="auto"/>
          <w:tblCellMar>
            <w:top w:w="0" w:type="dxa"/>
            <w:left w:w="108" w:type="dxa"/>
            <w:bottom w:w="0" w:type="dxa"/>
            <w:right w:w="108" w:type="dxa"/>
          </w:tblCellMar>
        </w:tblPrEx>
        <w:trPr>
          <w:trHeight w:val="360" w:hRule="atLeast"/>
        </w:trPr>
        <w:tc>
          <w:tcPr>
            <w:tcW w:w="858"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8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13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9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pPr>
        <w:pStyle w:val="34"/>
      </w:pPr>
    </w:p>
    <w:p>
      <w:pPr>
        <w:pStyle w:val="5"/>
        <w:jc w:val="left"/>
        <w:rPr>
          <w:rFonts w:ascii="仿宋_GB2312" w:hAnsi="仿宋_GB2312" w:eastAsia="仿宋_GB2312" w:cs="仿宋_GB2312"/>
          <w:sz w:val="28"/>
          <w:szCs w:val="28"/>
        </w:rPr>
      </w:pPr>
      <w:bookmarkStart w:id="4" w:name="_Toc21315_WPSOffice_Level3"/>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）服务要求</w:t>
      </w:r>
      <w:bookmarkEnd w:id="4"/>
    </w:p>
    <w:p>
      <w:pPr>
        <w:ind w:left="420" w:leftChars="200" w:firstLine="145" w:firstLineChars="52"/>
        <w:rPr>
          <w:rFonts w:ascii="仿宋_GB2312" w:hAnsi="仿宋_GB2312" w:eastAsia="仿宋_GB2312" w:cs="仿宋_GB2312"/>
          <w:sz w:val="28"/>
          <w:szCs w:val="28"/>
        </w:rPr>
      </w:pPr>
      <w:r>
        <w:rPr>
          <w:rFonts w:hint="eastAsia" w:ascii="仿宋_GB2312" w:hAnsi="仿宋_GB2312" w:eastAsia="仿宋_GB2312" w:cs="仿宋_GB2312"/>
          <w:sz w:val="28"/>
          <w:szCs w:val="28"/>
        </w:rPr>
        <w:t>项目必须提供的具体服务内容如下：</w:t>
      </w:r>
    </w:p>
    <w:p>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1.质保期服务内容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（1）报价人明确承诺:本项目需提供一年免费售后服务。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（2）报价人产品属于国家规定“三包”范围的，其产品质量保证期不得低于“三包”规定。</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（3）报价人的质量保证期承诺优于国家“三包”规定的，按承包人实际承诺执行。</w:t>
      </w:r>
    </w:p>
    <w:p>
      <w:pPr>
        <w:ind w:firstLine="560" w:firstLineChars="200"/>
        <w:rPr>
          <w:rFonts w:ascii="仿宋_GB2312" w:hAnsi="仿宋_GB2312" w:eastAsia="仿宋_GB2312" w:cs="仿宋_GB2312"/>
          <w:sz w:val="28"/>
          <w:szCs w:val="28"/>
          <w:highlight w:val="red"/>
        </w:rPr>
      </w:pPr>
      <w:r>
        <w:rPr>
          <w:rFonts w:hint="eastAsia" w:ascii="仿宋_GB2312" w:hAnsi="仿宋_GB2312" w:eastAsia="仿宋_GB2312" w:cs="仿宋_GB2312"/>
          <w:sz w:val="28"/>
          <w:szCs w:val="28"/>
        </w:rPr>
        <w:t>（4）报价人产品由原厂负责标准售后服务的，应当在报价文件中予以明确说明,并附厂家售后服务承诺内容。</w:t>
      </w:r>
    </w:p>
    <w:p>
      <w:pPr>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2.售后服务内容</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承包人在质量保证期内应当为询价人提供以下技术支持和服务: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A、电话咨询</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B、现场响应</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C、技术升级</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在质保期内，如果承包人的销售的产品发现漏洞或能够技术升级，承包人应及时通知询价人，如询价人有相应要求，承包人应对询价人购买的产品进行升级服务。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（2）质保期外服务要求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A、质量保证期过后，承包人应同样提供免费电话咨询服务，并应承诺提供产品上门维护服务。</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B、质量保证期过后，询价人需要继续由承包人提供售后服务的，该承包人应以优惠价格提供售后服务。</w:t>
      </w:r>
    </w:p>
    <w:p>
      <w:pPr>
        <w:pStyle w:val="4"/>
        <w:rPr>
          <w:rFonts w:ascii="仿宋_GB2312" w:hAnsi="仿宋_GB2312" w:eastAsia="仿宋_GB2312" w:cs="仿宋_GB2312"/>
          <w:lang w:val="zh-CN"/>
        </w:rPr>
      </w:pPr>
      <w:bookmarkStart w:id="5" w:name="_Toc31999_WPSOffice_Level2"/>
      <w:r>
        <w:rPr>
          <w:rFonts w:hint="eastAsia" w:ascii="仿宋_GB2312" w:hAnsi="仿宋_GB2312" w:eastAsia="仿宋_GB2312" w:cs="仿宋_GB2312"/>
        </w:rPr>
        <w:t>四</w:t>
      </w:r>
      <w:r>
        <w:rPr>
          <w:rFonts w:hint="eastAsia" w:ascii="仿宋_GB2312" w:hAnsi="仿宋_GB2312" w:eastAsia="仿宋_GB2312" w:cs="仿宋_GB2312"/>
          <w:lang w:val="zh-CN"/>
        </w:rPr>
        <w:t>、项目商务要求</w:t>
      </w:r>
      <w:bookmarkEnd w:id="5"/>
    </w:p>
    <w:p>
      <w:pPr>
        <w:autoSpaceDE w:val="0"/>
        <w:autoSpaceDN w:val="0"/>
        <w:ind w:left="56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1.总包及分包规定：</w:t>
      </w:r>
    </w:p>
    <w:p>
      <w:p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乙方不得转包、分包。否则，甲方有权单方面终止合同，拒收其货物，由此而造成的经济损失由乙方负责赔偿。</w:t>
      </w:r>
    </w:p>
    <w:p>
      <w:pPr>
        <w:numPr>
          <w:ilvl w:val="0"/>
          <w:numId w:val="2"/>
        </w:numPr>
        <w:autoSpaceDE w:val="0"/>
        <w:autoSpaceDN w:val="0"/>
        <w:ind w:left="560"/>
        <w:rPr>
          <w:rFonts w:hint="eastAsia"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付款方式：</w:t>
      </w:r>
    </w:p>
    <w:p>
      <w:pPr>
        <w:numPr>
          <w:ilvl w:val="0"/>
          <w:numId w:val="0"/>
        </w:numPr>
        <w:autoSpaceDE w:val="0"/>
        <w:autoSpaceDN w:val="0"/>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（1）采用支票、银行汇票形式。</w:t>
      </w:r>
    </w:p>
    <w:p>
      <w:pPr>
        <w:spacing w:line="300" w:lineRule="auto"/>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color w:val="auto"/>
          <w:sz w:val="28"/>
          <w:szCs w:val="28"/>
          <w:highlight w:val="none"/>
        </w:rPr>
        <w:t>（2）报价人在收款前需提交相应金额增值税专用发票给需求单位。</w:t>
      </w:r>
    </w:p>
    <w:p>
      <w:pPr>
        <w:spacing w:line="300" w:lineRule="auto"/>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lang w:val="zh-CN"/>
        </w:rPr>
        <w:t>承包方式：包工、包料、</w:t>
      </w:r>
      <w:r>
        <w:rPr>
          <w:rFonts w:hint="eastAsia" w:ascii="仿宋_GB2312" w:hAnsi="仿宋_GB2312" w:eastAsia="仿宋_GB2312" w:cs="仿宋_GB2312"/>
          <w:bCs/>
          <w:sz w:val="28"/>
          <w:szCs w:val="28"/>
        </w:rPr>
        <w:t>包设备安装、</w:t>
      </w:r>
      <w:r>
        <w:rPr>
          <w:rFonts w:hint="eastAsia" w:ascii="仿宋_GB2312" w:hAnsi="仿宋_GB2312" w:eastAsia="仿宋_GB2312" w:cs="仿宋_GB2312"/>
          <w:bCs/>
          <w:sz w:val="28"/>
          <w:szCs w:val="28"/>
          <w:lang w:val="zh-CN"/>
        </w:rPr>
        <w:t>包开发、包调试、包培训、包运维（1年）、包验收的总价</w:t>
      </w:r>
      <w:r>
        <w:rPr>
          <w:rFonts w:hint="eastAsia" w:ascii="仿宋_GB2312" w:hAnsi="仿宋_GB2312" w:eastAsia="仿宋_GB2312" w:cs="仿宋_GB2312"/>
          <w:bCs/>
          <w:sz w:val="28"/>
          <w:szCs w:val="28"/>
          <w:lang w:val="en-US" w:eastAsia="zh-CN"/>
        </w:rPr>
        <w:t>单价包</w:t>
      </w:r>
      <w:r>
        <w:rPr>
          <w:rFonts w:hint="eastAsia" w:ascii="仿宋_GB2312" w:hAnsi="仿宋_GB2312" w:eastAsia="仿宋_GB2312" w:cs="仿宋_GB2312"/>
          <w:bCs/>
          <w:sz w:val="28"/>
          <w:szCs w:val="28"/>
          <w:lang w:val="zh-CN"/>
        </w:rPr>
        <w:t>干方式。</w:t>
      </w:r>
    </w:p>
    <w:p>
      <w:pPr>
        <w:pStyle w:val="34"/>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工期：120天</w:t>
      </w:r>
    </w:p>
    <w:p>
      <w:pPr>
        <w:pStyle w:val="34"/>
        <w:ind w:firstLine="560" w:firstLineChars="200"/>
        <w:rPr>
          <w:rFonts w:ascii="仿宋_GB2312" w:hAnsi="仿宋_GB2312" w:cs="仿宋_GB2312"/>
          <w:color w:val="auto"/>
          <w:sz w:val="28"/>
          <w:szCs w:val="28"/>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5"/>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5"/>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5"/>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5"/>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７.3询价文件的修改或澄清将以书面形式通知所有购买询价文件的报价单位或以净水公司门户网站公告的形式发布，并对其具有约束力。报价单位在收到上述通知后，应立即向询价人回函确认。</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7.4询价人可以视询价具体情况，延长递交询价响应文件截止时间，并将变更时间以书面形式通知所有询价文件收受人或以净水公司门户网站公告的形式发布。</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7.5 书面形式包括但不限于以纸质、电子邮件、门户网站信息公告等形式。</w:t>
      </w:r>
    </w:p>
    <w:p>
      <w:pPr>
        <w:pStyle w:val="15"/>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5"/>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（8）在参加本项目前3年内在存在重大违法记录；</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（9）被“全国企业信用信息公示系统”（网址：http://www.gsxt.gov.cn/）列入经营异常名录和严重违法企业名单；</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（10）被《信用中国》网站（www.creditchina.gov.cn）公示存在不良信用记录；</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 xml:space="preserve">（11）本项目截止时间前的半年中，在询价人组织的招标、询价活动中有被查实提供虚假材料的。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5"/>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5"/>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15.1询价响应文件应在递交响应文件截止之日起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5"/>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5"/>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5"/>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5"/>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5"/>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pStyle w:val="34"/>
        <w:rPr>
          <w:rFonts w:ascii="仿宋" w:hAnsi="仿宋" w:eastAsia="仿宋" w:cs="仿宋_GB2312"/>
          <w:color w:val="auto"/>
          <w:sz w:val="28"/>
          <w:szCs w:val="28"/>
        </w:rPr>
      </w:pPr>
      <w:r>
        <w:rPr>
          <w:rFonts w:hint="eastAsia" w:ascii="仿宋" w:hAnsi="仿宋" w:eastAsia="仿宋" w:cs="仿宋_GB2312"/>
          <w:color w:val="auto"/>
          <w:sz w:val="28"/>
          <w:szCs w:val="28"/>
        </w:rPr>
        <w:t>20.4拆封询价响应文件时，出现下列情形之一的，不参与评审：</w:t>
      </w:r>
    </w:p>
    <w:p>
      <w:pPr>
        <w:pStyle w:val="34"/>
        <w:rPr>
          <w:rFonts w:ascii="仿宋" w:hAnsi="仿宋" w:eastAsia="仿宋" w:cs="仿宋_GB2312"/>
          <w:color w:val="auto"/>
          <w:sz w:val="28"/>
          <w:szCs w:val="28"/>
        </w:rPr>
      </w:pPr>
      <w:r>
        <w:rPr>
          <w:rFonts w:hint="eastAsia" w:ascii="仿宋" w:hAnsi="仿宋" w:eastAsia="仿宋" w:cs="仿宋_GB2312"/>
          <w:color w:val="auto"/>
          <w:sz w:val="28"/>
          <w:szCs w:val="28"/>
        </w:rPr>
        <w:t>（1）响应文件没密封完整的，或封面未注明报价单位名称、项目名称、日期等项目信息的；</w:t>
      </w:r>
    </w:p>
    <w:p>
      <w:pPr>
        <w:pStyle w:val="34"/>
        <w:rPr>
          <w:rFonts w:ascii="仿宋" w:hAnsi="仿宋" w:eastAsia="仿宋" w:cs="仿宋_GB2312"/>
          <w:color w:val="auto"/>
          <w:sz w:val="28"/>
          <w:szCs w:val="28"/>
        </w:rPr>
      </w:pPr>
      <w:r>
        <w:rPr>
          <w:rFonts w:hint="eastAsia" w:ascii="仿宋" w:hAnsi="仿宋" w:eastAsia="仿宋" w:cs="仿宋_GB2312"/>
          <w:color w:val="auto"/>
          <w:sz w:val="28"/>
          <w:szCs w:val="28"/>
        </w:rPr>
        <w:t>（2）响应文件中的法定代表人或授权代理人与报价响应文件登记表的信息不一致的。</w:t>
      </w:r>
    </w:p>
    <w:p>
      <w:pPr>
        <w:pStyle w:val="34"/>
        <w:rPr>
          <w:rFonts w:ascii="仿宋" w:hAnsi="仿宋" w:eastAsia="仿宋" w:cs="仿宋_GB2312"/>
          <w:color w:val="auto"/>
          <w:sz w:val="28"/>
          <w:szCs w:val="28"/>
        </w:rPr>
      </w:pPr>
      <w:r>
        <w:rPr>
          <w:rFonts w:hint="eastAsia" w:ascii="仿宋" w:hAnsi="仿宋" w:eastAsia="仿宋" w:cs="仿宋_GB2312"/>
          <w:color w:val="auto"/>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r>
        <w:rPr>
          <w:rFonts w:hint="eastAsia" w:ascii="仿宋" w:hAnsi="仿宋" w:eastAsia="仿宋" w:cs="仿宋_GB2312"/>
          <w:color w:val="000000" w:themeColor="text1"/>
          <w:kern w:val="0"/>
          <w:sz w:val="28"/>
          <w:szCs w:val="28"/>
          <w14:textFill>
            <w14:solidFill>
              <w14:schemeClr w14:val="tx1"/>
            </w14:solidFill>
          </w14:textFill>
        </w:rPr>
        <w:t>若有效报价相同，则以注册资金高的作为备选单位，若注册资金相同则以上一年资产盈利高的作为备选单位。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3"/>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5"/>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themeColor="text1"/>
          <w:sz w:val="28"/>
          <w:szCs w:val="28"/>
          <w14:textFill>
            <w14:solidFill>
              <w14:schemeClr w14:val="tx1"/>
            </w14:solidFill>
          </w14:textFill>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sz w:val="28"/>
          <w:szCs w:val="28"/>
        </w:rPr>
        <w:sectPr>
          <w:headerReference r:id="rId3" w:type="default"/>
          <w:footerReference r:id="rId4" w:type="default"/>
          <w:pgSz w:w="11906" w:h="16838"/>
          <w:pgMar w:top="1089" w:right="1466" w:bottom="1089" w:left="1077" w:header="851" w:footer="992" w:gutter="0"/>
          <w:cols w:space="720" w:num="1"/>
          <w:docGrid w:type="lines" w:linePitch="312" w:charSpace="0"/>
        </w:sect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pStyle w:val="4"/>
        <w:rPr>
          <w:rFonts w:ascii="仿宋_GB2312" w:hAnsi="仿宋_GB2312" w:eastAsia="仿宋_GB2312" w:cs="仿宋_GB2312"/>
        </w:rPr>
      </w:pPr>
      <w:bookmarkStart w:id="6" w:name="_Toc371433002"/>
      <w:bookmarkStart w:id="7" w:name="_Toc144974548"/>
      <w:bookmarkStart w:id="8" w:name="_Toc152042358"/>
      <w:bookmarkStart w:id="9" w:name="_Toc179632599"/>
      <w:bookmarkStart w:id="10" w:name="_Toc10581_WPSOffice_Level2"/>
      <w:bookmarkStart w:id="11" w:name="_Toc152045581"/>
      <w:bookmarkStart w:id="12" w:name="_Toc247085739"/>
      <w:r>
        <w:rPr>
          <w:rFonts w:hint="eastAsia" w:ascii="仿宋_GB2312" w:hAnsi="仿宋_GB2312" w:eastAsia="仿宋_GB2312" w:cs="仿宋_GB2312"/>
        </w:rPr>
        <w:t>附件一 报价记录表</w:t>
      </w:r>
      <w:bookmarkEnd w:id="6"/>
      <w:bookmarkEnd w:id="7"/>
      <w:bookmarkEnd w:id="8"/>
      <w:bookmarkEnd w:id="9"/>
      <w:bookmarkEnd w:id="10"/>
      <w:bookmarkEnd w:id="11"/>
      <w:bookmarkEnd w:id="12"/>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广州市净水有限公司江高分公司干化PLC电房增加柜式七氟丙烷气体灭火系统项目</w:t>
      </w:r>
    </w:p>
    <w:p>
      <w:pPr>
        <w:spacing w:line="500" w:lineRule="exact"/>
        <w:ind w:firstLine="3360" w:firstLineChars="1600"/>
        <w:rPr>
          <w:rFonts w:ascii="仿宋_GB2312" w:hAnsi="仿宋_GB2312" w:eastAsia="仿宋_GB2312" w:cs="仿宋_GB2312"/>
        </w:rPr>
      </w:pPr>
      <w:r>
        <w:rPr>
          <w:rFonts w:hint="eastAsia" w:ascii="仿宋_GB2312" w:hAnsi="仿宋_GB2312" w:eastAsia="仿宋_GB2312" w:cs="仿宋_GB2312"/>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szCs w:val="21"/>
              </w:rPr>
            </w:pPr>
          </w:p>
        </w:tc>
      </w:tr>
    </w:tbl>
    <w:p>
      <w:pPr>
        <w:spacing w:line="440" w:lineRule="exact"/>
        <w:rPr>
          <w:rFonts w:ascii="仿宋_GB2312" w:hAnsi="仿宋_GB2312" w:eastAsia="仿宋_GB2312" w:cs="仿宋_GB2312"/>
        </w:rPr>
      </w:pPr>
    </w:p>
    <w:p>
      <w:pPr>
        <w:spacing w:line="440" w:lineRule="exact"/>
        <w:ind w:firstLine="630" w:firstLineChars="300"/>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440" w:lineRule="exact"/>
        <w:ind w:firstLine="420" w:firstLineChars="200"/>
        <w:rPr>
          <w:rFonts w:ascii="仿宋_GB2312" w:hAnsi="仿宋_GB2312" w:eastAsia="仿宋_GB2312" w:cs="仿宋_GB2312"/>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ind w:firstLine="720" w:firstLineChars="300"/>
        <w:rPr>
          <w:rFonts w:ascii="仿宋_GB2312" w:hAnsi="仿宋_GB2312" w:eastAsia="仿宋_GB2312" w:cs="仿宋_GB2312"/>
          <w:sz w:val="24"/>
        </w:rPr>
        <w:sectPr>
          <w:pgSz w:w="11906" w:h="16838"/>
          <w:pgMar w:top="1089" w:right="1466" w:bottom="1089" w:left="1077" w:header="851" w:footer="992" w:gutter="0"/>
          <w:cols w:space="720" w:num="1"/>
          <w:docGrid w:type="lines" w:linePitch="312" w:charSpace="0"/>
        </w:sectPr>
      </w:pPr>
    </w:p>
    <w:p>
      <w:pPr>
        <w:pStyle w:val="4"/>
        <w:rPr>
          <w:rFonts w:ascii="仿宋_GB2312" w:hAnsi="仿宋_GB2312" w:eastAsia="仿宋_GB2312" w:cs="仿宋_GB2312"/>
        </w:rPr>
      </w:pPr>
      <w:r>
        <w:rPr>
          <w:rFonts w:hint="eastAsia" w:ascii="仿宋_GB2312" w:hAnsi="仿宋_GB2312" w:eastAsia="仿宋_GB2312" w:cs="仿宋_GB2312"/>
        </w:rPr>
        <w:t>附件二</w:t>
      </w:r>
    </w:p>
    <w:p>
      <w:pPr>
        <w:jc w:val="center"/>
        <w:rPr>
          <w:rFonts w:ascii="仿宋_GB2312" w:hAnsi="仿宋_GB2312" w:eastAsia="仿宋_GB2312" w:cs="仿宋_GB2312"/>
          <w:b/>
          <w:bCs/>
          <w:sz w:val="32"/>
          <w:szCs w:val="40"/>
        </w:rPr>
      </w:pPr>
      <w:bookmarkStart w:id="13" w:name="_Toc32751_WPSOffice_Level3"/>
      <w:r>
        <w:rPr>
          <w:rFonts w:hint="eastAsia" w:ascii="仿宋_GB2312" w:hAnsi="仿宋_GB2312" w:eastAsia="仿宋_GB2312" w:cs="仿宋_GB2312"/>
          <w:b/>
          <w:bCs/>
          <w:sz w:val="32"/>
          <w:szCs w:val="40"/>
        </w:rPr>
        <w:t>广州市净水有限公司非公开招标项目评审记录表</w:t>
      </w:r>
      <w:bookmarkEnd w:id="13"/>
    </w:p>
    <w:p>
      <w:pPr>
        <w:spacing w:line="500" w:lineRule="exact"/>
        <w:jc w:val="center"/>
        <w:rPr>
          <w:rFonts w:ascii="仿宋_GB2312" w:hAnsi="仿宋_GB2312" w:eastAsia="仿宋_GB2312" w:cs="仿宋_GB2312"/>
          <w:sz w:val="24"/>
        </w:rPr>
      </w:pPr>
      <w:r>
        <w:rPr>
          <w:rFonts w:hint="eastAsia" w:ascii="宋体" w:hAnsi="宋体"/>
          <w:color w:val="000000"/>
          <w:sz w:val="28"/>
          <w:szCs w:val="28"/>
        </w:rPr>
        <w:t>项目名称：</w:t>
      </w:r>
      <w:r>
        <w:rPr>
          <w:rFonts w:hint="eastAsia" w:ascii="仿宋" w:hAnsi="仿宋" w:eastAsia="仿宋" w:cs="仿宋"/>
          <w:b/>
          <w:bCs w:val="0"/>
          <w:color w:val="000000"/>
          <w:sz w:val="22"/>
          <w:szCs w:val="22"/>
          <w:lang w:val="en-US" w:eastAsia="zh-CN"/>
        </w:rPr>
        <w:t>广州市净水有限公司江高分公司干化PLC电房增加柜式七氟丙烷气体灭火系统项目</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序号</w:t>
            </w:r>
          </w:p>
        </w:tc>
        <w:tc>
          <w:tcPr>
            <w:tcW w:w="4154" w:type="dxa"/>
            <w:vMerge w:val="restart"/>
            <w:tcBorders>
              <w:top w:val="double" w:color="auto" w:sz="4" w:space="0"/>
              <w:left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b/>
                <w:sz w:val="28"/>
                <w:szCs w:val="28"/>
              </w:rPr>
              <w:t>项目资料</w:t>
            </w:r>
          </w:p>
        </w:tc>
        <w:tc>
          <w:tcPr>
            <w:tcW w:w="1082" w:type="dxa"/>
            <w:vMerge w:val="restart"/>
            <w:tcBorders>
              <w:top w:val="double" w:color="auto" w:sz="4" w:space="0"/>
              <w:left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b/>
                <w:sz w:val="28"/>
                <w:szCs w:val="28"/>
              </w:rPr>
              <w:t>提交资料要求</w:t>
            </w:r>
          </w:p>
        </w:tc>
        <w:tc>
          <w:tcPr>
            <w:tcW w:w="3992" w:type="dxa"/>
            <w:gridSpan w:val="4"/>
            <w:tcBorders>
              <w:top w:val="double" w:color="auto" w:sz="4" w:space="0"/>
              <w:left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审核情况</w:t>
            </w:r>
          </w:p>
        </w:tc>
        <w:tc>
          <w:tcPr>
            <w:tcW w:w="806" w:type="dxa"/>
            <w:tcBorders>
              <w:top w:val="double" w:color="auto" w:sz="4" w:space="0"/>
              <w:left w:val="single" w:color="auto" w:sz="4" w:space="0"/>
              <w:bottom w:val="single" w:color="auto" w:sz="4" w:space="0"/>
              <w:right w:val="double" w:color="auto" w:sz="4" w:space="0"/>
            </w:tcBorders>
            <w:vAlign w:val="center"/>
          </w:tcPr>
          <w:p>
            <w:pPr>
              <w:jc w:val="center"/>
              <w:rPr>
                <w:rFonts w:ascii="仿宋" w:eastAsia="仿宋" w:cs="仿宋"/>
                <w:sz w:val="28"/>
                <w:szCs w:val="28"/>
              </w:rPr>
            </w:pPr>
            <w:r>
              <w:rPr>
                <w:rFonts w:hint="eastAsia" w:asci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vAlign w:val="center"/>
          </w:tcPr>
          <w:p/>
        </w:tc>
        <w:tc>
          <w:tcPr>
            <w:tcW w:w="4154" w:type="dxa"/>
            <w:vMerge w:val="continue"/>
            <w:tcBorders>
              <w:left w:val="single" w:color="auto" w:sz="4" w:space="0"/>
              <w:bottom w:val="single" w:color="auto" w:sz="4" w:space="0"/>
              <w:right w:val="single" w:color="auto" w:sz="4" w:space="0"/>
            </w:tcBorders>
            <w:vAlign w:val="center"/>
          </w:tcPr>
          <w:p/>
        </w:tc>
        <w:tc>
          <w:tcPr>
            <w:tcW w:w="1082" w:type="dxa"/>
            <w:vMerge w:val="continue"/>
            <w:tcBorders>
              <w:left w:val="single" w:color="auto" w:sz="4" w:space="0"/>
              <w:bottom w:val="single" w:color="auto" w:sz="4" w:space="0"/>
              <w:right w:val="single" w:color="auto" w:sz="4" w:space="0"/>
            </w:tcBorders>
            <w:vAlign w:val="center"/>
          </w:tcP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0"/>
                <w:szCs w:val="20"/>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0"/>
                <w:szCs w:val="20"/>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0"/>
                <w:szCs w:val="20"/>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1</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2</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3</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4</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5</w:t>
            </w:r>
          </w:p>
        </w:tc>
        <w:tc>
          <w:tcPr>
            <w:tcW w:w="4154" w:type="dxa"/>
            <w:tcBorders>
              <w:top w:val="single" w:color="auto" w:sz="4" w:space="0"/>
              <w:left w:val="single" w:color="auto" w:sz="4" w:space="0"/>
              <w:bottom w:val="single" w:color="auto" w:sz="4" w:space="0"/>
              <w:right w:val="single" w:color="auto" w:sz="4" w:space="0"/>
            </w:tcBorders>
            <w:vAlign w:val="center"/>
          </w:tcPr>
          <w:p>
            <w:pPr>
              <w:rPr>
                <w:rFonts w:hint="default" w:ascii="仿宋" w:eastAsia="仿宋" w:cs="仿宋"/>
                <w:sz w:val="28"/>
                <w:szCs w:val="28"/>
                <w:lang w:val="en-US" w:eastAsia="zh-CN"/>
              </w:rPr>
            </w:pPr>
            <w:r>
              <w:rPr>
                <w:rFonts w:hint="eastAsia" w:ascii="仿宋" w:eastAsia="仿宋" w:cs="仿宋"/>
                <w:sz w:val="28"/>
                <w:szCs w:val="28"/>
                <w:lang w:val="en-US" w:eastAsia="zh-CN"/>
              </w:rPr>
              <w:t>响应承诺书</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6</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7</w:t>
            </w:r>
          </w:p>
        </w:tc>
        <w:tc>
          <w:tcPr>
            <w:tcW w:w="4154"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r>
              <w:rPr>
                <w:rFonts w:hint="eastAsia" w:ascii="仿宋" w:eastAsia="仿宋" w:cs="仿宋"/>
                <w:sz w:val="28"/>
                <w:szCs w:val="28"/>
              </w:rPr>
              <w:t>原件</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结论</w:t>
            </w:r>
          </w:p>
        </w:tc>
        <w:tc>
          <w:tcPr>
            <w:tcW w:w="1003" w:type="dxa"/>
            <w:tcBorders>
              <w:top w:val="single" w:color="auto" w:sz="4" w:space="0"/>
              <w:left w:val="single" w:color="auto" w:sz="4" w:space="0"/>
              <w:bottom w:val="single" w:color="auto" w:sz="4" w:space="0"/>
              <w:right w:val="single" w:color="auto" w:sz="4" w:space="0"/>
            </w:tcBorders>
            <w:vAlign w:val="center"/>
          </w:tcPr>
          <w:p>
            <w:pPr>
              <w:rPr>
                <w:rFonts w:ascii="仿宋" w:eastAsia="仿宋" w:cs="仿宋"/>
                <w:sz w:val="28"/>
                <w:szCs w:val="28"/>
              </w:rPr>
            </w:pPr>
          </w:p>
        </w:tc>
        <w:tc>
          <w:tcPr>
            <w:tcW w:w="997"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996" w:type="dxa"/>
            <w:tcBorders>
              <w:top w:val="single" w:color="auto" w:sz="4" w:space="0"/>
              <w:left w:val="single" w:color="auto" w:sz="4" w:space="0"/>
              <w:bottom w:val="single" w:color="auto" w:sz="4" w:space="0"/>
              <w:right w:val="single" w:color="auto" w:sz="4" w:space="0"/>
            </w:tcBorders>
          </w:tcPr>
          <w:p>
            <w:pPr>
              <w:rPr>
                <w:rFonts w:ascii="仿宋" w:eastAsia="仿宋" w:cs="仿宋"/>
                <w:sz w:val="28"/>
                <w:szCs w:val="28"/>
              </w:rPr>
            </w:pPr>
          </w:p>
        </w:tc>
        <w:tc>
          <w:tcPr>
            <w:tcW w:w="806" w:type="dxa"/>
            <w:tcBorders>
              <w:top w:val="single" w:color="auto" w:sz="4" w:space="0"/>
              <w:left w:val="single" w:color="auto" w:sz="4" w:space="0"/>
              <w:bottom w:val="single" w:color="auto" w:sz="4" w:space="0"/>
              <w:right w:val="double" w:color="auto" w:sz="4" w:space="0"/>
            </w:tcBorders>
            <w:vAlign w:val="center"/>
          </w:tcPr>
          <w:p>
            <w:pPr>
              <w:rPr>
                <w:rFonts w:asci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eastAsia="仿宋" w:cs="仿宋"/>
                <w:sz w:val="28"/>
                <w:szCs w:val="28"/>
              </w:rPr>
            </w:pPr>
            <w:r>
              <w:rPr>
                <w:rFonts w:hint="eastAsia" w:ascii="仿宋" w:eastAsia="仿宋" w:cs="仿宋"/>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tcPr>
          <w:p>
            <w:pPr>
              <w:rPr>
                <w:rFonts w:ascii="仿宋" w:eastAsia="仿宋" w:cs="仿宋"/>
                <w:sz w:val="28"/>
                <w:szCs w:val="28"/>
              </w:rPr>
            </w:pPr>
          </w:p>
        </w:tc>
      </w:tr>
    </w:tbl>
    <w:p>
      <w:pPr>
        <w:ind w:left="840" w:hanging="840" w:hangingChars="400"/>
        <w:rPr>
          <w:color w:val="000000"/>
        </w:rPr>
      </w:pPr>
      <w:r>
        <w:rPr>
          <w:rFonts w:hint="eastAsia"/>
          <w:color w:val="000000"/>
        </w:rPr>
        <w:t>备注：1、审核情况填写“符合”或“不符合；或者打“√”或“×”。</w:t>
      </w:r>
    </w:p>
    <w:p>
      <w:pPr>
        <w:ind w:left="840" w:leftChars="300" w:hanging="210" w:hangingChars="100"/>
        <w:rPr>
          <w:color w:val="000000"/>
        </w:rPr>
      </w:pPr>
      <w:r>
        <w:rPr>
          <w:rFonts w:hint="eastAsia"/>
          <w:color w:val="000000"/>
        </w:rPr>
        <w:t>2、本表所有审核情况均为符合的，结论为报名成功。若有一项或以上审核情况为不符合的，结论为报名不成功。</w:t>
      </w:r>
    </w:p>
    <w:p>
      <w:pPr>
        <w:pStyle w:val="4"/>
        <w:rPr>
          <w:rFonts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ascii="仿宋_GB2312" w:hAnsi="仿宋_GB2312" w:eastAsia="仿宋_GB2312" w:cs="仿宋_GB2312"/>
          <w:kern w:val="0"/>
          <w:sz w:val="28"/>
          <w:szCs w:val="28"/>
        </w:rPr>
      </w:pPr>
    </w:p>
    <w:p>
      <w:pPr>
        <w:tabs>
          <w:tab w:val="left" w:pos="5740"/>
        </w:tabs>
        <w:autoSpaceDE w:val="0"/>
        <w:autoSpaceDN w:val="0"/>
        <w:adjustRightInd w:val="0"/>
        <w:jc w:val="center"/>
        <w:rPr>
          <w:rFonts w:ascii="仿宋_GB2312" w:hAnsi="仿宋_GB2312" w:eastAsia="仿宋_GB2312" w:cs="仿宋_GB2312"/>
          <w:sz w:val="44"/>
          <w:szCs w:val="44"/>
        </w:rPr>
      </w:pPr>
      <w:bookmarkStart w:id="14" w:name="_Toc17551_WPSOffice_Level3"/>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bookmarkEnd w:id="14"/>
    </w:p>
    <w:p>
      <w:pPr>
        <w:tabs>
          <w:tab w:val="left" w:pos="5740"/>
        </w:tabs>
        <w:autoSpaceDE w:val="0"/>
        <w:autoSpaceDN w:val="0"/>
        <w:adjustRightInd w:val="0"/>
        <w:jc w:val="center"/>
        <w:rPr>
          <w:rFonts w:ascii="仿宋_GB2312" w:hAnsi="仿宋_GB2312" w:eastAsia="仿宋_GB2312" w:cs="仿宋_GB2312"/>
          <w:bCs/>
          <w:kern w:val="0"/>
          <w:sz w:val="44"/>
          <w:szCs w:val="44"/>
        </w:rPr>
      </w:pPr>
      <w:bookmarkStart w:id="15" w:name="_Toc18308_WPSOffice_Level3"/>
      <w:r>
        <w:rPr>
          <w:rFonts w:hint="eastAsia" w:ascii="仿宋_GB2312" w:hAnsi="仿宋_GB2312" w:eastAsia="仿宋_GB2312" w:cs="仿宋_GB2312"/>
          <w:bCs/>
          <w:kern w:val="0"/>
          <w:sz w:val="44"/>
          <w:szCs w:val="44"/>
        </w:rPr>
        <w:t>发包通知书</w:t>
      </w:r>
      <w:bookmarkEnd w:id="15"/>
    </w:p>
    <w:p>
      <w:pPr>
        <w:autoSpaceDE w:val="0"/>
        <w:autoSpaceDN w:val="0"/>
        <w:adjustRightInd w:val="0"/>
        <w:spacing w:after="400"/>
        <w:jc w:val="center"/>
        <w:rPr>
          <w:rFonts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ascii="仿宋_GB2312" w:hAnsi="仿宋_GB2312" w:eastAsia="仿宋_GB2312" w:cs="仿宋_GB2312"/>
          <w:kern w:val="0"/>
          <w:sz w:val="32"/>
          <w:szCs w:val="32"/>
        </w:rPr>
      </w:pPr>
      <w:bookmarkStart w:id="16" w:name="_Toc10581_WPSOffice_Level3"/>
      <w:r>
        <w:rPr>
          <w:rFonts w:hint="eastAsia" w:ascii="仿宋_GB2312" w:hAnsi="仿宋_GB2312" w:eastAsia="仿宋_GB2312" w:cs="仿宋_GB2312"/>
          <w:kern w:val="0"/>
          <w:sz w:val="32"/>
          <w:szCs w:val="32"/>
        </w:rPr>
        <w:t>广净（非公招）字 [20××] 第 [×××] 号</w:t>
      </w:r>
      <w:bookmarkEnd w:id="16"/>
    </w:p>
    <w:p>
      <w:pPr>
        <w:autoSpaceDE w:val="0"/>
        <w:autoSpaceDN w:val="0"/>
        <w:adjustRightInd w:val="0"/>
        <w:spacing w:after="3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rPr>
          <w:rFonts w:ascii="仿宋_GB2312" w:hAnsi="仿宋_GB2312" w:eastAsia="仿宋_GB2312" w:cs="仿宋_GB2312"/>
          <w:b/>
          <w:kern w:val="0"/>
        </w:rPr>
      </w:pPr>
    </w:p>
    <w:p>
      <w:pPr>
        <w:rPr>
          <w:rFonts w:ascii="仿宋_GB2312" w:hAnsi="仿宋_GB2312" w:eastAsia="仿宋_GB2312" w:cs="仿宋_GB2312"/>
          <w:b/>
          <w:kern w:val="0"/>
        </w:rPr>
      </w:pPr>
    </w:p>
    <w:p>
      <w:pPr>
        <w:pStyle w:val="24"/>
        <w:rPr>
          <w:rFonts w:ascii="仿宋_GB2312" w:hAnsi="仿宋_GB2312" w:eastAsia="仿宋_GB2312" w:cs="仿宋_GB2312"/>
          <w:lang w:val="zh-CN"/>
        </w:rPr>
      </w:pPr>
      <w:bookmarkStart w:id="17" w:name="_Toc17034_WPSOffice_Level1"/>
      <w:r>
        <w:rPr>
          <w:rFonts w:hint="eastAsia" w:ascii="仿宋_GB2312" w:hAnsi="仿宋_GB2312" w:eastAsia="仿宋_GB2312" w:cs="仿宋_GB2312"/>
          <w:lang w:val="zh-CN"/>
        </w:rPr>
        <w:t>第四部分  合同书格式</w:t>
      </w:r>
      <w:bookmarkEnd w:id="17"/>
    </w:p>
    <w:p>
      <w:pPr>
        <w:spacing w:line="400" w:lineRule="atLeast"/>
        <w:jc w:val="center"/>
        <w:rPr>
          <w:rFonts w:ascii="宋体" w:hAnsi="宋体" w:cs="宋体"/>
          <w:b/>
          <w:bCs/>
          <w:sz w:val="48"/>
          <w:szCs w:val="48"/>
        </w:rPr>
      </w:pPr>
    </w:p>
    <w:p>
      <w:pPr>
        <w:spacing w:line="400" w:lineRule="atLeast"/>
        <w:jc w:val="center"/>
        <w:rPr>
          <w:rFonts w:hint="eastAsia" w:ascii="宋体" w:hAnsi="宋体" w:cs="宋体"/>
          <w:b/>
          <w:bCs/>
          <w:sz w:val="48"/>
          <w:szCs w:val="48"/>
          <w:lang w:val="en-US" w:eastAsia="zh-CN"/>
        </w:rPr>
      </w:pPr>
      <w:bookmarkStart w:id="18" w:name="_Toc12545_WPSOffice_Level2"/>
      <w:r>
        <w:rPr>
          <w:rFonts w:hint="eastAsia" w:ascii="宋体" w:hAnsi="宋体" w:cs="宋体"/>
          <w:b/>
          <w:bCs/>
          <w:sz w:val="48"/>
          <w:szCs w:val="48"/>
          <w:lang w:val="en-US" w:eastAsia="zh-CN"/>
        </w:rPr>
        <w:t>广州市净水有限公司</w:t>
      </w:r>
    </w:p>
    <w:p>
      <w:pPr>
        <w:spacing w:line="400" w:lineRule="atLeast"/>
        <w:jc w:val="center"/>
        <w:rPr>
          <w:rFonts w:ascii="宋体" w:hAnsi="宋体"/>
          <w:b/>
          <w:sz w:val="28"/>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r>
        <w:rPr>
          <w:rFonts w:hint="eastAsia" w:ascii="宋体" w:hAnsi="宋体"/>
          <w:bCs/>
          <w:color w:val="auto"/>
          <w:sz w:val="28"/>
          <w:highlight w:val="none"/>
        </w:rPr>
        <w:t>（示范文本）</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500" w:lineRule="exact"/>
        <w:jc w:val="left"/>
        <w:rPr>
          <w:rFonts w:hint="eastAsia" w:ascii="仿宋" w:hAnsi="仿宋" w:eastAsia="仿宋" w:cs="仿宋"/>
          <w:b/>
          <w:bCs w:val="0"/>
          <w:color w:val="000000"/>
          <w:sz w:val="24"/>
          <w:szCs w:val="24"/>
          <w:lang w:val="en-US" w:eastAsia="zh-CN"/>
        </w:rPr>
      </w:pPr>
      <w:r>
        <w:rPr>
          <w:rFonts w:hint="eastAsia" w:ascii="宋体" w:hAnsi="宋体" w:cs="宋体"/>
          <w:b/>
          <w:sz w:val="30"/>
          <w:szCs w:val="30"/>
        </w:rPr>
        <w:t xml:space="preserve">项目名称: </w:t>
      </w:r>
      <w:r>
        <w:rPr>
          <w:rFonts w:hint="eastAsia" w:ascii="仿宋" w:hAnsi="仿宋" w:eastAsia="仿宋" w:cs="仿宋"/>
          <w:b/>
          <w:bCs w:val="0"/>
          <w:color w:val="000000"/>
          <w:sz w:val="28"/>
          <w:szCs w:val="28"/>
          <w:lang w:val="en-US" w:eastAsia="zh-CN"/>
        </w:rPr>
        <w:t>广州市净水有限公司江高分公司干化PLC电房增加柜式七氟丙烷气体灭火系统项目</w:t>
      </w:r>
    </w:p>
    <w:p>
      <w:pPr>
        <w:spacing w:line="0" w:lineRule="atLeast"/>
        <w:ind w:left="1506" w:hanging="1506" w:hangingChars="500"/>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项目编号：14102021000002</w:t>
      </w:r>
      <w:r>
        <w:rPr>
          <w:rFonts w:ascii="宋体" w:hAnsi="宋体" w:cs="宋体"/>
          <w:b/>
          <w:sz w:val="30"/>
          <w:szCs w:val="30"/>
        </w:rPr>
        <w:t xml:space="preserve"> </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乙方： </w:t>
      </w:r>
    </w:p>
    <w:p>
      <w:pPr>
        <w:rPr>
          <w:rFonts w:ascii="仿宋_GB2312" w:eastAsia="仿宋_GB2312"/>
          <w:bCs/>
          <w:sz w:val="28"/>
          <w:szCs w:val="28"/>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ascii="宋体" w:hAnsi="宋体" w:cs="宋体"/>
          <w:color w:val="auto"/>
          <w:sz w:val="24"/>
          <w:highlight w:val="none"/>
          <w:u w:val="single"/>
        </w:rPr>
      </w:pPr>
      <w:r>
        <w:rPr>
          <w:rFonts w:hint="eastAsia" w:ascii="宋体" w:hAnsi="宋体" w:cs="宋体"/>
          <w:b/>
          <w:color w:val="auto"/>
          <w:sz w:val="30"/>
          <w:highlight w:val="none"/>
        </w:rPr>
        <w:t>签约地点：广州市</w:t>
      </w:r>
    </w:p>
    <w:p>
      <w:pPr>
        <w:rPr>
          <w:rFonts w:ascii="仿宋_GB2312" w:eastAsia="仿宋_GB2312"/>
          <w:bCs/>
          <w:sz w:val="28"/>
          <w:szCs w:val="28"/>
        </w:rPr>
      </w:pPr>
    </w:p>
    <w:p>
      <w:pPr>
        <w:spacing w:before="93" w:beforeLines="30" w:line="384" w:lineRule="auto"/>
        <w:ind w:left="210" w:leftChars="100" w:firstLine="600" w:firstLineChars="250"/>
        <w:rPr>
          <w:rFonts w:ascii="宋体" w:hAnsi="宋体" w:cs="宋体"/>
          <w:color w:val="auto"/>
          <w:sz w:val="24"/>
          <w:highlight w:val="non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 </w:t>
      </w:r>
      <w:r>
        <w:rPr>
          <w:rFonts w:hint="eastAsia" w:ascii="宋体" w:hAnsi="宋体" w:cs="宋体"/>
          <w:color w:val="auto"/>
          <w:sz w:val="24"/>
          <w:highlight w:val="none"/>
          <w:u w:val="single"/>
        </w:rPr>
        <w:t>…</w:t>
      </w:r>
      <w:r>
        <w:rPr>
          <w:rFonts w:hint="eastAsia" w:ascii="宋体" w:hAnsi="宋体" w:cs="宋体"/>
          <w:color w:val="auto"/>
          <w:sz w:val="24"/>
          <w:highlight w:val="none"/>
        </w:rPr>
        <w:t>（以下简称“乙方”）就 项目承接工作事宜，遵循平等、自愿、公平和诚实信用的原则，双方协商一致，订立本合同。</w:t>
      </w:r>
    </w:p>
    <w:p>
      <w:pPr>
        <w:spacing w:before="93" w:beforeLines="30" w:line="500" w:lineRule="exact"/>
        <w:ind w:firstLine="482" w:firstLineChars="200"/>
        <w:rPr>
          <w:rFonts w:ascii="宋体" w:hAnsi="宋体" w:cs="宋体"/>
          <w:b/>
          <w:bCs/>
          <w:sz w:val="24"/>
        </w:rPr>
      </w:pPr>
      <w:r>
        <w:rPr>
          <w:rFonts w:hint="eastAsia" w:ascii="宋体" w:hAnsi="宋体" w:cs="宋体"/>
          <w:b/>
          <w:bCs/>
          <w:sz w:val="24"/>
        </w:rPr>
        <w:t>一、组成合同的文件及优先顺序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发包通知书/委托函；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0" w:firstLineChars="200"/>
        <w:rPr>
          <w:rFonts w:ascii="宋体" w:hAnsi="宋体" w:cs="宋体"/>
          <w:bCs/>
          <w:sz w:val="24"/>
        </w:rPr>
      </w:pPr>
      <w:r>
        <w:rPr>
          <w:rFonts w:hint="eastAsia" w:ascii="宋体" w:hAnsi="宋体" w:cs="宋体"/>
          <w:bCs/>
          <w:sz w:val="24"/>
        </w:rPr>
        <w:t>⑺ 技术需求书;</w:t>
      </w:r>
    </w:p>
    <w:p>
      <w:pPr>
        <w:spacing w:line="500" w:lineRule="exact"/>
        <w:ind w:firstLine="480" w:firstLineChars="200"/>
        <w:rPr>
          <w:rFonts w:ascii="宋体" w:hAnsi="宋体" w:cs="宋体"/>
          <w:bCs/>
          <w:sz w:val="24"/>
        </w:rPr>
      </w:pPr>
      <w:r>
        <w:rPr>
          <w:rFonts w:hint="eastAsia" w:ascii="宋体" w:hAnsi="宋体" w:cs="宋体"/>
          <w:bCs/>
          <w:sz w:val="24"/>
        </w:rPr>
        <w:t>(8)本合同其他附件；</w:t>
      </w:r>
    </w:p>
    <w:p>
      <w:pPr>
        <w:spacing w:line="384" w:lineRule="auto"/>
        <w:ind w:firstLine="482"/>
        <w:rPr>
          <w:rFonts w:hint="eastAsia" w:ascii="宋体" w:hAnsi="宋体" w:cs="宋体"/>
          <w:b/>
          <w:sz w:val="24"/>
        </w:rPr>
      </w:pPr>
      <w:r>
        <w:rPr>
          <w:rFonts w:hint="eastAsia" w:ascii="宋体" w:hAnsi="宋体" w:cs="宋体"/>
          <w:b/>
          <w:sz w:val="24"/>
        </w:rPr>
        <w:t>二、</w:t>
      </w:r>
      <w:r>
        <w:rPr>
          <w:rFonts w:hint="eastAsia" w:ascii="宋体" w:hAnsi="宋体" w:cs="宋体"/>
          <w:b/>
          <w:bCs/>
          <w:sz w:val="24"/>
        </w:rPr>
        <w:t>第二条 项目概况、项目承包范围</w:t>
      </w:r>
      <w:r>
        <w:rPr>
          <w:rFonts w:hint="eastAsia" w:ascii="宋体" w:hAnsi="宋体" w:cs="宋体"/>
          <w:b/>
          <w:sz w:val="24"/>
        </w:rPr>
        <w:t>：</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仿宋" w:hAnsi="仿宋" w:eastAsia="仿宋" w:cs="仿宋"/>
          <w:b w:val="0"/>
          <w:bCs/>
          <w:color w:val="000000"/>
          <w:sz w:val="28"/>
          <w:szCs w:val="28"/>
          <w:u w:val="single"/>
          <w:lang w:val="en-US" w:eastAsia="zh-CN"/>
        </w:rPr>
        <w:t>广州市净水有限公司江高分公司干化PLC电房增加柜式七氟丙烷气体灭火系统项目</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江高分公司。</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r>
        <w:rPr>
          <w:rFonts w:hint="eastAsia" w:ascii="仿宋" w:hAnsi="仿宋" w:eastAsia="仿宋" w:cs="仿宋"/>
          <w:b w:val="0"/>
          <w:bCs/>
          <w:color w:val="000000"/>
          <w:sz w:val="28"/>
          <w:szCs w:val="28"/>
          <w:u w:val="single"/>
          <w:lang w:val="en-US" w:eastAsia="zh-CN"/>
        </w:rPr>
        <w:t>江高分公司干化PLC电房增加柜式七氟丙烷气体灭火系统</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34"/>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397"/>
        <w:gridCol w:w="1323"/>
        <w:gridCol w:w="855"/>
        <w:gridCol w:w="1359"/>
        <w:gridCol w:w="713"/>
        <w:gridCol w:w="1306"/>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序号</w:t>
            </w:r>
          </w:p>
        </w:tc>
        <w:tc>
          <w:tcPr>
            <w:tcW w:w="1397"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物品名称</w:t>
            </w:r>
          </w:p>
        </w:tc>
        <w:tc>
          <w:tcPr>
            <w:tcW w:w="1323"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规格</w:t>
            </w:r>
          </w:p>
        </w:tc>
        <w:tc>
          <w:tcPr>
            <w:tcW w:w="855"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数量</w:t>
            </w:r>
          </w:p>
        </w:tc>
        <w:tc>
          <w:tcPr>
            <w:tcW w:w="1359"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单价</w:t>
            </w:r>
          </w:p>
        </w:tc>
        <w:tc>
          <w:tcPr>
            <w:tcW w:w="713"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单位</w:t>
            </w:r>
          </w:p>
        </w:tc>
        <w:tc>
          <w:tcPr>
            <w:tcW w:w="1306"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总价</w:t>
            </w:r>
          </w:p>
        </w:tc>
        <w:tc>
          <w:tcPr>
            <w:tcW w:w="820"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1</w:t>
            </w:r>
          </w:p>
        </w:tc>
        <w:tc>
          <w:tcPr>
            <w:tcW w:w="1397" w:type="dxa"/>
          </w:tcPr>
          <w:p>
            <w:pPr>
              <w:spacing w:line="520" w:lineRule="exact"/>
              <w:rPr>
                <w:rFonts w:ascii="仿宋_GB2312" w:hAnsi="仿宋_GB2312" w:eastAsia="仿宋_GB2312" w:cs="仿宋_GB2312"/>
                <w:sz w:val="24"/>
                <w:lang w:eastAsia="zh-SG"/>
              </w:rPr>
            </w:pPr>
          </w:p>
        </w:tc>
        <w:tc>
          <w:tcPr>
            <w:tcW w:w="1323" w:type="dxa"/>
          </w:tcPr>
          <w:p>
            <w:pPr>
              <w:spacing w:line="520" w:lineRule="exact"/>
              <w:rPr>
                <w:rFonts w:ascii="仿宋_GB2312" w:hAnsi="仿宋_GB2312" w:eastAsia="仿宋_GB2312" w:cs="仿宋_GB2312"/>
                <w:sz w:val="24"/>
                <w:lang w:eastAsia="zh-SG"/>
              </w:rPr>
            </w:pPr>
          </w:p>
        </w:tc>
        <w:tc>
          <w:tcPr>
            <w:tcW w:w="855" w:type="dxa"/>
          </w:tcPr>
          <w:p>
            <w:pPr>
              <w:spacing w:line="520" w:lineRule="exact"/>
              <w:rPr>
                <w:rFonts w:ascii="仿宋_GB2312" w:hAnsi="仿宋_GB2312" w:eastAsia="仿宋_GB2312" w:cs="仿宋_GB2312"/>
                <w:sz w:val="24"/>
                <w:lang w:eastAsia="zh-SG"/>
              </w:rPr>
            </w:pPr>
          </w:p>
        </w:tc>
        <w:tc>
          <w:tcPr>
            <w:tcW w:w="1359" w:type="dxa"/>
          </w:tcPr>
          <w:p>
            <w:pPr>
              <w:spacing w:line="520" w:lineRule="exact"/>
              <w:rPr>
                <w:rFonts w:ascii="仿宋_GB2312" w:hAnsi="仿宋_GB2312" w:eastAsia="仿宋_GB2312" w:cs="仿宋_GB2312"/>
                <w:sz w:val="24"/>
                <w:lang w:eastAsia="zh-SG"/>
              </w:rPr>
            </w:pPr>
          </w:p>
        </w:tc>
        <w:tc>
          <w:tcPr>
            <w:tcW w:w="713" w:type="dxa"/>
          </w:tcPr>
          <w:p>
            <w:pPr>
              <w:spacing w:line="520" w:lineRule="exact"/>
              <w:rPr>
                <w:rFonts w:ascii="仿宋_GB2312" w:hAnsi="仿宋_GB2312" w:eastAsia="仿宋_GB2312" w:cs="仿宋_GB2312"/>
                <w:sz w:val="24"/>
                <w:lang w:eastAsia="zh-SG"/>
              </w:rPr>
            </w:pPr>
          </w:p>
        </w:tc>
        <w:tc>
          <w:tcPr>
            <w:tcW w:w="1306" w:type="dxa"/>
          </w:tcPr>
          <w:p>
            <w:pPr>
              <w:spacing w:line="520" w:lineRule="exact"/>
              <w:rPr>
                <w:rFonts w:ascii="仿宋_GB2312" w:hAnsi="仿宋_GB2312" w:eastAsia="仿宋_GB2312" w:cs="仿宋_GB2312"/>
                <w:sz w:val="24"/>
                <w:lang w:eastAsia="zh-SG"/>
              </w:rPr>
            </w:pPr>
          </w:p>
        </w:tc>
        <w:tc>
          <w:tcPr>
            <w:tcW w:w="820"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2</w:t>
            </w:r>
          </w:p>
        </w:tc>
        <w:tc>
          <w:tcPr>
            <w:tcW w:w="1397" w:type="dxa"/>
          </w:tcPr>
          <w:p>
            <w:pPr>
              <w:spacing w:line="520" w:lineRule="exact"/>
              <w:rPr>
                <w:rFonts w:ascii="仿宋_GB2312" w:hAnsi="仿宋_GB2312" w:eastAsia="仿宋_GB2312" w:cs="仿宋_GB2312"/>
                <w:sz w:val="24"/>
                <w:lang w:eastAsia="zh-SG"/>
              </w:rPr>
            </w:pPr>
          </w:p>
        </w:tc>
        <w:tc>
          <w:tcPr>
            <w:tcW w:w="1323" w:type="dxa"/>
          </w:tcPr>
          <w:p>
            <w:pPr>
              <w:spacing w:line="520" w:lineRule="exact"/>
              <w:rPr>
                <w:rFonts w:ascii="仿宋_GB2312" w:hAnsi="仿宋_GB2312" w:eastAsia="仿宋_GB2312" w:cs="仿宋_GB2312"/>
                <w:sz w:val="24"/>
                <w:lang w:eastAsia="zh-SG"/>
              </w:rPr>
            </w:pPr>
          </w:p>
        </w:tc>
        <w:tc>
          <w:tcPr>
            <w:tcW w:w="855" w:type="dxa"/>
          </w:tcPr>
          <w:p>
            <w:pPr>
              <w:spacing w:line="520" w:lineRule="exact"/>
              <w:rPr>
                <w:rFonts w:ascii="仿宋_GB2312" w:hAnsi="仿宋_GB2312" w:eastAsia="仿宋_GB2312" w:cs="仿宋_GB2312"/>
                <w:sz w:val="24"/>
                <w:lang w:eastAsia="zh-SG"/>
              </w:rPr>
            </w:pPr>
          </w:p>
        </w:tc>
        <w:tc>
          <w:tcPr>
            <w:tcW w:w="1359" w:type="dxa"/>
          </w:tcPr>
          <w:p>
            <w:pPr>
              <w:spacing w:line="520" w:lineRule="exact"/>
              <w:rPr>
                <w:rFonts w:ascii="仿宋_GB2312" w:hAnsi="仿宋_GB2312" w:eastAsia="仿宋_GB2312" w:cs="仿宋_GB2312"/>
                <w:sz w:val="24"/>
                <w:lang w:eastAsia="zh-SG"/>
              </w:rPr>
            </w:pPr>
          </w:p>
        </w:tc>
        <w:tc>
          <w:tcPr>
            <w:tcW w:w="713" w:type="dxa"/>
          </w:tcPr>
          <w:p>
            <w:pPr>
              <w:spacing w:line="520" w:lineRule="exact"/>
              <w:rPr>
                <w:rFonts w:ascii="仿宋_GB2312" w:hAnsi="仿宋_GB2312" w:eastAsia="仿宋_GB2312" w:cs="仿宋_GB2312"/>
                <w:sz w:val="24"/>
                <w:lang w:eastAsia="zh-SG"/>
              </w:rPr>
            </w:pPr>
          </w:p>
        </w:tc>
        <w:tc>
          <w:tcPr>
            <w:tcW w:w="1306" w:type="dxa"/>
          </w:tcPr>
          <w:p>
            <w:pPr>
              <w:spacing w:line="520" w:lineRule="exact"/>
              <w:rPr>
                <w:rFonts w:ascii="仿宋_GB2312" w:hAnsi="仿宋_GB2312" w:eastAsia="仿宋_GB2312" w:cs="仿宋_GB2312"/>
                <w:sz w:val="24"/>
                <w:lang w:eastAsia="zh-SG"/>
              </w:rPr>
            </w:pPr>
          </w:p>
        </w:tc>
        <w:tc>
          <w:tcPr>
            <w:tcW w:w="820"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3</w:t>
            </w:r>
          </w:p>
        </w:tc>
        <w:tc>
          <w:tcPr>
            <w:tcW w:w="1397" w:type="dxa"/>
          </w:tcPr>
          <w:p>
            <w:pPr>
              <w:spacing w:line="520" w:lineRule="exact"/>
              <w:rPr>
                <w:rFonts w:ascii="仿宋_GB2312" w:hAnsi="仿宋_GB2312" w:eastAsia="仿宋_GB2312" w:cs="仿宋_GB2312"/>
                <w:sz w:val="24"/>
                <w:lang w:eastAsia="zh-SG"/>
              </w:rPr>
            </w:pPr>
          </w:p>
        </w:tc>
        <w:tc>
          <w:tcPr>
            <w:tcW w:w="1323" w:type="dxa"/>
          </w:tcPr>
          <w:p>
            <w:pPr>
              <w:spacing w:line="520" w:lineRule="exact"/>
              <w:rPr>
                <w:rFonts w:ascii="仿宋_GB2312" w:hAnsi="仿宋_GB2312" w:eastAsia="仿宋_GB2312" w:cs="仿宋_GB2312"/>
                <w:sz w:val="24"/>
                <w:lang w:eastAsia="zh-SG"/>
              </w:rPr>
            </w:pPr>
          </w:p>
        </w:tc>
        <w:tc>
          <w:tcPr>
            <w:tcW w:w="855" w:type="dxa"/>
          </w:tcPr>
          <w:p>
            <w:pPr>
              <w:spacing w:line="520" w:lineRule="exact"/>
              <w:rPr>
                <w:rFonts w:ascii="仿宋_GB2312" w:hAnsi="仿宋_GB2312" w:eastAsia="仿宋_GB2312" w:cs="仿宋_GB2312"/>
                <w:sz w:val="24"/>
                <w:lang w:eastAsia="zh-SG"/>
              </w:rPr>
            </w:pPr>
          </w:p>
        </w:tc>
        <w:tc>
          <w:tcPr>
            <w:tcW w:w="1359" w:type="dxa"/>
          </w:tcPr>
          <w:p>
            <w:pPr>
              <w:spacing w:line="520" w:lineRule="exact"/>
              <w:rPr>
                <w:rFonts w:ascii="仿宋_GB2312" w:hAnsi="仿宋_GB2312" w:eastAsia="仿宋_GB2312" w:cs="仿宋_GB2312"/>
                <w:sz w:val="24"/>
                <w:lang w:eastAsia="zh-SG"/>
              </w:rPr>
            </w:pPr>
          </w:p>
        </w:tc>
        <w:tc>
          <w:tcPr>
            <w:tcW w:w="713" w:type="dxa"/>
          </w:tcPr>
          <w:p>
            <w:pPr>
              <w:spacing w:line="520" w:lineRule="exact"/>
              <w:rPr>
                <w:rFonts w:ascii="仿宋_GB2312" w:hAnsi="仿宋_GB2312" w:eastAsia="仿宋_GB2312" w:cs="仿宋_GB2312"/>
                <w:sz w:val="24"/>
                <w:lang w:eastAsia="zh-SG"/>
              </w:rPr>
            </w:pPr>
          </w:p>
        </w:tc>
        <w:tc>
          <w:tcPr>
            <w:tcW w:w="1306" w:type="dxa"/>
          </w:tcPr>
          <w:p>
            <w:pPr>
              <w:spacing w:line="520" w:lineRule="exact"/>
              <w:rPr>
                <w:rFonts w:ascii="仿宋_GB2312" w:hAnsi="仿宋_GB2312" w:eastAsia="仿宋_GB2312" w:cs="仿宋_GB2312"/>
                <w:sz w:val="24"/>
                <w:lang w:eastAsia="zh-SG"/>
              </w:rPr>
            </w:pPr>
          </w:p>
        </w:tc>
        <w:tc>
          <w:tcPr>
            <w:tcW w:w="820" w:type="dxa"/>
          </w:tcPr>
          <w:p>
            <w:pPr>
              <w:spacing w:line="520" w:lineRule="exact"/>
              <w:rPr>
                <w:rFonts w:ascii="仿宋_GB2312" w:hAnsi="仿宋_GB2312" w:eastAsia="仿宋_GB2312" w:cs="仿宋_GB2312"/>
                <w:sz w:val="24"/>
                <w:lang w:eastAsia="zh-S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pPr>
              <w:spacing w:line="520" w:lineRule="exact"/>
              <w:jc w:val="center"/>
              <w:rPr>
                <w:rFonts w:ascii="仿宋_GB2312" w:hAnsi="仿宋_GB2312" w:eastAsia="仿宋_GB2312" w:cs="仿宋_GB2312"/>
                <w:sz w:val="24"/>
                <w:lang w:eastAsia="zh-SG"/>
              </w:rPr>
            </w:pPr>
            <w:r>
              <w:rPr>
                <w:rFonts w:hint="eastAsia" w:ascii="仿宋_GB2312" w:hAnsi="仿宋_GB2312" w:eastAsia="仿宋_GB2312" w:cs="仿宋_GB2312"/>
                <w:sz w:val="24"/>
                <w:lang w:eastAsia="zh-SG"/>
              </w:rPr>
              <w:t>4</w:t>
            </w:r>
          </w:p>
        </w:tc>
        <w:tc>
          <w:tcPr>
            <w:tcW w:w="1397" w:type="dxa"/>
          </w:tcPr>
          <w:p>
            <w:pPr>
              <w:spacing w:line="520" w:lineRule="exact"/>
              <w:rPr>
                <w:rFonts w:ascii="仿宋_GB2312" w:hAnsi="仿宋_GB2312" w:eastAsia="仿宋_GB2312" w:cs="仿宋_GB2312"/>
                <w:sz w:val="24"/>
                <w:lang w:eastAsia="zh-SG"/>
              </w:rPr>
            </w:pPr>
          </w:p>
        </w:tc>
        <w:tc>
          <w:tcPr>
            <w:tcW w:w="1323" w:type="dxa"/>
          </w:tcPr>
          <w:p>
            <w:pPr>
              <w:spacing w:line="520" w:lineRule="exact"/>
              <w:rPr>
                <w:rFonts w:ascii="仿宋_GB2312" w:hAnsi="仿宋_GB2312" w:eastAsia="仿宋_GB2312" w:cs="仿宋_GB2312"/>
                <w:sz w:val="24"/>
                <w:lang w:eastAsia="zh-SG"/>
              </w:rPr>
            </w:pPr>
          </w:p>
        </w:tc>
        <w:tc>
          <w:tcPr>
            <w:tcW w:w="855" w:type="dxa"/>
          </w:tcPr>
          <w:p>
            <w:pPr>
              <w:spacing w:line="520" w:lineRule="exact"/>
              <w:rPr>
                <w:rFonts w:ascii="仿宋_GB2312" w:hAnsi="仿宋_GB2312" w:eastAsia="仿宋_GB2312" w:cs="仿宋_GB2312"/>
                <w:sz w:val="24"/>
                <w:lang w:eastAsia="zh-SG"/>
              </w:rPr>
            </w:pPr>
          </w:p>
        </w:tc>
        <w:tc>
          <w:tcPr>
            <w:tcW w:w="1359" w:type="dxa"/>
          </w:tcPr>
          <w:p>
            <w:pPr>
              <w:spacing w:line="520" w:lineRule="exact"/>
              <w:rPr>
                <w:rFonts w:ascii="仿宋_GB2312" w:hAnsi="仿宋_GB2312" w:eastAsia="仿宋_GB2312" w:cs="仿宋_GB2312"/>
                <w:sz w:val="24"/>
                <w:lang w:eastAsia="zh-SG"/>
              </w:rPr>
            </w:pPr>
          </w:p>
        </w:tc>
        <w:tc>
          <w:tcPr>
            <w:tcW w:w="713" w:type="dxa"/>
          </w:tcPr>
          <w:p>
            <w:pPr>
              <w:spacing w:line="520" w:lineRule="exact"/>
              <w:rPr>
                <w:rFonts w:ascii="仿宋_GB2312" w:hAnsi="仿宋_GB2312" w:eastAsia="仿宋_GB2312" w:cs="仿宋_GB2312"/>
                <w:sz w:val="24"/>
                <w:lang w:eastAsia="zh-SG"/>
              </w:rPr>
            </w:pPr>
          </w:p>
        </w:tc>
        <w:tc>
          <w:tcPr>
            <w:tcW w:w="1306" w:type="dxa"/>
          </w:tcPr>
          <w:p>
            <w:pPr>
              <w:spacing w:line="520" w:lineRule="exact"/>
              <w:rPr>
                <w:rFonts w:ascii="仿宋_GB2312" w:hAnsi="仿宋_GB2312" w:eastAsia="仿宋_GB2312" w:cs="仿宋_GB2312"/>
                <w:sz w:val="24"/>
                <w:lang w:eastAsia="zh-SG"/>
              </w:rPr>
            </w:pPr>
          </w:p>
        </w:tc>
        <w:tc>
          <w:tcPr>
            <w:tcW w:w="820" w:type="dxa"/>
          </w:tcPr>
          <w:p>
            <w:pPr>
              <w:spacing w:line="520" w:lineRule="exact"/>
              <w:rPr>
                <w:rFonts w:ascii="仿宋_GB2312" w:hAnsi="仿宋_GB2312" w:eastAsia="仿宋_GB2312" w:cs="仿宋_GB2312"/>
                <w:sz w:val="24"/>
                <w:lang w:eastAsia="zh-SG"/>
              </w:rPr>
            </w:pPr>
          </w:p>
        </w:tc>
      </w:tr>
    </w:tbl>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ascii="宋体" w:hAnsi="宋体" w:cs="宋体"/>
          <w:color w:val="auto"/>
          <w:szCs w:val="21"/>
          <w:highlight w:val="none"/>
        </w:rPr>
        <w:fldChar w:fldCharType="begin"/>
      </w:r>
      <w:r>
        <w:rPr>
          <w:rFonts w:ascii="宋体" w:hAnsi="宋体" w:cs="宋体"/>
          <w:color w:val="auto"/>
          <w:szCs w:val="21"/>
          <w:highlight w:val="none"/>
        </w:rPr>
        <w:instrText xml:space="preserve"> </w:instrText>
      </w:r>
      <w:r>
        <w:rPr>
          <w:rFonts w:hint="eastAsia" w:ascii="宋体" w:hAnsi="宋体" w:cs="宋体"/>
          <w:color w:val="auto"/>
          <w:szCs w:val="21"/>
          <w:highlight w:val="none"/>
        </w:rPr>
        <w:instrText xml:space="preserve">eq \o\ac(□,√)</w:instrText>
      </w:r>
      <w:r>
        <w:rPr>
          <w:rFonts w:ascii="宋体" w:hAnsi="宋体" w:cs="宋体"/>
          <w:color w:val="auto"/>
          <w:szCs w:val="21"/>
          <w:highlight w:val="none"/>
        </w:rPr>
        <w:fldChar w:fldCharType="end"/>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outlineLvl w:val="0"/>
        <w:rPr>
          <w:rFonts w:ascii="宋体" w:hAnsi="宋体" w:cs="宋体"/>
          <w:b/>
          <w:sz w:val="24"/>
        </w:rPr>
      </w:pPr>
      <w:r>
        <w:rPr>
          <w:rFonts w:hint="eastAsia" w:ascii="宋体" w:hAnsi="宋体" w:cs="宋体"/>
          <w:b/>
          <w:sz w:val="24"/>
        </w:rPr>
        <w:t>四、合同价款</w:t>
      </w:r>
    </w:p>
    <w:p>
      <w:pPr>
        <w:spacing w:line="500" w:lineRule="exact"/>
        <w:ind w:firstLine="480" w:firstLineChars="200"/>
        <w:rPr>
          <w:rFonts w:ascii="宋体" w:hAnsi="宋体" w:cs="宋体"/>
          <w:bCs/>
          <w:sz w:val="24"/>
          <w:bdr w:val="single" w:color="auto" w:sz="4" w:space="0"/>
        </w:rPr>
      </w:pPr>
      <w:r>
        <w:rPr>
          <w:rFonts w:hint="eastAsia" w:ascii="宋体" w:hAnsi="宋体" w:cs="宋体"/>
          <w:sz w:val="24"/>
        </w:rPr>
        <w:t>4.1合同价款按以下</w:t>
      </w:r>
      <w:r>
        <w:rPr>
          <w:rFonts w:hint="eastAsia" w:ascii="宋体" w:hAnsi="宋体" w:cs="宋体"/>
          <w:sz w:val="24"/>
          <w:u w:val="single"/>
        </w:rPr>
        <w:t>（</w:t>
      </w:r>
      <w:r>
        <w:rPr>
          <w:rFonts w:hint="eastAsia" w:ascii="宋体" w:hAnsi="宋体" w:cs="宋体"/>
          <w:sz w:val="24"/>
          <w:u w:val="single"/>
          <w:lang w:val="en-US" w:eastAsia="zh-CN"/>
        </w:rPr>
        <w:t>1</w:t>
      </w:r>
      <w:r>
        <w:rPr>
          <w:rFonts w:hint="eastAsia" w:ascii="宋体" w:hAnsi="宋体" w:cs="宋体"/>
          <w:sz w:val="24"/>
          <w:u w:val="single"/>
        </w:rPr>
        <w:t>）</w:t>
      </w:r>
      <w:r>
        <w:rPr>
          <w:rFonts w:hint="eastAsia" w:ascii="宋体" w:hAnsi="宋体" w:cs="宋体"/>
          <w:sz w:val="24"/>
        </w:rPr>
        <w:t>执行。</w:t>
      </w:r>
    </w:p>
    <w:p>
      <w:pPr>
        <w:spacing w:line="500" w:lineRule="exact"/>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rPr>
        <w:t>），按实结算。经甲方或甲方委托有资质第三方机构审核后，审核价作为合同结算价。若合同结算价超合同暂定总价，双方另行签订补充协议。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bCs/>
          <w:sz w:val="24"/>
        </w:rPr>
        <w:t>（2）</w:t>
      </w:r>
      <w:r>
        <w:rPr>
          <w:rFonts w:hint="eastAsia" w:ascii="宋体" w:hAnsi="宋体" w:cs="宋体"/>
          <w:sz w:val="24"/>
        </w:rPr>
        <w:t>合同以总价包干形式，合同暂定总价为：</w:t>
      </w:r>
      <w:r>
        <w:rPr>
          <w:rFonts w:hint="eastAsia" w:ascii="宋体" w:hAnsi="宋体" w:cs="宋体"/>
          <w:b/>
          <w:sz w:val="24"/>
          <w:u w:val="single"/>
        </w:rPr>
        <w:t>人民币    元</w:t>
      </w:r>
      <w:r>
        <w:rPr>
          <w:rFonts w:hint="eastAsia" w:ascii="宋体" w:hAnsi="宋体" w:cs="宋体"/>
          <w:sz w:val="24"/>
        </w:rPr>
        <w:t>（大写:</w:t>
      </w:r>
      <w:r>
        <w:rPr>
          <w:rFonts w:hint="eastAsia" w:ascii="宋体" w:hAnsi="宋体" w:cs="宋体"/>
          <w:b/>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line="500" w:lineRule="exact"/>
        <w:ind w:firstLine="480" w:firstLineChars="200"/>
        <w:rPr>
          <w:rFonts w:ascii="宋体" w:hAnsi="宋体" w:cs="宋体"/>
          <w:sz w:val="24"/>
        </w:rPr>
      </w:pP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hint="eastAsia" w:ascii="宋体" w:hAnsi="宋体" w:cs="宋体"/>
          <w:sz w:val="24"/>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cs="宋体"/>
          <w:sz w:val="24"/>
        </w:rPr>
      </w:pPr>
      <w:r>
        <w:rPr>
          <w:rFonts w:hint="eastAsia" w:ascii="宋体" w:hAnsi="宋体" w:cs="宋体"/>
          <w:kern w:val="0"/>
          <w:sz w:val="24"/>
          <w:lang w:val="zh-CN"/>
        </w:rPr>
        <w:t>4.2</w:t>
      </w:r>
      <w:r>
        <w:rPr>
          <w:rFonts w:hint="eastAsia" w:ascii="宋体" w:hAnsi="宋体" w:cs="宋体"/>
          <w:kern w:val="0"/>
          <w:sz w:val="24"/>
        </w:rPr>
        <w:t>本合同约定的价格为已含税价价格</w:t>
      </w:r>
      <w:r>
        <w:rPr>
          <w:rFonts w:hint="eastAsia" w:ascii="宋体" w:hAnsi="宋体" w:cs="宋体"/>
          <w:sz w:val="24"/>
        </w:rPr>
        <w:t>（税率</w:t>
      </w:r>
      <w:r>
        <w:rPr>
          <w:rFonts w:hint="eastAsia" w:ascii="宋体" w:hAnsi="宋体" w:cs="宋体"/>
          <w:sz w:val="24"/>
          <w:u w:val="single"/>
        </w:rPr>
        <w:t xml:space="preserve">  </w:t>
      </w:r>
      <w:r>
        <w:rPr>
          <w:rFonts w:hint="eastAsia" w:ascii="宋体" w:hAnsi="宋体" w:cs="宋体"/>
          <w:sz w:val="24"/>
          <w:u w:val="single"/>
          <w:lang w:val="en-US" w:eastAsia="zh-CN"/>
        </w:rPr>
        <w:t>9</w:t>
      </w:r>
      <w:r>
        <w:rPr>
          <w:rFonts w:hint="eastAsia"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），合同履行期间国家税率调整或乙方开票的实际税率与前述税率不一致的，不含税价不变，价税合计按实际税率相应调整，以开具发票的时间为准。</w:t>
      </w:r>
    </w:p>
    <w:p>
      <w:pPr>
        <w:tabs>
          <w:tab w:val="left" w:pos="0"/>
        </w:tabs>
        <w:adjustRightInd w:val="0"/>
        <w:snapToGrid w:val="0"/>
        <w:spacing w:line="360" w:lineRule="auto"/>
        <w:ind w:firstLine="480" w:firstLineChars="200"/>
        <w:jc w:val="left"/>
        <w:rPr>
          <w:rFonts w:ascii="宋体" w:hAnsi="宋体" w:cs="宋体"/>
          <w:bCs/>
          <w:sz w:val="24"/>
        </w:rPr>
      </w:pPr>
      <w:r>
        <w:rPr>
          <w:rFonts w:hint="eastAsia" w:ascii="宋体" w:hAnsi="宋体" w:cs="宋体"/>
          <w:bCs/>
          <w:sz w:val="24"/>
        </w:rPr>
        <w:t>4.3因非甲方原因引起工程量报价清单中工程量发生增减，且单个子目工程量变化幅度在5%以内（含）时，按工程量报价清单中列明的子目单价结算。否则，按新增单价执行。</w:t>
      </w:r>
    </w:p>
    <w:p>
      <w:pPr>
        <w:spacing w:line="560" w:lineRule="exact"/>
        <w:ind w:firstLine="480" w:firstLineChars="200"/>
        <w:rPr>
          <w:rFonts w:ascii="宋体" w:hAnsi="宋体" w:cs="宋体"/>
          <w:sz w:val="24"/>
        </w:rPr>
      </w:pPr>
      <w:r>
        <w:rPr>
          <w:rFonts w:hint="eastAsia" w:ascii="宋体" w:hAnsi="宋体" w:cs="宋体"/>
          <w:sz w:val="24"/>
        </w:rPr>
        <w:t>4.4合同中没有适用于变更工程项目的单价的，按新增单价执行。</w:t>
      </w:r>
    </w:p>
    <w:p>
      <w:pPr>
        <w:spacing w:line="560" w:lineRule="exact"/>
        <w:ind w:firstLine="480" w:firstLineChars="200"/>
        <w:rPr>
          <w:rFonts w:ascii="宋体" w:hAnsi="宋体" w:cs="宋体"/>
          <w:sz w:val="24"/>
        </w:rPr>
      </w:pPr>
      <w:r>
        <w:rPr>
          <w:rFonts w:hint="eastAsia" w:ascii="宋体" w:hAnsi="宋体" w:cs="宋体"/>
          <w:sz w:val="24"/>
        </w:rPr>
        <w:t>新增单价计价原则：</w:t>
      </w:r>
    </w:p>
    <w:p>
      <w:pPr>
        <w:spacing w:line="560" w:lineRule="exact"/>
        <w:ind w:firstLine="480" w:firstLineChars="200"/>
        <w:rPr>
          <w:rFonts w:ascii="宋体" w:hAnsi="宋体" w:cs="宋体"/>
          <w:sz w:val="24"/>
        </w:rPr>
      </w:pPr>
      <w:r>
        <w:rPr>
          <w:rFonts w:hint="eastAsia" w:ascii="宋体" w:hAnsi="宋体" w:cs="宋体"/>
          <w:sz w:val="24"/>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cs="宋体"/>
          <w:sz w:val="24"/>
        </w:rPr>
      </w:pPr>
      <w:r>
        <w:rPr>
          <w:rFonts w:hint="eastAsia" w:ascii="宋体" w:hAnsi="宋体" w:cs="宋体"/>
          <w:sz w:val="24"/>
        </w:rPr>
        <w:t>2.项目计价材料、设备价格的控制：按以下顺序作为降序优先级依次采用工程开工报告中开工日期当月的下列价格：</w:t>
      </w:r>
    </w:p>
    <w:p>
      <w:pPr>
        <w:spacing w:line="560" w:lineRule="exact"/>
        <w:ind w:firstLine="240" w:firstLineChars="100"/>
        <w:rPr>
          <w:rFonts w:ascii="宋体" w:hAnsi="宋体" w:cs="宋体"/>
          <w:sz w:val="24"/>
        </w:rPr>
      </w:pPr>
      <w:r>
        <w:rPr>
          <w:rFonts w:hint="eastAsia" w:ascii="宋体" w:hAnsi="宋体" w:cs="宋体"/>
          <w:sz w:val="24"/>
        </w:rPr>
        <w:t>（1）《广州地区建设工程常用材料税前综合价格》（下称综合价格）。</w:t>
      </w:r>
    </w:p>
    <w:p>
      <w:pPr>
        <w:spacing w:line="560" w:lineRule="exact"/>
        <w:ind w:firstLine="240" w:firstLineChars="100"/>
        <w:rPr>
          <w:rFonts w:ascii="宋体" w:hAnsi="宋体" w:cs="宋体"/>
          <w:sz w:val="24"/>
        </w:rPr>
      </w:pPr>
      <w:r>
        <w:rPr>
          <w:rFonts w:hint="eastAsia" w:ascii="宋体" w:hAnsi="宋体" w:cs="宋体"/>
          <w:sz w:val="24"/>
        </w:rPr>
        <w:t>（2）《广州地区建设工程材料（设备）厂商价格信息》（下称厂商价格）下浮10-20%。</w:t>
      </w:r>
    </w:p>
    <w:p>
      <w:pPr>
        <w:spacing w:line="560" w:lineRule="exact"/>
        <w:ind w:firstLine="240" w:firstLineChars="100"/>
        <w:rPr>
          <w:rFonts w:ascii="宋体" w:hAnsi="宋体" w:cs="宋体"/>
          <w:sz w:val="24"/>
        </w:rPr>
      </w:pPr>
      <w:r>
        <w:rPr>
          <w:rFonts w:hint="eastAsia" w:ascii="宋体" w:hAnsi="宋体" w:cs="宋体"/>
          <w:sz w:val="24"/>
        </w:rPr>
        <w:t>（3）综合价格、厂商价格中缺项的，采用由北京瑞恒达建筑咨询有限公司提供服务的“慧讯网”中查到的相应材料、设备价格的工程价。</w:t>
      </w:r>
    </w:p>
    <w:p>
      <w:pPr>
        <w:pStyle w:val="34"/>
        <w:rPr>
          <w:rFonts w:eastAsia="宋体"/>
        </w:rPr>
      </w:pPr>
      <w:r>
        <w:rPr>
          <w:rFonts w:hint="eastAsia" w:hAnsi="宋体" w:eastAsia="宋体"/>
        </w:rPr>
        <w:t xml:space="preserve">  </w:t>
      </w:r>
      <w:r>
        <w:rPr>
          <w:rFonts w:hAnsi="宋体" w:eastAsia="宋体"/>
        </w:rPr>
        <w:t>（4）通过市场询价双方协商确定。</w:t>
      </w:r>
    </w:p>
    <w:p>
      <w:pPr>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3.按1、2组价后下浮5%计取。</w:t>
      </w:r>
    </w:p>
    <w:p>
      <w:pPr>
        <w:pStyle w:val="34"/>
        <w:rPr>
          <w:rFonts w:hint="eastAsia"/>
          <w:lang w:val="en-US" w:eastAsia="zh-CN"/>
        </w:rPr>
      </w:pPr>
      <w:r>
        <w:rPr>
          <w:rFonts w:hint="eastAsia"/>
          <w:lang w:val="en-US" w:eastAsia="zh-CN"/>
        </w:rPr>
        <w:t xml:space="preserve"> </w:t>
      </w:r>
    </w:p>
    <w:p>
      <w:pPr>
        <w:widowControl/>
        <w:tabs>
          <w:tab w:val="left" w:pos="851"/>
        </w:tabs>
        <w:adjustRightInd w:val="0"/>
        <w:snapToGrid w:val="0"/>
        <w:spacing w:line="384"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工期及要求</w:t>
      </w:r>
    </w:p>
    <w:p>
      <w:pPr>
        <w:widowControl/>
        <w:spacing w:line="384" w:lineRule="auto"/>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年…月…日</w:t>
      </w:r>
      <w:r>
        <w:rPr>
          <w:rFonts w:hint="eastAsia" w:ascii="宋体" w:hAnsi="宋体" w:cs="宋体"/>
          <w:color w:val="auto"/>
          <w:sz w:val="24"/>
          <w:highlight w:val="none"/>
        </w:rPr>
        <w:t>，具体日期以甲方发出的开工报告</w:t>
      </w:r>
      <w:r>
        <w:rPr>
          <w:rFonts w:ascii="宋体" w:hAnsi="宋体" w:cs="宋体"/>
          <w:color w:val="auto"/>
          <w:sz w:val="24"/>
          <w:highlight w:val="none"/>
        </w:rPr>
        <w:t>/</w:t>
      </w:r>
      <w:r>
        <w:rPr>
          <w:rFonts w:hint="eastAsia" w:ascii="宋体" w:hAnsi="宋体" w:cs="宋体"/>
          <w:color w:val="auto"/>
          <w:sz w:val="24"/>
          <w:highlight w:val="none"/>
        </w:rPr>
        <w:t>通知为准。乙方不能按时开工，应当于开工报告</w:t>
      </w:r>
      <w:r>
        <w:rPr>
          <w:rFonts w:ascii="宋体" w:hAnsi="宋体" w:cs="宋体"/>
          <w:color w:val="auto"/>
          <w:sz w:val="24"/>
          <w:highlight w:val="none"/>
        </w:rPr>
        <w:t>/</w:t>
      </w:r>
      <w:r>
        <w:rPr>
          <w:rFonts w:hint="eastAsia" w:ascii="宋体" w:hAnsi="宋体" w:cs="宋体"/>
          <w:color w:val="auto"/>
          <w:sz w:val="24"/>
          <w:highlight w:val="none"/>
        </w:rPr>
        <w:t>通知载明的开工日期</w:t>
      </w:r>
      <w:r>
        <w:rPr>
          <w:rFonts w:ascii="宋体" w:hAnsi="宋体" w:cs="宋体"/>
          <w:color w:val="auto"/>
          <w:sz w:val="24"/>
          <w:highlight w:val="none"/>
        </w:rPr>
        <w:t>7</w:t>
      </w:r>
      <w:r>
        <w:rPr>
          <w:rFonts w:hint="eastAsia" w:ascii="宋体" w:hAnsi="宋体" w:cs="宋体"/>
          <w:color w:val="auto"/>
          <w:sz w:val="24"/>
          <w:highlight w:val="none"/>
        </w:rPr>
        <w:t>天前，以书面形式向甲方提出延期开工的理由。甲方应当在接到延期开工申请后的</w:t>
      </w:r>
      <w:r>
        <w:rPr>
          <w:rFonts w:ascii="宋体" w:hAnsi="宋体" w:cs="宋体"/>
          <w:color w:val="auto"/>
          <w:sz w:val="24"/>
          <w:highlight w:val="none"/>
        </w:rPr>
        <w:t>48</w:t>
      </w:r>
      <w:r>
        <w:rPr>
          <w:rFonts w:hint="eastAsia" w:ascii="宋体" w:hAnsi="宋体" w:cs="宋体"/>
          <w:color w:val="auto"/>
          <w:sz w:val="24"/>
          <w:highlight w:val="none"/>
        </w:rPr>
        <w:t>小时内以书面形式答复乙方。甲方在接到延期开工申请后</w:t>
      </w:r>
      <w:r>
        <w:rPr>
          <w:rFonts w:ascii="宋体" w:hAnsi="宋体" w:cs="宋体"/>
          <w:color w:val="auto"/>
          <w:sz w:val="24"/>
          <w:highlight w:val="none"/>
        </w:rPr>
        <w:t>48</w:t>
      </w:r>
      <w:r>
        <w:rPr>
          <w:rFonts w:hint="eastAsia" w:ascii="宋体" w:hAnsi="宋体" w:cs="宋体"/>
          <w:color w:val="auto"/>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highlight w:val="none"/>
          <w:lang w:val="en-US" w:eastAsia="zh-CN"/>
        </w:rPr>
        <w:t>120</w:t>
      </w:r>
      <w:r>
        <w:rPr>
          <w:rFonts w:hint="eastAsia" w:ascii="宋体" w:hAnsi="宋体" w:cs="宋体"/>
          <w:color w:val="auto"/>
          <w:sz w:val="24"/>
          <w:highlight w:val="none"/>
        </w:rPr>
        <w:t>天。乙方未能按合同工期竣工验收的，每逾期一天，甲方有权要求乙方按</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 xml:space="preserve"> 1%</w:t>
      </w:r>
      <w:r>
        <w:rPr>
          <w:rFonts w:hint="eastAsia" w:ascii="宋体" w:hAnsi="宋体" w:cs="宋体"/>
          <w:color w:val="auto"/>
          <w:sz w:val="24"/>
          <w:highlight w:val="none"/>
        </w:rPr>
        <w:t>支付违约金，逾期达到</w:t>
      </w:r>
      <w:r>
        <w:rPr>
          <w:rFonts w:hint="eastAsia" w:ascii="宋体" w:hAnsi="宋体" w:cs="宋体"/>
          <w:color w:val="auto"/>
          <w:sz w:val="24"/>
          <w:highlight w:val="none"/>
          <w:u w:val="single"/>
        </w:rPr>
        <w:t xml:space="preserve"> 5</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384"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5%/</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作为违约金，超过三次（含三次）的，甲方有权解除合同，要求乙方支付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20%</w:t>
      </w:r>
      <w:r>
        <w:rPr>
          <w:rFonts w:hint="eastAsia" w:ascii="宋体" w:hAnsi="宋体" w:cs="宋体"/>
          <w:bCs/>
          <w:color w:val="auto"/>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highlight w:val="none"/>
          <w:u w:val="single"/>
        </w:rPr>
        <w:t>1万元</w:t>
      </w:r>
      <w:r>
        <w:rPr>
          <w:rFonts w:ascii="宋体" w:hAnsi="宋体" w:cs="宋体"/>
          <w:bCs/>
          <w:color w:val="auto"/>
          <w:sz w:val="24"/>
          <w:highlight w:val="none"/>
        </w:rPr>
        <w:t>，超过_</w:t>
      </w:r>
      <w:r>
        <w:rPr>
          <w:rFonts w:hint="eastAsia" w:ascii="宋体" w:hAnsi="宋体" w:cs="宋体"/>
          <w:bCs/>
          <w:color w:val="auto"/>
          <w:sz w:val="24"/>
          <w:highlight w:val="none"/>
          <w:u w:val="single"/>
        </w:rPr>
        <w:t>5</w:t>
      </w:r>
      <w:r>
        <w:rPr>
          <w:rFonts w:ascii="宋体" w:hAnsi="宋体" w:cs="宋体"/>
          <w:bCs/>
          <w:color w:val="auto"/>
          <w:sz w:val="24"/>
          <w:highlight w:val="none"/>
        </w:rPr>
        <w:t>_日，甲方有权解除合同并要求乙方支付</w:t>
      </w:r>
      <w:r>
        <w:rPr>
          <w:rFonts w:ascii="宋体" w:hAnsi="宋体" w:cs="宋体"/>
          <w:bCs/>
          <w:color w:val="auto"/>
          <w:sz w:val="24"/>
          <w:highlight w:val="none"/>
          <w:u w:val="single"/>
        </w:rPr>
        <w:t>合同暂定总价的20%</w:t>
      </w:r>
      <w:r>
        <w:rPr>
          <w:rFonts w:ascii="宋体" w:hAnsi="宋体" w:cs="宋体"/>
          <w:bCs/>
          <w:color w:val="auto"/>
          <w:sz w:val="24"/>
          <w:highlight w:val="none"/>
        </w:rPr>
        <w:t>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bCs/>
          <w:color w:val="auto"/>
          <w:sz w:val="24"/>
          <w:highlight w:val="none"/>
        </w:rPr>
        <w:t>。</w:t>
      </w:r>
    </w:p>
    <w:p>
      <w:pPr>
        <w:topLinePunct/>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eastAsiaTheme="minorEastAsia" w:cstheme="minorEastAsia"/>
          <w:color w:val="auto"/>
          <w:sz w:val="24"/>
          <w:highlight w:val="none"/>
          <w:u w:val="single"/>
        </w:rPr>
        <w:t>5000元/人次</w:t>
      </w:r>
      <w:r>
        <w:rPr>
          <w:rFonts w:hint="eastAsia" w:asciiTheme="minorEastAsia" w:hAnsiTheme="minorEastAsia" w:eastAsiaTheme="minorEastAsia" w:cstheme="minorEastAsia"/>
          <w:color w:val="auto"/>
          <w:sz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5.7施工过程中，项目负责人应驻场管理，否则甲方有权要求乙方支付违约</w:t>
      </w:r>
      <w:r>
        <w:rPr>
          <w:rFonts w:hint="eastAsia" w:asciiTheme="minorEastAsia" w:hAnsiTheme="minorEastAsia" w:eastAsiaTheme="minorEastAsia" w:cstheme="minorEastAsia"/>
          <w:color w:val="auto"/>
          <w:sz w:val="24"/>
          <w:highlight w:val="none"/>
          <w:u w:val="single"/>
        </w:rPr>
        <w:t xml:space="preserve"> 1000元/天</w:t>
      </w:r>
      <w:r>
        <w:rPr>
          <w:rFonts w:hint="eastAsia" w:asciiTheme="minorEastAsia" w:hAnsiTheme="minorEastAsia" w:eastAsiaTheme="minorEastAsia" w:cstheme="minorEastAsia"/>
          <w:color w:val="auto"/>
          <w:sz w:val="24"/>
          <w:highlight w:val="none"/>
        </w:rPr>
        <w:t>，因此造成损失的，按实际发生额赔偿。</w:t>
      </w:r>
    </w:p>
    <w:p>
      <w:pPr>
        <w:pStyle w:val="34"/>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5.9在合同有效期内，若乙方发生不诚信行为情形的，乙方自愿接受甲方按《广州市净水有限公司经营建设项目参建企业不诚信行为管理办法》处理，具体处理标准详见附件3。</w:t>
      </w:r>
    </w:p>
    <w:p>
      <w:pPr>
        <w:pStyle w:val="34"/>
        <w:rPr>
          <w:color w:val="auto"/>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5"/>
        <w:spacing w:line="384" w:lineRule="auto"/>
        <w:ind w:firstLine="241" w:firstLineChars="100"/>
        <w:rPr>
          <w:rFonts w:hAnsi="宋体" w:cs="宋体"/>
          <w:b/>
          <w:bCs/>
          <w:color w:val="auto"/>
          <w:sz w:val="24"/>
          <w:szCs w:val="24"/>
          <w:highlight w:val="none"/>
        </w:rPr>
      </w:pPr>
      <w:r>
        <w:rPr>
          <w:rFonts w:hint="eastAsia" w:hAnsi="宋体" w:cs="宋体"/>
          <w:b/>
          <w:bCs/>
          <w:color w:val="auto"/>
          <w:sz w:val="24"/>
          <w:szCs w:val="24"/>
          <w:highlight w:val="none"/>
          <w:lang w:val="en-US" w:eastAsia="zh-CN"/>
        </w:rPr>
        <w:t>七、</w:t>
      </w:r>
      <w:r>
        <w:rPr>
          <w:rFonts w:hint="eastAsia" w:hAnsi="宋体" w:cs="宋体"/>
          <w:b/>
          <w:bCs/>
          <w:color w:val="auto"/>
          <w:sz w:val="24"/>
          <w:szCs w:val="24"/>
          <w:highlight w:val="none"/>
        </w:rPr>
        <w:t>材料及设备供应</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7.1</w:t>
      </w:r>
      <w:r>
        <w:rPr>
          <w:rFonts w:hint="eastAsia" w:ascii="宋体" w:hAnsi="宋体" w:cs="宋体"/>
          <w:color w:val="auto"/>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w:t>
      </w:r>
      <w:r>
        <w:rPr>
          <w:rFonts w:ascii="宋体" w:hAnsi="宋体" w:cs="宋体"/>
          <w:color w:val="auto"/>
          <w:sz w:val="24"/>
          <w:highlight w:val="none"/>
        </w:rPr>
        <w:t>/</w:t>
      </w:r>
      <w:r>
        <w:rPr>
          <w:rFonts w:hint="eastAsia" w:ascii="宋体" w:hAnsi="宋体" w:cs="宋体"/>
          <w:color w:val="auto"/>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pStyle w:val="34"/>
        <w:rPr>
          <w:rFonts w:hint="eastAsia" w:ascii="宋体" w:hAnsi="宋体" w:cs="宋体"/>
          <w:b/>
          <w:spacing w:val="2"/>
          <w:kern w:val="36"/>
          <w:position w:val="2"/>
          <w:sz w:val="24"/>
        </w:rPr>
      </w:pPr>
    </w:p>
    <w:p>
      <w:pPr>
        <w:pStyle w:val="34"/>
        <w:ind w:firstLine="245" w:firstLineChars="100"/>
        <w:rPr>
          <w:rFonts w:ascii="宋体" w:hAnsi="宋体" w:cs="宋体"/>
          <w:b/>
          <w:spacing w:val="2"/>
          <w:kern w:val="36"/>
          <w:position w:val="2"/>
          <w:sz w:val="24"/>
        </w:rPr>
      </w:pPr>
      <w:r>
        <w:rPr>
          <w:rFonts w:hint="eastAsia" w:hAnsi="宋体" w:cs="宋体"/>
          <w:b/>
          <w:spacing w:val="2"/>
          <w:kern w:val="36"/>
          <w:position w:val="2"/>
          <w:sz w:val="24"/>
          <w:lang w:val="en-US" w:eastAsia="zh-CN"/>
        </w:rPr>
        <w:t>八</w:t>
      </w:r>
      <w:r>
        <w:rPr>
          <w:rFonts w:hint="eastAsia" w:ascii="宋体" w:hAnsi="宋体" w:cs="宋体"/>
          <w:b/>
          <w:spacing w:val="2"/>
          <w:kern w:val="36"/>
          <w:position w:val="2"/>
          <w:sz w:val="24"/>
        </w:rPr>
        <w:t>、支付方式及履约担保：</w:t>
      </w:r>
    </w:p>
    <w:p>
      <w:pPr>
        <w:spacing w:line="384" w:lineRule="auto"/>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sym w:font="Wingdings" w:char="F0A8"/>
      </w:r>
      <w:r>
        <w:rPr>
          <w:rFonts w:hint="eastAsia" w:ascii="宋体" w:hAnsi="宋体" w:cs="宋体"/>
          <w:bCs/>
          <w:color w:val="auto"/>
          <w:sz w:val="24"/>
          <w:highlight w:val="none"/>
        </w:rPr>
        <w:t>有,合同签订后，乙方开具等额的增值税专用发票及提交履约担保担保（如有）后</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hint="eastAsia" w:ascii="宋体" w:hAnsi="宋体" w:cs="宋体"/>
          <w:bCs/>
          <w:color w:val="auto"/>
          <w:sz w:val="24"/>
          <w:highlight w:val="none"/>
          <w:u w:val="single"/>
        </w:rPr>
        <w:t>（不得超过</w:t>
      </w:r>
      <w:r>
        <w:rPr>
          <w:rFonts w:ascii="宋体" w:hAnsi="宋体" w:cs="宋体"/>
          <w:bCs/>
          <w:color w:val="auto"/>
          <w:sz w:val="24"/>
          <w:highlight w:val="none"/>
          <w:u w:val="single"/>
        </w:rPr>
        <w:t>30%</w:t>
      </w:r>
      <w:r>
        <w:rPr>
          <w:rFonts w:hint="eastAsia" w:ascii="宋体" w:hAnsi="宋体" w:cs="宋体"/>
          <w:bCs/>
          <w:color w:val="auto"/>
          <w:sz w:val="24"/>
          <w:highlight w:val="none"/>
          <w:u w:val="single"/>
        </w:rPr>
        <w:t>）</w:t>
      </w:r>
      <w:r>
        <w:rPr>
          <w:rFonts w:hint="eastAsia" w:ascii="宋体" w:hAnsi="宋体" w:cs="宋体"/>
          <w:color w:val="auto"/>
          <w:sz w:val="24"/>
          <w:highlight w:val="none"/>
        </w:rPr>
        <w:t>即…</w:t>
      </w:r>
      <w:r>
        <w:rPr>
          <w:rFonts w:hint="eastAsia" w:ascii="宋体" w:hAnsi="宋体" w:cs="宋体"/>
          <w:color w:val="auto"/>
          <w:sz w:val="24"/>
          <w:highlight w:val="none"/>
          <w:u w:val="single"/>
        </w:rPr>
        <w:t>元，（大写：…）</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tabs>
          <w:tab w:val="left" w:pos="0"/>
        </w:tabs>
        <w:adjustRightInd w:val="0"/>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8.2</w:t>
      </w:r>
      <w:r>
        <w:rPr>
          <w:rFonts w:hint="eastAsia" w:ascii="宋体" w:hAnsi="宋体" w:cs="宋体"/>
          <w:color w:val="auto"/>
          <w:sz w:val="24"/>
          <w:highlight w:val="none"/>
          <w:u w:val="single"/>
        </w:rPr>
        <w:t>项目验收后，</w:t>
      </w:r>
      <w:r>
        <w:rPr>
          <w:rFonts w:hint="eastAsia" w:ascii="宋体" w:hAnsi="宋体" w:cs="宋体"/>
          <w:color w:val="auto"/>
          <w:sz w:val="24"/>
          <w:highlight w:val="none"/>
        </w:rPr>
        <w:t>经甲方或甲方委托有资质第三方机构审核后，由乙方提交申请支付资料</w:t>
      </w:r>
      <w:r>
        <w:rPr>
          <w:rFonts w:ascii="宋体" w:hAnsi="宋体" w:cs="宋体"/>
          <w:color w:val="auto"/>
          <w:sz w:val="24"/>
          <w:highlight w:val="none"/>
          <w:u w:val="single"/>
        </w:rPr>
        <w:t xml:space="preserve"> 15 </w:t>
      </w:r>
      <w:r>
        <w:rPr>
          <w:rFonts w:hint="eastAsia" w:ascii="宋体" w:hAnsi="宋体" w:cs="宋体"/>
          <w:color w:val="auto"/>
          <w:sz w:val="24"/>
          <w:highlight w:val="none"/>
        </w:rPr>
        <w:t>个工作日内，甲方支付至合同结算价的</w:t>
      </w:r>
      <w:r>
        <w:rPr>
          <w:rFonts w:ascii="宋体" w:hAnsi="宋体" w:cs="宋体"/>
          <w:color w:val="auto"/>
          <w:sz w:val="24"/>
          <w:highlight w:val="none"/>
        </w:rPr>
        <w:t>95%</w:t>
      </w:r>
      <w:r>
        <w:rPr>
          <w:rFonts w:hint="eastAsia" w:ascii="宋体" w:hAnsi="宋体" w:cs="宋体"/>
          <w:color w:val="auto"/>
          <w:sz w:val="24"/>
          <w:highlight w:val="none"/>
        </w:rPr>
        <w:t>。</w:t>
      </w:r>
    </w:p>
    <w:p>
      <w:pPr>
        <w:spacing w:line="384" w:lineRule="auto"/>
        <w:ind w:firstLine="480" w:firstLineChars="200"/>
        <w:outlineLvl w:val="1"/>
        <w:rPr>
          <w:rFonts w:hAnsi="宋体" w:cs="宋体"/>
          <w:color w:val="auto"/>
          <w:sz w:val="24"/>
          <w:highlight w:val="none"/>
        </w:rPr>
      </w:pPr>
      <w:r>
        <w:rPr>
          <w:rFonts w:ascii="宋体" w:hAnsi="宋体" w:cs="宋体"/>
          <w:color w:val="auto"/>
          <w:sz w:val="24"/>
          <w:highlight w:val="none"/>
        </w:rPr>
        <w:t>8.2.1</w:t>
      </w:r>
      <w:r>
        <w:rPr>
          <w:rFonts w:hint="eastAsia" w:hAnsi="宋体" w:cs="宋体"/>
          <w:color w:val="auto"/>
          <w:sz w:val="24"/>
          <w:highlight w:val="none"/>
        </w:rPr>
        <w:t>质保期按合同第十条规定执行，质保期满后且乙方不存在违约情形，由乙方提交申请质保金退还资料</w:t>
      </w:r>
      <w:r>
        <w:rPr>
          <w:rFonts w:hAnsi="宋体" w:cs="宋体"/>
          <w:color w:val="auto"/>
          <w:sz w:val="24"/>
          <w:highlight w:val="none"/>
          <w:u w:val="single"/>
        </w:rPr>
        <w:t xml:space="preserve"> 15 </w:t>
      </w:r>
      <w:r>
        <w:rPr>
          <w:rFonts w:hint="eastAsia" w:hAnsi="宋体" w:cs="宋体"/>
          <w:color w:val="auto"/>
          <w:sz w:val="24"/>
          <w:highlight w:val="none"/>
        </w:rPr>
        <w:t>个工作日内，甲方支付合同结算价的</w:t>
      </w:r>
      <w:r>
        <w:rPr>
          <w:rFonts w:hAnsi="宋体" w:cs="宋体"/>
          <w:color w:val="auto"/>
          <w:sz w:val="24"/>
          <w:highlight w:val="none"/>
        </w:rPr>
        <w:t>5</w:t>
      </w:r>
      <w:r>
        <w:rPr>
          <w:rFonts w:hint="eastAsia" w:hAnsi="宋体" w:cs="宋体"/>
          <w:color w:val="auto"/>
          <w:sz w:val="24"/>
          <w:highlight w:val="none"/>
        </w:rPr>
        <w:t>％（质保金）给乙方（无息）。</w:t>
      </w:r>
    </w:p>
    <w:p>
      <w:pPr>
        <w:pStyle w:val="15"/>
        <w:spacing w:line="384" w:lineRule="auto"/>
        <w:ind w:firstLine="480" w:firstLineChars="200"/>
        <w:outlineLvl w:val="1"/>
        <w:rPr>
          <w:rFonts w:hAnsi="宋体" w:cs="宋体"/>
          <w:color w:val="auto"/>
          <w:sz w:val="24"/>
          <w:szCs w:val="24"/>
          <w:highlight w:val="none"/>
        </w:rPr>
      </w:pPr>
      <w:r>
        <w:rPr>
          <w:rFonts w:hint="eastAsia" w:hAnsi="宋体" w:cs="宋体"/>
          <w:color w:val="auto"/>
          <w:sz w:val="24"/>
          <w:szCs w:val="24"/>
          <w:highlight w:val="none"/>
        </w:rPr>
        <w:t>8.2.3本项目工程款的支付单位为：</w:t>
      </w:r>
      <w:r>
        <w:rPr>
          <w:rFonts w:hint="eastAsia" w:hAnsi="宋体" w:cs="宋体"/>
          <w:color w:val="auto"/>
          <w:sz w:val="24"/>
          <w:szCs w:val="24"/>
          <w:highlight w:val="none"/>
          <w:u w:val="single"/>
        </w:rPr>
        <w:t xml:space="preserve"> … </w:t>
      </w:r>
    </w:p>
    <w:p>
      <w:pPr>
        <w:spacing w:line="384" w:lineRule="auto"/>
        <w:ind w:firstLine="480" w:firstLineChars="200"/>
        <w:rPr>
          <w:rFonts w:ascii="宋体" w:hAnsi="宋体" w:cs="宋体"/>
          <w:color w:val="auto"/>
          <w:sz w:val="24"/>
          <w:highlight w:val="none"/>
          <w:u w:val="single"/>
        </w:rPr>
      </w:pPr>
      <w:r>
        <w:rPr>
          <w:rFonts w:ascii="宋体" w:hAnsi="宋体" w:cs="宋体"/>
          <w:color w:val="auto"/>
          <w:sz w:val="24"/>
          <w:highlight w:val="none"/>
        </w:rPr>
        <w:t>8.3</w:t>
      </w:r>
      <w:r>
        <w:rPr>
          <w:rFonts w:hint="eastAsia" w:ascii="宋体" w:hAnsi="宋体" w:cs="宋体"/>
          <w:color w:val="auto"/>
          <w:sz w:val="24"/>
          <w:highlight w:val="none"/>
        </w:rPr>
        <w:t>乙方收款账户：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384"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ascii="宋体" w:hAnsi="宋体" w:cs="宋体"/>
          <w:bCs/>
          <w:color w:val="auto"/>
          <w:sz w:val="24"/>
          <w:highlight w:val="none"/>
        </w:rPr>
        <w:sym w:font="Wingdings" w:char="00FE"/>
      </w:r>
      <w:r>
        <w:rPr>
          <w:rFonts w:hint="eastAsia" w:ascii="宋体" w:hAnsi="宋体" w:cs="宋体"/>
          <w:bCs/>
          <w:color w:val="auto"/>
          <w:sz w:val="24"/>
          <w:highlight w:val="none"/>
        </w:rPr>
        <w:t>无；</w:t>
      </w:r>
      <w:r>
        <w:rPr>
          <w:rFonts w:hint="eastAsia" w:ascii="宋体" w:hAnsi="宋体" w:cs="宋体"/>
          <w:color w:val="auto"/>
          <w:szCs w:val="21"/>
          <w:highlight w:val="none"/>
        </w:rPr>
        <w:t>□有,</w:t>
      </w:r>
      <w:r>
        <w:rPr>
          <w:rFonts w:hint="eastAsia" w:ascii="宋体" w:hAnsi="宋体" w:cs="宋体"/>
          <w:color w:val="auto"/>
          <w:sz w:val="24"/>
          <w:highlight w:val="none"/>
        </w:rPr>
        <w:t>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384" w:lineRule="auto"/>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360" w:lineRule="auto"/>
        <w:ind w:firstLine="480"/>
        <w:rPr>
          <w:color w:val="auto"/>
          <w:highlight w:val="none"/>
        </w:rPr>
      </w:pPr>
      <w:r>
        <w:rPr>
          <w:rFonts w:hint="eastAsia"/>
          <w:color w:val="auto"/>
          <w:highlight w:val="none"/>
        </w:rPr>
        <w:t>（1）符合甲方要求（详见附件7保函格式）的银行独立保函，</w:t>
      </w:r>
    </w:p>
    <w:p>
      <w:pPr>
        <w:pStyle w:val="22"/>
        <w:spacing w:before="0" w:beforeAutospacing="0" w:after="0" w:afterAutospacing="0" w:line="360" w:lineRule="auto"/>
        <w:ind w:firstLine="480"/>
        <w:rPr>
          <w:color w:val="auto"/>
          <w:highlight w:val="none"/>
        </w:rPr>
      </w:pPr>
      <w:r>
        <w:rPr>
          <w:rFonts w:hint="eastAsia"/>
          <w:color w:val="auto"/>
          <w:highlight w:val="none"/>
        </w:rPr>
        <w:t>（2）现金转账至甲方以下指定账户：</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384" w:lineRule="auto"/>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384" w:lineRule="auto"/>
        <w:ind w:firstLine="480"/>
        <w:outlineLvl w:val="0"/>
        <w:rPr>
          <w:rFonts w:ascii="宋体" w:hAnsi="宋体" w:cs="宋体"/>
          <w:color w:val="auto"/>
          <w:sz w:val="24"/>
          <w:highlight w:val="none"/>
        </w:rPr>
      </w:pPr>
      <w:r>
        <w:rPr>
          <w:rFonts w:hint="eastAsia" w:ascii="宋体" w:hAnsi="宋体" w:cs="宋体"/>
          <w:color w:val="auto"/>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p>
    <w:p>
      <w:pPr>
        <w:spacing w:line="384" w:lineRule="auto"/>
        <w:rPr>
          <w:rFonts w:ascii="宋体" w:hAnsi="宋体" w:cs="宋体"/>
          <w:color w:val="auto"/>
          <w:sz w:val="24"/>
          <w:highlight w:val="none"/>
        </w:rPr>
      </w:pPr>
      <w:r>
        <w:rPr>
          <w:rFonts w:ascii="宋体" w:hAnsi="宋体" w:cs="宋体"/>
          <w:color w:val="auto"/>
          <w:sz w:val="24"/>
          <w:highlight w:val="none"/>
          <w:u w:val="single"/>
        </w:rPr>
        <w:t xml:space="preserve">  7  </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highlight w:val="none"/>
          <w:bdr w:val="single" w:color="auto" w:sz="4" w:space="0"/>
        </w:rPr>
      </w:pPr>
      <w:r>
        <w:rPr>
          <w:rFonts w:hAnsi="宋体" w:cs="宋体"/>
          <w:color w:val="auto"/>
          <w:sz w:val="24"/>
          <w:highlight w:val="none"/>
        </w:rPr>
        <w:t>8.6</w:t>
      </w:r>
      <w:r>
        <w:rPr>
          <w:rFonts w:hint="eastAsia" w:asciiTheme="minorEastAsia" w:hAnsiTheme="minorEastAsia" w:eastAsiaTheme="minorEastAsia" w:cstheme="minorEastAsia"/>
          <w:color w:val="auto"/>
          <w:sz w:val="24"/>
          <w:highlight w:val="none"/>
        </w:rPr>
        <w:t xml:space="preserve">付款方式： </w:t>
      </w:r>
      <w:r>
        <w:rPr>
          <w:rFonts w:ascii="宋体" w:hAnsi="宋体" w:cs="宋体"/>
          <w:bCs/>
          <w:color w:val="auto"/>
          <w:sz w:val="24"/>
          <w:highlight w:val="none"/>
        </w:rPr>
        <w:sym w:font="Wingdings" w:char="00FE"/>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p>
    <w:p>
      <w:pPr>
        <w:pStyle w:val="15"/>
        <w:spacing w:line="384" w:lineRule="auto"/>
        <w:ind w:firstLine="720" w:firstLineChars="300"/>
        <w:outlineLvl w:val="1"/>
        <w:rPr>
          <w:rFonts w:hAnsi="宋体" w:cs="宋体"/>
          <w:color w:val="auto"/>
          <w:sz w:val="24"/>
          <w:szCs w:val="24"/>
          <w:highlight w:val="none"/>
        </w:rPr>
      </w:pPr>
      <w:r>
        <w:rPr>
          <w:rFonts w:hint="eastAsia" w:hAnsi="宋体" w:cs="宋体"/>
          <w:color w:val="auto"/>
          <w:sz w:val="24"/>
          <w:szCs w:val="24"/>
          <w:highlight w:val="none"/>
        </w:rPr>
        <w:t>（建议采用网银支付</w:t>
      </w:r>
      <w:r>
        <w:rPr>
          <w:rFonts w:hint="eastAsia" w:hAnsi="宋体" w:cs="宋体"/>
          <w:color w:val="auto"/>
          <w:sz w:val="24"/>
          <w:highlight w:val="none"/>
        </w:rPr>
        <w:t>、</w:t>
      </w:r>
      <w:r>
        <w:rPr>
          <w:rFonts w:hint="eastAsia" w:hAnsi="宋体" w:cs="宋体"/>
          <w:color w:val="auto"/>
          <w:sz w:val="24"/>
          <w:szCs w:val="24"/>
          <w:highlight w:val="none"/>
        </w:rPr>
        <w:t>支票两种形式</w:t>
      </w:r>
      <w:r>
        <w:rPr>
          <w:rFonts w:hint="eastAsia" w:hAnsi="宋体" w:cs="宋体"/>
          <w:color w:val="auto"/>
          <w:sz w:val="24"/>
          <w:highlight w:val="none"/>
        </w:rPr>
        <w:t>中之一</w:t>
      </w:r>
      <w:r>
        <w:rPr>
          <w:rFonts w:hint="eastAsia" w:hAnsi="宋体" w:cs="宋体"/>
          <w:color w:val="auto"/>
          <w:sz w:val="24"/>
          <w:szCs w:val="24"/>
          <w:highlight w:val="none"/>
        </w:rPr>
        <w:t>）。</w:t>
      </w:r>
    </w:p>
    <w:p>
      <w:pPr>
        <w:spacing w:line="500" w:lineRule="exact"/>
        <w:ind w:firstLine="492"/>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、验收标准及双方责任：</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w:t>
      </w:r>
      <w:r>
        <w:rPr>
          <w:rFonts w:ascii="宋体" w:hAnsi="宋体" w:cs="宋体"/>
          <w:color w:val="auto"/>
          <w:sz w:val="24"/>
          <w:highlight w:val="none"/>
        </w:rPr>
        <w:t>30</w:t>
      </w:r>
      <w:r>
        <w:rPr>
          <w:rFonts w:hint="eastAsia" w:ascii="宋体" w:hAnsi="宋体" w:cs="宋体"/>
          <w:color w:val="auto"/>
          <w:sz w:val="24"/>
          <w:highlight w:val="none"/>
        </w:rPr>
        <w:t>天内将经甲方审核的完整竣工资料（含竣工图）和竣工验收报告各</w:t>
      </w:r>
      <w:r>
        <w:rPr>
          <w:rFonts w:hint="eastAsia" w:ascii="宋体" w:hAnsi="宋体" w:cs="宋体"/>
          <w:color w:val="auto"/>
          <w:sz w:val="24"/>
          <w:highlight w:val="none"/>
          <w:u w:val="single"/>
        </w:rPr>
        <w:t>一式四份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w:t>
      </w:r>
      <w:r>
        <w:rPr>
          <w:rFonts w:ascii="宋体" w:hAnsi="宋体" w:cs="宋体"/>
          <w:color w:val="auto"/>
          <w:sz w:val="24"/>
          <w:highlight w:val="none"/>
        </w:rPr>
        <w:t>/</w:t>
      </w:r>
      <w:r>
        <w:rPr>
          <w:rFonts w:hint="eastAsia" w:ascii="宋体" w:hAnsi="宋体" w:cs="宋体"/>
          <w:color w:val="auto"/>
          <w:sz w:val="24"/>
          <w:highlight w:val="none"/>
        </w:rPr>
        <w:t>竣工报告、安全备案整套资料、本合同书、询价文件</w:t>
      </w:r>
      <w:r>
        <w:rPr>
          <w:rFonts w:ascii="宋体" w:hAnsi="宋体" w:cs="宋体"/>
          <w:color w:val="auto"/>
          <w:sz w:val="24"/>
          <w:highlight w:val="none"/>
        </w:rPr>
        <w:t>/</w:t>
      </w:r>
      <w:r>
        <w:rPr>
          <w:rFonts w:hint="eastAsia" w:ascii="宋体" w:hAnsi="宋体" w:cs="宋体"/>
          <w:color w:val="auto"/>
          <w:sz w:val="24"/>
          <w:highlight w:val="none"/>
        </w:rPr>
        <w:t>响应文件、中标通知书</w:t>
      </w:r>
      <w:r>
        <w:rPr>
          <w:rFonts w:ascii="宋体" w:hAnsi="宋体" w:cs="宋体"/>
          <w:color w:val="auto"/>
          <w:sz w:val="24"/>
          <w:highlight w:val="none"/>
        </w:rPr>
        <w:t>/</w:t>
      </w:r>
      <w:r>
        <w:rPr>
          <w:rFonts w:hint="eastAsia" w:ascii="宋体" w:hAnsi="宋体" w:cs="宋体"/>
          <w:color w:val="auto"/>
          <w:sz w:val="24"/>
          <w:highlight w:val="none"/>
        </w:rPr>
        <w:t>发包通知书</w:t>
      </w:r>
      <w:r>
        <w:rPr>
          <w:rFonts w:ascii="宋体" w:hAnsi="宋体" w:cs="宋体"/>
          <w:color w:val="auto"/>
          <w:sz w:val="24"/>
          <w:highlight w:val="none"/>
        </w:rPr>
        <w:t>/</w:t>
      </w:r>
      <w:r>
        <w:rPr>
          <w:rFonts w:hint="eastAsia" w:ascii="宋体" w:hAnsi="宋体" w:cs="宋体"/>
          <w:color w:val="auto"/>
          <w:sz w:val="24"/>
          <w:highlight w:val="none"/>
        </w:rPr>
        <w:t>委托书、工程预算送审报告、工程结算书</w:t>
      </w:r>
      <w:r>
        <w:rPr>
          <w:rFonts w:ascii="宋体" w:hAnsi="宋体" w:cs="宋体"/>
          <w:color w:val="auto"/>
          <w:sz w:val="24"/>
          <w:highlight w:val="none"/>
        </w:rPr>
        <w:t>/</w:t>
      </w:r>
      <w:r>
        <w:rPr>
          <w:rFonts w:hint="eastAsia" w:ascii="宋体" w:hAnsi="宋体" w:cs="宋体"/>
          <w:color w:val="auto"/>
          <w:sz w:val="24"/>
          <w:highlight w:val="none"/>
        </w:rPr>
        <w:t>签证记录、备件开箱记录表或送货单、竣工图等，如有必须提供）和竣工验收报告后</w:t>
      </w:r>
      <w:r>
        <w:rPr>
          <w:rFonts w:ascii="宋体" w:hAnsi="宋体" w:cs="宋体"/>
          <w:color w:val="auto"/>
          <w:sz w:val="24"/>
          <w:highlight w:val="none"/>
        </w:rPr>
        <w:t>20</w:t>
      </w:r>
      <w:r>
        <w:rPr>
          <w:rFonts w:hint="eastAsia" w:ascii="宋体" w:hAnsi="宋体" w:cs="宋体"/>
          <w:color w:val="auto"/>
          <w:sz w:val="24"/>
          <w:highlight w:val="none"/>
        </w:rPr>
        <w:t>天内组织有关单位进行验收，工程竣工验收严格按国家、省、市、部门有关文件执行，并在验收后</w:t>
      </w:r>
      <w:r>
        <w:rPr>
          <w:rFonts w:ascii="宋体" w:hAnsi="宋体" w:cs="宋体"/>
          <w:color w:val="auto"/>
          <w:sz w:val="24"/>
          <w:highlight w:val="none"/>
        </w:rPr>
        <w:t>10</w:t>
      </w:r>
      <w:r>
        <w:rPr>
          <w:rFonts w:hint="eastAsia" w:ascii="宋体" w:hAnsi="宋体" w:cs="宋体"/>
          <w:color w:val="auto"/>
          <w:sz w:val="24"/>
          <w:highlight w:val="none"/>
        </w:rPr>
        <w:t>天内给予认可或提出修改意见。乙方按要求修改，并承担修改的费用。</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w:t>
      </w:r>
      <w:r>
        <w:rPr>
          <w:rFonts w:ascii="宋体" w:hAnsi="宋体" w:cs="宋体"/>
          <w:color w:val="auto"/>
          <w:sz w:val="24"/>
          <w:highlight w:val="none"/>
        </w:rPr>
        <w:t>30</w:t>
      </w:r>
      <w:r>
        <w:rPr>
          <w:rFonts w:hint="eastAsia" w:ascii="宋体" w:hAnsi="宋体" w:cs="宋体"/>
          <w:color w:val="auto"/>
          <w:sz w:val="24"/>
          <w:highlight w:val="none"/>
        </w:rPr>
        <w:t>天内将竣工档案提交甲方签认。乙方应于甲方签认后</w:t>
      </w:r>
      <w:r>
        <w:rPr>
          <w:rFonts w:ascii="宋体" w:hAnsi="宋体" w:cs="宋体"/>
          <w:color w:val="auto"/>
          <w:sz w:val="24"/>
          <w:highlight w:val="none"/>
        </w:rPr>
        <w:t>10</w:t>
      </w:r>
      <w:r>
        <w:rPr>
          <w:rFonts w:hint="eastAsia" w:ascii="宋体" w:hAnsi="宋体" w:cs="宋体"/>
          <w:color w:val="auto"/>
          <w:sz w:val="24"/>
          <w:highlight w:val="none"/>
        </w:rPr>
        <w:t>天内将竣工档案移交给甲方归档并同时移交有关归档的证明文件。甲方经审查合格的，应在收到竣工档案后</w:t>
      </w:r>
      <w:r>
        <w:rPr>
          <w:rFonts w:ascii="宋体" w:hAnsi="宋体" w:cs="宋体"/>
          <w:color w:val="auto"/>
          <w:sz w:val="24"/>
          <w:highlight w:val="none"/>
        </w:rPr>
        <w:t>10</w:t>
      </w:r>
      <w:r>
        <w:rPr>
          <w:rFonts w:hint="eastAsia" w:ascii="宋体" w:hAnsi="宋体" w:cs="宋体"/>
          <w:color w:val="auto"/>
          <w:sz w:val="24"/>
          <w:highlight w:val="none"/>
        </w:rPr>
        <w:t>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384" w:lineRule="auto"/>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34"/>
        <w:ind w:firstLine="48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9.5本合同竣工验收结算单位为</w:t>
      </w:r>
      <w:r>
        <w:rPr>
          <w:rFonts w:hint="eastAsia" w:asciiTheme="minorEastAsia" w:hAnsiTheme="minorEastAsia" w:eastAsiaTheme="minorEastAsia" w:cstheme="minorEastAsia"/>
          <w:color w:val="auto"/>
          <w:highlight w:val="none"/>
          <w:u w:val="single"/>
        </w:rPr>
        <w:t>：广州市净水有限公司</w:t>
      </w:r>
      <w:r>
        <w:rPr>
          <w:rFonts w:hint="eastAsia" w:asciiTheme="minorEastAsia" w:hAnsiTheme="minorEastAsia" w:eastAsiaTheme="minorEastAsia" w:cstheme="minorEastAsia"/>
          <w:color w:val="auto"/>
          <w:highlight w:val="none"/>
          <w:u w:val="single"/>
          <w:lang w:val="en-US" w:eastAsia="zh-CN"/>
        </w:rPr>
        <w:t>江高分公司</w:t>
      </w:r>
      <w:r>
        <w:rPr>
          <w:rFonts w:hint="eastAsia" w:asciiTheme="minorEastAsia" w:hAnsiTheme="minorEastAsia" w:eastAsiaTheme="minorEastAsia" w:cstheme="minorEastAsia"/>
          <w:color w:val="auto"/>
          <w:highlight w:val="none"/>
          <w:u w:val="single"/>
        </w:rPr>
        <w:t xml:space="preserve">  </w:t>
      </w:r>
    </w:p>
    <w:p>
      <w:pPr>
        <w:pStyle w:val="34"/>
        <w:rPr>
          <w:rFonts w:hint="eastAsia" w:hAnsi="宋体" w:cs="宋体"/>
          <w:sz w:val="24"/>
          <w:lang w:val="en-US" w:eastAsia="zh-CN"/>
        </w:rPr>
      </w:pPr>
      <w:r>
        <w:rPr>
          <w:rFonts w:hint="eastAsia" w:hAnsi="宋体" w:cs="宋体"/>
          <w:sz w:val="24"/>
          <w:lang w:val="en-US" w:eastAsia="zh-CN"/>
        </w:rPr>
        <w:t xml:space="preserve">    </w:t>
      </w:r>
    </w:p>
    <w:p>
      <w:pPr>
        <w:pStyle w:val="34"/>
        <w:ind w:firstLine="480" w:firstLineChars="200"/>
        <w:rPr>
          <w:rFonts w:hint="default" w:eastAsia="仿宋_GB2312"/>
          <w:lang w:val="en-US" w:eastAsia="zh-CN"/>
        </w:rPr>
      </w:pPr>
      <w:r>
        <w:rPr>
          <w:rFonts w:hint="eastAsia" w:hAnsi="宋体" w:cs="宋体"/>
          <w:sz w:val="24"/>
          <w:lang w:val="en-US" w:eastAsia="zh-CN"/>
        </w:rPr>
        <w:t>9</w:t>
      </w:r>
      <w:r>
        <w:rPr>
          <w:rFonts w:hint="eastAsia" w:ascii="宋体" w:hAnsi="宋体" w:cs="宋体"/>
          <w:sz w:val="24"/>
        </w:rPr>
        <w:t>.</w:t>
      </w:r>
      <w:r>
        <w:rPr>
          <w:rFonts w:hint="eastAsia" w:hAnsi="宋体" w:cs="宋体"/>
          <w:sz w:val="24"/>
          <w:lang w:val="en-US" w:eastAsia="zh-CN"/>
        </w:rPr>
        <w:t>6</w:t>
      </w:r>
      <w:r>
        <w:rPr>
          <w:rFonts w:hint="eastAsia" w:ascii="宋体" w:hAnsi="宋体" w:cs="宋体"/>
          <w:sz w:val="24"/>
          <w:lang w:val="en-US" w:eastAsia="zh-CN"/>
        </w:rPr>
        <w:t>验收标准：经过增加柜式七氟丙烷气体灭火系统项目，符合标准使用要求，满足现场灭火效果</w:t>
      </w:r>
    </w:p>
    <w:p>
      <w:pPr>
        <w:spacing w:line="500" w:lineRule="exact"/>
        <w:ind w:firstLine="241" w:firstLineChars="100"/>
        <w:rPr>
          <w:rFonts w:hint="eastAsia" w:ascii="宋体" w:hAnsi="宋体" w:cs="宋体"/>
          <w:b/>
          <w:kern w:val="0"/>
          <w:sz w:val="24"/>
        </w:rPr>
      </w:pPr>
    </w:p>
    <w:p>
      <w:pPr>
        <w:numPr>
          <w:ilvl w:val="0"/>
          <w:numId w:val="4"/>
        </w:numPr>
        <w:spacing w:before="120" w:after="156" w:afterLines="50" w:line="384" w:lineRule="auto"/>
        <w:jc w:val="left"/>
        <w:rPr>
          <w:rFonts w:hint="eastAsia" w:ascii="宋体" w:hAnsi="宋体" w:cs="宋体"/>
          <w:b/>
          <w:bCs/>
          <w:color w:val="auto"/>
          <w:sz w:val="24"/>
          <w:highlight w:val="none"/>
        </w:rPr>
      </w:pPr>
      <w:bookmarkStart w:id="19" w:name="_Toc474245220"/>
      <w:bookmarkStart w:id="20" w:name="_Toc520190034"/>
      <w:bookmarkStart w:id="21" w:name="_Toc518992994"/>
      <w:r>
        <w:rPr>
          <w:rFonts w:hint="eastAsia" w:ascii="宋体" w:hAnsi="宋体" w:cs="宋体"/>
          <w:b/>
          <w:bCs/>
          <w:color w:val="auto"/>
          <w:sz w:val="24"/>
          <w:highlight w:val="none"/>
        </w:rPr>
        <w:t>质量保证</w:t>
      </w:r>
      <w:bookmarkEnd w:id="19"/>
      <w:bookmarkEnd w:id="20"/>
      <w:bookmarkEnd w:id="21"/>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lang w:val="zh-CN"/>
        </w:rPr>
        <w:t>年。</w:t>
      </w:r>
    </w:p>
    <w:p>
      <w:pPr>
        <w:spacing w:line="384" w:lineRule="auto"/>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w:t>
      </w:r>
      <w:r>
        <w:rPr>
          <w:rFonts w:ascii="宋体" w:hAnsi="宋体" w:cs="宋体"/>
          <w:bCs/>
          <w:color w:val="auto"/>
          <w:sz w:val="24"/>
          <w:highlight w:val="none"/>
          <w:u w:val="single"/>
        </w:rPr>
        <w:t>10%/</w:t>
      </w:r>
      <w:r>
        <w:rPr>
          <w:rFonts w:hint="eastAsia" w:ascii="宋体" w:hAnsi="宋体" w:cs="宋体"/>
          <w:bCs/>
          <w:color w:val="auto"/>
          <w:sz w:val="24"/>
          <w:highlight w:val="none"/>
          <w:u w:val="single"/>
        </w:rPr>
        <w:t>次</w:t>
      </w:r>
      <w:r>
        <w:rPr>
          <w:rFonts w:hint="eastAsia" w:ascii="宋体" w:hAnsi="宋体" w:cs="宋体"/>
          <w:bCs/>
          <w:color w:val="auto"/>
          <w:sz w:val="24"/>
          <w:highlight w:val="none"/>
        </w:rPr>
        <w:t>作为违约金。</w:t>
      </w:r>
    </w:p>
    <w:p>
      <w:pPr>
        <w:spacing w:line="500" w:lineRule="exact"/>
        <w:rPr>
          <w:rFonts w:ascii="宋体" w:hAnsi="宋体" w:cs="宋体"/>
          <w:b/>
          <w:sz w:val="24"/>
        </w:rPr>
      </w:pPr>
      <w:r>
        <w:rPr>
          <w:rFonts w:hint="eastAsia" w:ascii="宋体" w:hAnsi="宋体" w:cs="宋体"/>
          <w:b/>
          <w:sz w:val="24"/>
        </w:rPr>
        <w:t>　</w:t>
      </w:r>
      <w:r>
        <w:rPr>
          <w:rFonts w:hint="eastAsia" w:ascii="宋体" w:hAnsi="宋体" w:cs="宋体"/>
          <w:b/>
          <w:sz w:val="24"/>
          <w:lang w:val="en-US" w:eastAsia="zh-CN"/>
        </w:rPr>
        <w:t>十一</w:t>
      </w:r>
      <w:r>
        <w:rPr>
          <w:rFonts w:hint="eastAsia" w:ascii="宋体" w:hAnsi="宋体" w:cs="宋体"/>
          <w:b/>
          <w:sz w:val="24"/>
        </w:rPr>
        <w:t>、</w:t>
      </w:r>
      <w:r>
        <w:rPr>
          <w:rFonts w:hint="eastAsia" w:ascii="宋体" w:hAnsi="宋体" w:cs="宋体"/>
          <w:b/>
          <w:bCs/>
          <w:color w:val="auto"/>
          <w:sz w:val="24"/>
          <w:highlight w:val="none"/>
        </w:rPr>
        <w:t>不可抗力</w:t>
      </w:r>
      <w:r>
        <w:rPr>
          <w:rFonts w:hint="eastAsia" w:ascii="宋体" w:hAnsi="宋体" w:cs="宋体"/>
          <w:b/>
          <w:sz w:val="24"/>
        </w:rPr>
        <w:t xml:space="preserve"> ：</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sz w:val="24"/>
        </w:rPr>
        <w:t>　</w:t>
      </w: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⑴地震、火山爆发、滑坡、暴雨（橙色预警及以上）、台风（黄色预警及以上）、海啸、龙卷风、大面积流行病</w:t>
      </w:r>
      <w:r>
        <w:rPr>
          <w:rFonts w:ascii="宋体" w:hAnsi="宋体" w:cs="宋体"/>
          <w:bCs/>
          <w:color w:val="auto"/>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w:t>
      </w:r>
      <w:r>
        <w:rPr>
          <w:rFonts w:ascii="宋体" w:hAnsi="宋体" w:cs="宋体"/>
          <w:bCs/>
          <w:color w:val="auto"/>
          <w:sz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00" w:lineRule="exact"/>
        <w:ind w:firstLine="480" w:firstLineChars="200"/>
        <w:rPr>
          <w:rFonts w:ascii="宋体" w:hAnsi="宋体" w:cs="宋体"/>
          <w:sz w:val="24"/>
        </w:rPr>
      </w:pPr>
    </w:p>
    <w:p>
      <w:pPr>
        <w:spacing w:line="500" w:lineRule="exact"/>
        <w:rPr>
          <w:rFonts w:ascii="宋体" w:hAnsi="宋体" w:cs="宋体"/>
          <w:b/>
          <w:sz w:val="24"/>
        </w:rPr>
      </w:pPr>
      <w:r>
        <w:rPr>
          <w:rFonts w:hint="eastAsia" w:ascii="宋体" w:hAnsi="宋体" w:cs="宋体"/>
          <w:b/>
          <w:sz w:val="24"/>
        </w:rPr>
        <w:t>　</w:t>
      </w:r>
      <w:r>
        <w:rPr>
          <w:rFonts w:hint="eastAsia" w:ascii="宋体" w:hAnsi="宋体" w:cs="宋体"/>
          <w:b/>
          <w:sz w:val="24"/>
          <w:lang w:val="en-US" w:eastAsia="zh-CN"/>
        </w:rPr>
        <w:t>十二</w:t>
      </w:r>
      <w:r>
        <w:rPr>
          <w:rFonts w:hint="eastAsia" w:ascii="宋体" w:hAnsi="宋体" w:cs="宋体"/>
          <w:b/>
          <w:sz w:val="24"/>
        </w:rPr>
        <w:t>、</w:t>
      </w:r>
      <w:r>
        <w:rPr>
          <w:rFonts w:hint="eastAsia" w:ascii="宋体" w:hAnsi="宋体" w:cs="宋体"/>
          <w:b/>
          <w:bCs/>
          <w:color w:val="auto"/>
          <w:sz w:val="24"/>
          <w:highlight w:val="none"/>
        </w:rPr>
        <w:t>争议解决</w:t>
      </w:r>
    </w:p>
    <w:p>
      <w:pPr>
        <w:spacing w:line="384" w:lineRule="auto"/>
        <w:ind w:firstLine="482"/>
        <w:rPr>
          <w:rFonts w:ascii="宋体" w:hAnsi="宋体" w:cs="宋体"/>
          <w:bCs/>
          <w:color w:val="auto"/>
          <w:sz w:val="24"/>
          <w:highlight w:val="none"/>
        </w:rPr>
      </w:pPr>
      <w:bookmarkStart w:id="22" w:name="_Toc306350469"/>
      <w:bookmarkStart w:id="23" w:name="_Toc183666533"/>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bookmarkEnd w:id="22"/>
      <w:bookmarkEnd w:id="23"/>
    </w:p>
    <w:p>
      <w:pPr>
        <w:widowControl/>
        <w:autoSpaceDE w:val="0"/>
        <w:autoSpaceDN w:val="0"/>
        <w:adjustRightInd w:val="0"/>
        <w:spacing w:line="500" w:lineRule="exact"/>
        <w:ind w:firstLine="240" w:firstLineChars="100"/>
        <w:rPr>
          <w:rFonts w:hint="eastAsia" w:ascii="宋体" w:hAnsi="宋体" w:eastAsia="宋体" w:cs="宋体"/>
          <w:bCs/>
          <w:sz w:val="24"/>
          <w:lang w:val="en-US" w:eastAsia="zh-CN"/>
        </w:rPr>
      </w:pPr>
      <w:r>
        <w:rPr>
          <w:rFonts w:hint="eastAsia" w:ascii="宋体" w:hAnsi="宋体" w:cs="宋体"/>
          <w:bCs/>
          <w:sz w:val="24"/>
          <w:lang w:val="en-US" w:eastAsia="zh-CN"/>
        </w:rPr>
        <w:t>十三、</w:t>
      </w:r>
      <w:bookmarkStart w:id="24" w:name="_Toc107447264"/>
      <w:bookmarkStart w:id="25" w:name="_Toc107446871"/>
      <w:r>
        <w:rPr>
          <w:rFonts w:hint="eastAsia" w:ascii="宋体" w:hAnsi="宋体" w:cs="宋体"/>
          <w:b/>
          <w:bCs/>
          <w:color w:val="auto"/>
          <w:sz w:val="24"/>
          <w:highlight w:val="none"/>
        </w:rPr>
        <w:t>合同生效及其他</w:t>
      </w:r>
      <w:bookmarkEnd w:id="24"/>
      <w:bookmarkEnd w:id="25"/>
    </w:p>
    <w:p>
      <w:pPr>
        <w:spacing w:line="5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.1本合同经双方法定代表人或授权代表签名并加盖双方公章后生效。</w:t>
      </w:r>
    </w:p>
    <w:p>
      <w:pPr>
        <w:spacing w:line="5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.2本合同正文一式</w:t>
      </w:r>
      <w:r>
        <w:rPr>
          <w:rFonts w:hint="eastAsia" w:ascii="宋体" w:hAnsi="宋体" w:cs="宋体"/>
          <w:sz w:val="24"/>
          <w:u w:val="single"/>
        </w:rPr>
        <w:t xml:space="preserve">   </w:t>
      </w:r>
      <w:r>
        <w:rPr>
          <w:rFonts w:hint="eastAsia" w:ascii="宋体" w:hAnsi="宋体" w:cs="宋体"/>
          <w:sz w:val="24"/>
          <w:u w:val="single"/>
          <w:lang w:val="en-US" w:eastAsia="zh-CN"/>
        </w:rPr>
        <w:t>6</w:t>
      </w:r>
      <w:r>
        <w:rPr>
          <w:rFonts w:hint="eastAsia" w:ascii="宋体" w:hAnsi="宋体" w:cs="宋体"/>
          <w:sz w:val="24"/>
          <w:u w:val="single"/>
        </w:rPr>
        <w:t xml:space="preserve"> </w:t>
      </w:r>
      <w:r>
        <w:rPr>
          <w:rFonts w:hint="eastAsia" w:ascii="宋体" w:hAnsi="宋体" w:cs="宋体"/>
          <w:sz w:val="24"/>
        </w:rPr>
        <w:t xml:space="preserve"> 份，其中：甲方</w:t>
      </w:r>
      <w:r>
        <w:rPr>
          <w:rFonts w:hint="eastAsia"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u w:val="single"/>
        </w:rPr>
        <w:t xml:space="preserve">   </w:t>
      </w:r>
      <w:r>
        <w:rPr>
          <w:rFonts w:hint="eastAsia" w:ascii="宋体" w:hAnsi="宋体" w:cs="宋体"/>
          <w:sz w:val="24"/>
        </w:rPr>
        <w:t>份，乙方</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.3补充条款</w:t>
      </w:r>
      <w:r>
        <w:rPr>
          <w:rFonts w:hint="eastAsia" w:ascii="宋体" w:hAnsi="宋体" w:cs="宋体"/>
          <w:sz w:val="24"/>
          <w:u w:val="single"/>
        </w:rPr>
        <w:t xml:space="preserve">：… </w:t>
      </w:r>
    </w:p>
    <w:p>
      <w:pPr>
        <w:spacing w:line="500" w:lineRule="exact"/>
        <w:ind w:firstLine="480"/>
        <w:rPr>
          <w:rFonts w:ascii="宋体" w:hAnsi="宋体" w:cs="宋体"/>
          <w:sz w:val="24"/>
        </w:rPr>
      </w:pPr>
    </w:p>
    <w:p>
      <w:pPr>
        <w:spacing w:line="500" w:lineRule="exact"/>
        <w:ind w:firstLine="480"/>
        <w:rPr>
          <w:rFonts w:ascii="宋体" w:hAnsi="宋体" w:cs="宋体"/>
          <w:sz w:val="24"/>
        </w:rPr>
      </w:pPr>
    </w:p>
    <w:p>
      <w:pPr>
        <w:spacing w:line="500" w:lineRule="exact"/>
        <w:ind w:firstLine="480" w:firstLineChars="200"/>
        <w:rPr>
          <w:rFonts w:ascii="宋体" w:hAnsi="宋体" w:cs="宋体"/>
          <w:sz w:val="24"/>
        </w:rPr>
      </w:pPr>
      <w:r>
        <w:rPr>
          <w:rFonts w:hint="eastAsia" w:ascii="宋体" w:hAnsi="宋体" w:cs="宋体"/>
          <w:sz w:val="24"/>
        </w:rPr>
        <w:t>附件：1.发包通知书</w:t>
      </w:r>
    </w:p>
    <w:p>
      <w:pPr>
        <w:spacing w:line="500" w:lineRule="exact"/>
        <w:ind w:firstLine="480" w:firstLineChars="200"/>
        <w:rPr>
          <w:rFonts w:ascii="宋体" w:hAnsi="宋体" w:cs="宋体"/>
          <w:sz w:val="24"/>
        </w:rPr>
      </w:pPr>
      <w:r>
        <w:rPr>
          <w:rFonts w:hint="eastAsia" w:ascii="宋体" w:hAnsi="宋体" w:cs="宋体"/>
          <w:sz w:val="24"/>
        </w:rPr>
        <w:t xml:space="preserve">      2.廉洁协议</w:t>
      </w:r>
    </w:p>
    <w:p>
      <w:pPr>
        <w:spacing w:line="500" w:lineRule="exact"/>
        <w:ind w:firstLine="480" w:firstLineChars="200"/>
        <w:rPr>
          <w:rFonts w:ascii="宋体" w:hAnsi="宋体" w:cs="宋体"/>
          <w:sz w:val="24"/>
        </w:rPr>
      </w:pPr>
      <w:r>
        <w:rPr>
          <w:rFonts w:hint="eastAsia" w:ascii="宋体" w:hAnsi="宋体" w:cs="宋体"/>
          <w:sz w:val="24"/>
        </w:rPr>
        <w:t xml:space="preserve">      3.营运场所施工安全协议书</w:t>
      </w:r>
    </w:p>
    <w:p>
      <w:pPr>
        <w:spacing w:line="500" w:lineRule="exact"/>
        <w:ind w:firstLine="1200" w:firstLineChars="500"/>
        <w:rPr>
          <w:rFonts w:hint="default" w:ascii="宋体" w:hAnsi="宋体" w:eastAsia="宋体" w:cs="宋体"/>
          <w:sz w:val="24"/>
          <w:lang w:val="en-US" w:eastAsia="zh-CN"/>
        </w:rPr>
      </w:pPr>
      <w:r>
        <w:rPr>
          <w:rFonts w:hint="eastAsia" w:ascii="宋体" w:hAnsi="宋体" w:cs="宋体"/>
          <w:sz w:val="24"/>
        </w:rPr>
        <w:t>4.</w:t>
      </w:r>
      <w:r>
        <w:rPr>
          <w:rFonts w:hint="eastAsia" w:ascii="宋体" w:hAnsi="宋体" w:cs="宋体"/>
          <w:sz w:val="24"/>
          <w:lang w:val="en-US" w:eastAsia="zh-CN"/>
        </w:rPr>
        <w:t xml:space="preserve">不诚信行为的情形及相应被暂停参与投标活动的处理标准   </w:t>
      </w:r>
    </w:p>
    <w:p>
      <w:pPr>
        <w:spacing w:line="500" w:lineRule="exact"/>
        <w:ind w:firstLine="1200" w:firstLineChars="500"/>
        <w:rPr>
          <w:rFonts w:hint="default" w:ascii="宋体" w:hAnsi="宋体" w:eastAsia="宋体" w:cs="宋体"/>
          <w:sz w:val="24"/>
          <w:lang w:val="en-US" w:eastAsia="zh-CN"/>
        </w:rPr>
      </w:pPr>
      <w:r>
        <w:rPr>
          <w:rFonts w:hint="eastAsia" w:ascii="宋体" w:hAnsi="宋体" w:cs="宋体"/>
          <w:sz w:val="24"/>
        </w:rPr>
        <w:t>5.</w:t>
      </w:r>
      <w:r>
        <w:rPr>
          <w:rFonts w:hint="eastAsia" w:ascii="宋体" w:hAnsi="宋体" w:cs="宋体"/>
          <w:sz w:val="24"/>
          <w:lang w:val="en-US" w:eastAsia="zh-CN"/>
        </w:rPr>
        <w:t>工程量清单</w:t>
      </w:r>
    </w:p>
    <w:p>
      <w:pPr>
        <w:spacing w:line="500" w:lineRule="exact"/>
        <w:ind w:firstLine="1200" w:firstLineChars="500"/>
        <w:rPr>
          <w:rFonts w:hint="eastAsia" w:ascii="宋体" w:hAnsi="宋体" w:eastAsia="宋体" w:cs="宋体"/>
          <w:sz w:val="24"/>
          <w:lang w:val="en-US" w:eastAsia="zh-CN"/>
        </w:rPr>
      </w:pPr>
      <w:r>
        <w:rPr>
          <w:rFonts w:hint="eastAsia" w:ascii="宋体" w:hAnsi="宋体" w:cs="宋体"/>
          <w:sz w:val="24"/>
        </w:rPr>
        <w:t>6.</w:t>
      </w:r>
      <w:r>
        <w:rPr>
          <w:rFonts w:hint="eastAsia" w:ascii="宋体" w:hAnsi="宋体" w:cs="宋体"/>
          <w:sz w:val="24"/>
          <w:lang w:val="en-US" w:eastAsia="zh-CN"/>
        </w:rPr>
        <w:t>防疫协议</w:t>
      </w:r>
    </w:p>
    <w:p>
      <w:pPr>
        <w:spacing w:line="500" w:lineRule="exact"/>
        <w:ind w:firstLine="1200" w:firstLineChars="500"/>
        <w:rPr>
          <w:rFonts w:ascii="宋体" w:hAnsi="宋体" w:cs="宋体"/>
          <w:sz w:val="24"/>
        </w:rPr>
      </w:pPr>
      <w:r>
        <w:rPr>
          <w:rFonts w:hint="eastAsia" w:ascii="宋体" w:hAnsi="宋体" w:cs="宋体"/>
          <w:sz w:val="24"/>
        </w:rPr>
        <w:t>7.项目投入人员架构表</w:t>
      </w:r>
    </w:p>
    <w:p>
      <w:pPr>
        <w:pStyle w:val="4"/>
      </w:pPr>
    </w:p>
    <w:p>
      <w:pPr>
        <w:spacing w:line="500" w:lineRule="exact"/>
        <w:rPr>
          <w:rFonts w:ascii="宋体" w:hAnsi="宋体" w:cs="宋体"/>
          <w:sz w:val="24"/>
        </w:rPr>
      </w:pPr>
      <w:r>
        <w:rPr>
          <w:rFonts w:hint="eastAsia" w:ascii="宋体" w:hAnsi="宋体" w:cs="宋体"/>
          <w:sz w:val="24"/>
        </w:rPr>
        <w:t>甲方：广州市净水有限公司（盖章）     乙方：（盖章）</w:t>
      </w:r>
    </w:p>
    <w:p>
      <w:pPr>
        <w:spacing w:line="500" w:lineRule="exact"/>
        <w:rPr>
          <w:rFonts w:ascii="宋体" w:hAnsi="宋体" w:cs="宋体"/>
          <w:sz w:val="24"/>
        </w:rPr>
      </w:pPr>
      <w:r>
        <w:rPr>
          <w:rFonts w:hint="eastAsia" w:ascii="宋体" w:hAnsi="宋体" w:cs="宋体"/>
          <w:sz w:val="24"/>
        </w:rPr>
        <w:t>法定代表人或                         法定代表人或</w:t>
      </w:r>
    </w:p>
    <w:p>
      <w:pPr>
        <w:spacing w:line="500" w:lineRule="exact"/>
        <w:rPr>
          <w:rFonts w:ascii="宋体" w:hAnsi="宋体" w:cs="宋体"/>
          <w:sz w:val="24"/>
        </w:rPr>
      </w:pPr>
      <w:r>
        <w:rPr>
          <w:rFonts w:hint="eastAsia" w:ascii="宋体" w:hAnsi="宋体" w:cs="宋体"/>
          <w:sz w:val="24"/>
        </w:rPr>
        <w:t>授权代理人：                         授权代理人：</w:t>
      </w:r>
    </w:p>
    <w:p>
      <w:pPr>
        <w:spacing w:line="500" w:lineRule="exact"/>
        <w:rPr>
          <w:rFonts w:ascii="宋体" w:hAnsi="宋体" w:cs="宋体"/>
          <w:sz w:val="24"/>
        </w:rPr>
      </w:pPr>
      <w:r>
        <w:rPr>
          <w:rFonts w:hint="eastAsia" w:ascii="宋体" w:hAnsi="宋体" w:cs="宋体"/>
          <w:sz w:val="24"/>
        </w:rPr>
        <w:t>地址：                               地址：</w:t>
      </w:r>
    </w:p>
    <w:p>
      <w:pPr>
        <w:spacing w:line="500" w:lineRule="exact"/>
        <w:rPr>
          <w:rFonts w:ascii="宋体" w:hAnsi="宋体" w:cs="宋体"/>
          <w:sz w:val="24"/>
        </w:rPr>
      </w:pPr>
      <w:r>
        <w:rPr>
          <w:rFonts w:hint="eastAsia" w:ascii="宋体" w:hAnsi="宋体" w:cs="宋体"/>
          <w:sz w:val="24"/>
        </w:rPr>
        <w:t>经办人：                             经办人：</w:t>
      </w:r>
    </w:p>
    <w:p>
      <w:pPr>
        <w:spacing w:line="500" w:lineRule="exact"/>
        <w:rPr>
          <w:rFonts w:ascii="宋体" w:hAnsi="宋体" w:cs="宋体"/>
          <w:sz w:val="24"/>
        </w:rPr>
      </w:pPr>
      <w:r>
        <w:rPr>
          <w:rFonts w:hint="eastAsia" w:ascii="宋体" w:hAnsi="宋体" w:cs="宋体"/>
          <w:sz w:val="24"/>
        </w:rPr>
        <w:t>联系电话：                           联系电话：</w:t>
      </w:r>
    </w:p>
    <w:p>
      <w:pPr>
        <w:spacing w:line="500" w:lineRule="exact"/>
        <w:ind w:left="6360" w:hanging="6360" w:hangingChars="2650"/>
        <w:rPr>
          <w:rFonts w:ascii="宋体" w:hAnsi="宋体" w:cs="宋体"/>
          <w:sz w:val="24"/>
        </w:rPr>
      </w:pPr>
      <w:r>
        <w:rPr>
          <w:rFonts w:hint="eastAsia" w:ascii="宋体" w:hAnsi="宋体" w:cs="宋体"/>
          <w:sz w:val="24"/>
        </w:rPr>
        <w:t>传真：                               传真：</w:t>
      </w:r>
    </w:p>
    <w:p>
      <w:pPr>
        <w:spacing w:line="500" w:lineRule="exact"/>
        <w:ind w:left="6360" w:hanging="6360" w:hangingChars="2650"/>
        <w:rPr>
          <w:rFonts w:ascii="宋体" w:hAnsi="宋体" w:cs="宋体"/>
          <w:sz w:val="24"/>
        </w:rPr>
      </w:pPr>
      <w:r>
        <w:rPr>
          <w:rFonts w:hint="eastAsia" w:ascii="宋体" w:hAnsi="宋体" w:cs="宋体"/>
          <w:sz w:val="24"/>
        </w:rPr>
        <w:t xml:space="preserve">签署日期：    年    月    日         签署日期：    年    月    日  </w:t>
      </w:r>
    </w:p>
    <w:p>
      <w:pPr>
        <w:spacing w:line="300" w:lineRule="auto"/>
        <w:rPr>
          <w:rFonts w:ascii="宋体" w:hAnsi="宋体" w:cs="宋体"/>
          <w:szCs w:val="21"/>
        </w:rPr>
      </w:pPr>
      <w:r>
        <w:rPr>
          <w:rFonts w:hint="eastAsia" w:ascii="仿宋_GB2312" w:eastAsia="仿宋_GB2312"/>
          <w:w w:val="90"/>
          <w:kern w:val="10"/>
          <w:sz w:val="24"/>
        </w:rPr>
        <w:t xml:space="preserve">                                      </w:t>
      </w:r>
      <w:r>
        <w:rPr>
          <w:rFonts w:hint="eastAsia" w:ascii="宋体" w:hAnsi="宋体" w:cs="宋体"/>
          <w:szCs w:val="21"/>
        </w:rPr>
        <w:br w:type="page"/>
      </w:r>
    </w:p>
    <w:p>
      <w:pPr>
        <w:widowControl/>
        <w:jc w:val="left"/>
        <w:rPr>
          <w:rFonts w:ascii="宋体" w:hAnsi="宋体" w:cs="宋体"/>
          <w:b/>
          <w:bCs/>
          <w:szCs w:val="21"/>
        </w:rPr>
      </w:pPr>
      <w:r>
        <w:rPr>
          <w:rFonts w:hint="eastAsia" w:ascii="宋体" w:hAnsi="宋体" w:cs="宋体"/>
          <w:b/>
          <w:bCs/>
          <w:szCs w:val="21"/>
        </w:rPr>
        <w:t>附件1发包通知书</w:t>
      </w:r>
    </w:p>
    <w:p>
      <w:pPr>
        <w:widowControl/>
        <w:jc w:val="left"/>
        <w:rPr>
          <w:rFonts w:ascii="宋体" w:hAnsi="宋体" w:cs="宋体"/>
          <w:szCs w:val="21"/>
        </w:rPr>
      </w:pPr>
      <w:r>
        <w:rPr>
          <w:rFonts w:hint="eastAsia" w:ascii="宋体" w:hAnsi="宋体" w:cs="宋体"/>
          <w:b/>
          <w:bCs/>
          <w:szCs w:val="21"/>
        </w:rPr>
        <w:t>附件2</w:t>
      </w:r>
    </w:p>
    <w:p>
      <w:pPr>
        <w:spacing w:line="360" w:lineRule="auto"/>
        <w:jc w:val="right"/>
        <w:rPr>
          <w:rFonts w:ascii="宋体" w:hAnsi="宋体" w:cs="宋体"/>
          <w:b/>
          <w:szCs w:val="21"/>
        </w:rPr>
      </w:pPr>
      <w:r>
        <w:rPr>
          <w:rFonts w:hint="eastAsia" w:ascii="宋体" w:hAnsi="宋体" w:cs="宋体"/>
          <w:b/>
          <w:szCs w:val="21"/>
        </w:rPr>
        <w:t xml:space="preserve">                </w:t>
      </w:r>
    </w:p>
    <w:bookmarkEnd w:id="18"/>
    <w:p>
      <w:pPr>
        <w:spacing w:line="560" w:lineRule="exact"/>
        <w:ind w:firstLine="3640" w:firstLineChars="1300"/>
        <w:rPr>
          <w:rFonts w:ascii="仿宋_GB2312" w:hAnsi="仿宋_GB2312" w:eastAsia="仿宋_GB2312" w:cs="仿宋_GB2312"/>
          <w:bCs/>
          <w:color w:val="auto"/>
          <w:sz w:val="28"/>
          <w:szCs w:val="28"/>
          <w:highlight w:val="none"/>
        </w:rPr>
      </w:pPr>
      <w:bookmarkStart w:id="26" w:name="_Toc243_WPSOffice_Level2"/>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广州市净水有限公司江高分公司干化PLC电房增加柜式七氟丙烷气体灭火系统项目</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6"/>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（广州市净水有限公司江高分公司干化PLC电房增加柜式七氟丙烷气体灭火系统项目）+（穗净水合[</w:t>
      </w:r>
      <w:r>
        <w:rPr>
          <w:rFonts w:hint="eastAsia" w:ascii="仿宋_GB2312" w:hAnsi="仿宋_GB2312" w:eastAsia="仿宋_GB2312" w:cs="仿宋_GB2312"/>
          <w:bCs/>
          <w:color w:val="auto"/>
          <w:sz w:val="28"/>
          <w:szCs w:val="28"/>
          <w:highlight w:val="none"/>
          <w:u w:val="single"/>
          <w:lang w:val="en-US" w:eastAsia="zh-CN"/>
        </w:rPr>
        <w:t xml:space="preserve">  </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rPr>
        <w:t>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6</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4</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2</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pStyle w:val="47"/>
        <w:tabs>
          <w:tab w:val="left" w:pos="5100"/>
        </w:tabs>
        <w:spacing w:line="56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黑体" w:hAnsi="Batang" w:eastAsia="黑体" w:cs="Batang"/>
          <w:bCs/>
          <w:kern w:val="0"/>
          <w:sz w:val="44"/>
          <w:szCs w:val="44"/>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：营运场所施工安全协议书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31"/>
          <w:rFonts w:asciiTheme="minorEastAsia" w:hAnsiTheme="minorEastAsia" w:eastAsiaTheme="minorEastAsia"/>
          <w:b w:val="0"/>
          <w:u w:val="single"/>
        </w:rPr>
      </w:pP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440" w:lineRule="exact"/>
        <w:ind w:left="105"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 xml:space="preserve"> 二、双方的责任、权利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（一）甲方的责任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不得明示或者暗示乙方购买、租赁、使用不符合安全施工要求的安全防护用具、机械设备、施工机具及配件、消防设施和器材。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检查乙方安全措施的投入。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（二）甲方的权利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（1）经济处罚；</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（2）诚信扣分；</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（3）限制投标，或经其他单位承包后以分包方参与项目实施；</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（5）向行业协会（包括但不限于广东省市政行业协会、广州市市政行业协会等）反映。</w:t>
      </w:r>
    </w:p>
    <w:p>
      <w:pPr>
        <w:spacing w:line="360" w:lineRule="auto"/>
        <w:ind w:firstLine="480" w:firstLineChars="200"/>
        <w:rPr>
          <w:rFonts w:ascii="宋体" w:hAnsi="宋体" w:cs="Arial"/>
          <w:kern w:val="0"/>
          <w:sz w:val="24"/>
        </w:rPr>
      </w:pPr>
      <w:r>
        <w:rPr>
          <w:rFonts w:ascii="宋体" w:hAnsi="宋体" w:cs="Arial"/>
          <w:kern w:val="0"/>
          <w:sz w:val="24"/>
        </w:rPr>
        <w:t>3.</w:t>
      </w:r>
      <w:r>
        <w:rPr>
          <w:rFonts w:hint="eastAsia" w:ascii="宋体" w:hAnsi="宋体" w:cs="Arial"/>
          <w:kern w:val="0"/>
          <w:sz w:val="24"/>
        </w:rPr>
        <w:t>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（三）乙方的责任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乙方应在施工前重新识别现场的安全风险并采取措施进行管控。</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乙方应保证施工安全措施投入。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乙方必须严格按照甲方制定的《标准》要求，落实各项安全管理工作。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乙方必须在签订主合同前提供本项目全体人员已通过三级安全教育及职业健康体检的证明，确保全员没有职业病，禁止有职业禁忌证的人员从事禁忌证相关工作。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乙方发生突发事件时，应立即报甲方，并同时积极主动地开展应急救援，采取有效措施将事故影响控制在最小范围内。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必须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（四）乙方的权利</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三、事故责任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2.乙方人员在非承包区域遭受意外伤害的，乙方负全部责任。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7.本协议未尽事宜，依据有关法规。规章处理，法规、规章没有明确规定的，经双方协商处理解决。</w:t>
      </w:r>
    </w:p>
    <w:p>
      <w:pPr>
        <w:pStyle w:val="61"/>
        <w:spacing w:line="44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44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44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eastAsia="仿宋_GB2312" w:hAnsiTheme="minorEastAsia"/>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bookmarkEnd w:id="26"/>
    <w:p>
      <w:pPr>
        <w:rPr>
          <w:rFonts w:hint="default" w:hAnsi="仿宋_GB2312" w:cs="仿宋_GB2312"/>
          <w:bCs/>
          <w:sz w:val="28"/>
          <w:szCs w:val="28"/>
        </w:rPr>
      </w:pPr>
      <w:r>
        <w:rPr>
          <w:rFonts w:hint="eastAsia" w:ascii="仿宋_GB2312" w:hAnsi="仿宋_GB2312" w:eastAsia="仿宋_GB2312" w:cs="仿宋_GB2312"/>
          <w:szCs w:val="21"/>
        </w:rPr>
        <w:br w:type="page"/>
      </w:r>
      <w:bookmarkStart w:id="27" w:name="_Toc10686_WPSOffice_Level2"/>
    </w:p>
    <w:p>
      <w:pPr>
        <w:adjustRightInd w:val="0"/>
        <w:snapToGrid w:val="0"/>
        <w:rPr>
          <w:rFonts w:ascii="宋体" w:hAnsi="宋体" w:cs="宋体"/>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w:t>
      </w:r>
      <w:r>
        <w:rPr>
          <w:rFonts w:hint="eastAsia" w:ascii="宋体" w:hAnsi="宋体" w:cs="宋体"/>
          <w:szCs w:val="21"/>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themeColor="text1"/>
          <w:sz w:val="24"/>
          <w14:textFill>
            <w14:solidFill>
              <w14:schemeClr w14:val="tx1"/>
            </w14:solidFill>
          </w14:textFill>
        </w:rPr>
        <w:t>《广州市净水有限公司经营建设项目参建企业不诚信行为管理办法》。</w:t>
      </w: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p>
    <w:p>
      <w:pP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附件5：</w:t>
      </w:r>
      <w:bookmarkEnd w:id="27"/>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工程量报价</w:t>
      </w:r>
    </w:p>
    <w:tbl>
      <w:tblPr>
        <w:tblStyle w:val="28"/>
        <w:tblpPr w:leftFromText="180" w:rightFromText="180" w:vertAnchor="text" w:horzAnchor="page" w:tblpX="1073" w:tblpY="111"/>
        <w:tblOverlap w:val="never"/>
        <w:tblW w:w="92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2851"/>
        <w:gridCol w:w="2543"/>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5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5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auto"/>
                <w:kern w:val="0"/>
                <w:sz w:val="20"/>
                <w:szCs w:val="20"/>
                <w:highlight w:val="none"/>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97"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tbl>
      <w:tblPr>
        <w:tblStyle w:val="28"/>
        <w:tblpPr w:leftFromText="180" w:rightFromText="180" w:vertAnchor="text" w:horzAnchor="page" w:tblpX="63" w:tblpY="166"/>
        <w:tblOverlap w:val="never"/>
        <w:tblW w:w="11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1425"/>
        <w:gridCol w:w="1487"/>
        <w:gridCol w:w="2834"/>
        <w:gridCol w:w="297"/>
        <w:gridCol w:w="595"/>
        <w:gridCol w:w="806"/>
        <w:gridCol w:w="418"/>
        <w:gridCol w:w="945"/>
        <w:gridCol w:w="1120"/>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174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工程名称：江高分公司干化PLC电房增加柜式七氟丙烷气体灭火系统项目</w:t>
            </w:r>
          </w:p>
        </w:tc>
        <w:tc>
          <w:tcPr>
            <w:tcW w:w="211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02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4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1.类型:柜式七氟丙烷气体灭火装置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2.型号、规格:MP150/2.5GW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3.含药剂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1.名称:点型光电感烟火灾探测器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1.名称:点型光电感温火灾探测器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1.名称:紧急启动停止按钮</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1.名称:火灾声光报警器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1.名称:放气释放报警</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模块(模块箱)</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1.名称:输出模块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2.输出形式:单输出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4.配置形式:明配</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3.规格:1.0mm2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5.配线部位:室内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2.型号:ZR-RVS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3.规格:2*1.5mm2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5.配线部位:室内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3.规格:86*86*40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031202005001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防火涂料</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1.涂刷(喷)品种:防火涂料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2.涂刷(喷)遍数、漆膜厚度:漆膜 2遍</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碳钢风口、散流器、百叶窗</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1.名称:机械泄压口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2.规格:500*500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030413003001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1.名称:人工打洞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3.类型:砖墙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4.填充(恢复)方式:水泥砂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5.混凝土标准:M10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030905001001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2.点数:16</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663"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663"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1745"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0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116"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3027"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
        <w:rPr>
          <w:rFonts w:hint="default"/>
          <w:lang w:val="en-US" w:eastAsia="zh-CN"/>
        </w:rPr>
      </w:pPr>
    </w:p>
    <w:p>
      <w:pPr>
        <w:adjustRightInd w:val="0"/>
        <w:snapToGrid w:val="0"/>
        <w:spacing w:line="440" w:lineRule="exact"/>
        <w:ind w:firstLine="420" w:firstLineChars="200"/>
        <w:jc w:val="left"/>
        <w:rPr>
          <w:rFonts w:hint="eastAsia" w:ascii="宋体" w:hAnsi="宋体" w:cs="宋体"/>
          <w:szCs w:val="21"/>
        </w:rPr>
      </w:pPr>
    </w:p>
    <w:p>
      <w:pPr>
        <w:spacing w:line="520" w:lineRule="exact"/>
        <w:rPr>
          <w:rFonts w:asciiTheme="minorEastAsia" w:hAnsiTheme="minorEastAsia" w:eastAsiaTheme="minorEastAsia" w:cstheme="minorEastAsia"/>
          <w:szCs w:val="21"/>
        </w:rPr>
      </w:pPr>
      <w:bookmarkStart w:id="28" w:name="_Toc13965_WPSOffice_Level2"/>
    </w:p>
    <w:p>
      <w:pPr>
        <w:spacing w:line="520" w:lineRule="exact"/>
        <w:rPr>
          <w:rFonts w:asciiTheme="minorEastAsia" w:hAnsiTheme="minorEastAsia" w:eastAsiaTheme="minorEastAsia" w:cstheme="minorEastAsia"/>
          <w:szCs w:val="21"/>
        </w:rPr>
      </w:pPr>
    </w:p>
    <w:tbl>
      <w:tblPr>
        <w:tblStyle w:val="28"/>
        <w:tblW w:w="5878" w:type="pct"/>
        <w:tblInd w:w="-8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23"/>
        <w:gridCol w:w="1360"/>
        <w:gridCol w:w="1448"/>
        <w:gridCol w:w="825"/>
        <w:gridCol w:w="637"/>
        <w:gridCol w:w="627"/>
        <w:gridCol w:w="555"/>
        <w:gridCol w:w="651"/>
        <w:gridCol w:w="617"/>
        <w:gridCol w:w="1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27"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ind w:left="-1459" w:leftChars="-695" w:firstLine="1460" w:firstLineChars="73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工程名称：江高分公司干化PLC电房增加柜式七氟丙烷气体灭火系统项目</w:t>
            </w:r>
          </w:p>
        </w:tc>
        <w:tc>
          <w:tcPr>
            <w:tcW w:w="615"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05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3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2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2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0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3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3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74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2724.5145</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28"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73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42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007"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60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27"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1672"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27" w:type="pct"/>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615"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057"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spacing w:line="520" w:lineRule="exact"/>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p>
    <w:tbl>
      <w:tblPr>
        <w:tblStyle w:val="28"/>
        <w:tblW w:w="5848" w:type="pct"/>
        <w:tblInd w:w="-7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92"/>
        <w:gridCol w:w="1931"/>
        <w:gridCol w:w="2137"/>
        <w:gridCol w:w="148"/>
        <w:gridCol w:w="1277"/>
        <w:gridCol w:w="23"/>
        <w:gridCol w:w="807"/>
        <w:gridCol w:w="1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5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工程名称：江高分公司干化PLC电房增加柜式七氟丙烷气体灭火系统项目</w:t>
            </w:r>
          </w:p>
        </w:tc>
        <w:tc>
          <w:tcPr>
            <w:tcW w:w="74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405"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9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7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2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6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7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6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8"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9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2851"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48" w:type="pct"/>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：防疫管理协议书</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广州市净水有限公司</w:t>
      </w:r>
    </w:p>
    <w:p>
      <w:pPr>
        <w:adjustRightInd w:val="0"/>
        <w:snapToGrid w:val="0"/>
        <w:spacing w:line="440" w:lineRule="exact"/>
        <w:ind w:firstLine="480" w:firstLineChars="200"/>
        <w:jc w:val="left"/>
        <w:rPr>
          <w:rStyle w:val="31"/>
          <w:rFonts w:ascii="仿宋" w:hAnsi="仿宋" w:eastAsia="仿宋" w:cs="仿宋"/>
          <w:b w:val="0"/>
          <w:u w:val="single"/>
        </w:rPr>
      </w:pPr>
      <w:r>
        <w:rPr>
          <w:rFonts w:hint="eastAsia" w:ascii="仿宋" w:hAnsi="仿宋" w:eastAsia="仿宋" w:cs="仿宋"/>
          <w:sz w:val="24"/>
        </w:rPr>
        <w:t xml:space="preserve">乙方: </w:t>
      </w:r>
    </w:p>
    <w:p>
      <w:pPr>
        <w:spacing w:line="440" w:lineRule="exact"/>
        <w:ind w:firstLine="540" w:firstLineChars="225"/>
        <w:rPr>
          <w:rFonts w:ascii="仿宋" w:hAnsi="仿宋" w:eastAsia="仿宋" w:cs="仿宋"/>
          <w:sz w:val="24"/>
        </w:rPr>
      </w:pPr>
      <w:r>
        <w:rPr>
          <w:rFonts w:hint="eastAsia" w:ascii="仿宋" w:hAnsi="仿宋" w:eastAsia="仿宋" w:cs="仿宋"/>
          <w:sz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一、本协议与主协议的关系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广州市净水有限公司江高分公司干化PLC电房增加柜式七氟丙烷气体灭火系统项目</w:t>
      </w:r>
      <w:r>
        <w:rPr>
          <w:rFonts w:hint="eastAsia" w:ascii="仿宋" w:hAnsi="仿宋" w:eastAsia="仿宋" w:cs="仿宋"/>
          <w:sz w:val="24"/>
        </w:rPr>
        <w:t>的组成部分，与主合同具有同等法律</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二、甲方的义务</w:t>
      </w:r>
    </w:p>
    <w:p>
      <w:pPr>
        <w:adjustRightInd w:val="0"/>
        <w:snapToGrid w:val="0"/>
        <w:spacing w:line="440" w:lineRule="exact"/>
        <w:ind w:firstLine="480"/>
        <w:jc w:val="left"/>
        <w:rPr>
          <w:rFonts w:ascii="仿宋" w:hAnsi="仿宋" w:eastAsia="仿宋" w:cs="仿宋"/>
          <w:sz w:val="24"/>
        </w:rPr>
      </w:pPr>
      <w:r>
        <w:rPr>
          <w:rFonts w:hint="eastAsia" w:ascii="仿宋" w:hAnsi="仿宋" w:eastAsia="仿宋" w:cs="仿宋"/>
          <w:sz w:val="24"/>
        </w:rPr>
        <w:t>（一）与建设主管部门和属地疫情防控指挥部门形成联防联控机制，建立快速有效的处置工作流程。</w:t>
      </w:r>
    </w:p>
    <w:p>
      <w:pPr>
        <w:pStyle w:val="8"/>
        <w:spacing w:line="440" w:lineRule="exact"/>
        <w:ind w:firstLine="480"/>
        <w:jc w:val="left"/>
        <w:rPr>
          <w:rFonts w:ascii="仿宋" w:hAnsi="仿宋" w:eastAsia="仿宋" w:cs="仿宋"/>
          <w:sz w:val="24"/>
        </w:rPr>
      </w:pPr>
      <w:r>
        <w:rPr>
          <w:rFonts w:hint="eastAsia" w:ascii="仿宋" w:hAnsi="仿宋" w:eastAsia="仿宋" w:cs="仿宋"/>
          <w:sz w:val="24"/>
        </w:rPr>
        <w:t>（二）对乙方防控工作的落实情况进行监督。</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三、乙方的义务</w:t>
      </w:r>
    </w:p>
    <w:p>
      <w:pPr>
        <w:pStyle w:val="8"/>
        <w:spacing w:line="440" w:lineRule="exact"/>
        <w:ind w:firstLine="480"/>
        <w:rPr>
          <w:rFonts w:ascii="仿宋" w:hAnsi="仿宋" w:eastAsia="仿宋" w:cs="仿宋"/>
          <w:sz w:val="24"/>
        </w:rPr>
      </w:pPr>
      <w:r>
        <w:rPr>
          <w:rFonts w:hint="eastAsia" w:ascii="仿宋" w:hAnsi="仿宋" w:eastAsia="仿宋" w:cs="仿宋"/>
          <w:sz w:val="24"/>
        </w:rPr>
        <w:t>（一）开展疫情防控宣传教育，提高乙方人员自我防护意识，最大限度减少人员暴露和感染的风险。</w:t>
      </w:r>
    </w:p>
    <w:p>
      <w:pPr>
        <w:pStyle w:val="8"/>
        <w:spacing w:line="440" w:lineRule="exact"/>
        <w:ind w:firstLine="480"/>
        <w:rPr>
          <w:rFonts w:ascii="仿宋" w:hAnsi="仿宋" w:eastAsia="仿宋" w:cs="仿宋"/>
          <w:sz w:val="24"/>
        </w:rPr>
      </w:pPr>
      <w:r>
        <w:rPr>
          <w:rFonts w:hint="eastAsia" w:ascii="仿宋" w:hAnsi="仿宋" w:eastAsia="仿宋" w:cs="仿宋"/>
          <w:sz w:val="24"/>
        </w:rPr>
        <w:t>（二）做好乙方人员防控工作管理，及时提交防疫资料，落实疫情防控备案，必要时需编制防控管理工作方案</w:t>
      </w:r>
      <w:r>
        <w:rPr>
          <w:rFonts w:hint="eastAsia" w:ascii="仿宋" w:hAnsi="仿宋" w:eastAsia="仿宋" w:cs="仿宋"/>
          <w:sz w:val="32"/>
          <w:szCs w:val="32"/>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 xml:space="preserve">    （三）乙方人员须按照甲方各厂区进厂门岗防控要求进行疫苗接种及核酸检测，未满足相关要求的人员甲方有权限制进入厂区。</w:t>
      </w:r>
    </w:p>
    <w:p>
      <w:pPr>
        <w:pStyle w:val="8"/>
        <w:spacing w:line="440" w:lineRule="exact"/>
        <w:ind w:firstLine="480"/>
        <w:rPr>
          <w:rFonts w:ascii="仿宋" w:hAnsi="仿宋" w:eastAsia="仿宋" w:cs="仿宋"/>
          <w:sz w:val="24"/>
        </w:rPr>
      </w:pPr>
      <w:r>
        <w:rPr>
          <w:rFonts w:hint="eastAsia" w:ascii="仿宋" w:hAnsi="仿宋" w:eastAsia="仿宋" w:cs="仿宋"/>
          <w:sz w:val="24"/>
        </w:rPr>
        <w:t>（四）建立畅通的信息传输渠道和严格的信息上报机制，出现问题及时采取应急响应措施，迅速妥善处置项目施工场所普通发热病例、可疑病例和突发新冠肺炎疫情，并第一时间报送甲方。</w:t>
      </w:r>
    </w:p>
    <w:p>
      <w:pPr>
        <w:adjustRightInd w:val="0"/>
        <w:snapToGrid w:val="0"/>
        <w:spacing w:line="440" w:lineRule="exact"/>
        <w:ind w:firstLine="480" w:firstLineChars="200"/>
        <w:jc w:val="left"/>
        <w:rPr>
          <w:rFonts w:ascii="仿宋" w:hAnsi="仿宋" w:eastAsia="仿宋" w:cs="仿宋"/>
        </w:rPr>
      </w:pPr>
      <w:r>
        <w:rPr>
          <w:rFonts w:hint="eastAsia" w:ascii="仿宋" w:hAnsi="仿宋" w:eastAsia="仿宋" w:cs="仿宋"/>
          <w:sz w:val="24"/>
        </w:rPr>
        <w:t>（五）各级政府、有关部门及甲方的其他防控要求。</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四、违约责任</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乙方需按照甲方服务要求执行，未达到疫情防控要求的，需按下列条款执行：</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（一）乙方人员及其</w:t>
      </w:r>
      <w:r>
        <w:rPr>
          <w:rFonts w:hint="eastAsia" w:ascii="仿宋" w:hAnsi="仿宋" w:eastAsia="仿宋" w:cs="仿宋"/>
          <w:sz w:val="24"/>
          <w:highlight w:val="red"/>
        </w:rPr>
        <w:t>密接</w:t>
      </w:r>
      <w:r>
        <w:rPr>
          <w:rFonts w:hint="eastAsia" w:ascii="仿宋" w:hAnsi="仿宋" w:eastAsia="仿宋" w:cs="仿宋"/>
          <w:sz w:val="24"/>
        </w:rPr>
        <w:t>亲属有重点区域、重点场所旅居史未报备的，每发现一人，从乙方当月服务费中扣500元；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ascii="仿宋" w:hAnsi="仿宋" w:eastAsia="仿宋" w:cs="仿宋"/>
          <w:sz w:val="24"/>
        </w:rPr>
      </w:pPr>
      <w:r>
        <w:rPr>
          <w:rFonts w:hint="eastAsia" w:ascii="仿宋" w:hAnsi="仿宋" w:eastAsia="仿宋" w:cs="仿宋"/>
          <w:sz w:val="24"/>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ascii="仿宋" w:hAnsi="仿宋" w:eastAsia="仿宋" w:cs="仿宋"/>
          <w:sz w:val="24"/>
        </w:rPr>
      </w:pPr>
    </w:p>
    <w:p>
      <w:pPr>
        <w:pStyle w:val="61"/>
        <w:spacing w:line="440" w:lineRule="exact"/>
        <w:rPr>
          <w:rFonts w:ascii="仿宋" w:hAnsi="仿宋" w:eastAsia="仿宋" w:cs="仿宋"/>
          <w:sz w:val="24"/>
        </w:rPr>
      </w:pPr>
      <w:r>
        <w:rPr>
          <w:rFonts w:hint="eastAsia" w:ascii="仿宋" w:hAnsi="仿宋" w:eastAsia="仿宋" w:cs="仿宋"/>
          <w:sz w:val="24"/>
        </w:rPr>
        <w:t>五、补充条款：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ascii="仿宋" w:hAnsi="仿宋" w:eastAsia="仿宋" w:cs="仿宋"/>
          <w:sz w:val="24"/>
        </w:rPr>
      </w:pPr>
      <w:r>
        <w:rPr>
          <w:rFonts w:hint="eastAsia" w:ascii="仿宋" w:hAnsi="仿宋" w:eastAsia="仿宋" w:cs="仿宋"/>
          <w:sz w:val="24"/>
        </w:rPr>
        <w:t>六、附则</w:t>
      </w:r>
    </w:p>
    <w:p>
      <w:pPr>
        <w:adjustRightInd w:val="0"/>
        <w:snapToGrid w:val="0"/>
        <w:spacing w:line="440" w:lineRule="exact"/>
        <w:ind w:firstLine="480" w:firstLineChars="200"/>
        <w:jc w:val="left"/>
        <w:rPr>
          <w:rFonts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rPr>
        <w:t xml:space="preserve">  </w:t>
      </w:r>
      <w:r>
        <w:rPr>
          <w:rFonts w:hint="eastAsia" w:ascii="仿宋" w:hAnsi="仿宋" w:eastAsia="仿宋" w:cs="仿宋"/>
          <w:sz w:val="24"/>
        </w:rPr>
        <w:t>份。</w:t>
      </w:r>
    </w:p>
    <w:p>
      <w:pPr>
        <w:adjustRightInd w:val="0"/>
        <w:snapToGrid w:val="0"/>
        <w:spacing w:line="440" w:lineRule="exact"/>
        <w:rPr>
          <w:rFonts w:ascii="仿宋" w:hAnsi="仿宋" w:eastAsia="仿宋" w:cs="仿宋"/>
          <w:sz w:val="24"/>
        </w:rPr>
      </w:pPr>
    </w:p>
    <w:p>
      <w:pPr>
        <w:adjustRightInd w:val="0"/>
        <w:snapToGrid w:val="0"/>
        <w:spacing w:line="440" w:lineRule="exact"/>
        <w:ind w:left="1330" w:leftChars="5" w:hanging="1320" w:hangingChars="550"/>
        <w:rPr>
          <w:rFonts w:ascii="仿宋" w:hAnsi="仿宋" w:eastAsia="仿宋" w:cs="仿宋"/>
          <w:sz w:val="24"/>
        </w:rPr>
      </w:pPr>
      <w:r>
        <w:rPr>
          <w:rFonts w:hint="eastAsia" w:ascii="仿宋" w:hAnsi="仿宋" w:eastAsia="仿宋" w:cs="仿宋"/>
          <w:sz w:val="24"/>
        </w:rPr>
        <w:t xml:space="preserve">   甲方代表 （章）：                       乙方代表（章）：                                                           　　              　　　　　　　</w:t>
      </w:r>
    </w:p>
    <w:p>
      <w:pPr>
        <w:adjustRightInd w:val="0"/>
        <w:snapToGrid w:val="0"/>
        <w:spacing w:line="440" w:lineRule="exact"/>
        <w:rPr>
          <w:rFonts w:ascii="仿宋" w:hAnsi="仿宋" w:eastAsia="仿宋" w:cs="仿宋"/>
          <w:sz w:val="24"/>
        </w:rPr>
      </w:pPr>
      <w:r>
        <w:rPr>
          <w:rFonts w:hint="eastAsia" w:ascii="仿宋" w:hAnsi="仿宋" w:eastAsia="仿宋" w:cs="仿宋"/>
          <w:sz w:val="24"/>
        </w:rPr>
        <w:t xml:space="preserve">      年 　月　  日　　　　　                 年   月  　日</w:t>
      </w:r>
    </w:p>
    <w:p>
      <w:pPr>
        <w:spacing w:line="520" w:lineRule="exact"/>
        <w:rPr>
          <w:rFonts w:asciiTheme="minorEastAsia" w:hAnsiTheme="minorEastAsia" w:eastAsiaTheme="minorEastAsia" w:cstheme="minorEastAsia"/>
          <w:szCs w:val="21"/>
        </w:rPr>
      </w:pPr>
    </w:p>
    <w:p>
      <w:pPr>
        <w:spacing w:line="5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b/>
          <w:bCs/>
          <w:szCs w:val="21"/>
        </w:rPr>
        <w:t>附件</w:t>
      </w:r>
      <w:r>
        <w:rPr>
          <w:rFonts w:hint="eastAsia" w:asciiTheme="minorEastAsia" w:hAnsiTheme="minorEastAsia" w:eastAsiaTheme="minorEastAsia" w:cstheme="minorEastAsia"/>
          <w:b/>
          <w:bCs/>
          <w:szCs w:val="21"/>
          <w:lang w:val="en-US" w:eastAsia="zh-CN"/>
        </w:rPr>
        <w:t>7</w:t>
      </w:r>
      <w:r>
        <w:rPr>
          <w:rFonts w:hint="eastAsia" w:asciiTheme="minorEastAsia" w:hAnsiTheme="minorEastAsia" w:eastAsiaTheme="minorEastAsia" w:cstheme="minorEastAsia"/>
          <w:b/>
          <w:bCs/>
          <w:szCs w:val="21"/>
        </w:rPr>
        <w:t>：项目投入人员架构表</w:t>
      </w:r>
      <w:bookmarkEnd w:id="28"/>
    </w:p>
    <w:p>
      <w:pPr>
        <w:widowControl/>
        <w:jc w:val="left"/>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widowControl/>
        <w:jc w:val="center"/>
        <w:rPr>
          <w:rFonts w:hint="eastAsia" w:ascii="仿宋_GB2312" w:hAnsi="仿宋_GB2312" w:eastAsia="仿宋_GB2312" w:cs="仿宋_GB2312"/>
          <w:b/>
          <w:bCs/>
          <w:sz w:val="32"/>
          <w:szCs w:val="32"/>
          <w:lang w:val="zh-CN"/>
        </w:rPr>
      </w:pPr>
      <w:bookmarkStart w:id="29" w:name="_Toc20652_WPSOffice_Level1"/>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hint="eastAsia" w:ascii="仿宋_GB2312" w:hAnsi="仿宋_GB2312" w:eastAsia="仿宋_GB2312" w:cs="仿宋_GB2312"/>
          <w:b/>
          <w:bCs/>
          <w:sz w:val="32"/>
          <w:szCs w:val="32"/>
          <w:lang w:val="zh-CN"/>
        </w:rPr>
      </w:pPr>
    </w:p>
    <w:p>
      <w:pPr>
        <w:widowControl/>
        <w:jc w:val="center"/>
        <w:rPr>
          <w:rFonts w:ascii="仿宋_GB2312" w:hAnsi="仿宋_GB2312" w:eastAsia="仿宋_GB2312" w:cs="仿宋_GB2312"/>
          <w:b/>
          <w:bCs/>
          <w:sz w:val="32"/>
          <w:szCs w:val="32"/>
          <w:lang w:val="zh-CN"/>
        </w:rPr>
      </w:pPr>
      <w:bookmarkStart w:id="32" w:name="_GoBack"/>
      <w:bookmarkEnd w:id="32"/>
      <w:r>
        <w:rPr>
          <w:rFonts w:hint="eastAsia" w:ascii="仿宋_GB2312" w:hAnsi="仿宋_GB2312" w:eastAsia="仿宋_GB2312" w:cs="仿宋_GB2312"/>
          <w:b/>
          <w:bCs/>
          <w:sz w:val="32"/>
          <w:szCs w:val="32"/>
          <w:lang w:val="zh-CN"/>
        </w:rPr>
        <w:t>第五部分　响应文件格式</w:t>
      </w:r>
      <w:bookmarkEnd w:id="29"/>
    </w:p>
    <w:p>
      <w:pPr>
        <w:pStyle w:val="15"/>
        <w:spacing w:line="360" w:lineRule="auto"/>
        <w:rPr>
          <w:rFonts w:ascii="仿宋_GB2312" w:hAnsi="仿宋_GB2312" w:eastAsia="仿宋_GB2312" w:cs="仿宋_GB2312"/>
          <w:b/>
          <w:sz w:val="28"/>
          <w:szCs w:val="28"/>
        </w:rPr>
      </w:pPr>
    </w:p>
    <w:p>
      <w:pPr>
        <w:pStyle w:val="15"/>
        <w:tabs>
          <w:tab w:val="left" w:pos="1260"/>
        </w:tabs>
        <w:jc w:val="center"/>
        <w:rPr>
          <w:rFonts w:ascii="仿宋_GB2312" w:hAnsi="仿宋_GB2312" w:eastAsia="仿宋_GB2312" w:cs="仿宋_GB2312"/>
          <w:b/>
          <w:kern w:val="0"/>
          <w:sz w:val="28"/>
          <w:szCs w:val="28"/>
          <w:u w:val="single"/>
        </w:rPr>
      </w:pPr>
    </w:p>
    <w:p>
      <w:pPr>
        <w:pStyle w:val="15"/>
        <w:tabs>
          <w:tab w:val="left" w:pos="1260"/>
        </w:tabs>
        <w:jc w:val="center"/>
        <w:rPr>
          <w:rFonts w:hint="eastAsia" w:ascii="仿宋_GB2312" w:hAnsi="仿宋_GB2312" w:eastAsia="仿宋_GB2312" w:cs="仿宋_GB2312"/>
          <w:b/>
          <w:sz w:val="24"/>
          <w:szCs w:val="24"/>
          <w:u w:val="single"/>
        </w:rPr>
      </w:pPr>
      <w:bookmarkStart w:id="30" w:name="_Toc25855_WPSOffice_Level2"/>
      <w:r>
        <w:rPr>
          <w:rFonts w:hint="eastAsia" w:ascii="仿宋_GB2312" w:hAnsi="仿宋_GB2312" w:eastAsia="仿宋_GB2312" w:cs="仿宋_GB2312"/>
          <w:kern w:val="2"/>
          <w:sz w:val="28"/>
          <w:szCs w:val="28"/>
          <w:u w:val="single"/>
          <w:lang w:val="zh-CN" w:eastAsia="zh-CN" w:bidi="ar-SA"/>
        </w:rPr>
        <w:t>广州市净水有限公司江高分公司干化PLC电房增加柜式七氟丙烷气体灭火系统项目</w:t>
      </w:r>
    </w:p>
    <w:p>
      <w:pPr>
        <w:pStyle w:val="15"/>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bookmarkEnd w:id="30"/>
    </w:p>
    <w:p>
      <w:pPr>
        <w:pStyle w:val="15"/>
        <w:jc w:val="center"/>
        <w:rPr>
          <w:rFonts w:ascii="仿宋_GB2312" w:hAnsi="仿宋_GB2312" w:eastAsia="仿宋_GB2312" w:cs="仿宋_GB2312"/>
          <w:b/>
          <w:sz w:val="28"/>
          <w:szCs w:val="28"/>
        </w:rPr>
      </w:pPr>
      <w:bookmarkStart w:id="31" w:name="_Toc25431_WPSOffice_Level2"/>
      <w:r>
        <w:rPr>
          <w:rFonts w:hint="eastAsia" w:ascii="仿宋_GB2312" w:hAnsi="仿宋_GB2312" w:eastAsia="仿宋_GB2312" w:cs="仿宋_GB2312"/>
          <w:b/>
          <w:sz w:val="28"/>
          <w:szCs w:val="28"/>
        </w:rPr>
        <w:t>（正本/副本）</w:t>
      </w:r>
      <w:bookmarkEnd w:id="31"/>
    </w:p>
    <w:p>
      <w:pPr>
        <w:pStyle w:val="15"/>
        <w:jc w:val="center"/>
        <w:rPr>
          <w:rFonts w:ascii="仿宋_GB2312" w:hAnsi="仿宋_GB2312" w:eastAsia="仿宋_GB2312" w:cs="仿宋_GB2312"/>
          <w:b/>
          <w:sz w:val="28"/>
          <w:szCs w:val="28"/>
        </w:rPr>
      </w:pPr>
    </w:p>
    <w:p>
      <w:pPr>
        <w:pStyle w:val="15"/>
        <w:jc w:val="center"/>
        <w:rPr>
          <w:rFonts w:ascii="仿宋_GB2312" w:hAnsi="仿宋_GB2312" w:eastAsia="仿宋_GB2312" w:cs="仿宋_GB2312"/>
          <w:b/>
          <w:sz w:val="28"/>
          <w:szCs w:val="28"/>
        </w:rPr>
      </w:pPr>
    </w:p>
    <w:p>
      <w:pPr>
        <w:pStyle w:val="15"/>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r>
        <w:rPr>
          <w:rFonts w:hint="eastAsia" w:ascii="仿宋_GB2312" w:hAnsi="仿宋_GB2312" w:eastAsia="仿宋_GB2312" w:cs="仿宋_GB2312"/>
          <w:color w:val="000000"/>
          <w:sz w:val="28"/>
          <w:szCs w:val="28"/>
        </w:rPr>
        <w:t>（包、组号）：</w:t>
      </w:r>
      <w:r>
        <w:rPr>
          <w:rFonts w:hint="eastAsia" w:ascii="仿宋_GB2312" w:hAnsi="仿宋_GB2312" w:eastAsia="仿宋_GB2312" w:cs="仿宋_GB2312"/>
          <w:b/>
          <w:color w:val="000000"/>
          <w:sz w:val="28"/>
          <w:szCs w:val="28"/>
          <w:u w:val="single"/>
        </w:rPr>
        <w:t xml:space="preserve">            </w:t>
      </w:r>
    </w:p>
    <w:p>
      <w:pPr>
        <w:pStyle w:val="14"/>
        <w:spacing w:line="360" w:lineRule="auto"/>
        <w:ind w:firstLine="828" w:firstLineChars="296"/>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lang w:val="zh-CN"/>
        </w:rPr>
        <w:t>广州市净水有限公司江高分公司干化PLC电房增加柜式七氟丙烷气体灭火系统项目</w:t>
      </w: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ind w:firstLine="843" w:firstLineChars="300"/>
        <w:rPr>
          <w:rFonts w:ascii="仿宋_GB2312" w:hAnsi="仿宋_GB2312" w:eastAsia="仿宋_GB2312" w:cs="仿宋_GB2312"/>
          <w:b/>
          <w:sz w:val="28"/>
          <w:szCs w:val="28"/>
        </w:rPr>
      </w:pPr>
    </w:p>
    <w:p>
      <w:pPr>
        <w:pStyle w:val="15"/>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adjustRightInd w:val="0"/>
        <w:jc w:val="center"/>
        <w:rPr>
          <w:rFonts w:ascii="仿宋_GB2312" w:hAnsi="仿宋_GB2312" w:eastAsia="仿宋_GB2312" w:cs="仿宋_GB2312"/>
          <w:szCs w:val="21"/>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pStyle w:val="6"/>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w:t>
      </w:r>
      <w:r>
        <w:rPr>
          <w:rFonts w:hint="eastAsia" w:ascii="宋体" w:hAnsi="宋体"/>
          <w:sz w:val="24"/>
        </w:rPr>
        <w:t>盖单位公章</w:t>
      </w:r>
      <w:r>
        <w:rPr>
          <w:rFonts w:hint="eastAsia" w:ascii="宋体" w:hAnsi="宋体"/>
          <w:sz w:val="24"/>
          <w:lang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p>
        </w:tc>
        <w:tc>
          <w:tcPr>
            <w:tcW w:w="4814" w:type="dxa"/>
          </w:tcPr>
          <w:p>
            <w:pPr>
              <w:widowControl/>
              <w:spacing w:line="440" w:lineRule="exact"/>
              <w:rPr>
                <w:rFonts w:ascii="仿宋" w:hAnsi="仿宋" w:eastAsia="仿宋" w:cs="仿宋_GB2312"/>
                <w:color w:val="000000" w:themeColor="text1"/>
                <w:sz w:val="24"/>
                <w14:textFill>
                  <w14:solidFill>
                    <w14:schemeClr w14:val="tx1"/>
                  </w14:solidFill>
                </w14:textFill>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国徽面</w:t>
            </w:r>
          </w:p>
          <w:p>
            <w:pPr>
              <w:pStyle w:val="34"/>
            </w:pPr>
          </w:p>
          <w:p>
            <w:pPr>
              <w:spacing w:line="360" w:lineRule="auto"/>
              <w:jc w:val="left"/>
              <w:rPr>
                <w:rFonts w:ascii="宋体" w:hAnsi="宋体"/>
                <w:sz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4"/>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本人</w:t>
      </w:r>
      <w:r>
        <w:rPr>
          <w:rFonts w:hint="eastAsia" w:ascii="仿宋" w:hAnsi="仿宋" w:eastAsia="仿宋" w:cs="仿宋_GB2312"/>
          <w:color w:val="000000" w:themeColor="text1"/>
          <w:sz w:val="28"/>
          <w:szCs w:val="28"/>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14:textFill>
            <w14:solidFill>
              <w14:schemeClr w14:val="tx1"/>
            </w14:solidFill>
          </w14:textFill>
        </w:rPr>
        <w:t>系</w:t>
      </w:r>
      <w:r>
        <w:rPr>
          <w:rFonts w:hint="eastAsia" w:ascii="仿宋" w:hAnsi="仿宋" w:eastAsia="仿宋" w:cs="仿宋_GB2312"/>
          <w:color w:val="000000" w:themeColor="text1"/>
          <w:sz w:val="28"/>
          <w:szCs w:val="28"/>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14:textFill>
            <w14:solidFill>
              <w14:schemeClr w14:val="tx1"/>
            </w14:solidFill>
          </w14:textFill>
        </w:rPr>
        <w:t>法定代表人，现授权</w:t>
      </w:r>
      <w:r>
        <w:rPr>
          <w:rFonts w:hint="eastAsia" w:ascii="仿宋" w:hAnsi="仿宋" w:eastAsia="仿宋" w:cs="仿宋_GB2312"/>
          <w:color w:val="000000" w:themeColor="text1"/>
          <w:sz w:val="28"/>
          <w:szCs w:val="28"/>
          <w:u w:val="single"/>
          <w14:textFill>
            <w14:solidFill>
              <w14:schemeClr w14:val="tx1"/>
            </w14:solidFill>
          </w14:textFill>
        </w:rPr>
        <w:t>（委托代理人姓名）</w:t>
      </w:r>
      <w:r>
        <w:rPr>
          <w:rFonts w:hint="eastAsia" w:ascii="仿宋" w:hAnsi="仿宋" w:eastAsia="仿宋" w:cs="仿宋_GB2312"/>
          <w:color w:val="000000" w:themeColor="text1"/>
          <w:sz w:val="28"/>
          <w:szCs w:val="28"/>
          <w14:textFill>
            <w14:solidFill>
              <w14:schemeClr w14:val="tx1"/>
            </w14:solidFill>
          </w14:textFill>
        </w:rPr>
        <w:t>为我方合法委托代理人，参加</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项目(项目编号：</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 签发日期：   年 月 日       有效期限：签发日期起至   年 月 日</w:t>
      </w:r>
    </w:p>
    <w:p>
      <w:pPr>
        <w:spacing w:line="480" w:lineRule="exact"/>
        <w:ind w:firstLine="840" w:firstLineChars="3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代理人性别：     年龄：     职务：</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w:t>
      </w:r>
      <w:r>
        <w:rPr>
          <w:rFonts w:hint="eastAsia" w:ascii="仿宋" w:hAnsi="仿宋" w:eastAsia="仿宋" w:cs="仿宋_GB2312"/>
          <w:color w:val="000000" w:themeColor="text1"/>
          <w:sz w:val="28"/>
          <w:szCs w:val="28"/>
          <w:lang w:val="en-US" w:eastAsia="zh-CN"/>
          <w14:textFill>
            <w14:solidFill>
              <w14:schemeClr w14:val="tx1"/>
            </w14:solidFill>
          </w14:textFill>
        </w:rPr>
        <w:t xml:space="preserve"> 联系方式：</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说明：1.内容必须填写真实、清楚、涂改无效，不得转让、买卖。</w:t>
      </w:r>
    </w:p>
    <w:p>
      <w:pPr>
        <w:spacing w:line="480" w:lineRule="exact"/>
        <w:ind w:firstLine="720" w:firstLineChars="300"/>
        <w:rPr>
          <w:rFonts w:ascii="仿宋" w:hAnsi="仿宋" w:eastAsia="仿宋" w:cs="仿宋_GB2312"/>
          <w:b/>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2.将此证明书提交对方作为合同附件</w:t>
      </w:r>
      <w:r>
        <w:rPr>
          <w:rFonts w:hint="eastAsia" w:ascii="仿宋" w:hAnsi="仿宋" w:eastAsia="仿宋" w:cs="仿宋_GB2312"/>
          <w:b/>
          <w:color w:val="000000" w:themeColor="text1"/>
          <w:sz w:val="24"/>
          <w14:textFill>
            <w14:solidFill>
              <w14:schemeClr w14:val="tx1"/>
            </w14:solidFill>
          </w14:textFill>
        </w:rPr>
        <w:t>。</w:t>
      </w:r>
    </w:p>
    <w:p>
      <w:pPr>
        <w:pStyle w:val="34"/>
        <w:ind w:firstLine="720" w:firstLineChars="300"/>
        <w:rPr>
          <w:rFonts w:ascii="仿宋" w:hAnsi="仿宋" w:eastAsia="仿宋" w:cs="仿宋_GB2312"/>
          <w:color w:val="000000" w:themeColor="text1"/>
          <w:kern w:val="2"/>
          <w14:textFill>
            <w14:solidFill>
              <w14:schemeClr w14:val="tx1"/>
            </w14:solidFill>
          </w14:textFill>
        </w:rPr>
      </w:pPr>
      <w:r>
        <w:rPr>
          <w:rFonts w:hint="eastAsia" w:ascii="仿宋" w:hAnsi="仿宋" w:eastAsia="仿宋" w:cs="仿宋_GB2312"/>
          <w:color w:val="000000" w:themeColor="text1"/>
          <w:kern w:val="2"/>
          <w14:textFill>
            <w14:solidFill>
              <w14:schemeClr w14:val="tx1"/>
            </w14:solidFill>
          </w14:textFill>
        </w:rPr>
        <w:t>3.</w:t>
      </w:r>
      <w:r>
        <w:rPr>
          <w:rFonts w:hint="eastAsia" w:ascii="仿宋" w:hAnsi="仿宋" w:eastAsia="仿宋" w:cs="仿宋_GB2312"/>
          <w:kern w:val="2"/>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14:textFill>
            <w14:solidFill>
              <w14:schemeClr w14:val="tx1"/>
            </w14:solidFill>
          </w14:textFill>
        </w:rPr>
      </w:pPr>
      <w:r>
        <w:rPr>
          <w:rFonts w:hint="eastAsia" w:ascii="仿宋" w:hAnsi="仿宋" w:eastAsia="仿宋" w:cs="仿宋_GB2312"/>
          <w:color w:val="000000" w:themeColor="text1"/>
          <w:sz w:val="24"/>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pStyle w:val="34"/>
        <w:rPr>
          <w:rFonts w:ascii="仿宋" w:hAnsi="仿宋" w:eastAsia="仿宋" w:cs="仿宋_GB2312"/>
          <w:color w:val="000000" w:themeColor="text1"/>
          <w14:textFill>
            <w14:solidFill>
              <w14:schemeClr w14:val="tx1"/>
            </w14:solidFill>
          </w14:textFill>
        </w:rPr>
      </w:pPr>
    </w:p>
    <w:p>
      <w:pPr>
        <w:widowControl/>
        <w:spacing w:line="440" w:lineRule="exact"/>
        <w:jc w:val="left"/>
        <w:rPr>
          <w:rFonts w:ascii="仿宋" w:hAnsi="仿宋" w:eastAsia="仿宋" w:cs="仿宋_GB2312"/>
          <w:color w:val="000000" w:themeColor="text1"/>
          <w:sz w:val="24"/>
          <w14:textFill>
            <w14:solidFill>
              <w14:schemeClr w14:val="tx1"/>
            </w14:solidFill>
          </w14:textFill>
        </w:rPr>
      </w:pPr>
    </w:p>
    <w:p>
      <w:pPr>
        <w:spacing w:line="440" w:lineRule="exact"/>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w:t>
      </w:r>
      <w:r>
        <w:rPr>
          <w:rFonts w:hint="eastAsia" w:ascii="宋体" w:hAnsi="宋体" w:eastAsia="PMingLiU"/>
          <w:sz w:val="24"/>
          <w:lang w:eastAsia="zh-SG"/>
        </w:rPr>
        <w:t>盖单位公章</w:t>
      </w:r>
      <w:r>
        <w:rPr>
          <w:rFonts w:hint="eastAsia" w:ascii="宋体" w:hAnsi="宋体"/>
          <w:sz w:val="24"/>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人像面</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c>
          <w:tcPr>
            <w:tcW w:w="4814" w:type="dxa"/>
          </w:tcPr>
          <w:p>
            <w:pPr>
              <w:spacing w:line="360" w:lineRule="auto"/>
              <w:jc w:val="center"/>
              <w:rPr>
                <w:rFonts w:ascii="仿宋" w:hAnsi="仿宋" w:eastAsia="仿宋" w:cs="仿宋_GB2312"/>
                <w:color w:val="000000" w:themeColor="text1"/>
                <w:sz w:val="24"/>
                <w:lang w:eastAsia="zh-SG"/>
                <w14:textFill>
                  <w14:solidFill>
                    <w14:schemeClr w14:val="tx1"/>
                  </w14:solidFill>
                </w14:textFill>
              </w:rPr>
            </w:pPr>
          </w:p>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PMingLiU"/>
                <w:sz w:val="24"/>
                <w:lang w:eastAsia="zh-SG"/>
              </w:rPr>
            </w:pPr>
          </w:p>
          <w:p>
            <w:pPr>
              <w:spacing w:line="360" w:lineRule="auto"/>
              <w:jc w:val="center"/>
              <w:rPr>
                <w:rFonts w:ascii="宋体" w:hAnsi="宋体" w:eastAsia="PMingLiU"/>
                <w:sz w:val="24"/>
                <w:lang w:eastAsia="zh-SG"/>
              </w:rPr>
            </w:pPr>
          </w:p>
          <w:p>
            <w:pPr>
              <w:spacing w:line="360" w:lineRule="auto"/>
              <w:jc w:val="center"/>
              <w:rPr>
                <w:rFonts w:ascii="宋体" w:hAnsi="宋体" w:eastAsia="PMingLiU"/>
                <w:sz w:val="24"/>
                <w:lang w:eastAsia="zh-SG"/>
              </w:rPr>
            </w:pPr>
            <w:r>
              <w:rPr>
                <w:rFonts w:hint="eastAsia" w:ascii="宋体" w:hAnsi="宋体" w:eastAsia="PMingLiU"/>
                <w:sz w:val="24"/>
                <w:lang w:eastAsia="zh-SG"/>
              </w:rPr>
              <w:t>授权代理人在本单位近三个月社保记录，（以加盖社会保险基金管理中心印章的《缴费历史明细表》或《社会保险参保人员证明》为准，</w:t>
            </w:r>
            <w:r>
              <w:rPr>
                <w:rFonts w:hint="eastAsia" w:ascii="宋体" w:hAnsi="宋体" w:eastAsia="宋体"/>
                <w:sz w:val="24"/>
                <w:lang w:val="en-US" w:eastAsia="zh-CN"/>
              </w:rPr>
              <w:t>加</w:t>
            </w:r>
            <w:r>
              <w:rPr>
                <w:rFonts w:hint="eastAsia" w:ascii="宋体" w:hAnsi="宋体" w:eastAsia="PMingLiU"/>
                <w:sz w:val="24"/>
                <w:lang w:eastAsia="zh-SG"/>
              </w:rPr>
              <w:t>盖单位公章</w:t>
            </w:r>
          </w:p>
          <w:p>
            <w:pPr>
              <w:spacing w:line="360" w:lineRule="auto"/>
              <w:jc w:val="center"/>
              <w:rPr>
                <w:rFonts w:ascii="宋体" w:hAnsi="宋体" w:eastAsia="PMingLiU"/>
                <w:sz w:val="24"/>
                <w:lang w:eastAsia="zh-SG"/>
              </w:rPr>
            </w:pPr>
          </w:p>
          <w:p>
            <w:pPr>
              <w:spacing w:line="360" w:lineRule="auto"/>
              <w:jc w:val="left"/>
              <w:rPr>
                <w:rFonts w:ascii="宋体" w:hAnsi="宋体" w:eastAsia="PMingLiU"/>
                <w:sz w:val="24"/>
                <w:lang w:eastAsia="zh-SG"/>
              </w:rPr>
            </w:pPr>
          </w:p>
          <w:p>
            <w:pPr>
              <w:spacing w:line="360" w:lineRule="auto"/>
              <w:jc w:val="left"/>
              <w:rPr>
                <w:rFonts w:ascii="宋体" w:hAnsi="宋体" w:eastAsia="PMingLiU"/>
                <w:sz w:val="24"/>
                <w:lang w:eastAsia="zh-SG"/>
              </w:rPr>
            </w:pPr>
          </w:p>
        </w:tc>
      </w:tr>
    </w:tbl>
    <w:p>
      <w:pPr>
        <w:spacing w:line="480" w:lineRule="exact"/>
        <w:rPr>
          <w:rFonts w:ascii="仿宋_GB2312" w:hAnsi="仿宋_GB2312" w:eastAsia="仿宋_GB2312" w:cs="仿宋_GB2312"/>
          <w:b/>
          <w:bCs/>
          <w:color w:val="000000"/>
          <w:sz w:val="28"/>
          <w:szCs w:val="28"/>
        </w:rPr>
      </w:pPr>
    </w:p>
    <w:p>
      <w:pPr>
        <w:pStyle w:val="34"/>
        <w:rPr>
          <w:rFonts w:ascii="仿宋_GB2312" w:hAnsi="仿宋_GB2312" w:cs="仿宋_GB2312"/>
          <w:b/>
          <w:bCs/>
          <w:sz w:val="28"/>
          <w:szCs w:val="28"/>
        </w:rPr>
      </w:pPr>
    </w:p>
    <w:p>
      <w:pPr>
        <w:pStyle w:val="34"/>
        <w:rPr>
          <w:rFonts w:ascii="仿宋_GB2312" w:hAnsi="仿宋_GB2312" w:cs="仿宋_GB2312"/>
          <w:b/>
          <w:bCs/>
          <w:sz w:val="28"/>
          <w:szCs w:val="28"/>
        </w:rPr>
      </w:pPr>
    </w:p>
    <w:p>
      <w:pPr>
        <w:pStyle w:val="34"/>
        <w:rPr>
          <w:rFonts w:ascii="仿宋_GB2312" w:hAnsi="仿宋_GB2312" w:cs="仿宋_GB2312"/>
          <w:b/>
          <w:bCs/>
          <w:sz w:val="28"/>
          <w:szCs w:val="28"/>
        </w:rPr>
      </w:pPr>
    </w:p>
    <w:p>
      <w:pPr>
        <w:pStyle w:val="34"/>
        <w:rPr>
          <w:rFonts w:ascii="仿宋_GB2312" w:hAnsi="仿宋_GB2312" w:cs="仿宋_GB2312"/>
          <w:b/>
          <w:bCs/>
          <w:sz w:val="28"/>
          <w:szCs w:val="28"/>
        </w:rPr>
      </w:pPr>
    </w:p>
    <w:p>
      <w:pPr>
        <w:pStyle w:val="34"/>
        <w:rPr>
          <w:rFonts w:ascii="仿宋_GB2312" w:hAnsi="仿宋_GB2312" w:cs="仿宋_GB2312"/>
          <w:b/>
          <w:bCs/>
          <w:sz w:val="28"/>
          <w:szCs w:val="28"/>
        </w:rPr>
      </w:pPr>
    </w:p>
    <w:p>
      <w:pPr>
        <w:pStyle w:val="34"/>
        <w:rPr>
          <w:rFonts w:ascii="仿宋_GB2312" w:hAnsi="仿宋_GB2312" w:cs="仿宋_GB2312"/>
          <w:b/>
          <w:bCs/>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 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49"/>
        <w:adjustRightInd w:val="0"/>
        <w:snapToGrid w:val="0"/>
        <w:spacing w:line="200" w:lineRule="atLeast"/>
        <w:ind w:right="-1" w:firstLine="0"/>
        <w:jc w:val="left"/>
        <w:rPr>
          <w:rFonts w:hAnsi="仿宋_GB2312" w:cs="仿宋_GB2312"/>
          <w:sz w:val="24"/>
          <w:szCs w:val="24"/>
        </w:rPr>
      </w:pPr>
      <w:r>
        <w:rPr>
          <w:rFonts w:hint="eastAsia" w:hAnsi="仿宋_GB2312" w:cs="仿宋_GB2312"/>
          <w:sz w:val="24"/>
          <w:szCs w:val="24"/>
        </w:rPr>
        <w:t>致：</w:t>
      </w:r>
      <w:r>
        <w:rPr>
          <w:rFonts w:hint="eastAsia" w:hAnsi="仿宋_GB2312" w:cs="仿宋_GB2312"/>
          <w:sz w:val="24"/>
          <w:szCs w:val="24"/>
          <w:u w:val="single"/>
        </w:rPr>
        <w:t xml:space="preserve">（项目实施单位） </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r>
        <w:rPr>
          <w:rFonts w:hint="eastAsia" w:ascii="仿宋_GB2312" w:hAnsi="仿宋_GB2312" w:eastAsia="仿宋_GB2312" w:cs="仿宋_GB2312"/>
          <w:color w:val="000000"/>
          <w:sz w:val="24"/>
        </w:rPr>
        <w:t>根据询价人发出的的项目编号为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的</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工程的询价文件，我方已详细审查了全部内容，并无异议。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2.现我方承诺：</w:t>
      </w:r>
      <w:r>
        <w:rPr>
          <w:rFonts w:hint="eastAsia" w:ascii="仿宋_GB2312" w:hAnsi="仿宋_GB2312" w:eastAsia="仿宋_GB2312" w:cs="仿宋_GB2312"/>
          <w:color w:val="000000"/>
          <w:kern w:val="0"/>
          <w:sz w:val="24"/>
        </w:rPr>
        <w:t>愿以人民币</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元（小写：</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rPr>
        <w:t>元）的报价，承包本次交易所包含的所有工作</w:t>
      </w:r>
      <w:r>
        <w:rPr>
          <w:rFonts w:hint="eastAsia" w:ascii="仿宋_GB2312" w:hAnsi="仿宋_GB2312" w:eastAsia="仿宋_GB2312" w:cs="仿宋_GB2312"/>
          <w:kern w:val="0"/>
          <w:sz w:val="24"/>
        </w:rPr>
        <w:t>（其中税前造价限价为    元，税率为   ）</w:t>
      </w:r>
      <w:r>
        <w:rPr>
          <w:rFonts w:hint="eastAsia" w:ascii="仿宋_GB2312" w:hAnsi="仿宋_GB2312" w:eastAsia="仿宋_GB2312" w:cs="仿宋_GB2312"/>
          <w:color w:val="000000"/>
          <w:kern w:val="0"/>
          <w:sz w:val="24"/>
        </w:rPr>
        <w:t>并承担任何质量缺陷责任。</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3.我方保证将按照本项目询价文件第二部分项目内容的技术、商务要求完成本项目。</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4.我方同意承包意向在询价文件规定的交易有效期</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5.如果我方获得承包资格，我方保证将</w:t>
      </w:r>
      <w:r>
        <w:rPr>
          <w:rFonts w:hint="eastAsia" w:ascii="仿宋_GB2312" w:hAnsi="仿宋_GB2312" w:eastAsia="仿宋_GB2312" w:cs="仿宋_GB2312"/>
          <w:color w:val="000000"/>
          <w:kern w:val="0"/>
          <w:sz w:val="24"/>
        </w:rPr>
        <w:t>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6.如果我方获得承包资格，我方将实行项目经理负责制，我方拟委派的项目负责人为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（证书编号为：</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7.我方就参加本项目交易工作，作出以下郑重声明：</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⑴ 本公司保证报价资料及其后提供的一切材料都是真实的。</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480" w:firstLineChars="2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⑷ 本公司及其有隶属关系的机构没有参加本项目的前期工作编写工作。</w:t>
      </w:r>
    </w:p>
    <w:p>
      <w:pPr>
        <w:pStyle w:val="43"/>
        <w:spacing w:line="200" w:lineRule="atLeast"/>
        <w:ind w:left="-539" w:leftChars="-257" w:firstLine="496"/>
        <w:rPr>
          <w:rFonts w:ascii="仿宋_GB2312" w:hAnsi="仿宋_GB2312" w:eastAsia="仿宋_GB2312" w:cs="仿宋_GB2312"/>
          <w:color w:val="000000"/>
        </w:rPr>
      </w:pPr>
      <w:r>
        <w:rPr>
          <w:rFonts w:hint="eastAsia" w:ascii="仿宋_GB2312" w:hAnsi="仿宋_GB2312" w:eastAsia="仿宋_GB2312" w:cs="仿宋_GB2312"/>
          <w:color w:val="000000"/>
        </w:rPr>
        <w:t>本公司违反上述承诺，或本声明陈述与事实不符，经查实，本公司愿意接受公开通报，承担由此带来的法律后果。</w:t>
      </w:r>
    </w:p>
    <w:p>
      <w:pPr>
        <w:pStyle w:val="43"/>
        <w:ind w:firstLine="496"/>
        <w:rPr>
          <w:rFonts w:ascii="仿宋_GB2312" w:hAnsi="仿宋_GB2312" w:eastAsia="仿宋_GB2312" w:cs="仿宋_GB2312"/>
          <w:color w:val="000000"/>
          <w:u w:val="single"/>
        </w:rPr>
      </w:pPr>
      <w:r>
        <w:rPr>
          <w:rFonts w:hint="eastAsia" w:ascii="仿宋_GB2312" w:hAnsi="仿宋_GB2312" w:eastAsia="仿宋_GB2312" w:cs="仿宋_GB2312"/>
          <w:color w:val="000000"/>
        </w:rPr>
        <w:t>承包意向人：(盖公章)</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法定代表人（签名或盖</w:t>
      </w:r>
      <w:r>
        <w:rPr>
          <w:rFonts w:hint="eastAsia" w:ascii="仿宋_GB2312" w:hAnsi="仿宋_GB2312" w:eastAsia="仿宋_GB2312" w:cs="仿宋_GB2312"/>
          <w:color w:val="000000"/>
          <w:lang w:val="en-US" w:eastAsia="zh-CN"/>
        </w:rPr>
        <w:t>私</w:t>
      </w:r>
      <w:r>
        <w:rPr>
          <w:rFonts w:hint="eastAsia" w:ascii="仿宋_GB2312" w:hAnsi="仿宋_GB2312" w:eastAsia="仿宋_GB2312" w:cs="仿宋_GB2312"/>
          <w:color w:val="000000"/>
        </w:rPr>
        <w:t>章）：</w:t>
      </w:r>
      <w:r>
        <w:rPr>
          <w:rFonts w:hint="eastAsia" w:ascii="仿宋_GB2312" w:hAnsi="仿宋_GB2312" w:eastAsia="仿宋_GB2312" w:cs="仿宋_GB2312"/>
          <w:color w:val="000000"/>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spacing w:val="4"/>
          <w:kern w:val="0"/>
          <w:sz w:val="24"/>
        </w:rPr>
      </w:pPr>
      <w:r>
        <w:rPr>
          <w:rFonts w:hint="eastAsia" w:ascii="仿宋_GB2312" w:hAnsi="仿宋_GB2312" w:eastAsia="仿宋_GB2312" w:cs="仿宋_GB2312"/>
          <w:snapToGrid w:val="0"/>
          <w:color w:val="000000"/>
          <w:spacing w:val="4"/>
          <w:kern w:val="0"/>
          <w:sz w:val="24"/>
        </w:rPr>
        <w:t xml:space="preserve">日    期：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年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月 </w:t>
      </w:r>
      <w:r>
        <w:rPr>
          <w:rFonts w:hint="eastAsia" w:ascii="仿宋_GB2312" w:hAnsi="仿宋_GB2312" w:eastAsia="仿宋_GB2312" w:cs="仿宋_GB2312"/>
          <w:snapToGrid w:val="0"/>
          <w:color w:val="000000"/>
          <w:spacing w:val="4"/>
          <w:kern w:val="0"/>
          <w:sz w:val="24"/>
          <w:u w:val="single"/>
        </w:rPr>
        <w:t xml:space="preserve">   </w:t>
      </w:r>
      <w:r>
        <w:rPr>
          <w:rFonts w:hint="eastAsia" w:ascii="仿宋_GB2312" w:hAnsi="仿宋_GB2312" w:eastAsia="仿宋_GB2312" w:cs="仿宋_GB2312"/>
          <w:snapToGrid w:val="0"/>
          <w:color w:val="000000"/>
          <w:spacing w:val="4"/>
          <w:kern w:val="0"/>
          <w:sz w:val="24"/>
        </w:rPr>
        <w:t xml:space="preserve">日    </w:t>
      </w:r>
    </w:p>
    <w:p>
      <w:pPr>
        <w:pStyle w:val="43"/>
        <w:ind w:firstLine="496"/>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 拟投入本项目的项目负责人情况表</w:t>
      </w:r>
    </w:p>
    <w:tbl>
      <w:tblPr>
        <w:tblStyle w:val="2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tcPr>
          <w:p>
            <w:pPr>
              <w:jc w:val="center"/>
              <w:rPr>
                <w:rFonts w:ascii="仿宋_GB2312" w:hAnsi="仿宋_GB2312" w:eastAsia="仿宋_GB2312" w:cs="仿宋_GB2312"/>
                <w:b/>
                <w:color w:val="000000"/>
                <w:sz w:val="24"/>
              </w:rPr>
            </w:pPr>
          </w:p>
        </w:tc>
        <w:tc>
          <w:tcPr>
            <w:tcW w:w="1742"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742"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tcPr>
          <w:p>
            <w:pPr>
              <w:spacing w:line="360" w:lineRule="exact"/>
              <w:jc w:val="center"/>
              <w:rPr>
                <w:rFonts w:ascii="仿宋_GB2312" w:hAnsi="仿宋_GB2312" w:eastAsia="仿宋_GB2312" w:cs="仿宋_GB2312"/>
                <w:b/>
                <w:color w:val="000000"/>
                <w:sz w:val="24"/>
              </w:rPr>
            </w:pPr>
          </w:p>
        </w:tc>
        <w:tc>
          <w:tcPr>
            <w:tcW w:w="1929" w:type="dxa"/>
            <w:gridSpan w:val="2"/>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tcPr>
          <w:p>
            <w:pPr>
              <w:jc w:val="center"/>
              <w:rPr>
                <w:rFonts w:ascii="仿宋_GB2312" w:hAnsi="仿宋_GB2312" w:eastAsia="仿宋_GB2312" w:cs="仿宋_GB2312"/>
                <w:b/>
                <w:color w:val="000000"/>
                <w:sz w:val="24"/>
              </w:rPr>
            </w:pPr>
          </w:p>
        </w:tc>
        <w:tc>
          <w:tcPr>
            <w:tcW w:w="1929"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0" w:type="dxa"/>
            <w:gridSpan w:val="2"/>
          </w:tcPr>
          <w:p>
            <w:pPr>
              <w:jc w:val="center"/>
              <w:rPr>
                <w:rFonts w:ascii="仿宋_GB2312" w:hAnsi="仿宋_GB2312" w:eastAsia="仿宋_GB2312" w:cs="仿宋_GB2312"/>
                <w:b/>
                <w:color w:val="000000"/>
                <w:sz w:val="24"/>
              </w:rPr>
            </w:pPr>
          </w:p>
        </w:tc>
        <w:tc>
          <w:tcPr>
            <w:tcW w:w="2095" w:type="dxa"/>
            <w:gridSpan w:val="2"/>
          </w:tcPr>
          <w:p>
            <w:pPr>
              <w:jc w:val="center"/>
              <w:rPr>
                <w:rFonts w:ascii="仿宋_GB2312" w:hAnsi="仿宋_GB2312" w:eastAsia="仿宋_GB2312" w:cs="仿宋_GB2312"/>
                <w:b/>
                <w:color w:val="000000"/>
                <w:sz w:val="24"/>
              </w:rPr>
            </w:pPr>
          </w:p>
        </w:tc>
      </w:tr>
    </w:tbl>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jc w:val="center"/>
        <w:rPr>
          <w:rFonts w:ascii="仿宋_GB2312" w:hAnsi="仿宋_GB2312" w:eastAsia="仿宋_GB2312" w:cs="仿宋_GB2312"/>
          <w:b/>
          <w:color w:val="000000"/>
          <w:sz w:val="28"/>
          <w:szCs w:val="28"/>
        </w:rPr>
      </w:pPr>
    </w:p>
    <w:p>
      <w:pPr>
        <w:pStyle w:val="2"/>
        <w:rPr>
          <w:rFonts w:ascii="仿宋_GB2312" w:hAnsi="仿宋_GB2312" w:eastAsia="仿宋_GB2312" w:cs="仿宋_GB2312"/>
          <w:b/>
          <w:color w:val="000000"/>
          <w:sz w:val="28"/>
          <w:szCs w:val="28"/>
        </w:rPr>
      </w:pPr>
    </w:p>
    <w:p>
      <w:pPr>
        <w:pStyle w:val="2"/>
        <w:rPr>
          <w:rFonts w:ascii="仿宋_GB2312" w:hAnsi="仿宋_GB2312" w:eastAsia="仿宋_GB2312" w:cs="仿宋_GB2312"/>
          <w:b/>
          <w:color w:val="000000"/>
          <w:sz w:val="28"/>
          <w:szCs w:val="28"/>
        </w:rPr>
      </w:pPr>
    </w:p>
    <w:p>
      <w:pPr>
        <w:jc w:val="center"/>
        <w:rPr>
          <w:rFonts w:hAnsi="仿宋_GB2312" w:eastAsia="仿宋_GB2312" w:cs="仿宋_GB2312"/>
          <w:b/>
          <w:color w:val="auto"/>
          <w:sz w:val="28"/>
          <w:szCs w:val="28"/>
          <w:highlight w:val="none"/>
        </w:rPr>
      </w:pPr>
      <w:r>
        <w:rPr>
          <w:rFonts w:hint="eastAsia" w:hAnsi="仿宋_GB2312" w:eastAsia="仿宋_GB2312" w:cs="仿宋_GB2312"/>
          <w:b/>
          <w:color w:val="auto"/>
          <w:sz w:val="28"/>
          <w:szCs w:val="28"/>
          <w:highlight w:val="none"/>
        </w:rPr>
        <w:t>5 现场踏勘表</w:t>
      </w:r>
    </w:p>
    <w:p>
      <w:pPr>
        <w:pStyle w:val="2"/>
        <w:rPr>
          <w:rFonts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pStyle w:val="24"/>
        <w:rPr>
          <w:rFonts w:ascii="仿宋_GB2312" w:hAnsi="仿宋_GB2312" w:eastAsia="仿宋_GB2312" w:cs="仿宋_GB2312"/>
          <w:sz w:val="28"/>
          <w:szCs w:val="28"/>
        </w:rPr>
      </w:pPr>
      <w:r>
        <w:rPr>
          <w:rFonts w:hint="eastAsia" w:ascii="仿宋_GB2312" w:hAnsi="仿宋_GB2312" w:eastAsia="仿宋_GB2312" w:cs="仿宋_GB2312"/>
          <w:sz w:val="28"/>
          <w:szCs w:val="28"/>
        </w:rPr>
        <w:t>6 承诺函</w:t>
      </w:r>
    </w:p>
    <w:p>
      <w:pPr>
        <w:pStyle w:val="24"/>
        <w:jc w:val="both"/>
        <w:rPr>
          <w:rFonts w:ascii="仿宋_GB2312" w:hAnsi="仿宋_GB2312" w:eastAsia="仿宋_GB2312" w:cs="仿宋_GB2312"/>
          <w:sz w:val="28"/>
          <w:szCs w:val="28"/>
        </w:rPr>
      </w:pPr>
    </w:p>
    <w:p>
      <w:pPr>
        <w:pStyle w:val="34"/>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34"/>
        <w:ind w:firstLine="1027" w:firstLineChars="367"/>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 xml:space="preserve">中所有要求均为实质性响应条款，如有任何一条负偏离或者不满足将导致询价无效。由于我方提供资料不实或与需求书中所有条款不符而造成的责任和后果由我方承担。我方承诺，所提供报价货物/设备均为制造商全新原装产品。 </w:t>
      </w:r>
    </w:p>
    <w:p>
      <w:pPr>
        <w:pStyle w:val="34"/>
        <w:ind w:firstLine="562"/>
        <w:jc w:val="both"/>
        <w:rPr>
          <w:rFonts w:ascii="仿宋_GB2312" w:hAnsi="仿宋_GB2312" w:cs="仿宋_GB2312"/>
          <w:b w:val="0"/>
          <w:bCs/>
          <w:color w:val="auto"/>
          <w:kern w:val="2"/>
          <w:sz w:val="28"/>
          <w:szCs w:val="28"/>
        </w:rPr>
      </w:pPr>
    </w:p>
    <w:p>
      <w:pPr>
        <w:pStyle w:val="34"/>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rPr>
          <w:rFonts w:ascii="仿宋_GB2312" w:hAnsi="仿宋_GB2312" w:eastAsia="仿宋_GB2312" w:cs="仿宋_GB2312"/>
          <w:b/>
          <w:sz w:val="28"/>
          <w:szCs w:val="28"/>
        </w:rPr>
      </w:pP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p>
    <w:p>
      <w:pPr>
        <w:pStyle w:val="4"/>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pStyle w:val="2"/>
        <w:rPr>
          <w:rFonts w:ascii="仿宋_GB2312" w:hAnsi="仿宋_GB2312" w:eastAsia="仿宋_GB2312" w:cs="仿宋_GB2312"/>
          <w:sz w:val="28"/>
          <w:szCs w:val="28"/>
        </w:rPr>
      </w:pPr>
    </w:p>
    <w:p>
      <w:pPr>
        <w:spacing w:line="360" w:lineRule="auto"/>
        <w:jc w:val="center"/>
        <w:rPr>
          <w:rFonts w:ascii="宋体" w:hAnsi="宋体" w:cs="宋体"/>
          <w:b/>
          <w:color w:val="auto"/>
          <w:sz w:val="28"/>
          <w:szCs w:val="28"/>
          <w:highlight w:val="none"/>
        </w:rPr>
      </w:pPr>
      <w:r>
        <w:rPr>
          <w:rFonts w:hint="eastAsia" w:ascii="宋体" w:hAnsi="宋体" w:cs="宋体"/>
          <w:b/>
          <w:bCs w:val="0"/>
          <w:color w:val="auto"/>
          <w:sz w:val="28"/>
          <w:szCs w:val="28"/>
          <w:highlight w:val="none"/>
        </w:rPr>
        <w:t>7</w:t>
      </w:r>
      <w:r>
        <w:rPr>
          <w:rFonts w:ascii="宋体" w:hAnsi="宋体" w:cs="宋体"/>
          <w:b/>
          <w:bCs w:val="0"/>
          <w:color w:val="auto"/>
          <w:sz w:val="28"/>
          <w:szCs w:val="28"/>
          <w:highlight w:val="none"/>
        </w:rPr>
        <w:t xml:space="preserve"> </w:t>
      </w:r>
      <w:r>
        <w:rPr>
          <w:rFonts w:hint="eastAsia" w:ascii="宋体" w:hAnsi="宋体" w:cs="宋体"/>
          <w:b/>
          <w:color w:val="auto"/>
          <w:sz w:val="28"/>
          <w:szCs w:val="28"/>
          <w:highlight w:val="none"/>
        </w:rPr>
        <w:t>工程量报价</w:t>
      </w:r>
    </w:p>
    <w:p>
      <w:pPr>
        <w:jc w:val="center"/>
        <w:rPr>
          <w:rFonts w:hint="eastAsia" w:asciiTheme="minorEastAsia" w:hAnsiTheme="minorEastAsia" w:eastAsiaTheme="minorEastAsia" w:cstheme="minorEastAsia"/>
          <w:b/>
          <w:bCs/>
          <w:szCs w:val="21"/>
          <w:lang w:val="en-US" w:eastAsia="zh-CN"/>
        </w:rPr>
      </w:pPr>
      <w:r>
        <w:rPr>
          <w:rFonts w:hint="eastAsia" w:asciiTheme="minorEastAsia" w:hAnsiTheme="minorEastAsia" w:eastAsiaTheme="minorEastAsia" w:cstheme="minorEastAsia"/>
          <w:b/>
          <w:bCs/>
          <w:szCs w:val="21"/>
          <w:lang w:val="en-US" w:eastAsia="zh-CN"/>
        </w:rPr>
        <w:t>工程量报价</w:t>
      </w:r>
    </w:p>
    <w:tbl>
      <w:tblPr>
        <w:tblStyle w:val="28"/>
        <w:tblpPr w:leftFromText="180" w:rightFromText="180" w:vertAnchor="text" w:horzAnchor="page" w:tblpX="1073" w:tblpY="111"/>
        <w:tblOverlap w:val="never"/>
        <w:tblW w:w="92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6"/>
        <w:gridCol w:w="2851"/>
        <w:gridCol w:w="2543"/>
        <w:gridCol w:w="2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5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5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color w:val="auto"/>
                <w:kern w:val="0"/>
                <w:sz w:val="20"/>
                <w:szCs w:val="20"/>
                <w:highlight w:val="none"/>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5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97"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招标控制价合计=1+2+3+5</w:t>
            </w:r>
          </w:p>
        </w:tc>
        <w:tc>
          <w:tcPr>
            <w:tcW w:w="25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543"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p>
        </w:tc>
      </w:tr>
    </w:tbl>
    <w:tbl>
      <w:tblPr>
        <w:tblStyle w:val="28"/>
        <w:tblpPr w:leftFromText="180" w:rightFromText="180" w:vertAnchor="text" w:horzAnchor="page" w:tblpX="63" w:tblpY="166"/>
        <w:tblOverlap w:val="never"/>
        <w:tblW w:w="11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1425"/>
        <w:gridCol w:w="1487"/>
        <w:gridCol w:w="2834"/>
        <w:gridCol w:w="297"/>
        <w:gridCol w:w="595"/>
        <w:gridCol w:w="806"/>
        <w:gridCol w:w="418"/>
        <w:gridCol w:w="945"/>
        <w:gridCol w:w="1120"/>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1745"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602"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工程名称：江高分公司干化PLC电房增加柜式七氟丙烷气体灭火系统项目</w:t>
            </w:r>
          </w:p>
        </w:tc>
        <w:tc>
          <w:tcPr>
            <w:tcW w:w="2116"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302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2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34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6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030902009001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无管网气体灭火装置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1.类型:柜式七氟丙烷气体灭火装置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2.型号、规格:MP150/2.5GW</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3.含药剂</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1.名称:点型光电感烟火灾探测器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030904001002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点型探测器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1.名称:点型光电感温火灾探测器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030904003001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1.名称:紧急启动停止按钮</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1.名称:火灾声光报警器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030904005002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声光报警器</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1.名称:放气释放报警</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030904008001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模块(模块箱)</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1.名称:输出模块</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2.输出形式:单输出</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配管</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1.名称:电线管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2.材质:镀锌钢管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3.规格:DN20mm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4.配置形式:明配</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2.型号:ZR-BV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3.规格:1.0mm2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5.配线部位:室内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030411004002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配线</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1.名称:管内穿线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2.型号:ZR-RVS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3.规格:2*1.5mm2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5.配线部位:室内</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030411006001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接线盒</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1.名称:接线盒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2.材质:镀锌铁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3.规格:86*86*40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031202005001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防火涂料</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1.涂刷(喷)品种:防火涂料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2.涂刷(喷)遍数、漆膜厚度:漆膜 2遍</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030703007001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碳钢风口、散流器、百叶窗</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1.名称:机械泄压口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2.规格:500*500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030413003001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打洞(孔)</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1.名称:人工打洞</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2.规格:500*500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3.类型:砖墙</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4.填充(恢复)方式:水泥砂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5.混凝土标准:M10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030905001001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自动报警系统调试</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1.名称:自动报警系统调试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2.点数:16</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031302007001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031301017001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31"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663"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663"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6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11745" w:type="dxa"/>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6602"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116"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3027"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2"/>
        <w:rPr>
          <w:rFonts w:hint="default"/>
          <w:lang w:val="en-US" w:eastAsia="zh-CN"/>
        </w:rPr>
      </w:pPr>
    </w:p>
    <w:p>
      <w:pPr>
        <w:adjustRightInd w:val="0"/>
        <w:snapToGrid w:val="0"/>
        <w:spacing w:line="440" w:lineRule="exact"/>
        <w:ind w:firstLine="420" w:firstLineChars="200"/>
        <w:jc w:val="left"/>
        <w:rPr>
          <w:rFonts w:hint="eastAsia" w:ascii="宋体" w:hAnsi="宋体" w:cs="宋体"/>
          <w:szCs w:val="21"/>
        </w:rPr>
      </w:pPr>
    </w:p>
    <w:p>
      <w:pPr>
        <w:spacing w:line="520" w:lineRule="exact"/>
        <w:rPr>
          <w:rFonts w:asciiTheme="minorEastAsia" w:hAnsiTheme="minorEastAsia" w:eastAsiaTheme="minorEastAsia" w:cstheme="minorEastAsia"/>
          <w:szCs w:val="21"/>
        </w:rPr>
      </w:pPr>
    </w:p>
    <w:p>
      <w:pPr>
        <w:spacing w:line="520" w:lineRule="exact"/>
        <w:rPr>
          <w:rFonts w:asciiTheme="minorEastAsia" w:hAnsiTheme="minorEastAsia" w:eastAsiaTheme="minorEastAsia" w:cstheme="minorEastAsia"/>
          <w:szCs w:val="21"/>
        </w:rPr>
      </w:pPr>
    </w:p>
    <w:tbl>
      <w:tblPr>
        <w:tblStyle w:val="28"/>
        <w:tblW w:w="5878" w:type="pct"/>
        <w:tblInd w:w="-8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03"/>
        <w:gridCol w:w="1596"/>
        <w:gridCol w:w="1700"/>
        <w:gridCol w:w="968"/>
        <w:gridCol w:w="748"/>
        <w:gridCol w:w="736"/>
        <w:gridCol w:w="651"/>
        <w:gridCol w:w="764"/>
        <w:gridCol w:w="725"/>
        <w:gridCol w:w="1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327"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ind w:left="-1459" w:leftChars="-695" w:firstLine="1460" w:firstLineChars="73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工程名称：江高分公司干化PLC电房增加柜式七氟丙烷气体灭火系统项目</w:t>
            </w:r>
          </w:p>
        </w:tc>
        <w:tc>
          <w:tcPr>
            <w:tcW w:w="615"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05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8"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94"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73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21"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32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0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33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31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c>
          <w:tcPr>
            <w:tcW w:w="74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2724.5145</w:t>
            </w: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28"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69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73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421"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28"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9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3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0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007" w:type="pct"/>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60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33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1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4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27"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1672"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327" w:type="pct"/>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615" w:type="pct"/>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057"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spacing w:line="520" w:lineRule="exact"/>
        <w:rPr>
          <w:rFonts w:asciiTheme="minorEastAsia" w:hAnsiTheme="minorEastAsia" w:eastAsiaTheme="minorEastAsia" w:cstheme="minorEastAsia"/>
          <w:szCs w:val="21"/>
        </w:rPr>
      </w:pPr>
    </w:p>
    <w:p>
      <w:pPr>
        <w:pStyle w:val="2"/>
        <w:rPr>
          <w:rFonts w:asciiTheme="minorEastAsia" w:hAnsiTheme="minorEastAsia" w:eastAsiaTheme="minorEastAsia" w:cstheme="minorEastAsia"/>
          <w:szCs w:val="21"/>
        </w:rPr>
      </w:pPr>
    </w:p>
    <w:tbl>
      <w:tblPr>
        <w:tblStyle w:val="28"/>
        <w:tblW w:w="5848" w:type="pct"/>
        <w:tblInd w:w="-7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50"/>
        <w:gridCol w:w="2265"/>
        <w:gridCol w:w="2508"/>
        <w:gridCol w:w="174"/>
        <w:gridCol w:w="1499"/>
        <w:gridCol w:w="27"/>
        <w:gridCol w:w="947"/>
        <w:gridCol w:w="2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51"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工程名称：江高分公司干化PLC电房增加柜式七氟丙烷气体灭火系统项目</w:t>
            </w:r>
          </w:p>
        </w:tc>
        <w:tc>
          <w:tcPr>
            <w:tcW w:w="743"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405"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99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172"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424"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991"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17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4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5"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2"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2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008" w:type="pct"/>
            <w:gridSpan w:val="7"/>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991"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51"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148" w:type="pct"/>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bl>
    <w:p>
      <w:pPr>
        <w:pStyle w:val="24"/>
        <w:jc w:val="both"/>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pStyle w:val="24"/>
        <w:rPr>
          <w:rFonts w:ascii="仿宋_GB2312" w:hAnsi="仿宋_GB2312" w:eastAsia="仿宋_GB2312" w:cs="仿宋_GB2312"/>
          <w:sz w:val="28"/>
          <w:szCs w:val="28"/>
        </w:rPr>
      </w:pPr>
    </w:p>
    <w:p>
      <w:pPr>
        <w:pStyle w:val="34"/>
        <w:numPr>
          <w:ilvl w:val="255"/>
          <w:numId w:val="0"/>
        </w:numPr>
        <w:rPr>
          <w:color w:val="auto"/>
          <w:lang w:eastAsia="zh-SG"/>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Calisto MT">
    <w:panose1 w:val="02040603050505030304"/>
    <w:charset w:val="00"/>
    <w:family w:val="roman"/>
    <w:pitch w:val="default"/>
    <w:sig w:usb0="00000003" w:usb1="00000000" w:usb2="00000000" w:usb3="00000000" w:csb0="20000001" w:csb1="00000000"/>
  </w:font>
  <w:font w:name="苹方-港">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4</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separate"/>
    </w:r>
    <w:r>
      <w:rPr>
        <w:rStyle w:val="32"/>
      </w:rPr>
      <w:t>37</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27FA8"/>
    <w:multiLevelType w:val="singleLevel"/>
    <w:tmpl w:val="B2927FA8"/>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31FFD90"/>
    <w:multiLevelType w:val="singleLevel"/>
    <w:tmpl w:val="431FFD90"/>
    <w:lvl w:ilvl="0" w:tentative="0">
      <w:start w:val="10"/>
      <w:numFmt w:val="chineseCounting"/>
      <w:suff w:val="nothing"/>
      <w:lvlText w:val="%1、"/>
      <w:lvlJc w:val="left"/>
      <w:rPr>
        <w:rFonts w:hint="eastAsia"/>
      </w:rPr>
    </w:lvl>
  </w:abstractNum>
  <w:abstractNum w:abstractNumId="3">
    <w:nsid w:val="511C9E5F"/>
    <w:multiLevelType w:val="singleLevel"/>
    <w:tmpl w:val="511C9E5F"/>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67DB"/>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21B6"/>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4446"/>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35E"/>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05C3"/>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1C3F"/>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57F7B"/>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0CEC"/>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489B"/>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0469"/>
    <w:rsid w:val="00FF2DC2"/>
    <w:rsid w:val="00FF3589"/>
    <w:rsid w:val="01530391"/>
    <w:rsid w:val="016A0791"/>
    <w:rsid w:val="016B281D"/>
    <w:rsid w:val="016C1D1F"/>
    <w:rsid w:val="01787993"/>
    <w:rsid w:val="017922D3"/>
    <w:rsid w:val="01BE133A"/>
    <w:rsid w:val="01D14E0A"/>
    <w:rsid w:val="01F10C3B"/>
    <w:rsid w:val="022B1BDC"/>
    <w:rsid w:val="02377AE4"/>
    <w:rsid w:val="02466CD2"/>
    <w:rsid w:val="0270377B"/>
    <w:rsid w:val="02B53A58"/>
    <w:rsid w:val="035B268F"/>
    <w:rsid w:val="036868AE"/>
    <w:rsid w:val="039632A0"/>
    <w:rsid w:val="03E122FF"/>
    <w:rsid w:val="03E676FA"/>
    <w:rsid w:val="045F165D"/>
    <w:rsid w:val="046D644F"/>
    <w:rsid w:val="04C82BC8"/>
    <w:rsid w:val="04D41F39"/>
    <w:rsid w:val="04D7367A"/>
    <w:rsid w:val="050316EE"/>
    <w:rsid w:val="05192361"/>
    <w:rsid w:val="052E61C8"/>
    <w:rsid w:val="056B35FF"/>
    <w:rsid w:val="05A7719C"/>
    <w:rsid w:val="05C34514"/>
    <w:rsid w:val="05FD2B10"/>
    <w:rsid w:val="0611352E"/>
    <w:rsid w:val="06331920"/>
    <w:rsid w:val="06392BD6"/>
    <w:rsid w:val="065F3760"/>
    <w:rsid w:val="06AA7D5A"/>
    <w:rsid w:val="06F21464"/>
    <w:rsid w:val="06F361DA"/>
    <w:rsid w:val="07351BC0"/>
    <w:rsid w:val="074E233A"/>
    <w:rsid w:val="078867E3"/>
    <w:rsid w:val="07B92E8A"/>
    <w:rsid w:val="07CB6A21"/>
    <w:rsid w:val="07D17CB9"/>
    <w:rsid w:val="07D9605C"/>
    <w:rsid w:val="08277D2A"/>
    <w:rsid w:val="08411825"/>
    <w:rsid w:val="084A4C29"/>
    <w:rsid w:val="0883100C"/>
    <w:rsid w:val="089975EC"/>
    <w:rsid w:val="089A6177"/>
    <w:rsid w:val="094967DB"/>
    <w:rsid w:val="0AAB0C0F"/>
    <w:rsid w:val="0AB53C5C"/>
    <w:rsid w:val="0ABE2F3D"/>
    <w:rsid w:val="0AFB146D"/>
    <w:rsid w:val="0B0D4493"/>
    <w:rsid w:val="0B874E51"/>
    <w:rsid w:val="0B9A7140"/>
    <w:rsid w:val="0BB23113"/>
    <w:rsid w:val="0C040D1C"/>
    <w:rsid w:val="0C096608"/>
    <w:rsid w:val="0C194AE7"/>
    <w:rsid w:val="0C2E0580"/>
    <w:rsid w:val="0C384B50"/>
    <w:rsid w:val="0C386CDF"/>
    <w:rsid w:val="0C746AFD"/>
    <w:rsid w:val="0C8900E9"/>
    <w:rsid w:val="0D154B39"/>
    <w:rsid w:val="0D2844CA"/>
    <w:rsid w:val="0D435A86"/>
    <w:rsid w:val="0DA63A8D"/>
    <w:rsid w:val="0E4D67E7"/>
    <w:rsid w:val="0EDC703F"/>
    <w:rsid w:val="0EF0292E"/>
    <w:rsid w:val="0F1D3644"/>
    <w:rsid w:val="0F4E6CF0"/>
    <w:rsid w:val="0F6B6657"/>
    <w:rsid w:val="0F6F72B2"/>
    <w:rsid w:val="10582016"/>
    <w:rsid w:val="10D739BE"/>
    <w:rsid w:val="10E93F59"/>
    <w:rsid w:val="10FE2C1F"/>
    <w:rsid w:val="111F2AF8"/>
    <w:rsid w:val="11CE3F3E"/>
    <w:rsid w:val="11D1262C"/>
    <w:rsid w:val="124F2E58"/>
    <w:rsid w:val="12D26571"/>
    <w:rsid w:val="13E46860"/>
    <w:rsid w:val="141A35BB"/>
    <w:rsid w:val="14C35340"/>
    <w:rsid w:val="14DB63FC"/>
    <w:rsid w:val="15181C61"/>
    <w:rsid w:val="155D2AEF"/>
    <w:rsid w:val="15686272"/>
    <w:rsid w:val="158113EE"/>
    <w:rsid w:val="15AB7681"/>
    <w:rsid w:val="15E973B6"/>
    <w:rsid w:val="15F0229C"/>
    <w:rsid w:val="16362668"/>
    <w:rsid w:val="16441AC5"/>
    <w:rsid w:val="165B20E7"/>
    <w:rsid w:val="168925A2"/>
    <w:rsid w:val="16936F26"/>
    <w:rsid w:val="16AE2B9E"/>
    <w:rsid w:val="16B84680"/>
    <w:rsid w:val="16BF58F5"/>
    <w:rsid w:val="17011392"/>
    <w:rsid w:val="170B76FB"/>
    <w:rsid w:val="1725658B"/>
    <w:rsid w:val="17A96988"/>
    <w:rsid w:val="17DA747A"/>
    <w:rsid w:val="17F53028"/>
    <w:rsid w:val="18172D39"/>
    <w:rsid w:val="18244A12"/>
    <w:rsid w:val="187F1ABE"/>
    <w:rsid w:val="18D9085D"/>
    <w:rsid w:val="19037516"/>
    <w:rsid w:val="193E73A4"/>
    <w:rsid w:val="19685BE0"/>
    <w:rsid w:val="198874CC"/>
    <w:rsid w:val="19BB53A5"/>
    <w:rsid w:val="19EE3E86"/>
    <w:rsid w:val="1A00300F"/>
    <w:rsid w:val="1A5A27AD"/>
    <w:rsid w:val="1A690C1C"/>
    <w:rsid w:val="1B0F26D0"/>
    <w:rsid w:val="1B673A82"/>
    <w:rsid w:val="1BBD4F3F"/>
    <w:rsid w:val="1BD900B6"/>
    <w:rsid w:val="1C99656B"/>
    <w:rsid w:val="1CA26936"/>
    <w:rsid w:val="1CDF1844"/>
    <w:rsid w:val="1CE02371"/>
    <w:rsid w:val="1D295D9F"/>
    <w:rsid w:val="1D2C5876"/>
    <w:rsid w:val="1D383436"/>
    <w:rsid w:val="1DEA52F2"/>
    <w:rsid w:val="1E744717"/>
    <w:rsid w:val="1EAB2CCD"/>
    <w:rsid w:val="1ED51DA6"/>
    <w:rsid w:val="1EE764E6"/>
    <w:rsid w:val="1F2B21F1"/>
    <w:rsid w:val="1FBA648C"/>
    <w:rsid w:val="1FD07C46"/>
    <w:rsid w:val="1FD25312"/>
    <w:rsid w:val="1FFA12DD"/>
    <w:rsid w:val="203C18B6"/>
    <w:rsid w:val="20F5544D"/>
    <w:rsid w:val="214C531C"/>
    <w:rsid w:val="21652F14"/>
    <w:rsid w:val="216F3072"/>
    <w:rsid w:val="21D34434"/>
    <w:rsid w:val="2206387A"/>
    <w:rsid w:val="22A6713D"/>
    <w:rsid w:val="22D37791"/>
    <w:rsid w:val="22E46F2F"/>
    <w:rsid w:val="23396436"/>
    <w:rsid w:val="23571876"/>
    <w:rsid w:val="236C373B"/>
    <w:rsid w:val="23A816ED"/>
    <w:rsid w:val="23DE5CCA"/>
    <w:rsid w:val="23F72B70"/>
    <w:rsid w:val="24264B11"/>
    <w:rsid w:val="242D209B"/>
    <w:rsid w:val="249029D1"/>
    <w:rsid w:val="25312A51"/>
    <w:rsid w:val="25564CC3"/>
    <w:rsid w:val="25C37987"/>
    <w:rsid w:val="26384A4C"/>
    <w:rsid w:val="26BF0015"/>
    <w:rsid w:val="27773FC1"/>
    <w:rsid w:val="27985978"/>
    <w:rsid w:val="279A18C7"/>
    <w:rsid w:val="27A9570D"/>
    <w:rsid w:val="27FE053A"/>
    <w:rsid w:val="27FF1E44"/>
    <w:rsid w:val="28137759"/>
    <w:rsid w:val="285F49DA"/>
    <w:rsid w:val="28CB67EF"/>
    <w:rsid w:val="290B1D60"/>
    <w:rsid w:val="29697C95"/>
    <w:rsid w:val="2A011247"/>
    <w:rsid w:val="2A6C6E62"/>
    <w:rsid w:val="2A7647A2"/>
    <w:rsid w:val="2ABB0087"/>
    <w:rsid w:val="2ABD3DEA"/>
    <w:rsid w:val="2AD8378A"/>
    <w:rsid w:val="2B1827EA"/>
    <w:rsid w:val="2B392BD9"/>
    <w:rsid w:val="2B4474F0"/>
    <w:rsid w:val="2B6925D3"/>
    <w:rsid w:val="2B94418C"/>
    <w:rsid w:val="2BA8111D"/>
    <w:rsid w:val="2BEF0366"/>
    <w:rsid w:val="2C155F99"/>
    <w:rsid w:val="2C646A3F"/>
    <w:rsid w:val="2CEC34A4"/>
    <w:rsid w:val="2D4D195C"/>
    <w:rsid w:val="2D922100"/>
    <w:rsid w:val="2EA224B9"/>
    <w:rsid w:val="2EC96A1D"/>
    <w:rsid w:val="2EF463A3"/>
    <w:rsid w:val="2EF5618F"/>
    <w:rsid w:val="2EF71F9B"/>
    <w:rsid w:val="2F2A64E1"/>
    <w:rsid w:val="2F51371A"/>
    <w:rsid w:val="2F7979DF"/>
    <w:rsid w:val="303960C2"/>
    <w:rsid w:val="30A23C7B"/>
    <w:rsid w:val="30DA3F19"/>
    <w:rsid w:val="30F77A47"/>
    <w:rsid w:val="310F3A9F"/>
    <w:rsid w:val="314B3F60"/>
    <w:rsid w:val="315A058C"/>
    <w:rsid w:val="31724B48"/>
    <w:rsid w:val="31A66130"/>
    <w:rsid w:val="31B0147C"/>
    <w:rsid w:val="31BF461E"/>
    <w:rsid w:val="31F62C45"/>
    <w:rsid w:val="320C2BF7"/>
    <w:rsid w:val="32AE2016"/>
    <w:rsid w:val="32CF1792"/>
    <w:rsid w:val="32E11939"/>
    <w:rsid w:val="32E528BA"/>
    <w:rsid w:val="332770A8"/>
    <w:rsid w:val="33517FD2"/>
    <w:rsid w:val="33902148"/>
    <w:rsid w:val="339B4D1D"/>
    <w:rsid w:val="346D1431"/>
    <w:rsid w:val="3482006A"/>
    <w:rsid w:val="34CA5FEB"/>
    <w:rsid w:val="351870D9"/>
    <w:rsid w:val="35312AE1"/>
    <w:rsid w:val="3572320C"/>
    <w:rsid w:val="359358E8"/>
    <w:rsid w:val="359C3DC6"/>
    <w:rsid w:val="35F60440"/>
    <w:rsid w:val="36512587"/>
    <w:rsid w:val="36611433"/>
    <w:rsid w:val="36615619"/>
    <w:rsid w:val="366D7598"/>
    <w:rsid w:val="36A7446C"/>
    <w:rsid w:val="36E41B01"/>
    <w:rsid w:val="370234E8"/>
    <w:rsid w:val="374F0C21"/>
    <w:rsid w:val="3761178E"/>
    <w:rsid w:val="37B53C74"/>
    <w:rsid w:val="37BD589A"/>
    <w:rsid w:val="37E2036C"/>
    <w:rsid w:val="37FD60EC"/>
    <w:rsid w:val="3867727E"/>
    <w:rsid w:val="38C153AA"/>
    <w:rsid w:val="39000068"/>
    <w:rsid w:val="39333352"/>
    <w:rsid w:val="394D2BB6"/>
    <w:rsid w:val="3958150C"/>
    <w:rsid w:val="39C94AD6"/>
    <w:rsid w:val="3A37568C"/>
    <w:rsid w:val="3A515CCE"/>
    <w:rsid w:val="3A956BF7"/>
    <w:rsid w:val="3AAB0279"/>
    <w:rsid w:val="3AC12620"/>
    <w:rsid w:val="3AE10910"/>
    <w:rsid w:val="3B0B739D"/>
    <w:rsid w:val="3B2A576B"/>
    <w:rsid w:val="3B643CED"/>
    <w:rsid w:val="3B9C756B"/>
    <w:rsid w:val="3BE72EB7"/>
    <w:rsid w:val="3C683A9F"/>
    <w:rsid w:val="3CA63FCF"/>
    <w:rsid w:val="3CB20BA7"/>
    <w:rsid w:val="3CB42E76"/>
    <w:rsid w:val="3CF525DB"/>
    <w:rsid w:val="3D8A2798"/>
    <w:rsid w:val="3DB54DD9"/>
    <w:rsid w:val="3DE01EB2"/>
    <w:rsid w:val="3DF628D0"/>
    <w:rsid w:val="3DFA5A07"/>
    <w:rsid w:val="3E0F2412"/>
    <w:rsid w:val="3E5C1FE6"/>
    <w:rsid w:val="3E8B0789"/>
    <w:rsid w:val="3E90141B"/>
    <w:rsid w:val="3EDE4585"/>
    <w:rsid w:val="3F0E559C"/>
    <w:rsid w:val="3F451B56"/>
    <w:rsid w:val="3F5013F4"/>
    <w:rsid w:val="3F5130CC"/>
    <w:rsid w:val="3F6725D2"/>
    <w:rsid w:val="3FA7090B"/>
    <w:rsid w:val="3FC573C2"/>
    <w:rsid w:val="3FDE5E30"/>
    <w:rsid w:val="400C274D"/>
    <w:rsid w:val="409657CA"/>
    <w:rsid w:val="409C2A4E"/>
    <w:rsid w:val="40EE6BE5"/>
    <w:rsid w:val="412907F7"/>
    <w:rsid w:val="41C844A1"/>
    <w:rsid w:val="41EA3C48"/>
    <w:rsid w:val="4211708D"/>
    <w:rsid w:val="43632516"/>
    <w:rsid w:val="436E4B64"/>
    <w:rsid w:val="43A31EE5"/>
    <w:rsid w:val="43A54E67"/>
    <w:rsid w:val="43FD5D81"/>
    <w:rsid w:val="43FF401D"/>
    <w:rsid w:val="44941620"/>
    <w:rsid w:val="44956EDF"/>
    <w:rsid w:val="44E12089"/>
    <w:rsid w:val="44FA1F55"/>
    <w:rsid w:val="452F29F1"/>
    <w:rsid w:val="46116C7C"/>
    <w:rsid w:val="46344980"/>
    <w:rsid w:val="4634511C"/>
    <w:rsid w:val="46357021"/>
    <w:rsid w:val="463A33BF"/>
    <w:rsid w:val="46415EDC"/>
    <w:rsid w:val="465F5FAB"/>
    <w:rsid w:val="468F2192"/>
    <w:rsid w:val="46E566DC"/>
    <w:rsid w:val="46E8386D"/>
    <w:rsid w:val="470E6D2F"/>
    <w:rsid w:val="471449F7"/>
    <w:rsid w:val="472573FC"/>
    <w:rsid w:val="474552FC"/>
    <w:rsid w:val="47C55CCA"/>
    <w:rsid w:val="47EC0979"/>
    <w:rsid w:val="480C1B69"/>
    <w:rsid w:val="48164C67"/>
    <w:rsid w:val="48456235"/>
    <w:rsid w:val="49C9493B"/>
    <w:rsid w:val="49EC3798"/>
    <w:rsid w:val="4A233B87"/>
    <w:rsid w:val="4A534D14"/>
    <w:rsid w:val="4A66574B"/>
    <w:rsid w:val="4A7D4EAD"/>
    <w:rsid w:val="4AB81165"/>
    <w:rsid w:val="4B780F47"/>
    <w:rsid w:val="4BB711DB"/>
    <w:rsid w:val="4C082FC4"/>
    <w:rsid w:val="4C486859"/>
    <w:rsid w:val="4C4A587B"/>
    <w:rsid w:val="4C81736F"/>
    <w:rsid w:val="4D427370"/>
    <w:rsid w:val="4D7029BC"/>
    <w:rsid w:val="4DF818DB"/>
    <w:rsid w:val="4E1B1439"/>
    <w:rsid w:val="4E813CB3"/>
    <w:rsid w:val="4EAB1019"/>
    <w:rsid w:val="4F7B42E8"/>
    <w:rsid w:val="4F9710BE"/>
    <w:rsid w:val="4F9B1A07"/>
    <w:rsid w:val="4FFC44C4"/>
    <w:rsid w:val="503903EC"/>
    <w:rsid w:val="506771C5"/>
    <w:rsid w:val="50D90018"/>
    <w:rsid w:val="513F27A6"/>
    <w:rsid w:val="5144471C"/>
    <w:rsid w:val="51486421"/>
    <w:rsid w:val="515E0CC2"/>
    <w:rsid w:val="518F43FA"/>
    <w:rsid w:val="51AC1B9E"/>
    <w:rsid w:val="520A5216"/>
    <w:rsid w:val="521164FF"/>
    <w:rsid w:val="522C2600"/>
    <w:rsid w:val="52660F7A"/>
    <w:rsid w:val="529A65BD"/>
    <w:rsid w:val="52DB4573"/>
    <w:rsid w:val="532055E7"/>
    <w:rsid w:val="532062C3"/>
    <w:rsid w:val="533C386C"/>
    <w:rsid w:val="53987AC8"/>
    <w:rsid w:val="53B0590D"/>
    <w:rsid w:val="53CB5F63"/>
    <w:rsid w:val="53D1281E"/>
    <w:rsid w:val="53E716DD"/>
    <w:rsid w:val="53F5089F"/>
    <w:rsid w:val="540406A0"/>
    <w:rsid w:val="542A7981"/>
    <w:rsid w:val="543D4612"/>
    <w:rsid w:val="547140A0"/>
    <w:rsid w:val="54CF3AD1"/>
    <w:rsid w:val="54D04CDA"/>
    <w:rsid w:val="54E67BAC"/>
    <w:rsid w:val="5599056B"/>
    <w:rsid w:val="55D531A1"/>
    <w:rsid w:val="56287305"/>
    <w:rsid w:val="56344925"/>
    <w:rsid w:val="567D0B03"/>
    <w:rsid w:val="56836051"/>
    <w:rsid w:val="569021B1"/>
    <w:rsid w:val="56A02C95"/>
    <w:rsid w:val="56A57698"/>
    <w:rsid w:val="56A76218"/>
    <w:rsid w:val="56E167E1"/>
    <w:rsid w:val="57814FA2"/>
    <w:rsid w:val="57892C7F"/>
    <w:rsid w:val="578B5CEF"/>
    <w:rsid w:val="578E399A"/>
    <w:rsid w:val="579D7CC0"/>
    <w:rsid w:val="579E0900"/>
    <w:rsid w:val="57B852D2"/>
    <w:rsid w:val="580B1356"/>
    <w:rsid w:val="58506561"/>
    <w:rsid w:val="58A01EF7"/>
    <w:rsid w:val="58FC58AC"/>
    <w:rsid w:val="59381715"/>
    <w:rsid w:val="595326AE"/>
    <w:rsid w:val="595B5672"/>
    <w:rsid w:val="597920CE"/>
    <w:rsid w:val="5A067F0D"/>
    <w:rsid w:val="5A94304A"/>
    <w:rsid w:val="5A9C6CED"/>
    <w:rsid w:val="5ACD2F89"/>
    <w:rsid w:val="5AD808E2"/>
    <w:rsid w:val="5AE73060"/>
    <w:rsid w:val="5AF92F8F"/>
    <w:rsid w:val="5B417DD1"/>
    <w:rsid w:val="5B6D4B51"/>
    <w:rsid w:val="5B801A2F"/>
    <w:rsid w:val="5BF5211D"/>
    <w:rsid w:val="5C38288B"/>
    <w:rsid w:val="5C4B6554"/>
    <w:rsid w:val="5C5E1E06"/>
    <w:rsid w:val="5CA85943"/>
    <w:rsid w:val="5D240BC6"/>
    <w:rsid w:val="5D5A2CC2"/>
    <w:rsid w:val="5DBA5568"/>
    <w:rsid w:val="5DCE1D4E"/>
    <w:rsid w:val="5DE6435D"/>
    <w:rsid w:val="5DF03E91"/>
    <w:rsid w:val="5DF93B53"/>
    <w:rsid w:val="5E2933C3"/>
    <w:rsid w:val="5E626183"/>
    <w:rsid w:val="5E6C6A87"/>
    <w:rsid w:val="5E7A5890"/>
    <w:rsid w:val="5ED41E18"/>
    <w:rsid w:val="5EE419B3"/>
    <w:rsid w:val="5F72098E"/>
    <w:rsid w:val="5F734023"/>
    <w:rsid w:val="5FF13383"/>
    <w:rsid w:val="5FFD2CE2"/>
    <w:rsid w:val="60057C1C"/>
    <w:rsid w:val="6018742E"/>
    <w:rsid w:val="607053F0"/>
    <w:rsid w:val="60FB46D7"/>
    <w:rsid w:val="61645D15"/>
    <w:rsid w:val="62292632"/>
    <w:rsid w:val="625E02AD"/>
    <w:rsid w:val="62727EBA"/>
    <w:rsid w:val="62955D61"/>
    <w:rsid w:val="62D81687"/>
    <w:rsid w:val="6305658B"/>
    <w:rsid w:val="63691FFE"/>
    <w:rsid w:val="636D6B7E"/>
    <w:rsid w:val="63914A7B"/>
    <w:rsid w:val="63A03689"/>
    <w:rsid w:val="63B01D70"/>
    <w:rsid w:val="63D83F1F"/>
    <w:rsid w:val="63EA056D"/>
    <w:rsid w:val="63FD43C0"/>
    <w:rsid w:val="64026AED"/>
    <w:rsid w:val="64300170"/>
    <w:rsid w:val="64824ED9"/>
    <w:rsid w:val="64A95C60"/>
    <w:rsid w:val="64BC4C22"/>
    <w:rsid w:val="64D834A9"/>
    <w:rsid w:val="64EB711B"/>
    <w:rsid w:val="64FF5233"/>
    <w:rsid w:val="65037B33"/>
    <w:rsid w:val="653603A9"/>
    <w:rsid w:val="65436320"/>
    <w:rsid w:val="65592770"/>
    <w:rsid w:val="655C4431"/>
    <w:rsid w:val="65954E34"/>
    <w:rsid w:val="65AC1D23"/>
    <w:rsid w:val="65BD452F"/>
    <w:rsid w:val="65CB1E65"/>
    <w:rsid w:val="65EF365D"/>
    <w:rsid w:val="66171CE8"/>
    <w:rsid w:val="66381321"/>
    <w:rsid w:val="664E14A8"/>
    <w:rsid w:val="66676B28"/>
    <w:rsid w:val="671B708A"/>
    <w:rsid w:val="67500120"/>
    <w:rsid w:val="67E14878"/>
    <w:rsid w:val="680315E9"/>
    <w:rsid w:val="68432BB0"/>
    <w:rsid w:val="686A6404"/>
    <w:rsid w:val="68A00851"/>
    <w:rsid w:val="68A647C0"/>
    <w:rsid w:val="68EF0851"/>
    <w:rsid w:val="692A41B3"/>
    <w:rsid w:val="6949692F"/>
    <w:rsid w:val="69627391"/>
    <w:rsid w:val="69C1333A"/>
    <w:rsid w:val="6A6C6E11"/>
    <w:rsid w:val="6AD7234F"/>
    <w:rsid w:val="6AED484C"/>
    <w:rsid w:val="6B72112F"/>
    <w:rsid w:val="6B764870"/>
    <w:rsid w:val="6B8118ED"/>
    <w:rsid w:val="6B9F1DED"/>
    <w:rsid w:val="6BDB4769"/>
    <w:rsid w:val="6BE50F57"/>
    <w:rsid w:val="6BF71767"/>
    <w:rsid w:val="6C00004A"/>
    <w:rsid w:val="6C55486C"/>
    <w:rsid w:val="6CEA2065"/>
    <w:rsid w:val="6E4D664F"/>
    <w:rsid w:val="6E571992"/>
    <w:rsid w:val="6E953A27"/>
    <w:rsid w:val="6EAD4FE0"/>
    <w:rsid w:val="6EDF6EC1"/>
    <w:rsid w:val="6F3E3D06"/>
    <w:rsid w:val="6F6442A1"/>
    <w:rsid w:val="6FA341CE"/>
    <w:rsid w:val="6FBB1C1E"/>
    <w:rsid w:val="7050314E"/>
    <w:rsid w:val="706B6C80"/>
    <w:rsid w:val="7085237B"/>
    <w:rsid w:val="70A23FC8"/>
    <w:rsid w:val="70B65AD8"/>
    <w:rsid w:val="70BC2E6E"/>
    <w:rsid w:val="70D271DB"/>
    <w:rsid w:val="71147438"/>
    <w:rsid w:val="712119A1"/>
    <w:rsid w:val="71C25240"/>
    <w:rsid w:val="71F8584B"/>
    <w:rsid w:val="72192F3F"/>
    <w:rsid w:val="727E268C"/>
    <w:rsid w:val="72AD436F"/>
    <w:rsid w:val="72FC071E"/>
    <w:rsid w:val="733423DB"/>
    <w:rsid w:val="73430AE6"/>
    <w:rsid w:val="73A2185C"/>
    <w:rsid w:val="73D349A2"/>
    <w:rsid w:val="73EE1520"/>
    <w:rsid w:val="74035F57"/>
    <w:rsid w:val="74B43990"/>
    <w:rsid w:val="7571408D"/>
    <w:rsid w:val="758241CA"/>
    <w:rsid w:val="75A372AA"/>
    <w:rsid w:val="75D4302F"/>
    <w:rsid w:val="75DF3A0D"/>
    <w:rsid w:val="75F50DF5"/>
    <w:rsid w:val="760B02B2"/>
    <w:rsid w:val="761F5082"/>
    <w:rsid w:val="763E4F51"/>
    <w:rsid w:val="767513BB"/>
    <w:rsid w:val="76971C7A"/>
    <w:rsid w:val="76EF3228"/>
    <w:rsid w:val="773879DF"/>
    <w:rsid w:val="77CC2927"/>
    <w:rsid w:val="77EB3AC8"/>
    <w:rsid w:val="78012776"/>
    <w:rsid w:val="785E0ACB"/>
    <w:rsid w:val="78A021DD"/>
    <w:rsid w:val="78B237CB"/>
    <w:rsid w:val="78B647E8"/>
    <w:rsid w:val="78BF76F8"/>
    <w:rsid w:val="790F4F95"/>
    <w:rsid w:val="79227145"/>
    <w:rsid w:val="79310F2A"/>
    <w:rsid w:val="799469FD"/>
    <w:rsid w:val="79C20CC5"/>
    <w:rsid w:val="7A52160B"/>
    <w:rsid w:val="7A5C2DA1"/>
    <w:rsid w:val="7A672B47"/>
    <w:rsid w:val="7A7E6395"/>
    <w:rsid w:val="7AEA2AFF"/>
    <w:rsid w:val="7B4F194F"/>
    <w:rsid w:val="7B624203"/>
    <w:rsid w:val="7B755013"/>
    <w:rsid w:val="7B984C18"/>
    <w:rsid w:val="7BCA0E24"/>
    <w:rsid w:val="7BDC08F7"/>
    <w:rsid w:val="7C072769"/>
    <w:rsid w:val="7C1B0AAC"/>
    <w:rsid w:val="7C233FC2"/>
    <w:rsid w:val="7C3347EB"/>
    <w:rsid w:val="7C7E5277"/>
    <w:rsid w:val="7CC056C1"/>
    <w:rsid w:val="7CC3305A"/>
    <w:rsid w:val="7D203751"/>
    <w:rsid w:val="7D3711DF"/>
    <w:rsid w:val="7D580C08"/>
    <w:rsid w:val="7DF574E2"/>
    <w:rsid w:val="7E287508"/>
    <w:rsid w:val="7E2E7058"/>
    <w:rsid w:val="7E557C00"/>
    <w:rsid w:val="7EE55FE7"/>
    <w:rsid w:val="7EF526E2"/>
    <w:rsid w:val="7F255047"/>
    <w:rsid w:val="7FBC6D24"/>
    <w:rsid w:val="7FBE4B5B"/>
    <w:rsid w:val="7FD17628"/>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24"/>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toc 7"/>
    <w:basedOn w:val="1"/>
    <w:next w:val="1"/>
    <w:qFormat/>
    <w:uiPriority w:val="0"/>
    <w:pPr>
      <w:ind w:left="2520" w:leftChars="1200"/>
    </w:p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8"/>
    <w:qFormat/>
    <w:uiPriority w:val="0"/>
    <w:rPr>
      <w:rFonts w:ascii="宋体"/>
      <w:sz w:val="18"/>
      <w:szCs w:val="18"/>
    </w:rPr>
  </w:style>
  <w:style w:type="paragraph" w:styleId="11">
    <w:name w:val="annotation text"/>
    <w:basedOn w:val="1"/>
    <w:link w:val="39"/>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link w:val="59"/>
    <w:semiHidden/>
    <w:unhideWhenUsed/>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57"/>
    <w:qFormat/>
    <w:uiPriority w:val="0"/>
    <w:rPr>
      <w:rFonts w:ascii="宋体" w:hAnsi="Courier New" w:cs="Courier New"/>
      <w:szCs w:val="21"/>
    </w:rPr>
  </w:style>
  <w:style w:type="paragraph" w:styleId="16">
    <w:name w:val="Body Text Indent 2"/>
    <w:basedOn w:val="1"/>
    <w:qFormat/>
    <w:uiPriority w:val="0"/>
    <w:pPr>
      <w:adjustRightInd w:val="0"/>
      <w:spacing w:after="120" w:line="480" w:lineRule="auto"/>
      <w:ind w:left="420"/>
      <w:textAlignment w:val="baseline"/>
    </w:pPr>
    <w:rPr>
      <w:kern w:val="0"/>
      <w:szCs w:val="20"/>
    </w:rPr>
  </w:style>
  <w:style w:type="paragraph" w:styleId="17">
    <w:name w:val="Balloon Text"/>
    <w:basedOn w:val="1"/>
    <w:link w:val="35"/>
    <w:qFormat/>
    <w:uiPriority w:val="0"/>
    <w:rPr>
      <w:sz w:val="18"/>
      <w:szCs w:val="18"/>
    </w:rPr>
  </w:style>
  <w:style w:type="paragraph" w:styleId="18">
    <w:name w:val="footer"/>
    <w:basedOn w:val="1"/>
    <w:link w:val="64"/>
    <w:qFormat/>
    <w:uiPriority w:val="99"/>
    <w:pPr>
      <w:tabs>
        <w:tab w:val="center" w:pos="4153"/>
        <w:tab w:val="right" w:pos="8306"/>
      </w:tabs>
      <w:snapToGrid w:val="0"/>
      <w:jc w:val="left"/>
    </w:pPr>
    <w:rPr>
      <w:sz w:val="18"/>
    </w:rPr>
  </w:style>
  <w:style w:type="paragraph" w:styleId="19">
    <w:name w:val="header"/>
    <w:basedOn w:val="1"/>
    <w:link w:val="5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Body Text Indent 3"/>
    <w:basedOn w:val="1"/>
    <w:qFormat/>
    <w:uiPriority w:val="0"/>
    <w:pPr>
      <w:adjustRightInd w:val="0"/>
      <w:spacing w:after="120" w:line="312" w:lineRule="atLeast"/>
      <w:ind w:left="420"/>
      <w:textAlignment w:val="baseline"/>
    </w:pPr>
    <w:rPr>
      <w:kern w:val="0"/>
      <w:sz w:val="16"/>
      <w:szCs w:val="16"/>
    </w:rPr>
  </w:style>
  <w:style w:type="paragraph" w:styleId="2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3">
    <w:name w:val="index 1"/>
    <w:basedOn w:val="1"/>
    <w:next w:val="1"/>
    <w:qFormat/>
    <w:uiPriority w:val="0"/>
    <w:pPr>
      <w:tabs>
        <w:tab w:val="left" w:pos="7740"/>
      </w:tabs>
      <w:jc w:val="center"/>
    </w:pPr>
    <w:rPr>
      <w:rFonts w:ascii="仿宋" w:hAnsi="仿宋" w:eastAsia="仿宋"/>
      <w:b/>
      <w:sz w:val="28"/>
      <w:szCs w:val="28"/>
    </w:rPr>
  </w:style>
  <w:style w:type="paragraph" w:styleId="24">
    <w:name w:val="Title"/>
    <w:basedOn w:val="1"/>
    <w:next w:val="1"/>
    <w:link w:val="37"/>
    <w:qFormat/>
    <w:uiPriority w:val="0"/>
    <w:pPr>
      <w:spacing w:before="240" w:after="60"/>
      <w:jc w:val="center"/>
      <w:outlineLvl w:val="0"/>
    </w:pPr>
    <w:rPr>
      <w:rFonts w:ascii="Cambria" w:hAnsi="Cambria"/>
      <w:b/>
      <w:bCs/>
      <w:sz w:val="32"/>
      <w:szCs w:val="32"/>
    </w:rPr>
  </w:style>
  <w:style w:type="paragraph" w:styleId="25">
    <w:name w:val="annotation subject"/>
    <w:basedOn w:val="11"/>
    <w:next w:val="11"/>
    <w:link w:val="40"/>
    <w:qFormat/>
    <w:uiPriority w:val="0"/>
    <w:rPr>
      <w:b/>
      <w:bCs/>
    </w:rPr>
  </w:style>
  <w:style w:type="paragraph" w:styleId="26">
    <w:name w:val="Body Text First Indent"/>
    <w:basedOn w:val="13"/>
    <w:link w:val="60"/>
    <w:qFormat/>
    <w:uiPriority w:val="0"/>
    <w:pPr>
      <w:ind w:firstLine="420" w:firstLineChars="100"/>
    </w:pPr>
  </w:style>
  <w:style w:type="paragraph" w:styleId="27">
    <w:name w:val="Body Text First Indent 2"/>
    <w:basedOn w:val="14"/>
    <w:qFormat/>
    <w:uiPriority w:val="0"/>
    <w:pPr>
      <w:spacing w:line="360" w:lineRule="auto"/>
      <w:ind w:firstLine="471" w:firstLineChars="200"/>
    </w:pPr>
    <w:rPr>
      <w:rFonts w:hint="eastAsia"/>
    </w:rPr>
  </w:style>
  <w:style w:type="table" w:styleId="29">
    <w:name w:val="Table Grid"/>
    <w:basedOn w:val="28"/>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eastAsia="宋体"/>
      <w:b/>
      <w:bCs/>
      <w:kern w:val="2"/>
      <w:sz w:val="24"/>
      <w:szCs w:val="24"/>
      <w:lang w:val="en-US" w:eastAsia="zh-CN" w:bidi="ar-SA"/>
    </w:rPr>
  </w:style>
  <w:style w:type="character" w:styleId="32">
    <w:name w:val="page number"/>
    <w:basedOn w:val="30"/>
    <w:qFormat/>
    <w:uiPriority w:val="0"/>
  </w:style>
  <w:style w:type="character" w:styleId="33">
    <w:name w:val="annotation reference"/>
    <w:basedOn w:val="30"/>
    <w:qFormat/>
    <w:uiPriority w:val="0"/>
    <w:rPr>
      <w:rFonts w:eastAsia="宋体"/>
      <w:kern w:val="2"/>
      <w:sz w:val="21"/>
      <w:szCs w:val="21"/>
      <w:lang w:val="en-US" w:eastAsia="zh-CN" w:bidi="ar-SA"/>
    </w:rPr>
  </w:style>
  <w:style w:type="paragraph" w:customStyle="1" w:styleId="3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5">
    <w:name w:val="批注框文本 Char"/>
    <w:link w:val="17"/>
    <w:qFormat/>
    <w:uiPriority w:val="0"/>
    <w:rPr>
      <w:kern w:val="2"/>
      <w:sz w:val="18"/>
      <w:szCs w:val="18"/>
    </w:rPr>
  </w:style>
  <w:style w:type="character" w:customStyle="1" w:styleId="36">
    <w:name w:val="标题 1 Char"/>
    <w:link w:val="3"/>
    <w:qFormat/>
    <w:uiPriority w:val="9"/>
    <w:rPr>
      <w:rFonts w:ascii="Calibri" w:hAnsi="Calibri" w:eastAsia="宋体" w:cs="Times New Roman"/>
      <w:b/>
      <w:bCs/>
      <w:kern w:val="44"/>
      <w:sz w:val="44"/>
      <w:szCs w:val="44"/>
    </w:rPr>
  </w:style>
  <w:style w:type="character" w:customStyle="1" w:styleId="37">
    <w:name w:val="标题 Char"/>
    <w:link w:val="24"/>
    <w:qFormat/>
    <w:uiPriority w:val="0"/>
    <w:rPr>
      <w:rFonts w:ascii="Cambria" w:hAnsi="Cambria" w:cs="Times New Roman"/>
      <w:b/>
      <w:bCs/>
      <w:kern w:val="2"/>
      <w:sz w:val="32"/>
      <w:szCs w:val="32"/>
    </w:rPr>
  </w:style>
  <w:style w:type="character" w:customStyle="1" w:styleId="38">
    <w:name w:val="文档结构图 Char"/>
    <w:link w:val="10"/>
    <w:qFormat/>
    <w:uiPriority w:val="0"/>
    <w:rPr>
      <w:rFonts w:ascii="宋体"/>
      <w:kern w:val="2"/>
      <w:sz w:val="18"/>
      <w:szCs w:val="18"/>
    </w:rPr>
  </w:style>
  <w:style w:type="character" w:customStyle="1" w:styleId="39">
    <w:name w:val="批注文字 Char"/>
    <w:link w:val="11"/>
    <w:qFormat/>
    <w:uiPriority w:val="0"/>
    <w:rPr>
      <w:kern w:val="2"/>
      <w:sz w:val="21"/>
      <w:szCs w:val="24"/>
    </w:rPr>
  </w:style>
  <w:style w:type="character" w:customStyle="1" w:styleId="40">
    <w:name w:val="批注主题 Char"/>
    <w:link w:val="25"/>
    <w:qFormat/>
    <w:uiPriority w:val="0"/>
    <w:rPr>
      <w:b/>
      <w:bCs/>
      <w:kern w:val="2"/>
      <w:sz w:val="21"/>
      <w:szCs w:val="24"/>
    </w:rPr>
  </w:style>
  <w:style w:type="paragraph" w:customStyle="1" w:styleId="41">
    <w:name w:val="_Style 2"/>
    <w:basedOn w:val="1"/>
    <w:qFormat/>
    <w:uiPriority w:val="34"/>
    <w:pPr>
      <w:ind w:firstLine="420" w:firstLineChars="200"/>
    </w:pPr>
    <w:rPr>
      <w:rFonts w:ascii="Calibri" w:hAnsi="Calibri"/>
      <w:szCs w:val="22"/>
    </w:rPr>
  </w:style>
  <w:style w:type="paragraph" w:customStyle="1" w:styleId="42">
    <w:name w:val="Char Char2 Char"/>
    <w:basedOn w:val="1"/>
    <w:qFormat/>
    <w:uiPriority w:val="0"/>
  </w:style>
  <w:style w:type="paragraph" w:customStyle="1" w:styleId="43">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4">
    <w:name w:val="z-窗体顶端1"/>
    <w:basedOn w:val="1"/>
    <w:qFormat/>
    <w:uiPriority w:val="34"/>
    <w:pPr>
      <w:ind w:firstLine="420" w:firstLineChars="200"/>
    </w:pPr>
    <w:rPr>
      <w:rFonts w:ascii="Calibri" w:hAnsi="Calibri"/>
      <w:szCs w:val="22"/>
    </w:rPr>
  </w:style>
  <w:style w:type="paragraph" w:customStyle="1" w:styleId="45">
    <w:name w:val="题注4"/>
    <w:basedOn w:val="1"/>
    <w:next w:val="9"/>
    <w:qFormat/>
    <w:uiPriority w:val="0"/>
    <w:pPr>
      <w:ind w:left="-132" w:leftChars="-64" w:right="-105" w:rightChars="-50" w:hanging="2"/>
      <w:jc w:val="center"/>
    </w:pPr>
    <w:rPr>
      <w:b/>
      <w:color w:val="FF0000"/>
      <w:szCs w:val="21"/>
      <w:lang w:val="en-GB"/>
    </w:rPr>
  </w:style>
  <w:style w:type="paragraph" w:customStyle="1" w:styleId="46">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7">
    <w:name w:val="List Paragraph"/>
    <w:basedOn w:val="1"/>
    <w:qFormat/>
    <w:uiPriority w:val="99"/>
    <w:pPr>
      <w:ind w:firstLine="420" w:firstLineChars="200"/>
    </w:pPr>
    <w:rPr>
      <w:rFonts w:ascii="Calibri" w:hAnsi="Calibri"/>
      <w:szCs w:val="22"/>
    </w:rPr>
  </w:style>
  <w:style w:type="paragraph" w:customStyle="1" w:styleId="4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0">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Char"/>
    <w:basedOn w:val="1"/>
    <w:qFormat/>
    <w:uiPriority w:val="0"/>
    <w:pPr>
      <w:spacing w:line="480" w:lineRule="exact"/>
    </w:pPr>
    <w:rPr>
      <w:sz w:val="24"/>
    </w:rPr>
  </w:style>
  <w:style w:type="paragraph" w:customStyle="1" w:styleId="54">
    <w:name w:val="表格文字"/>
    <w:basedOn w:val="1"/>
    <w:qFormat/>
    <w:uiPriority w:val="0"/>
    <w:pPr>
      <w:spacing w:before="25" w:after="25"/>
      <w:jc w:val="left"/>
    </w:pPr>
    <w:rPr>
      <w:bCs/>
      <w:spacing w:val="10"/>
      <w:kern w:val="0"/>
      <w:sz w:val="24"/>
      <w:szCs w:val="20"/>
    </w:rPr>
  </w:style>
  <w:style w:type="paragraph" w:customStyle="1" w:styleId="55">
    <w:name w:val="_Style 1"/>
    <w:basedOn w:val="1"/>
    <w:qFormat/>
    <w:uiPriority w:val="34"/>
    <w:pPr>
      <w:ind w:firstLine="420" w:firstLineChars="200"/>
    </w:pPr>
    <w:rPr>
      <w:rFonts w:ascii="Calibri" w:hAnsi="Calibri"/>
      <w:szCs w:val="22"/>
    </w:rPr>
  </w:style>
  <w:style w:type="paragraph" w:customStyle="1" w:styleId="5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7">
    <w:name w:val="纯文本 Char"/>
    <w:link w:val="15"/>
    <w:qFormat/>
    <w:uiPriority w:val="0"/>
    <w:rPr>
      <w:rFonts w:ascii="宋体" w:hAnsi="Courier New" w:cs="Courier New"/>
      <w:kern w:val="2"/>
      <w:sz w:val="21"/>
      <w:szCs w:val="21"/>
    </w:rPr>
  </w:style>
  <w:style w:type="character" w:customStyle="1" w:styleId="58">
    <w:name w:val="页眉 Char"/>
    <w:link w:val="19"/>
    <w:qFormat/>
    <w:uiPriority w:val="99"/>
    <w:rPr>
      <w:kern w:val="2"/>
      <w:sz w:val="18"/>
      <w:szCs w:val="24"/>
    </w:rPr>
  </w:style>
  <w:style w:type="character" w:customStyle="1" w:styleId="59">
    <w:name w:val="正文文本 Char"/>
    <w:basedOn w:val="30"/>
    <w:link w:val="13"/>
    <w:semiHidden/>
    <w:qFormat/>
    <w:uiPriority w:val="0"/>
    <w:rPr>
      <w:kern w:val="2"/>
      <w:sz w:val="21"/>
      <w:szCs w:val="24"/>
    </w:rPr>
  </w:style>
  <w:style w:type="character" w:customStyle="1" w:styleId="60">
    <w:name w:val="正文首行缩进 Char"/>
    <w:basedOn w:val="59"/>
    <w:link w:val="26"/>
    <w:qFormat/>
    <w:uiPriority w:val="0"/>
    <w:rPr>
      <w:kern w:val="2"/>
      <w:sz w:val="21"/>
      <w:szCs w:val="24"/>
    </w:rPr>
  </w:style>
  <w:style w:type="paragraph" w:styleId="6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z-窗体顶端2"/>
    <w:basedOn w:val="1"/>
    <w:link w:val="63"/>
    <w:qFormat/>
    <w:uiPriority w:val="34"/>
    <w:pPr>
      <w:ind w:firstLine="420" w:firstLineChars="200"/>
    </w:pPr>
    <w:rPr>
      <w:rFonts w:ascii="Calibri" w:hAnsi="Calibri"/>
      <w:szCs w:val="22"/>
    </w:rPr>
  </w:style>
  <w:style w:type="character" w:customStyle="1" w:styleId="63">
    <w:name w:val="z-窗体顶端 字符"/>
    <w:basedOn w:val="30"/>
    <w:link w:val="62"/>
    <w:qFormat/>
    <w:uiPriority w:val="34"/>
    <w:rPr>
      <w:rFonts w:ascii="Calibri" w:hAnsi="Calibri"/>
      <w:kern w:val="2"/>
      <w:sz w:val="21"/>
      <w:szCs w:val="22"/>
    </w:rPr>
  </w:style>
  <w:style w:type="character" w:customStyle="1" w:styleId="64">
    <w:name w:val="页脚 Char"/>
    <w:basedOn w:val="30"/>
    <w:link w:val="18"/>
    <w:qFormat/>
    <w:uiPriority w:val="99"/>
    <w:rPr>
      <w:rFonts w:ascii="Times New Roman" w:hAnsi="Times New Roman"/>
      <w:kern w:val="2"/>
      <w:sz w:val="18"/>
      <w:szCs w:val="24"/>
    </w:rPr>
  </w:style>
  <w:style w:type="paragraph" w:customStyle="1" w:styleId="65">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6">
    <w:name w:val="列出段落3"/>
    <w:basedOn w:val="1"/>
    <w:qFormat/>
    <w:uiPriority w:val="0"/>
    <w:pPr>
      <w:ind w:firstLine="420" w:firstLineChars="200"/>
    </w:pPr>
    <w:rPr>
      <w:rFonts w:ascii="Calibri" w:hAnsi="Calibri"/>
      <w:szCs w:val="22"/>
    </w:rPr>
  </w:style>
  <w:style w:type="paragraph" w:customStyle="1" w:styleId="67">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8">
    <w:name w:val="_"/>
    <w:basedOn w:val="1"/>
    <w:qFormat/>
    <w:uiPriority w:val="0"/>
    <w:pPr>
      <w:spacing w:line="360" w:lineRule="auto"/>
      <w:ind w:left="480"/>
    </w:pPr>
    <w:rPr>
      <w:rFonts w:ascii="Calibri" w:hAnsi="Calibri"/>
      <w:sz w:val="24"/>
      <w:szCs w:val="22"/>
    </w:rPr>
  </w:style>
  <w:style w:type="paragraph" w:customStyle="1" w:styleId="69">
    <w:name w:val="！正文"/>
    <w:basedOn w:val="3"/>
    <w:next w:val="1"/>
    <w:qFormat/>
    <w:uiPriority w:val="0"/>
    <w:pPr>
      <w:keepNext w:val="0"/>
      <w:keepLines w:val="0"/>
      <w:widowControl/>
      <w:spacing w:before="0" w:after="0" w:line="360" w:lineRule="auto"/>
      <w:ind w:firstLine="200" w:firstLineChars="200"/>
      <w:jc w:val="left"/>
      <w:outlineLvl w:val="9"/>
    </w:pPr>
    <w:rPr>
      <w:rFonts w:ascii="Times New Roman" w:hAnsi="Times New Roman"/>
      <w:b w:val="0"/>
      <w:bCs w:val="0"/>
      <w:kern w:val="2"/>
      <w:sz w:val="24"/>
      <w:szCs w:val="20"/>
    </w:rPr>
  </w:style>
  <w:style w:type="character" w:customStyle="1" w:styleId="70">
    <w:name w:val="font41"/>
    <w:basedOn w:val="30"/>
    <w:qFormat/>
    <w:uiPriority w:val="0"/>
    <w:rPr>
      <w:rFonts w:hint="default" w:ascii="苹方-港" w:hAnsi="苹方-港" w:eastAsia="苹方-港" w:cs="苹方-港"/>
      <w:color w:val="000000"/>
      <w:sz w:val="20"/>
      <w:szCs w:val="20"/>
      <w:u w:val="none"/>
    </w:rPr>
  </w:style>
  <w:style w:type="paragraph" w:customStyle="1" w:styleId="71">
    <w:name w:val="WPSOffice手动目录 1"/>
    <w:qFormat/>
    <w:uiPriority w:val="0"/>
    <w:rPr>
      <w:rFonts w:ascii="Times New Roman" w:hAnsi="Times New Roman" w:eastAsia="宋体" w:cs="Times New Roman"/>
      <w:lang w:val="en-US" w:eastAsia="zh-CN" w:bidi="ar-SA"/>
    </w:rPr>
  </w:style>
  <w:style w:type="paragraph" w:customStyle="1" w:styleId="7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4">
    <w:name w:val="列表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54830</Words>
  <Characters>11278</Characters>
  <Lines>93</Lines>
  <Paragraphs>131</Paragraphs>
  <TotalTime>3</TotalTime>
  <ScaleCrop>false</ScaleCrop>
  <LinksUpToDate>false</LinksUpToDate>
  <CharactersWithSpaces>65977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林煜韩</cp:lastModifiedBy>
  <cp:lastPrinted>2021-12-16T07:26:00Z</cp:lastPrinted>
  <dcterms:modified xsi:type="dcterms:W3CDTF">2022-01-07T08:58:08Z</dcterms:modified>
  <dc:title>询价文件</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