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960" w:firstLineChars="300"/>
        <w:jc w:val="both"/>
        <w:rPr>
          <w:rFonts w:hint="eastAsia" w:ascii="仿宋" w:hAnsi="仿宋" w:eastAsia="仿宋" w:cs="仿宋_GB2312"/>
          <w:b/>
          <w:bCs/>
          <w:sz w:val="28"/>
          <w:szCs w:val="28"/>
          <w:highlight w:val="none"/>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XJ-20211207-4</w:t>
      </w: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ind w:firstLine="960" w:firstLineChars="3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广州市净水有限公司2021年竹料分公司厂区生产区域</w:t>
      </w:r>
    </w:p>
    <w:p>
      <w:pPr>
        <w:ind w:firstLine="2560" w:firstLineChars="800"/>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固定式气体检测仪安装项目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w:t>
      </w:r>
      <w:r>
        <w:rPr>
          <w:rFonts w:hint="eastAsia" w:ascii="仿宋" w:hAnsi="仿宋" w:eastAsia="仿宋" w:cs="仿宋_GB2312"/>
          <w:b/>
          <w:bCs/>
          <w:sz w:val="28"/>
          <w:highlight w:val="none"/>
          <w:lang w:val="en-US" w:eastAsia="zh-CN"/>
        </w:rPr>
        <w:t>21</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12</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7</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kern w:val="0"/>
          <w:sz w:val="28"/>
          <w:szCs w:val="28"/>
          <w:highlight w:val="none"/>
        </w:rPr>
        <w:t>各报</w:t>
      </w:r>
      <w:r>
        <w:rPr>
          <w:rFonts w:hint="eastAsia" w:ascii="仿宋" w:hAnsi="仿宋" w:eastAsia="仿宋" w:cs="仿宋_GB2312"/>
          <w:sz w:val="28"/>
          <w:szCs w:val="28"/>
          <w:highlight w:val="none"/>
        </w:rPr>
        <w:t>价单位:</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现我公司对</w:t>
      </w:r>
      <w:r>
        <w:rPr>
          <w:rFonts w:hint="eastAsia" w:ascii="仿宋" w:hAnsi="仿宋" w:eastAsia="仿宋" w:cs="仿宋_GB2312"/>
          <w:sz w:val="28"/>
          <w:szCs w:val="28"/>
          <w:highlight w:val="none"/>
          <w:u w:val="single"/>
          <w:lang w:val="en-US" w:eastAsia="zh-CN"/>
        </w:rPr>
        <w:t>2021年竹料分公司厂区生产区域固定式气体检测仪安装项目</w:t>
      </w:r>
      <w:r>
        <w:rPr>
          <w:rFonts w:hint="eastAsia" w:ascii="仿宋" w:hAnsi="仿宋" w:eastAsia="仿宋" w:cs="仿宋_GB2312"/>
          <w:sz w:val="28"/>
          <w:szCs w:val="28"/>
          <w:highlight w:val="none"/>
        </w:rPr>
        <w:t>进行询价，欢迎符合资格条件的报价单位参加。</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一、资金计划：</w:t>
      </w:r>
      <w:r>
        <w:rPr>
          <w:rFonts w:hint="eastAsia" w:ascii="仿宋" w:hAnsi="仿宋" w:eastAsia="仿宋" w:cs="仿宋_GB2312"/>
          <w:sz w:val="28"/>
          <w:szCs w:val="28"/>
          <w:highlight w:val="none"/>
          <w:u w:val="none"/>
        </w:rPr>
        <w:t>自筹资金</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二、项目编号：</w:t>
      </w:r>
      <w:r>
        <w:rPr>
          <w:rFonts w:hint="eastAsia" w:ascii="仿宋" w:hAnsi="仿宋" w:eastAsia="仿宋" w:cs="仿宋_GB2312"/>
          <w:sz w:val="28"/>
          <w:szCs w:val="28"/>
          <w:highlight w:val="none"/>
          <w:lang w:val="en-US" w:eastAsia="zh-CN"/>
        </w:rPr>
        <w:t>XJ-20211207-4</w:t>
      </w:r>
    </w:p>
    <w:p>
      <w:pPr>
        <w:spacing w:line="500" w:lineRule="exact"/>
        <w:ind w:firstLine="560" w:firstLineChars="200"/>
        <w:jc w:val="lef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三、项目名称：</w:t>
      </w:r>
      <w:r>
        <w:rPr>
          <w:rFonts w:hint="eastAsia" w:ascii="仿宋" w:hAnsi="仿宋" w:eastAsia="仿宋" w:cs="仿宋_GB2312"/>
          <w:sz w:val="28"/>
          <w:szCs w:val="28"/>
          <w:highlight w:val="none"/>
          <w:u w:val="single"/>
          <w:lang w:val="en-US" w:eastAsia="zh-CN"/>
        </w:rPr>
        <w:t>广州市净水有限公司2021年竹料分公司厂区生产区域固定式气体检测仪安装项目</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四、最高限价：</w:t>
      </w:r>
      <w:r>
        <w:rPr>
          <w:rFonts w:hint="eastAsia" w:ascii="仿宋" w:hAnsi="仿宋" w:eastAsia="仿宋" w:cs="仿宋_GB2312"/>
          <w:sz w:val="28"/>
          <w:szCs w:val="28"/>
          <w:highlight w:val="none"/>
          <w:u w:val="single"/>
          <w:lang w:val="en-US" w:eastAsia="zh-CN"/>
        </w:rPr>
        <w:t>89166.18元</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税前造价限价为81803.84元，税率9%，绿色施工安全防护措施费为8943.78元</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，绿色施工安全防护措施费为非竞争性费用，报价时须按询价文件规定的金额填写，不得参与竞争，否则按无效报价处理。）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五、项目内容及需求：</w:t>
      </w:r>
    </w:p>
    <w:p>
      <w:pPr>
        <w:ind w:firstLine="560" w:firstLineChars="200"/>
        <w:jc w:val="both"/>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（一）计划安装H2S气体固定式检测仪11台，气体报警控制器2台（气体检测仪、气体报警控制器分公司自有）。</w:t>
      </w:r>
    </w:p>
    <w:p>
      <w:pPr>
        <w:ind w:firstLine="560" w:firstLineChars="200"/>
        <w:jc w:val="both"/>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二）在高密度沉淀池电房内及加药间低压电房各装一个气体报警控制器，在粗格栅、细格栅、高密度沉淀池排泥泵房、一期反应池、一期扩建反应池、污泥干化车间排泥泵、扩建细格栅、一期滤池出水口、一期扩建滤池出水口、消毒池、加药间计量泵各装一个气体检测探头，敷设屏蔽电缆并把信号传到高密度沉淀池电房及加药间低压电房的气体报警控制器。</w:t>
      </w:r>
    </w:p>
    <w:p>
      <w:pPr>
        <w:ind w:firstLine="560" w:firstLineChars="200"/>
        <w:jc w:val="both"/>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（三）每个气体检测探头安装在墙体离地大概0.3m，细格栅及扩建细格栅地点制作支架固定安装，共两套。</w:t>
      </w:r>
    </w:p>
    <w:p>
      <w:pPr>
        <w:ind w:firstLine="560" w:firstLineChars="200"/>
        <w:jc w:val="both"/>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（四）从高密度沉淀池电房及加药间低压电房的气体报警控制器到PLC柜敷设电缆，把报警信号接到PLC。修改PLC和中控室HMI，增加气体报警信号，</w:t>
      </w:r>
      <w:r>
        <w:rPr>
          <w:rFonts w:hint="eastAsia" w:ascii="仿宋" w:hAnsi="仿宋" w:eastAsia="仿宋" w:cs="仿宋_GB2312"/>
          <w:sz w:val="28"/>
          <w:szCs w:val="28"/>
          <w:highlight w:val="none"/>
        </w:rPr>
        <w:t>安装试运行</w:t>
      </w:r>
      <w:r>
        <w:rPr>
          <w:rFonts w:hint="eastAsia" w:ascii="仿宋" w:hAnsi="仿宋" w:eastAsia="仿宋" w:cs="仿宋_GB2312"/>
          <w:sz w:val="28"/>
          <w:szCs w:val="28"/>
          <w:highlight w:val="none"/>
          <w:lang w:eastAsia="zh-CN"/>
        </w:rPr>
        <w:t>。</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六、报价单位资格要求：</w:t>
      </w:r>
    </w:p>
    <w:p>
      <w:pPr>
        <w:numPr>
          <w:ilvl w:val="0"/>
          <w:numId w:val="0"/>
        </w:num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1.报价单位须是在中华人民共和国境内注册的法人或其他组织，具有独立法人资格，持有工商行政管理部门核发的营业执照，且能开具增值税发票。</w:t>
      </w:r>
    </w:p>
    <w:p>
      <w:pPr>
        <w:pStyle w:val="2"/>
        <w:ind w:firstLine="560"/>
        <w:rPr>
          <w:rFonts w:hint="eastAsia" w:ascii="仿宋" w:hAnsi="仿宋" w:eastAsia="仿宋" w:cs="仿宋_GB2312"/>
          <w:color w:val="auto"/>
          <w:kern w:val="2"/>
          <w:sz w:val="28"/>
          <w:szCs w:val="28"/>
          <w:highlight w:val="none"/>
          <w:u w:val="single"/>
          <w:lang w:val="en-US" w:eastAsia="zh-CN" w:bidi="ar-SA"/>
        </w:rPr>
      </w:pPr>
      <w:r>
        <w:rPr>
          <w:rFonts w:hint="eastAsia" w:ascii="仿宋" w:hAnsi="仿宋" w:eastAsia="仿宋" w:cs="仿宋_GB2312"/>
          <w:color w:val="auto"/>
          <w:kern w:val="2"/>
          <w:sz w:val="28"/>
          <w:szCs w:val="28"/>
          <w:highlight w:val="none"/>
          <w:u w:val="single"/>
          <w:lang w:val="en-US" w:eastAsia="zh-CN" w:bidi="ar-SA"/>
        </w:rPr>
        <w:t>2.</w:t>
      </w:r>
      <w:r>
        <w:rPr>
          <w:rFonts w:hint="eastAsia" w:ascii="仿宋" w:hAnsi="仿宋" w:eastAsia="仿宋" w:cs="仿宋_GB2312"/>
          <w:color w:val="auto"/>
          <w:kern w:val="2"/>
          <w:sz w:val="28"/>
          <w:szCs w:val="28"/>
          <w:highlight w:val="none"/>
          <w:u w:val="single"/>
          <w:lang w:val="zh-CN" w:eastAsia="zh-CN" w:bidi="ar-SA"/>
        </w:rPr>
        <w:t>报价单位</w:t>
      </w:r>
      <w:r>
        <w:rPr>
          <w:rFonts w:hint="eastAsia" w:ascii="仿宋" w:hAnsi="仿宋" w:eastAsia="仿宋" w:cs="仿宋_GB2312"/>
          <w:color w:val="auto"/>
          <w:kern w:val="2"/>
          <w:sz w:val="28"/>
          <w:szCs w:val="28"/>
          <w:highlight w:val="none"/>
          <w:u w:val="single"/>
          <w:lang w:val="en-US" w:eastAsia="zh-CN" w:bidi="ar-SA"/>
        </w:rPr>
        <w:t>须具有</w:t>
      </w:r>
      <w:r>
        <w:rPr>
          <w:rFonts w:hint="default" w:ascii="仿宋" w:hAnsi="仿宋" w:eastAsia="仿宋" w:cs="仿宋_GB2312"/>
          <w:color w:val="auto"/>
          <w:sz w:val="28"/>
          <w:szCs w:val="28"/>
          <w:u w:val="single"/>
          <w:lang w:val="en-US"/>
        </w:rPr>
        <w:t>建筑机电安装工程专业承包</w:t>
      </w:r>
      <w:r>
        <w:rPr>
          <w:rFonts w:hint="eastAsia" w:ascii="仿宋" w:hAnsi="仿宋" w:eastAsia="仿宋" w:cs="仿宋_GB2312"/>
          <w:color w:val="auto"/>
          <w:sz w:val="28"/>
          <w:szCs w:val="28"/>
          <w:u w:val="single"/>
          <w:lang w:val="en-US" w:eastAsia="zh-CN"/>
        </w:rPr>
        <w:t>三</w:t>
      </w:r>
      <w:r>
        <w:rPr>
          <w:rFonts w:hint="default" w:ascii="仿宋" w:hAnsi="仿宋" w:eastAsia="仿宋" w:cs="仿宋_GB2312"/>
          <w:color w:val="auto"/>
          <w:sz w:val="28"/>
          <w:szCs w:val="28"/>
          <w:u w:val="single"/>
          <w:lang w:val="en-US"/>
        </w:rPr>
        <w:t>级（</w:t>
      </w:r>
      <w:r>
        <w:rPr>
          <w:rFonts w:hint="eastAsia" w:ascii="仿宋" w:hAnsi="仿宋" w:eastAsia="仿宋" w:cs="仿宋_GB2312"/>
          <w:color w:val="auto"/>
          <w:sz w:val="28"/>
          <w:szCs w:val="28"/>
          <w:u w:val="single"/>
          <w:lang w:val="en-US" w:eastAsia="zh-CN"/>
        </w:rPr>
        <w:t>或以上</w:t>
      </w:r>
      <w:r>
        <w:rPr>
          <w:rFonts w:hint="default" w:ascii="仿宋" w:hAnsi="仿宋" w:eastAsia="仿宋" w:cs="仿宋_GB2312"/>
          <w:color w:val="auto"/>
          <w:sz w:val="28"/>
          <w:szCs w:val="28"/>
          <w:u w:val="single"/>
          <w:lang w:val="en-US"/>
        </w:rPr>
        <w:t>）</w:t>
      </w:r>
      <w:r>
        <w:rPr>
          <w:rFonts w:hint="eastAsia" w:ascii="仿宋" w:hAnsi="仿宋" w:eastAsia="仿宋" w:cs="仿宋_GB2312"/>
          <w:color w:val="auto"/>
          <w:sz w:val="28"/>
          <w:szCs w:val="28"/>
          <w:u w:val="single"/>
          <w:lang w:val="en-US" w:eastAsia="zh-CN"/>
        </w:rPr>
        <w:t>或</w:t>
      </w:r>
      <w:r>
        <w:rPr>
          <w:rFonts w:hint="eastAsia" w:ascii="仿宋" w:hAnsi="仿宋" w:eastAsia="仿宋" w:cs="仿宋_GB2312"/>
          <w:color w:val="auto"/>
          <w:kern w:val="2"/>
          <w:sz w:val="28"/>
          <w:szCs w:val="28"/>
          <w:highlight w:val="none"/>
          <w:u w:val="single"/>
          <w:lang w:val="en-US" w:eastAsia="zh-CN" w:bidi="ar-SA"/>
        </w:rPr>
        <w:t>电子与智能化工程专业承包二级（或以上）资质，具有建设主管部门颁发且在有效期内的《安全生产许可证》。</w:t>
      </w:r>
    </w:p>
    <w:p>
      <w:pPr>
        <w:numPr>
          <w:ilvl w:val="0"/>
          <w:numId w:val="0"/>
        </w:numPr>
        <w:autoSpaceDE w:val="0"/>
        <w:autoSpaceDN w:val="0"/>
        <w:ind w:firstLine="0" w:firstLineChars="0"/>
        <w:rPr>
          <w:rFonts w:hint="eastAsia" w:ascii="仿宋" w:hAnsi="仿宋" w:eastAsia="仿宋" w:cs="仿宋_GB2312"/>
          <w:color w:val="auto"/>
          <w:kern w:val="2"/>
          <w:sz w:val="28"/>
          <w:szCs w:val="28"/>
          <w:highlight w:val="none"/>
          <w:u w:val="single"/>
          <w:lang w:val="en-US" w:eastAsia="zh-CN" w:bidi="ar-SA"/>
        </w:rPr>
      </w:pPr>
      <w:r>
        <w:rPr>
          <w:rFonts w:hint="eastAsia" w:ascii="仿宋" w:hAnsi="仿宋" w:eastAsia="仿宋" w:cs="仿宋_GB2312"/>
          <w:color w:val="auto"/>
          <w:kern w:val="2"/>
          <w:sz w:val="28"/>
          <w:szCs w:val="28"/>
          <w:highlight w:val="none"/>
          <w:u w:val="single"/>
          <w:lang w:val="en-US" w:eastAsia="zh-CN" w:bidi="ar-SA"/>
        </w:rPr>
        <w:t xml:space="preserve">    3.业绩要求：2018年1月1日至今，最少具有一项</w:t>
      </w:r>
      <w:r>
        <w:rPr>
          <w:rFonts w:hint="eastAsia" w:ascii="仿宋" w:hAnsi="仿宋" w:eastAsia="仿宋" w:cs="仿宋_GB2312"/>
          <w:color w:val="auto"/>
          <w:sz w:val="28"/>
          <w:szCs w:val="28"/>
          <w:u w:val="single"/>
          <w:lang w:val="en-US" w:eastAsia="zh-CN"/>
        </w:rPr>
        <w:t>固定式气体检测仪</w:t>
      </w:r>
      <w:r>
        <w:rPr>
          <w:rFonts w:hint="eastAsia" w:ascii="仿宋" w:hAnsi="仿宋" w:eastAsia="仿宋" w:cs="仿宋_GB2312"/>
          <w:color w:val="auto"/>
          <w:sz w:val="28"/>
          <w:szCs w:val="28"/>
          <w:u w:val="single"/>
          <w:lang w:val="en-US"/>
        </w:rPr>
        <w:t>系统</w:t>
      </w:r>
      <w:r>
        <w:rPr>
          <w:rFonts w:hint="eastAsia" w:ascii="仿宋" w:hAnsi="仿宋" w:eastAsia="仿宋" w:cs="仿宋_GB2312"/>
          <w:color w:val="auto"/>
          <w:sz w:val="28"/>
          <w:szCs w:val="28"/>
          <w:u w:val="single"/>
          <w:lang w:val="en-US" w:eastAsia="zh-CN"/>
        </w:rPr>
        <w:t>安装（或调试）</w:t>
      </w:r>
      <w:r>
        <w:rPr>
          <w:rFonts w:hint="eastAsia" w:ascii="仿宋" w:hAnsi="仿宋" w:eastAsia="仿宋" w:cs="仿宋_GB2312"/>
          <w:color w:val="auto"/>
          <w:sz w:val="28"/>
          <w:szCs w:val="28"/>
          <w:u w:val="single"/>
          <w:lang w:val="en-US"/>
        </w:rPr>
        <w:t>业绩</w:t>
      </w:r>
      <w:r>
        <w:rPr>
          <w:rFonts w:hint="eastAsia" w:ascii="仿宋" w:hAnsi="仿宋" w:eastAsia="仿宋" w:cs="仿宋_GB2312"/>
          <w:color w:val="auto"/>
          <w:kern w:val="2"/>
          <w:sz w:val="28"/>
          <w:szCs w:val="28"/>
          <w:highlight w:val="none"/>
          <w:u w:val="single"/>
          <w:lang w:val="en-US" w:eastAsia="zh-CN" w:bidi="ar-SA"/>
        </w:rPr>
        <w:t>（提供合同复印件证明，包括但不限于项目名称、金额及实施内容、合同双方签字盖章、签订日期，并加盖单位公章）。</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r>
        <w:rPr>
          <w:rFonts w:hint="eastAsia" w:ascii="仿宋_GB2312" w:hAnsi="仿宋_GB2312" w:eastAsia="仿宋_GB2312" w:cs="仿宋_GB2312"/>
          <w:sz w:val="28"/>
          <w:szCs w:val="28"/>
          <w:lang w:val="en-US" w:eastAsia="zh-CN"/>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w:t>
      </w:r>
      <w:r>
        <w:rPr>
          <w:rFonts w:hint="eastAsia" w:ascii="仿宋" w:hAnsi="仿宋" w:eastAsia="仿宋" w:cs="仿宋_GB2312"/>
          <w:color w:val="auto"/>
          <w:sz w:val="28"/>
          <w:szCs w:val="28"/>
        </w:rPr>
        <w:t>件的获取：在</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分前，在</w:t>
      </w:r>
      <w:r>
        <w:rPr>
          <w:rFonts w:hint="eastAsia" w:ascii="仿宋" w:hAnsi="仿宋" w:eastAsia="仿宋" w:cs="仿宋_GB2312"/>
          <w:sz w:val="28"/>
          <w:szCs w:val="28"/>
        </w:rPr>
        <w:t>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w:t>
      </w:r>
      <w:r>
        <w:rPr>
          <w:rFonts w:hint="eastAsia" w:ascii="仿宋" w:hAnsi="仿宋" w:eastAsia="仿宋" w:cs="仿宋_GB2312"/>
          <w:color w:val="auto"/>
          <w:sz w:val="28"/>
          <w:szCs w:val="28"/>
        </w:rPr>
        <w:t>交时间：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14</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分至</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分；询价响应文件截止时间：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w:t>
      </w:r>
      <w:r>
        <w:rPr>
          <w:rFonts w:hint="eastAsia" w:ascii="仿宋_GB2312" w:hAnsi="仿宋_GB2312" w:eastAsia="仿宋_GB2312" w:cs="仿宋_GB2312"/>
          <w:color w:val="auto"/>
          <w:sz w:val="28"/>
          <w:szCs w:val="28"/>
          <w:lang w:val="en-US" w:eastAsia="zh-CN"/>
        </w:rPr>
        <w:t>年12</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13</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rPr>
          <w:rFonts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FF0000"/>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2021</w:t>
      </w:r>
      <w:r>
        <w:rPr>
          <w:rFonts w:hint="eastAsia" w:ascii="仿宋_GB2312" w:hAnsi="仿宋_GB2312" w:eastAsia="仿宋_GB2312" w:cs="仿宋_GB2312"/>
          <w:color w:val="auto"/>
          <w:sz w:val="28"/>
          <w:szCs w:val="28"/>
          <w:lang w:val="zh-CN"/>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lang w:val="zh-CN"/>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val="zh-CN"/>
        </w:rPr>
        <w:t>日</w:t>
      </w:r>
    </w:p>
    <w:p>
      <w:pPr>
        <w:rPr>
          <w:rFonts w:ascii="仿宋" w:hAnsi="仿宋" w:eastAsia="仿宋" w:cs="仿宋_GB2312"/>
          <w:color w:val="auto"/>
          <w:sz w:val="28"/>
          <w:szCs w:val="28"/>
          <w:highlight w:val="none"/>
        </w:rPr>
        <w:sectPr>
          <w:headerReference r:id="rId3" w:type="default"/>
          <w:footerReference r:id="rId4" w:type="default"/>
          <w:footerReference r:id="rId5" w:type="even"/>
          <w:pgSz w:w="11906" w:h="16838"/>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第二部分 项目内容</w:t>
      </w:r>
    </w:p>
    <w:p>
      <w:pPr>
        <w:pStyle w:val="41"/>
        <w:ind w:firstLine="560" w:firstLineChars="200"/>
        <w:rPr>
          <w:rFonts w:hint="eastAsia" w:ascii="仿宋" w:hAnsi="仿宋" w:eastAsia="仿宋" w:cs="仿宋"/>
          <w:b w:val="0"/>
          <w:bCs w:val="0"/>
          <w:sz w:val="28"/>
          <w:szCs w:val="28"/>
          <w:lang w:val="zh-CN"/>
        </w:rPr>
      </w:pPr>
      <w:r>
        <w:rPr>
          <w:rFonts w:hint="eastAsia" w:ascii="仿宋" w:hAnsi="仿宋" w:eastAsia="仿宋" w:cs="仿宋"/>
          <w:b w:val="0"/>
          <w:bCs w:val="0"/>
          <w:sz w:val="28"/>
          <w:szCs w:val="28"/>
          <w:lang w:val="zh-CN"/>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60" w:firstLineChars="200"/>
        <w:rPr>
          <w:rFonts w:ascii="仿宋" w:hAnsi="仿宋" w:eastAsia="仿宋" w:cs="仿宋_GB2312"/>
          <w:b/>
          <w:sz w:val="28"/>
          <w:szCs w:val="28"/>
          <w:highlight w:val="none"/>
          <w:lang w:val="zh-CN"/>
        </w:rPr>
      </w:pPr>
      <w:r>
        <w:rPr>
          <w:rFonts w:hint="eastAsia" w:ascii="仿宋" w:hAnsi="仿宋" w:eastAsia="仿宋" w:cs="仿宋"/>
          <w:b w:val="0"/>
          <w:bCs w:val="0"/>
          <w:sz w:val="28"/>
          <w:szCs w:val="28"/>
          <w:lang w:val="zh-CN"/>
        </w:rPr>
        <w:t>询价文件中所有要求均为实质性响应条款，供应商如有任何一条负偏离则导致响应文件无效。</w:t>
      </w:r>
    </w:p>
    <w:p>
      <w:pPr>
        <w:pStyle w:val="11"/>
        <w:numPr>
          <w:ilvl w:val="0"/>
          <w:numId w:val="1"/>
        </w:numPr>
        <w:adjustRightInd w:val="0"/>
        <w:snapToGrid w:val="0"/>
        <w:spacing w:line="36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numPr>
          <w:ilvl w:val="0"/>
          <w:numId w:val="0"/>
        </w:numPr>
        <w:autoSpaceDE/>
        <w:autoSpaceDN/>
        <w:spacing w:line="480" w:lineRule="exact"/>
        <w:ind w:left="0" w:firstLine="560" w:firstLineChars="200"/>
        <w:rPr>
          <w:rFonts w:hint="default" w:ascii="仿宋" w:hAnsi="仿宋" w:eastAsia="仿宋"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竹料分公司的处理工艺主要来自污水管网的污水进入集水池，由粗格栅去除大颗粒固体物质后，通过提升泵提升至细格栅进一步去除小颗粒的固体物质，自流进入沉砂池进行砂水分离，分离后的污水进入生化池，通过采用改良A2/O 活性污泥工艺，强化生物脱氮除磷过程，生化处理后污水采用高效沉淀池去除SS。水处理产生的臭气采用生物除臭工艺进行除臭。在处理的过程中会产生部分的有毒有害因素挥发至空气当中，当有毒有害因素达到一定浓度后对作业职工造成危害。</w:t>
      </w:r>
    </w:p>
    <w:p>
      <w:pPr>
        <w:pStyle w:val="11"/>
        <w:numPr>
          <w:ilvl w:val="0"/>
          <w:numId w:val="2"/>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numPr>
          <w:ilvl w:val="-1"/>
          <w:numId w:val="0"/>
        </w:numPr>
        <w:autoSpaceDE w:val="0"/>
        <w:autoSpaceDN w:val="0"/>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1.工程量清单</w:t>
      </w:r>
    </w:p>
    <w:p>
      <w:pPr>
        <w:numPr>
          <w:ilvl w:val="-1"/>
          <w:numId w:val="0"/>
        </w:numPr>
        <w:autoSpaceDE w:val="0"/>
        <w:autoSpaceDN w:val="0"/>
        <w:jc w:val="left"/>
        <w:rPr>
          <w:rFonts w:hint="eastAsia" w:ascii="仿宋" w:hAnsi="仿宋" w:eastAsia="仿宋" w:cs="仿宋_GB2312"/>
          <w:sz w:val="28"/>
          <w:szCs w:val="28"/>
          <w:highlight w:val="none"/>
          <w:lang w:val="en-US" w:eastAsia="zh-CN"/>
        </w:rPr>
      </w:pPr>
    </w:p>
    <w:tbl>
      <w:tblPr>
        <w:tblStyle w:val="20"/>
        <w:tblW w:w="8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8"/>
        <w:gridCol w:w="1820"/>
        <w:gridCol w:w="1674"/>
        <w:gridCol w:w="5"/>
        <w:gridCol w:w="3070"/>
        <w:gridCol w:w="10"/>
        <w:gridCol w:w="584"/>
        <w:gridCol w:w="11"/>
        <w:gridCol w:w="1019"/>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345" w:hRule="atLeast"/>
          <w:jc w:val="center"/>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2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345" w:hRule="atLeast"/>
          <w:jc w:val="center"/>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345" w:hRule="atLeast"/>
          <w:jc w:val="center"/>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高密池控制间(1台气体检测仪主机)</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030503005001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第三方通信设备接口</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2.类别:CPU ST20 集成一个 RS485接口</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1.名称:DP接头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1P 6ES7 972-0BA12-0XA0</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1.名称:空气开关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2.规格:C65N 1P+N 2A</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030402010001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避雷器</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1.名称:信号防雷器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2.规格:SR-E06V/2S</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1.名称:气体检测仪主机电源电缆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2.规格:RVV3x1.5</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2.规格:6XV1830-0EH10</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2.规格:RVV10x1.0</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1.名称:气体检测仪主机及ST20(甲供设备)</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1.名称:PLC通讯程序及中控HMI程序编写</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36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030608009001</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现场总线调试</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现场调试及数据比对</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高密池控制间(1台气体检测仪主机)合计</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粗格栅(1个气体检测仪探头)</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030411004005</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4" w:type="dxa"/>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粗格栅(1个气体检测仪探头)合计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细格栅(1个气体检测仪探头)</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030411004006</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030411001004</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粤030507021001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气体检测仪探头固定支架</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1.名称:气体检测仪探头固定支架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 304不锈钢材质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030607001003</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细格栅(1个气体检测仪探头)合计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生物反应池(2个气体检测仪探头)</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030411004007</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030411001005</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030607001004</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生物反应池(2个气体检测仪探头)合计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污泥干化车间(1个气体检测仪探头)</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030411001006</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030607001005</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污泥干化车间(1个气体检测仪探头)合计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高密池(1个气体检测仪探头)</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030411001007</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030607001006</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高密池(1个气体检测仪探头)合计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高密池细格栅(1个气体检测仪探头)</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粤030507021005</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气体检测仪探头固定支架</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1.名称:气体检测仪探头固定支架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 304不锈钢材质</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030607001007</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高密池细格栅(1个气体检测仪探头)合计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药剂制备控制室(1台气体检测仪主机)</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030503005002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第三方通信设备接口</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2.类别:CPU ST20 集成一个 RS485接口</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1.名称:DP接头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1P 6ES7 972-0BA12-0XA0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1.名称:空气开关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2.规格:C65N 1P+N 2A</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030402010002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避雷器</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1.名称:信号防雷器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2.规格:SR-E06V/2S</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1.名称:气体检测仪主机电源电缆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2.规格:RVV3x1.5</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2.规格:6XV1830-0EH10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2.规格:RVV10x1.0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030502005003</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2.规格:6类屏蔽</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1.名称:气体检测仪主机及ST20(甲供设备)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1.名称:PLC通讯程序及中控HMI程序编写</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030608009002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现场总线调试</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现场调试及数据比对</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1.测试类别:4对双绞线缆测试 五类以上</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药剂制备控制室(1台气体检测仪主机)合计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一期滤池(1个气体检测仪探头)</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030411004013</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一期滤池(1个气体检测仪探头)合计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二期滤池(1个气体检测仪探头)</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030411004014</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二期滤池(1个气体检测仪探头)合计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药剂制备间(1个气体检测仪探头)</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030411004015</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药剂制备间(1个气体检测仪探头)合计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接触消毒池(1个气体检测仪探头)</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030411004016</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030411001013</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接触消毒池(1个气体检测仪探头)合计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室外工程</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030408005001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1.种类:揭水泥板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2.规格:单块60*150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030408005002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1.种类:盖水泥板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2.规格:单块60*150</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030411001014</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010101003001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1.土壤类别:以地质勘查报告为准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2.挖土深度:2m内</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010103001001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1.密实度要求:夯填，密实度符合设计要求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2.填方材料品种:原土回填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3.填方来源、运距:根据现场实际情况综合考虑</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1.废弃料品种:余泥渣土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2.运距:根据现场实际情况综合考虑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3.其他:综合考虑消纳排放费</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室外工程合计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1.脚手架搭拆费</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utoSpaceDE w:val="0"/>
        <w:autoSpaceDN w:val="0"/>
        <w:ind w:firstLine="560" w:firstLineChars="200"/>
        <w:rPr>
          <w:rFonts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t>.主要材料使用要求（若有）</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（1）施工人员</w:t>
      </w:r>
      <w:r>
        <w:rPr>
          <w:rFonts w:hint="eastAsia" w:ascii="仿宋_GB2312" w:hAnsi="仿宋_GB2312" w:eastAsia="仿宋_GB2312" w:cs="仿宋_GB2312"/>
          <w:sz w:val="28"/>
          <w:szCs w:val="28"/>
          <w:highlight w:val="none"/>
          <w:lang w:val="en-US" w:eastAsia="zh-CN"/>
        </w:rPr>
        <w:t>进入厂区需佩戴竹料分公司临时出入证，施工期间穿反光衣，佩戴黄色安全帽，</w:t>
      </w:r>
      <w:r>
        <w:rPr>
          <w:rFonts w:hint="eastAsia" w:ascii="仿宋_GB2312" w:hAnsi="仿宋_GB2312" w:eastAsia="仿宋_GB2312" w:cs="仿宋_GB2312"/>
          <w:sz w:val="28"/>
          <w:szCs w:val="28"/>
          <w:highlight w:val="none"/>
        </w:rPr>
        <w:t>施工前必须进行安全教育和技术交底。</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施工过程中</w:t>
      </w:r>
      <w:r>
        <w:rPr>
          <w:rFonts w:hint="eastAsia" w:ascii="仿宋_GB2312" w:hAnsi="仿宋_GB2312" w:eastAsia="仿宋_GB2312" w:cs="仿宋_GB2312"/>
          <w:sz w:val="28"/>
          <w:szCs w:val="28"/>
          <w:highlight w:val="none"/>
        </w:rPr>
        <w:t>，清理现场垃圾，保护现场环境。</w:t>
      </w:r>
    </w:p>
    <w:p>
      <w:pPr>
        <w:pStyle w:val="11"/>
        <w:ind w:firstLine="560" w:firstLineChars="200"/>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1"/>
        <w:ind w:firstLine="560" w:firstLineChars="200"/>
        <w:rPr>
          <w:rFonts w:hint="default"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4</w:t>
      </w:r>
      <w:r>
        <w:rPr>
          <w:rFonts w:hint="eastAsia" w:ascii="仿宋_GB2312" w:hAnsi="仿宋_GB2312" w:eastAsia="仿宋_GB2312" w:cs="仿宋_GB2312"/>
          <w:color w:val="0D0D0D" w:themeColor="text1" w:themeTint="F2"/>
          <w:sz w:val="28"/>
          <w:szCs w:val="28"/>
          <w:highlight w:val="none"/>
          <w:u w:val="none"/>
          <w:lang w:val="en-US" w:eastAsia="zh-CN"/>
          <w14:textFill>
            <w14:solidFill>
              <w14:schemeClr w14:val="tx1">
                <w14:lumMod w14:val="95000"/>
                <w14:lumOff w14:val="5000"/>
              </w14:schemeClr>
            </w14:solidFill>
          </w14:textFill>
        </w:rPr>
        <w:t>.</w:t>
      </w:r>
      <w:r>
        <w:rPr>
          <w:rFonts w:hint="eastAsia" w:ascii="仿宋" w:hAnsi="仿宋" w:eastAsia="仿宋" w:cs="仿宋_GB2312"/>
          <w:color w:val="auto"/>
          <w:kern w:val="2"/>
          <w:sz w:val="28"/>
          <w:szCs w:val="28"/>
          <w:highlight w:val="none"/>
          <w:u w:val="none"/>
          <w:lang w:val="en-US" w:eastAsia="zh-CN" w:bidi="ar-SA"/>
        </w:rPr>
        <w:t>报价单位需出具承诺函，承诺中选后提供货物均为制造商原装全新产品。（加盖单位公章）</w:t>
      </w:r>
    </w:p>
    <w:p>
      <w:pPr>
        <w:pStyle w:val="11"/>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三、项目商务要求</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1.工期：30天。</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pStyle w:val="2"/>
        <w:numPr>
          <w:ilvl w:val="0"/>
          <w:numId w:val="0"/>
        </w:numPr>
        <w:ind w:firstLine="560" w:firstLineChars="200"/>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（1）检测比空气重的可燃气体或有毒气体时，固定式气体检测仪的安装高度宜距地坪（或楼地板）0.3m～0.6m；过低易造成因雨水淋、溅，对气体检测仪的损害；过高则超出了比空气重的气体易于积聚的高度。</w:t>
      </w:r>
    </w:p>
    <w:p>
      <w:pPr>
        <w:ind w:firstLine="560" w:firstLineChars="200"/>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（2）安装时禁止电源支付、信号线接反、短路，可能导致元器件烧毁。</w:t>
      </w:r>
    </w:p>
    <w:p>
      <w:pPr>
        <w:ind w:firstLine="560" w:firstLineChars="200"/>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（3）禁止剧烈震动仪器，当心掉落、装机、敲打等粗暴安装至仪器损坏。</w:t>
      </w:r>
    </w:p>
    <w:p>
      <w:pPr>
        <w:pStyle w:val="2"/>
        <w:ind w:firstLine="560"/>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（4）修改PLC和中控室HMI，增加气体报警信号，确保信号稳定正常。</w:t>
      </w:r>
    </w:p>
    <w:p>
      <w:pPr>
        <w:pStyle w:val="2"/>
        <w:ind w:firstLine="560"/>
        <w:rPr>
          <w:rFonts w:hint="default" w:ascii="仿宋_GB2312" w:hAnsi="Times New Roman" w:eastAsia="仿宋_GB2312" w:cs="Times New Roman"/>
          <w:color w:val="auto"/>
          <w:kern w:val="2"/>
          <w:sz w:val="28"/>
          <w:szCs w:val="28"/>
          <w:highlight w:val="none"/>
          <w:lang w:val="en-US" w:eastAsia="zh-CN" w:bidi="ar-SA"/>
        </w:rPr>
      </w:pPr>
      <w:r>
        <w:rPr>
          <w:rFonts w:hint="eastAsia" w:ascii="仿宋_GB2312" w:cs="Times New Roman"/>
          <w:color w:val="auto"/>
          <w:kern w:val="2"/>
          <w:sz w:val="28"/>
          <w:szCs w:val="28"/>
          <w:highlight w:val="none"/>
          <w:lang w:val="en-US" w:eastAsia="zh-CN" w:bidi="ar-SA"/>
        </w:rPr>
        <w:t>（5）</w:t>
      </w:r>
      <w:r>
        <w:rPr>
          <w:rFonts w:hint="eastAsia" w:ascii="仿宋_GB2312" w:hAnsi="Times New Roman" w:eastAsia="仿宋_GB2312" w:cs="Times New Roman"/>
          <w:color w:val="auto"/>
          <w:kern w:val="2"/>
          <w:sz w:val="28"/>
          <w:szCs w:val="28"/>
          <w:highlight w:val="none"/>
          <w:lang w:val="en-US" w:eastAsia="zh-CN" w:bidi="ar-SA"/>
        </w:rPr>
        <w:t>对各个气体检测仪及气体报警控制器编号，制定相应的分布图、流程图。</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无线网桥传输</w:t>
      </w:r>
      <w:r>
        <w:rPr>
          <w:rFonts w:hint="eastAsia" w:ascii="仿宋_GB2312" w:hAnsi="Calibri" w:eastAsia="仿宋_GB2312" w:cs="仿宋_GB2312"/>
          <w:i w:val="0"/>
          <w:caps w:val="0"/>
          <w:color w:val="auto"/>
          <w:spacing w:val="0"/>
          <w:sz w:val="28"/>
          <w:szCs w:val="28"/>
          <w:highlight w:val="none"/>
          <w:shd w:val="clear" w:color="auto" w:fill="FFFFFF"/>
          <w:lang w:val="en-US" w:eastAsia="zh-CN"/>
        </w:rPr>
        <w:t>安装</w:t>
      </w:r>
      <w:r>
        <w:rPr>
          <w:rFonts w:hint="default" w:ascii="仿宋_GB2312" w:hAnsi="Calibri" w:eastAsia="仿宋_GB2312" w:cs="仿宋_GB2312"/>
          <w:i w:val="0"/>
          <w:caps w:val="0"/>
          <w:color w:val="000000"/>
          <w:spacing w:val="0"/>
          <w:sz w:val="28"/>
          <w:szCs w:val="28"/>
          <w:highlight w:val="none"/>
          <w:shd w:val="clear" w:color="auto" w:fill="FFFFFF"/>
        </w:rPr>
        <w:t>有关的质量标准规定，均为验收依据。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铺设线路安装各固定式气体检测仪及信号报警器、支架，并把报警信号接到PLC。</w:t>
      </w:r>
      <w:r>
        <w:rPr>
          <w:rFonts w:hint="eastAsia" w:ascii="仿宋_GB2312" w:hAnsi="Calibri" w:eastAsia="仿宋_GB2312" w:cs="仿宋_GB2312"/>
          <w:i w:val="0"/>
          <w:caps w:val="0"/>
          <w:color w:val="000000"/>
          <w:spacing w:val="0"/>
          <w:sz w:val="28"/>
          <w:szCs w:val="28"/>
          <w:highlight w:val="none"/>
          <w:shd w:val="clear" w:color="auto" w:fill="FFFFFF"/>
        </w:rPr>
        <w:t>完成之后，</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确保厂区持续有效实时开展气体检测</w:t>
      </w:r>
      <w:r>
        <w:rPr>
          <w:rFonts w:hint="eastAsia" w:ascii="仿宋_GB2312" w:hAnsi="Calibri" w:eastAsia="仿宋_GB2312" w:cs="仿宋_GB2312"/>
          <w:i w:val="0"/>
          <w:caps w:val="0"/>
          <w:color w:val="000000"/>
          <w:spacing w:val="0"/>
          <w:sz w:val="28"/>
          <w:szCs w:val="28"/>
          <w:highlight w:val="none"/>
          <w:shd w:val="clear" w:color="auto" w:fill="FFFFFF"/>
        </w:rPr>
        <w:t>的要求。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无线网桥传输</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况</w:t>
      </w:r>
      <w:r>
        <w:rPr>
          <w:rFonts w:hint="default" w:ascii="仿宋_GB2312" w:hAnsi="Calibri" w:eastAsia="仿宋_GB2312" w:cs="仿宋_GB2312"/>
          <w:i w:val="0"/>
          <w:caps w:val="0"/>
          <w:color w:val="000000"/>
          <w:spacing w:val="0"/>
          <w:sz w:val="28"/>
          <w:szCs w:val="28"/>
          <w:highlight w:val="none"/>
          <w:shd w:val="clear" w:color="auto" w:fill="FFFFFF"/>
        </w:rPr>
        <w:t>进行检验</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其检验结果将作为验收标准的组成部分之一。</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7"/>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adjustRightInd/>
        <w:snapToGrid/>
        <w:spacing w:line="360" w:lineRule="auto"/>
        <w:ind w:firstLine="560" w:firstLineChars="200"/>
        <w:jc w:val="left"/>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kern w:val="2"/>
          <w:sz w:val="28"/>
          <w:szCs w:val="28"/>
          <w:highlight w:val="none"/>
          <w:u w:val="none"/>
          <w:lang w:val="en-US" w:eastAsia="zh-CN" w:bidi="ar-SA"/>
        </w:rPr>
        <w:t>8.承包方式：</w:t>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both"/>
        <w:rPr>
          <w:rFonts w:hint="eastAsia" w:ascii="仿宋_GB2312" w:hAnsi="仿宋_GB2312" w:eastAsia="仿宋_GB2312" w:cs="仿宋_GB2312"/>
          <w:b/>
          <w:sz w:val="28"/>
          <w:szCs w:val="28"/>
          <w:highlight w:val="none"/>
          <w:lang w:val="zh-CN"/>
        </w:rPr>
      </w:pPr>
      <w:bookmarkStart w:id="31" w:name="_GoBack"/>
      <w:bookmarkEnd w:id="31"/>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如果报价人认为询价文件或询价过程或询价结果使其权益受到损害的，可向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人提出书面质疑。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人应在规定时间内给与答复。</w:t>
      </w: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jc w:val="center"/>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广州市净水有限公司竹料分公司2021年厂区生产区域固定式</w:t>
      </w:r>
    </w:p>
    <w:p>
      <w:pPr>
        <w:jc w:val="center"/>
        <w:rPr>
          <w:rFonts w:ascii="仿宋" w:hAnsi="仿宋" w:eastAsia="仿宋" w:cs="仿宋_GB2312"/>
          <w:color w:val="000000"/>
          <w:sz w:val="28"/>
          <w:szCs w:val="28"/>
          <w:highlight w:val="none"/>
        </w:rPr>
      </w:pPr>
      <w:r>
        <w:rPr>
          <w:rFonts w:hint="eastAsia" w:ascii="仿宋" w:hAnsi="仿宋" w:eastAsia="仿宋" w:cs="仿宋_GB2312"/>
          <w:sz w:val="28"/>
          <w:szCs w:val="28"/>
          <w:highlight w:val="none"/>
          <w:u w:val="single"/>
          <w:lang w:val="en-US" w:eastAsia="zh-CN"/>
        </w:rPr>
        <w:t>气体检测仪安装项目报价记录表</w:t>
      </w: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pStyle w:val="2"/>
        <w:rPr>
          <w:rFonts w:hint="eastAsia"/>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hint="eastAsia" w:ascii="仿宋" w:hAnsi="仿宋" w:eastAsia="仿宋"/>
          <w:b/>
          <w:sz w:val="36"/>
          <w:szCs w:val="36"/>
          <w:highlight w:val="none"/>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r>
        <w:rPr>
          <w:rFonts w:hint="eastAsia" w:ascii="仿宋" w:hAnsi="仿宋" w:eastAsia="仿宋"/>
          <w:b/>
          <w:sz w:val="36"/>
          <w:szCs w:val="36"/>
          <w:highlight w:val="none"/>
        </w:rPr>
        <w:t>非公开招标项目询价评审</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记录表</w:t>
      </w:r>
    </w:p>
    <w:p>
      <w:pPr>
        <w:jc w:val="both"/>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sz w:val="28"/>
          <w:szCs w:val="28"/>
          <w:highlight w:val="none"/>
          <w:u w:val="none"/>
          <w:lang w:val="en-US" w:eastAsia="zh-CN"/>
        </w:rPr>
        <w:t xml:space="preserve"> </w:t>
      </w:r>
      <w:r>
        <w:rPr>
          <w:rFonts w:hint="eastAsia" w:ascii="仿宋" w:hAnsi="仿宋" w:eastAsia="仿宋" w:cs="仿宋_GB2312"/>
          <w:sz w:val="28"/>
          <w:szCs w:val="28"/>
          <w:highlight w:val="none"/>
          <w:u w:val="none"/>
          <w:lang w:val="en-US" w:eastAsia="zh-CN"/>
        </w:rPr>
        <w:t>广州市净水有限公司竹料分公司2021年厂区生产区域固定式气体检测仪安装项目</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rFonts w:hint="eastAsia"/>
          <w:highlight w:val="none"/>
        </w:rPr>
      </w:pPr>
      <w:r>
        <w:rPr>
          <w:rFonts w:hint="eastAsia"/>
          <w:highlight w:val="none"/>
        </w:rPr>
        <w:t>备注：1、审核情况填写“符合”或“不符合；或者打“√”或“×”。</w:t>
      </w:r>
    </w:p>
    <w:p>
      <w:pPr>
        <w:numPr>
          <w:ilvl w:val="0"/>
          <w:numId w:val="4"/>
        </w:numPr>
        <w:ind w:left="840" w:leftChars="300" w:hanging="210" w:hangingChars="100"/>
        <w:rPr>
          <w:rFonts w:hint="eastAsia"/>
          <w:highlight w:val="none"/>
        </w:rPr>
      </w:pPr>
      <w:r>
        <w:rPr>
          <w:rFonts w:hint="eastAsia" w:ascii="Times New Roman" w:hAnsi="Times New Roman" w:cs="Times New Roman"/>
          <w:highlight w:val="none"/>
        </w:rPr>
        <w:t>本</w:t>
      </w:r>
      <w:r>
        <w:rPr>
          <w:rFonts w:hint="eastAsia"/>
          <w:highlight w:val="none"/>
        </w:rPr>
        <w:t>表所有审核情况均为符合的，结论为报名成功。若有一项或以上审核情况为不符</w:t>
      </w:r>
    </w:p>
    <w:p>
      <w:pPr>
        <w:numPr>
          <w:ilvl w:val="0"/>
          <w:numId w:val="0"/>
        </w:numPr>
        <w:rPr>
          <w:rFonts w:hint="eastAsia"/>
        </w:rPr>
      </w:pPr>
      <w:r>
        <w:rPr>
          <w:rFonts w:hint="eastAsia"/>
          <w:highlight w:val="none"/>
        </w:rPr>
        <w:t>合的，结论为报名不成功。</w:t>
      </w:r>
    </w:p>
    <w:p>
      <w:pPr>
        <w:pStyle w:val="11"/>
        <w:adjustRightInd w:val="0"/>
        <w:snapToGrid w:val="0"/>
        <w:spacing w:line="30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highlight w:val="none"/>
          <w:lang w:val="en-US" w:eastAsia="zh-CN"/>
        </w:rPr>
        <w:t xml:space="preserve">第四部分 </w:t>
      </w:r>
      <w:r>
        <w:rPr>
          <w:rFonts w:hint="eastAsia" w:ascii="仿宋_GB2312" w:hAnsi="仿宋_GB2312" w:eastAsia="仿宋_GB2312" w:cs="仿宋_GB2312"/>
          <w:b/>
          <w:sz w:val="28"/>
          <w:szCs w:val="28"/>
          <w:highlight w:val="none"/>
          <w:lang w:val="zh-CN"/>
        </w:rPr>
        <w:t>合同书格式</w:t>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0" w:lineRule="atLeast"/>
        <w:rPr>
          <w:rFonts w:ascii="仿宋_GB2312" w:hAnsi="宋体" w:eastAsia="仿宋_GB2312"/>
          <w:b/>
          <w:sz w:val="30"/>
          <w:szCs w:val="30"/>
        </w:rPr>
      </w:pPr>
    </w:p>
    <w:p>
      <w:pPr>
        <w:pStyle w:val="2"/>
      </w:pPr>
    </w:p>
    <w:p>
      <w:pPr>
        <w:pStyle w:val="2"/>
      </w:pPr>
    </w:p>
    <w:p>
      <w:pPr>
        <w:pStyle w:val="2"/>
      </w:pPr>
    </w:p>
    <w:p>
      <w:pPr>
        <w:jc w:val="both"/>
        <w:rPr>
          <w:rFonts w:ascii="仿宋" w:hAnsi="仿宋" w:eastAsia="仿宋" w:cs="仿宋_GB2312"/>
          <w:color w:val="000000"/>
          <w:sz w:val="28"/>
          <w:szCs w:val="28"/>
          <w:highlight w:val="none"/>
        </w:rPr>
      </w:pPr>
      <w:r>
        <w:rPr>
          <w:rFonts w:hint="eastAsia" w:ascii="宋体" w:hAnsi="宋体" w:cs="宋体"/>
          <w:b/>
          <w:sz w:val="30"/>
          <w:szCs w:val="30"/>
        </w:rPr>
        <w:t xml:space="preserve">项目名称: </w:t>
      </w:r>
      <w:r>
        <w:rPr>
          <w:rFonts w:hint="eastAsia" w:ascii="仿宋" w:hAnsi="仿宋" w:eastAsia="仿宋" w:cs="仿宋_GB2312"/>
          <w:b/>
          <w:bCs/>
          <w:sz w:val="28"/>
          <w:szCs w:val="28"/>
          <w:highlight w:val="none"/>
          <w:u w:val="none"/>
          <w:lang w:val="en-US" w:eastAsia="zh-CN"/>
        </w:rPr>
        <w:t>广州市净水有限公司竹料分公司2021年厂区生产区域固定式气体检测仪安装项目</w:t>
      </w:r>
    </w:p>
    <w:p>
      <w:pPr>
        <w:spacing w:line="0" w:lineRule="atLeast"/>
        <w:rPr>
          <w:rFonts w:hint="eastAsia" w:ascii="宋体" w:hAnsi="宋体" w:cs="宋体"/>
          <w:b/>
          <w:sz w:val="30"/>
          <w:szCs w:val="30"/>
        </w:rPr>
      </w:pPr>
    </w:p>
    <w:p>
      <w:pPr>
        <w:pStyle w:val="2"/>
        <w:spacing w:line="400" w:lineRule="atLeast"/>
        <w:jc w:val="both"/>
        <w:rPr>
          <w:rFonts w:ascii="宋体" w:hAnsi="宋体" w:cs="宋体"/>
          <w:b/>
          <w:sz w:val="30"/>
          <w:szCs w:val="30"/>
        </w:rPr>
      </w:pPr>
      <w:r>
        <w:rPr>
          <w:rFonts w:hint="eastAsia" w:ascii="宋体" w:hAnsi="宋体" w:eastAsia="宋体" w:cs="宋体"/>
          <w:b/>
          <w:sz w:val="30"/>
          <w:szCs w:val="30"/>
          <w:lang w:val="en-US" w:eastAsia="zh-CN"/>
        </w:rPr>
        <w:t>项目编号：03092021000015</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0" w:firstLineChars="0"/>
        <w:rPr>
          <w:rFonts w:hint="eastAsia" w:ascii="宋体" w:hAnsi="宋体" w:cs="宋体"/>
          <w:b/>
          <w:sz w:val="24"/>
          <w:lang w:val="en-US" w:eastAsia="zh-CN"/>
        </w:rPr>
      </w:pPr>
      <w:r>
        <w:rPr>
          <w:rFonts w:hint="eastAsia" w:ascii="宋体" w:hAnsi="宋体"/>
          <w:b/>
          <w:sz w:val="52"/>
          <w:lang w:eastAsia="zh-CN"/>
        </w:rPr>
        <w:br w:type="textWrapping"/>
      </w:r>
      <w:r>
        <w:rPr>
          <w:rFonts w:hint="eastAsia" w:ascii="宋体" w:hAnsi="宋体" w:cs="宋体"/>
          <w:b/>
          <w:sz w:val="24"/>
          <w:lang w:val="en-US" w:eastAsia="zh-CN"/>
        </w:rPr>
        <w:t xml:space="preserve">    </w:t>
      </w:r>
    </w:p>
    <w:p>
      <w:pPr>
        <w:spacing w:beforeLines="30" w:line="384" w:lineRule="auto"/>
        <w:ind w:left="0" w:leftChars="0" w:firstLine="0" w:firstLineChars="0"/>
        <w:rPr>
          <w:rFonts w:ascii="宋体" w:hAnsi="宋体" w:cs="宋体"/>
          <w:sz w:val="24"/>
        </w:rPr>
      </w:pPr>
      <w:r>
        <w:rPr>
          <w:rFonts w:hint="eastAsia" w:ascii="宋体" w:hAnsi="宋体" w:cs="宋体"/>
          <w:b/>
          <w:sz w:val="24"/>
          <w:lang w:val="en-US" w:eastAsia="zh-CN"/>
        </w:rPr>
        <w:t xml:space="preserve">    </w:t>
      </w: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val="en-US" w:eastAsia="zh-CN"/>
        </w:rPr>
        <w:t xml:space="preserve">    </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jc w:val="both"/>
        <w:rPr>
          <w:rFonts w:ascii="仿宋" w:hAnsi="仿宋" w:eastAsia="仿宋" w:cs="仿宋_GB2312"/>
          <w:color w:val="000000"/>
          <w:sz w:val="28"/>
          <w:szCs w:val="28"/>
          <w:highlight w:val="none"/>
        </w:rPr>
      </w:pPr>
      <w:r>
        <w:rPr>
          <w:rFonts w:hint="eastAsia" w:ascii="宋体" w:hAnsi="宋体" w:cs="宋体"/>
          <w:sz w:val="24"/>
        </w:rPr>
        <w:t>2.1项目名称</w:t>
      </w:r>
      <w:r>
        <w:rPr>
          <w:rFonts w:hint="eastAsia" w:ascii="宋体" w:hAnsi="宋体" w:eastAsia="宋体" w:cs="宋体"/>
          <w:sz w:val="24"/>
          <w:szCs w:val="24"/>
        </w:rPr>
        <w:t>：</w:t>
      </w:r>
      <w:r>
        <w:rPr>
          <w:rFonts w:hint="eastAsia" w:ascii="宋体" w:hAnsi="宋体" w:eastAsia="宋体" w:cs="宋体"/>
          <w:sz w:val="24"/>
          <w:szCs w:val="24"/>
          <w:highlight w:val="none"/>
          <w:u w:val="single"/>
          <w:lang w:val="en-US" w:eastAsia="zh-CN"/>
        </w:rPr>
        <w:t>广州市净水有限公司竹料分公司2021年厂区生产区域固定式气体检测仪安装项目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eastAsia="宋体" w:cs="宋体"/>
          <w:kern w:val="2"/>
          <w:sz w:val="24"/>
          <w:szCs w:val="22"/>
          <w:highlight w:val="none"/>
          <w:u w:val="single"/>
        </w:rPr>
        <w:t>广州市白云区钟落潭镇竹料竹二兰桂街100号</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color w:val="auto"/>
          <w:sz w:val="24"/>
          <w:u w:val="single"/>
          <w:lang w:val="en-US" w:eastAsia="zh-CN"/>
        </w:rPr>
        <w:t>详细见附件</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0"/>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shd w:val="clear" w:color="auto" w:fill="auto"/>
        </w:rPr>
      </w:pPr>
      <w:r>
        <w:rPr>
          <w:rFonts w:hint="eastAsia" w:ascii="宋体" w:hAnsi="宋体" w:cs="宋体"/>
          <w:szCs w:val="21"/>
          <w:highlight w:val="none"/>
          <w:shd w:val="clear" w:color="auto" w:fill="auto"/>
        </w:rPr>
        <w:sym w:font="Wingdings 2" w:char="00A3"/>
      </w:r>
      <w:r>
        <w:rPr>
          <w:rFonts w:hint="eastAsia" w:ascii="宋体" w:hAnsi="宋体" w:cs="宋体"/>
          <w:sz w:val="24"/>
          <w:highlight w:val="none"/>
          <w:shd w:val="clear" w:color="auto" w:fill="auto"/>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w:t>
      </w:r>
      <w:r>
        <w:rPr>
          <w:rFonts w:hint="eastAsia" w:ascii="宋体" w:hAnsi="宋体" w:cs="宋体"/>
          <w:bCs/>
          <w:sz w:val="24"/>
          <w:highlight w:val="none"/>
          <w:u w:val="single"/>
        </w:rPr>
        <w:t>（</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30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lang w:val="en-US" w:eastAsia="zh-CN"/>
        </w:rPr>
        <w:t xml:space="preserve"> 20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none"/>
        </w:rPr>
        <w:t>_</w:t>
      </w:r>
      <w:r>
        <w:rPr>
          <w:rFonts w:hint="eastAsia" w:ascii="宋体" w:hAnsi="宋体" w:cs="宋体"/>
          <w:bCs/>
          <w:sz w:val="24"/>
          <w:highlight w:val="none"/>
          <w:u w:val="single"/>
          <w:lang w:val="en-US" w:eastAsia="zh-CN"/>
        </w:rPr>
        <w:t>20</w:t>
      </w:r>
      <w:r>
        <w:rPr>
          <w:rFonts w:ascii="宋体" w:hAnsi="宋体" w:cs="宋体"/>
          <w:bCs/>
          <w:sz w:val="24"/>
          <w:highlight w:val="non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hint="eastAsia" w:ascii="宋体" w:hAnsi="宋体" w:cs="宋体"/>
          <w:bCs/>
          <w:sz w:val="24"/>
        </w:rPr>
        <w:sym w:font="Wingdings 2" w:char="0052"/>
      </w:r>
      <w:r>
        <w:rPr>
          <w:rFonts w:hint="eastAsia" w:ascii="宋体" w:hAnsi="宋体" w:cs="宋体"/>
          <w:bCs/>
          <w:sz w:val="24"/>
        </w:rPr>
        <w:t>无；</w:t>
      </w:r>
      <w:r>
        <w:rPr>
          <w:rFonts w:hint="eastAsia" w:ascii="宋体" w:hAnsi="宋体" w:cs="宋体"/>
          <w:bCs/>
          <w:sz w:val="24"/>
        </w:rPr>
        <w:sym w:font="Wingdings 2" w:char="00A3"/>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hint="eastAsia" w:ascii="宋体" w:hAnsi="宋体" w:cs="宋体"/>
          <w:sz w:val="24"/>
        </w:rPr>
        <w:t>即</w:t>
      </w:r>
      <w:r>
        <w:rPr>
          <w:rFonts w:hint="eastAsia" w:ascii="宋体" w:hAnsi="宋体" w:cs="宋体"/>
          <w:sz w:val="24"/>
          <w:u w:val="single"/>
          <w:lang w:val="en-US" w:eastAsia="zh-CN"/>
        </w:rPr>
        <w:t xml:space="preserve">  /  </w:t>
      </w:r>
      <w:r>
        <w:rPr>
          <w:rFonts w:hint="eastAsia" w:ascii="宋体" w:hAnsi="宋体" w:cs="宋体"/>
          <w:sz w:val="24"/>
          <w:u w:val="single"/>
        </w:rPr>
        <w:t>元，（大写：</w:t>
      </w:r>
      <w:r>
        <w:rPr>
          <w:rFonts w:hint="eastAsia" w:ascii="宋体" w:hAnsi="宋体" w:cs="宋体"/>
          <w:sz w:val="24"/>
          <w:u w:val="single"/>
          <w:lang w:val="en-US" w:eastAsia="zh-CN"/>
        </w:rPr>
        <w:t xml:space="preserve">   /  </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highlight w:val="none"/>
          <w:u w:val="single"/>
          <w:lang w:val="en-US" w:eastAsia="zh-CN"/>
        </w:rPr>
        <w:t xml:space="preserve"> 广州市净水有限公司竹料分公司</w:t>
      </w:r>
      <w:r>
        <w:rPr>
          <w:rFonts w:hint="eastAsia" w:hAnsi="宋体" w:cs="宋体"/>
          <w:sz w:val="24"/>
          <w:szCs w:val="24"/>
          <w:u w:val="single"/>
          <w:lang w:val="en-US" w:eastAsia="zh-CN"/>
        </w:rPr>
        <w:t xml:space="preserve">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7"/>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7"/>
        <w:spacing w:before="0" w:beforeAutospacing="0" w:after="0" w:afterAutospacing="0" w:line="360" w:lineRule="auto"/>
        <w:ind w:firstLine="480"/>
      </w:pPr>
      <w:r>
        <w:rPr>
          <w:rFonts w:hint="eastAsia"/>
        </w:rPr>
        <w:t>（1）符合甲方要求（详见附件7保函格式）的银行独立保函，</w:t>
      </w:r>
    </w:p>
    <w:p>
      <w:pPr>
        <w:pStyle w:val="17"/>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7"/>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广州市净水有限公司竹料分公司</w:t>
      </w:r>
    </w:p>
    <w:p>
      <w:pPr>
        <w:numPr>
          <w:ilvl w:val="0"/>
          <w:numId w:val="5"/>
        </w:numPr>
        <w:spacing w:before="120" w:afterLines="50" w:line="384" w:lineRule="auto"/>
        <w:ind w:firstLine="482" w:firstLineChars="200"/>
        <w:jc w:val="left"/>
        <w:rPr>
          <w:rFonts w:ascii="宋体" w:hAnsi="宋体" w:cs="宋体"/>
          <w:b/>
          <w:bCs/>
          <w:sz w:val="24"/>
        </w:rPr>
      </w:pPr>
      <w:bookmarkStart w:id="0" w:name="_Toc520190034"/>
      <w:bookmarkStart w:id="1" w:name="_Toc518992994"/>
      <w:bookmarkStart w:id="2" w:name="_Toc474245220"/>
      <w:r>
        <w:rPr>
          <w:rFonts w:hint="eastAsia" w:ascii="宋体" w:hAnsi="宋体" w:cs="宋体"/>
          <w:b/>
          <w:bCs/>
          <w:sz w:val="24"/>
        </w:rPr>
        <w:t>质量保证</w:t>
      </w:r>
      <w:bookmarkEnd w:id="0"/>
      <w:bookmarkEnd w:id="1"/>
      <w:bookmarkEnd w:id="2"/>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3" w:name="_Toc306350467"/>
      <w:bookmarkStart w:id="4" w:name="_Toc518993000"/>
      <w:bookmarkStart w:id="5" w:name="_Toc183666531"/>
      <w:bookmarkStart w:id="6" w:name="_Toc107446862"/>
      <w:bookmarkStart w:id="7" w:name="_Toc107447255"/>
      <w:bookmarkStart w:id="8" w:name="_Toc520190040"/>
      <w:bookmarkStart w:id="9" w:name="_Toc474245226"/>
      <w:bookmarkStart w:id="10" w:name="_Toc19692"/>
      <w:r>
        <w:rPr>
          <w:rFonts w:hint="eastAsia" w:ascii="宋体" w:hAnsi="宋体" w:cs="宋体"/>
          <w:b/>
          <w:bCs/>
          <w:sz w:val="24"/>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rPr>
      </w:pPr>
      <w:bookmarkStart w:id="11" w:name="_Toc183666532"/>
      <w:bookmarkStart w:id="12" w:name="_Toc12010"/>
      <w:bookmarkStart w:id="13"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474245227"/>
      <w:bookmarkStart w:id="15" w:name="_Toc107447257"/>
      <w:bookmarkStart w:id="16" w:name="_Toc118172294"/>
      <w:bookmarkStart w:id="17" w:name="_Toc107446864"/>
      <w:bookmarkStart w:id="18" w:name="_Toc518993001"/>
      <w:bookmarkStart w:id="19" w:name="_Toc52019004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rPr>
      </w:pPr>
      <w:bookmarkStart w:id="20" w:name="_Toc183666533"/>
      <w:bookmarkStart w:id="21"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474245229"/>
      <w:bookmarkStart w:id="23" w:name="_Toc518993003"/>
      <w:bookmarkStart w:id="24"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5" w:name="_Toc107446871"/>
      <w:bookmarkStart w:id="26" w:name="_Toc107447264"/>
      <w:r>
        <w:rPr>
          <w:rFonts w:hint="eastAsia" w:ascii="宋体" w:hAnsi="宋体" w:cs="宋体"/>
          <w:b/>
          <w:bCs/>
          <w:sz w:val="24"/>
        </w:rPr>
        <w:t>合同生效及其他</w:t>
      </w:r>
      <w:bookmarkEnd w:id="22"/>
      <w:bookmarkEnd w:id="23"/>
      <w:bookmarkEnd w:id="24"/>
      <w:bookmarkEnd w:id="25"/>
      <w:bookmarkEnd w:id="26"/>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仿宋_GB2312" w:hAnsi="宋体" w:eastAsia="仿宋_GB2312"/>
          <w:b/>
          <w:sz w:val="24"/>
          <w:lang w:val="en-US" w:eastAsia="zh-CN"/>
        </w:rPr>
      </w:pPr>
      <w:r>
        <w:rPr>
          <w:rFonts w:hint="eastAsia" w:ascii="仿宋_GB2312" w:hAnsi="宋体" w:eastAsia="仿宋_GB2312"/>
          <w:b/>
          <w:sz w:val="24"/>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eastAsia" w:ascii="宋体" w:hAnsi="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ind w:firstLine="720" w:firstLineChars="300"/>
        <w:rPr>
          <w:rFonts w:hint="default"/>
          <w:lang w:val="en-US" w:eastAsia="zh-CN"/>
        </w:rPr>
      </w:pPr>
      <w:r>
        <w:rPr>
          <w:rFonts w:hint="eastAsia" w:ascii="宋体" w:hAnsi="宋体" w:cs="宋体"/>
          <w:sz w:val="24"/>
          <w:lang w:val="en-US" w:eastAsia="zh-CN"/>
        </w:rPr>
        <w:t>5.防疫管理协议书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7</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8</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9.</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.授权委托证明（如需）</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中标通知书/发包通知书/委托函（如有）</w:t>
      </w:r>
    </w:p>
    <w:p>
      <w:pPr>
        <w:spacing w:line="360" w:lineRule="auto"/>
        <w:jc w:val="both"/>
        <w:rPr>
          <w:rFonts w:hint="eastAsia" w:ascii="宋体" w:hAnsi="宋体" w:cs="宋体"/>
          <w:b/>
          <w:bCs/>
          <w:color w:val="auto"/>
          <w:szCs w:val="21"/>
        </w:rPr>
      </w:pPr>
      <w:bookmarkStart w:id="27" w:name="_Toc389815031"/>
      <w:bookmarkStart w:id="28" w:name="_Toc389815339"/>
      <w:bookmarkStart w:id="29" w:name="_Toc387080836"/>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ind w:left="0" w:leftChars="0" w:firstLine="0" w:firstLineChars="0"/>
        <w:rPr>
          <w:rFonts w:hint="eastAsia" w:ascii="仿宋_GB2312" w:hAnsi="仿宋_GB2312" w:eastAsia="仿宋_GB2312" w:cs="仿宋_GB2312"/>
          <w:b w:val="0"/>
          <w:bCs/>
          <w:color w:val="auto"/>
          <w:sz w:val="28"/>
          <w:szCs w:val="28"/>
          <w:highlight w:val="none"/>
        </w:rPr>
      </w:pPr>
    </w:p>
    <w:p>
      <w:pPr>
        <w:pStyle w:val="19"/>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7"/>
      <w:bookmarkEnd w:id="28"/>
      <w:bookmarkEnd w:id="29"/>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5</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3"/>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3"/>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5"/>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20"/>
        <w:tblW w:w="9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9"/>
        <w:gridCol w:w="4182"/>
        <w:gridCol w:w="500"/>
        <w:gridCol w:w="113"/>
        <w:gridCol w:w="1025"/>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23"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65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50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3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6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0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23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高密池控制间(1台气体检测仪主机)</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生物反应池(2个气体检测仪探头)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污泥干化车间(1个气体检测仪探头)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高密池细格栅(1个气体检测仪探头)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药剂制备控制室(1台气体检测仪主机)</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药剂制备间(1个气体检测仪探头)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接触消毒池(1个气体检测仪探头)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室外工程</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8943.78元 </w:t>
            </w: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264"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0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523"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51" w:type="dxa"/>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00"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spacing w:line="360" w:lineRule="auto"/>
        <w:rPr>
          <w:rFonts w:ascii="宋体" w:hAnsi="宋体" w:cs="宋体"/>
          <w:sz w:val="24"/>
        </w:rPr>
      </w:pPr>
    </w:p>
    <w:tbl>
      <w:tblPr>
        <w:tblStyle w:val="20"/>
        <w:tblpPr w:leftFromText="180" w:rightFromText="180" w:vertAnchor="text" w:horzAnchor="page" w:tblpXSpec="center" w:tblpY="489"/>
        <w:tblOverlap w:val="never"/>
        <w:tblW w:w="10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4"/>
        <w:gridCol w:w="1290"/>
        <w:gridCol w:w="1334"/>
        <w:gridCol w:w="2712"/>
        <w:gridCol w:w="368"/>
        <w:gridCol w:w="595"/>
        <w:gridCol w:w="855"/>
        <w:gridCol w:w="122"/>
        <w:gridCol w:w="885"/>
        <w:gridCol w:w="97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698"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95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194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61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8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92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61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61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高密池控制间(1台气体检测仪主机)</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第三方通信设备接口</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2.类别:CPU ST20 集成一个 RS485接口</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1.名称:DP接头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1P 6ES7 972-0BA12-0XA0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1.名称:空气开关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2.规格:C65N 1P+N 2A</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030402010001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避雷器</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1.名称:信号防雷器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2.规格:SR-E06V/2S</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1.名称:气体检测仪主机电源电缆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2.规格:RVV3x1.5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2.规格:6XV1830-0EH10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2.规格:RVV10x1.0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1.名称:气体检测仪主机及ST20(甲供设备)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1.名称:PLC通讯程序及中控HMI程序编写</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现场总线调试</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现场调试及数据比对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高密池控制间(1台气体检测仪主机)合计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粗格栅(1个气体检测仪探头)</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tbl>
      <w:tblPr>
        <w:tblStyle w:val="20"/>
        <w:tblW w:w="10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4"/>
        <w:gridCol w:w="1289"/>
        <w:gridCol w:w="1335"/>
        <w:gridCol w:w="3080"/>
        <w:gridCol w:w="595"/>
        <w:gridCol w:w="855"/>
        <w:gridCol w:w="1007"/>
        <w:gridCol w:w="975"/>
        <w:gridCol w:w="945"/>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粗格栅(1个气体检测仪探头)合计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细格栅(1个气体检测仪探头)</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粤030507021001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气体检测仪探头固定支架</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1.名称:气体检测仪探头固定支架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 304不锈钢材质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细格栅(1个气体检测仪探头)合计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生物反应池(2个气体检测仪探头)</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生物反应池(2个气体检测仪探头)合计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污泥干化车间(1个气体检测仪探头)</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污泥干化车间(1个气体检测仪探头)合计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高密池细格栅(1个气体检测仪探头)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粤030507021005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气体检测仪探头固定支架</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1.名称:气体检测仪探头固定支架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 304不锈钢材质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高密池细格栅(1个气体检测仪探头)合计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药剂制备控制室(1台气体检测仪主机)</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第三方通信设备接口</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2.类别:CPU ST20 集成一个 RS485接口</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1.名称:DP接头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1P 6ES7 972-0BA12-0XA0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1.名称:空气开关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2.规格:C65N 1P+N 2A</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030402010002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避雷器</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1.名称:信号防雷器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2.规格:SR-E06V/2S</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1.名称:气体检测仪主机电源电缆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2.规格:RVV3x1.5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2.规格:6XV1830-0EH10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2.规格:RVV10x1.0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2.规格:6类屏蔽</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1.名称:气体检测仪主机及ST20(甲供设备)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1.名称:PLC通讯程序及中控HMI程序编写</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030608009002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现场总线调试</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现场调试及数据比对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1.测试类别:4对双绞线缆测试 五类以上</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药剂制备控制室(1台气体检测仪主机)合计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7"/>
        <w:rPr>
          <w:rFonts w:ascii="宋体" w:hAnsi="宋体" w:cs="宋体"/>
          <w:sz w:val="24"/>
        </w:rPr>
      </w:pPr>
    </w:p>
    <w:tbl>
      <w:tblPr>
        <w:tblStyle w:val="20"/>
        <w:tblW w:w="10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4"/>
        <w:gridCol w:w="1289"/>
        <w:gridCol w:w="1335"/>
        <w:gridCol w:w="3080"/>
        <w:gridCol w:w="595"/>
        <w:gridCol w:w="855"/>
        <w:gridCol w:w="1007"/>
        <w:gridCol w:w="97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药剂制备间(1个气体检测仪探头)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7"/>
        <w:rPr>
          <w:rFonts w:ascii="宋体" w:hAnsi="宋体" w:cs="宋体"/>
          <w:sz w:val="24"/>
        </w:rPr>
      </w:pPr>
    </w:p>
    <w:tbl>
      <w:tblPr>
        <w:tblStyle w:val="20"/>
        <w:tblW w:w="10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4"/>
        <w:gridCol w:w="1289"/>
        <w:gridCol w:w="1335"/>
        <w:gridCol w:w="3080"/>
        <w:gridCol w:w="595"/>
        <w:gridCol w:w="855"/>
        <w:gridCol w:w="1007"/>
        <w:gridCol w:w="975"/>
        <w:gridCol w:w="945"/>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药剂制备间(1个气体检测仪探头)合计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接触消毒池(1个气体检测仪探头)</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接触消毒池(1个气体检测仪探头)合计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室外工程</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1.种类:揭水泥板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2.规格:单块60*150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1.种类:盖水泥板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2.规格:单块60*150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1.土壤类别:以地质勘查报告为准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133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1.密实度要求:夯填，密实度符合设计要求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2.填方材料品种:原土回填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3.填方来源、运距:根据现场实际情况综合考虑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108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1.废弃料品种:余泥渣土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2.运距:根据现场实际情况综合考虑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3.其他:综合考虑消纳排放费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36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室外工程合计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1.脚手架搭拆费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7"/>
        <w:rPr>
          <w:rFonts w:ascii="宋体" w:hAnsi="宋体" w:cs="宋体"/>
          <w:sz w:val="24"/>
        </w:rPr>
      </w:pPr>
    </w:p>
    <w:p>
      <w:pPr>
        <w:pStyle w:val="7"/>
        <w:rPr>
          <w:rFonts w:ascii="宋体" w:hAnsi="宋体" w:cs="宋体"/>
          <w:sz w:val="24"/>
        </w:rPr>
      </w:pPr>
    </w:p>
    <w:tbl>
      <w:tblPr>
        <w:tblStyle w:val="20"/>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3"/>
        <w:gridCol w:w="2"/>
        <w:gridCol w:w="1438"/>
        <w:gridCol w:w="2"/>
        <w:gridCol w:w="1796"/>
        <w:gridCol w:w="4"/>
        <w:gridCol w:w="1419"/>
        <w:gridCol w:w="6"/>
        <w:gridCol w:w="534"/>
        <w:gridCol w:w="263"/>
        <w:gridCol w:w="6"/>
        <w:gridCol w:w="924"/>
        <w:gridCol w:w="6"/>
        <w:gridCol w:w="414"/>
        <w:gridCol w:w="472"/>
        <w:gridCol w:w="7"/>
        <w:gridCol w:w="892"/>
        <w:gridCol w:w="8"/>
        <w:gridCol w:w="1409"/>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10305"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90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161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8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825" w:hRule="atLeast"/>
        </w:trPr>
        <w:tc>
          <w:tcPr>
            <w:tcW w:w="70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4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2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0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9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9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17"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159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hint="eastAsia"/>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8943.78 </w:t>
            </w: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108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261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9" w:type="dxa"/>
          <w:trHeight w:val="825"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108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2355"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1080" w:hRule="atLeast"/>
        </w:trPr>
        <w:tc>
          <w:tcPr>
            <w:tcW w:w="70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4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9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42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8"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7"/>
        <w:rPr>
          <w:rFonts w:ascii="宋体" w:hAnsi="宋体" w:cs="宋体"/>
          <w:sz w:val="24"/>
        </w:rPr>
      </w:pPr>
    </w:p>
    <w:p>
      <w:pPr>
        <w:pStyle w:val="7"/>
        <w:rPr>
          <w:rFonts w:ascii="宋体" w:hAnsi="宋体" w:cs="宋体"/>
          <w:sz w:val="24"/>
        </w:rPr>
      </w:pPr>
    </w:p>
    <w:tbl>
      <w:tblPr>
        <w:tblStyle w:val="20"/>
        <w:tblW w:w="8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2"/>
        <w:gridCol w:w="2249"/>
        <w:gridCol w:w="870"/>
        <w:gridCol w:w="720"/>
        <w:gridCol w:w="750"/>
        <w:gridCol w:w="630"/>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193"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429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147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3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17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0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7"/>
        <w:rPr>
          <w:rFonts w:ascii="宋体" w:hAnsi="宋体" w:cs="宋体"/>
          <w:sz w:val="24"/>
        </w:rPr>
      </w:pPr>
    </w:p>
    <w:p>
      <w:pPr>
        <w:pStyle w:val="7"/>
        <w:rPr>
          <w:rFonts w:ascii="宋体" w:hAnsi="宋体" w:cs="宋体"/>
          <w:sz w:val="24"/>
        </w:rPr>
      </w:pPr>
    </w:p>
    <w:tbl>
      <w:tblPr>
        <w:tblStyle w:val="20"/>
        <w:tblW w:w="10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5"/>
        <w:gridCol w:w="1815"/>
        <w:gridCol w:w="3150"/>
        <w:gridCol w:w="1485"/>
        <w:gridCol w:w="35"/>
        <w:gridCol w:w="126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2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98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15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6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0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2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0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0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7"/>
        <w:rPr>
          <w:rFonts w:ascii="宋体" w:hAnsi="宋体" w:cs="宋体"/>
          <w:sz w:val="24"/>
        </w:rPr>
      </w:pPr>
    </w:p>
    <w:p>
      <w:pPr>
        <w:pStyle w:val="7"/>
        <w:rPr>
          <w:rFonts w:ascii="宋体" w:hAnsi="宋体" w:cs="宋体"/>
          <w:sz w:val="24"/>
        </w:rPr>
      </w:pPr>
    </w:p>
    <w:p>
      <w:pPr>
        <w:pStyle w:val="7"/>
        <w:rPr>
          <w:rFonts w:ascii="宋体" w:hAnsi="宋体" w:cs="宋体"/>
          <w:sz w:val="24"/>
        </w:rPr>
      </w:pPr>
    </w:p>
    <w:p>
      <w:pPr>
        <w:pStyle w:val="2"/>
        <w:rPr>
          <w:rFonts w:ascii="宋体" w:hAnsi="宋体" w:cs="宋体"/>
          <w:b/>
          <w:bCs/>
          <w:szCs w:val="21"/>
        </w:rPr>
      </w:pPr>
    </w:p>
    <w:p>
      <w:pPr>
        <w:pStyle w:val="2"/>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7"/>
        <w:rPr>
          <w:rFonts w:cs="仿宋_GB2312" w:asciiTheme="minorEastAsia" w:hAnsiTheme="minorEastAsia" w:eastAsiaTheme="minorEastAsia"/>
          <w:sz w:val="24"/>
        </w:rPr>
      </w:pPr>
    </w:p>
    <w:p>
      <w:pPr>
        <w:pStyle w:val="7"/>
        <w:rPr>
          <w:rFonts w:cs="仿宋_GB2312" w:asciiTheme="minorEastAsia" w:hAnsiTheme="minorEastAsia" w:eastAsiaTheme="minorEastAsia"/>
          <w:sz w:val="24"/>
        </w:rPr>
      </w:pPr>
    </w:p>
    <w:p>
      <w:pPr>
        <w:pStyle w:val="7"/>
        <w:rPr>
          <w:rFonts w:cs="仿宋_GB2312" w:asciiTheme="minorEastAsia" w:hAnsiTheme="minorEastAsia" w:eastAsiaTheme="minorEastAsia"/>
          <w:sz w:val="24"/>
        </w:rPr>
      </w:pPr>
    </w:p>
    <w:p>
      <w:pPr>
        <w:pStyle w:val="7"/>
        <w:rPr>
          <w:rFonts w:cs="仿宋_GB2312" w:asciiTheme="minorEastAsia" w:hAnsiTheme="minorEastAsia" w:eastAsiaTheme="minorEastAsia"/>
          <w:sz w:val="24"/>
        </w:rPr>
      </w:pPr>
    </w:p>
    <w:p>
      <w:pPr>
        <w:pStyle w:val="7"/>
        <w:rPr>
          <w:rFonts w:cs="仿宋_GB2312" w:asciiTheme="minorEastAsia" w:hAnsiTheme="minorEastAsia" w:eastAsiaTheme="minorEastAsia"/>
          <w:sz w:val="24"/>
        </w:rPr>
      </w:pPr>
    </w:p>
    <w:p>
      <w:pPr>
        <w:pStyle w:val="5"/>
        <w:spacing w:line="360" w:lineRule="auto"/>
        <w:jc w:val="center"/>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1"/>
        <w:tabs>
          <w:tab w:val="left" w:pos="1260"/>
        </w:tabs>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1"/>
        <w:jc w:val="center"/>
        <w:rPr>
          <w:rFonts w:ascii="仿宋" w:hAnsi="仿宋" w:eastAsia="仿宋" w:cs="仿宋_GB2312"/>
          <w:b/>
          <w:sz w:val="28"/>
          <w:szCs w:val="28"/>
          <w:highlight w:val="none"/>
        </w:rPr>
      </w:pPr>
    </w:p>
    <w:p>
      <w:pPr>
        <w:pStyle w:val="11"/>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1"/>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pStyle w:val="11"/>
        <w:jc w:val="center"/>
        <w:rPr>
          <w:rFonts w:ascii="仿宋" w:hAnsi="仿宋" w:eastAsia="仿宋" w:cs="仿宋_GB2312"/>
          <w:b/>
          <w:sz w:val="28"/>
          <w:szCs w:val="28"/>
          <w:highlight w:val="none"/>
        </w:rPr>
      </w:pPr>
    </w:p>
    <w:p>
      <w:pPr>
        <w:pStyle w:val="11"/>
        <w:jc w:val="center"/>
        <w:rPr>
          <w:rFonts w:ascii="仿宋" w:hAnsi="仿宋" w:eastAsia="仿宋" w:cs="仿宋_GB2312"/>
          <w:b/>
          <w:sz w:val="28"/>
          <w:szCs w:val="28"/>
          <w:highlight w:val="none"/>
        </w:rPr>
      </w:pPr>
    </w:p>
    <w:p>
      <w:pPr>
        <w:pStyle w:val="2"/>
        <w:spacing w:line="360" w:lineRule="auto"/>
        <w:ind w:firstLine="840" w:firstLineChars="3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项目编号（包、组号）：</w:t>
      </w:r>
    </w:p>
    <w:p>
      <w:pPr>
        <w:ind w:firstLine="840" w:firstLineChars="300"/>
        <w:jc w:val="both"/>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pPr>
      <w:r>
        <w:rPr>
          <w:rFonts w:hint="eastAsia" w:ascii="仿宋" w:hAnsi="仿宋" w:eastAsia="仿宋" w:cs="仿宋_GB2312"/>
          <w:sz w:val="28"/>
          <w:szCs w:val="28"/>
          <w:highlight w:val="none"/>
        </w:rPr>
        <w:t>项目名称：</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广州市净水有限公司2021年竹料分公司厂区生产区域</w:t>
      </w:r>
    </w:p>
    <w:p>
      <w:pPr>
        <w:pStyle w:val="10"/>
        <w:spacing w:line="360" w:lineRule="auto"/>
        <w:ind w:left="0" w:leftChars="0" w:firstLine="900" w:firstLineChars="300"/>
        <w:rPr>
          <w:rFonts w:ascii="仿宋" w:hAnsi="仿宋" w:eastAsia="仿宋" w:cs="仿宋_GB2312"/>
          <w:sz w:val="28"/>
          <w:szCs w:val="28"/>
          <w:highlight w:val="none"/>
          <w:u w:val="single"/>
        </w:rPr>
      </w:pP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固定式气体检测仪安装项目</w:t>
      </w:r>
    </w:p>
    <w:p>
      <w:pPr>
        <w:pStyle w:val="11"/>
        <w:ind w:firstLine="843" w:firstLineChars="300"/>
        <w:rPr>
          <w:rFonts w:ascii="仿宋" w:hAnsi="仿宋" w:eastAsia="仿宋" w:cs="仿宋_GB2312"/>
          <w:b/>
          <w:sz w:val="28"/>
          <w:szCs w:val="28"/>
          <w:highlight w:val="none"/>
        </w:rPr>
      </w:pPr>
    </w:p>
    <w:p>
      <w:pPr>
        <w:tabs>
          <w:tab w:val="left" w:pos="420"/>
          <w:tab w:val="left" w:pos="6660"/>
        </w:tabs>
        <w:spacing w:line="1600" w:lineRule="atLeast"/>
        <w:ind w:firstLine="843" w:firstLineChars="300"/>
        <w:jc w:val="both"/>
        <w:rPr>
          <w:rFonts w:hint="eastAsia" w:ascii="仿宋" w:hAnsi="仿宋" w:eastAsia="仿宋" w:cs="仿宋_GB2312"/>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spacing w:line="360" w:lineRule="auto"/>
        <w:ind w:firstLine="3117" w:firstLineChars="1109"/>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autoSpaceDE w:val="0"/>
        <w:autoSpaceDN w:val="0"/>
        <w:adjustRightInd w:val="0"/>
        <w:jc w:val="center"/>
        <w:rPr>
          <w:rFonts w:ascii="仿宋" w:hAnsi="仿宋" w:eastAsia="仿宋" w:cs="仿宋_GB2312"/>
          <w:szCs w:val="21"/>
          <w:highlight w:val="none"/>
        </w:rPr>
        <w:sectPr>
          <w:headerReference r:id="rId6" w:type="default"/>
          <w:footerReference r:id="rId8" w:type="default"/>
          <w:headerReference r:id="rId7"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highlight w:val="none"/>
        </w:rPr>
      </w:pPr>
      <w:r>
        <w:rPr>
          <w:rFonts w:hint="eastAsia" w:ascii="仿宋" w:hAnsi="仿宋" w:eastAsia="仿宋" w:cs="仿宋_GB2312"/>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联系电话</w:t>
      </w:r>
      <w:r>
        <w:rPr>
          <w:rFonts w:hint="eastAsia" w:ascii="仿宋" w:hAnsi="仿宋" w:eastAsia="仿宋" w:cs="仿宋_GB2312"/>
          <w:color w:val="000000"/>
          <w:sz w:val="28"/>
          <w:szCs w:val="28"/>
          <w:highlight w:val="none"/>
        </w:rPr>
        <w:t>：</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9"/>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2.现我方承诺：</w:t>
      </w:r>
      <w:r>
        <w:rPr>
          <w:rFonts w:hint="eastAsia" w:ascii="仿宋" w:hAnsi="仿宋" w:eastAsia="仿宋" w:cs="仿宋_GB2312"/>
          <w:kern w:val="0"/>
          <w:sz w:val="24"/>
          <w:highlight w:val="none"/>
        </w:rPr>
        <w:t>愿以人民币元（小写：</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元）</w:t>
      </w:r>
      <w:r>
        <w:rPr>
          <w:rFonts w:hint="eastAsia" w:ascii="仿宋" w:hAnsi="仿宋" w:eastAsia="仿宋"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7"/>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7"/>
        <w:ind w:firstLine="496"/>
        <w:rPr>
          <w:rFonts w:ascii="仿宋" w:hAnsi="仿宋" w:eastAsia="仿宋" w:cs="仿宋_GB2312"/>
          <w:highlight w:val="none"/>
        </w:rPr>
      </w:pPr>
    </w:p>
    <w:p>
      <w:pPr>
        <w:pStyle w:val="27"/>
        <w:ind w:firstLine="496"/>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7"/>
        <w:ind w:firstLine="496"/>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日    </w:t>
      </w:r>
    </w:p>
    <w:p>
      <w:pPr>
        <w:pStyle w:val="27"/>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20"/>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spacing w:line="360" w:lineRule="auto"/>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eastAsia" w:ascii="仿宋" w:hAnsi="仿宋" w:eastAsia="仿宋" w:cs="仿宋_GB2312"/>
          <w:b/>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5工程量清单</w:t>
      </w:r>
    </w:p>
    <w:p>
      <w:pPr>
        <w:pStyle w:val="2"/>
        <w:rPr>
          <w:rFonts w:hint="default"/>
          <w:lang w:val="en-US" w:eastAsia="zh-CN"/>
        </w:rPr>
      </w:pPr>
    </w:p>
    <w:p>
      <w:pPr>
        <w:spacing w:line="360" w:lineRule="auto"/>
        <w:jc w:val="center"/>
        <w:rPr>
          <w:rFonts w:ascii="宋体" w:hAnsi="宋体" w:cs="宋体"/>
          <w:b/>
          <w:sz w:val="28"/>
          <w:szCs w:val="28"/>
        </w:rPr>
      </w:pPr>
    </w:p>
    <w:tbl>
      <w:tblPr>
        <w:tblStyle w:val="20"/>
        <w:tblW w:w="9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9"/>
        <w:gridCol w:w="4182"/>
        <w:gridCol w:w="500"/>
        <w:gridCol w:w="113"/>
        <w:gridCol w:w="1025"/>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523"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5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50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3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46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0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23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高密池控制间(1台气体检测仪主机)</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生物反应池(2个气体检测仪探头)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污泥干化车间(1个气体检测仪探头)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高密池细格栅(1个气体检测仪探头)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药剂制备控制室(1台气体检测仪主机)</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药剂制备间(1个气体检测仪探头)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接触消毒池(1个气体检测仪探头)</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室外工程</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8943.78 </w:t>
            </w: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0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264"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0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3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523"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51" w:type="dxa"/>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00"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tbl>
      <w:tblPr>
        <w:tblStyle w:val="20"/>
        <w:tblpPr w:leftFromText="180" w:rightFromText="180" w:vertAnchor="text" w:horzAnchor="page" w:tblpXSpec="center" w:tblpY="489"/>
        <w:tblOverlap w:val="never"/>
        <w:tblW w:w="10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4"/>
        <w:gridCol w:w="1290"/>
        <w:gridCol w:w="1334"/>
        <w:gridCol w:w="2712"/>
        <w:gridCol w:w="368"/>
        <w:gridCol w:w="595"/>
        <w:gridCol w:w="855"/>
        <w:gridCol w:w="122"/>
        <w:gridCol w:w="885"/>
        <w:gridCol w:w="97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698"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95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194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61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9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8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927"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61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61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8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高密池控制间(1台气体检测仪主机)</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第三方通信设备接口</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2.类别:CPU ST20 集成一个 RS485接口</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1.名称:DP接头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1P 6ES7 972-0BA12-0XA0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1.名称:空气开关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2.规格:C65N 1P+N 2A</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030402010001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避雷器</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1.名称:信号防雷器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2.规格:SR-E06V/2S</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1.名称:气体检测仪主机电源电缆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2.规格:RVV3x1.5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2.规格:6XV1830-0EH10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2.规格:RVV10x1.0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1.名称:气体检测仪主机及ST20(甲供设备)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1.名称:PLC通讯程序及中控HMI程序编写</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现场总线调试</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现场调试及数据比对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高密池控制间(1台气体检测仪主机)合计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粗格栅(1个气体检测仪探头)</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spacing w:line="360" w:lineRule="auto"/>
        <w:rPr>
          <w:rFonts w:ascii="宋体" w:hAnsi="宋体" w:cs="宋体"/>
          <w:sz w:val="24"/>
        </w:rPr>
      </w:pPr>
    </w:p>
    <w:tbl>
      <w:tblPr>
        <w:tblStyle w:val="20"/>
        <w:tblW w:w="10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4"/>
        <w:gridCol w:w="1289"/>
        <w:gridCol w:w="1335"/>
        <w:gridCol w:w="3080"/>
        <w:gridCol w:w="595"/>
        <w:gridCol w:w="855"/>
        <w:gridCol w:w="1007"/>
        <w:gridCol w:w="975"/>
        <w:gridCol w:w="945"/>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粗格栅(1个气体检测仪探头)合计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细格栅(1个气体检测仪探头)</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粤030507021001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气体检测仪探头固定支架</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1.名称:气体检测仪探头固定支架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 304不锈钢材质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细格栅(1个气体检测仪探头)合计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生物反应池(2个气体检测仪探头)</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生物反应池(2个气体检测仪探头)合计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污泥干化车间(1个气体检测仪探头)</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污泥干化车间(1个气体检测仪探头)合计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高密池细格栅(1个气体检测仪探头)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粤030507021005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气体检测仪探头固定支架</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1.名称:气体检测仪探头固定支架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 304不锈钢材质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6"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高密池细格栅(1个气体检测仪探头)合计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药剂制备控制室(1台气体检测仪主机)</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030503005002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第三方通信设备接口</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2.类别:CPU ST20 集成一个 RS485接口</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030502009002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跳线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1.名称:DP接头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 1P 6ES7 972-0BA12-0XA0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030404019002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控制开关</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1.名称:空气开关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2.规格:C65N 1P+N 2A</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030402010002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避雷器</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1.名称:信号防雷器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2.规格:SR-E06V/2S</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1.名称:气体检测仪主机电源电缆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2.规格:RVV3x1.5</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1.名称:RS485通讯电缆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2.规格:6XV1830-0EH10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2.规格:RVV10x1.0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2.规格:6类屏蔽</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1.名称:气体检测仪主机及ST20(甲供设备)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030501017002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1.名称:PLC通讯程序及中控HMI程序编写</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030608009002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现场总线调试</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 现场调试及数据比对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1.测试类别:4对双绞线缆测试 五类以上</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药剂制备控制室(1台气体检测仪主机)合计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7"/>
        <w:rPr>
          <w:rFonts w:ascii="宋体" w:hAnsi="宋体" w:cs="宋体"/>
          <w:sz w:val="24"/>
        </w:rPr>
      </w:pPr>
    </w:p>
    <w:tbl>
      <w:tblPr>
        <w:tblStyle w:val="20"/>
        <w:tblW w:w="10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4"/>
        <w:gridCol w:w="1289"/>
        <w:gridCol w:w="1335"/>
        <w:gridCol w:w="3080"/>
        <w:gridCol w:w="595"/>
        <w:gridCol w:w="855"/>
        <w:gridCol w:w="1007"/>
        <w:gridCol w:w="97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二期滤池(1个气体检测仪探头)合计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药剂制备间(1个气体检测仪探头)</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7"/>
        <w:rPr>
          <w:rFonts w:ascii="宋体" w:hAnsi="宋体" w:cs="宋体"/>
          <w:sz w:val="24"/>
        </w:rPr>
      </w:pPr>
    </w:p>
    <w:tbl>
      <w:tblPr>
        <w:tblStyle w:val="20"/>
        <w:tblW w:w="10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4"/>
        <w:gridCol w:w="1289"/>
        <w:gridCol w:w="1335"/>
        <w:gridCol w:w="3080"/>
        <w:gridCol w:w="595"/>
        <w:gridCol w:w="855"/>
        <w:gridCol w:w="1007"/>
        <w:gridCol w:w="975"/>
        <w:gridCol w:w="945"/>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药剂制备间(1个气体检测仪探头)合计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接触消毒池(1个气体检测仪探头)</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030411004016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1.名称:气体检测仪探头信号电缆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2.规格:RVVP3x1.0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030607001012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安全监测装置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1.名称:气体检测仪探头（甲供设备）</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接触消毒池(1个气体检测仪探头)合计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室外工程</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1.种类:揭水泥板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2.规格:单块60*150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57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1.种类:盖水泥板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2.规格:单块60*150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2.规格:DN25mm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3.配置形式:埋地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82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010101003001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1.土壤类别:以地质勘查报告为准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1335"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1.密实度要求:夯填，密实度符合设计要求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2.填方材料品种:原土回填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3.填方来源、运距:根据现场实际情况综合考虑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 w:type="dxa"/>
          <w:trHeight w:val="108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010103002001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1.废弃料品种:余泥渣土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2.运距:根据现场实际情况综合考虑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3.其他:综合考虑消纳排放费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室外工程合计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 w:type="dxa"/>
          <w:trHeight w:val="360" w:hRule="atLeast"/>
          <w:jc w:val="center"/>
        </w:trPr>
        <w:tc>
          <w:tcPr>
            <w:tcW w:w="6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1.脚手架搭拆费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7"/>
        <w:rPr>
          <w:rFonts w:ascii="宋体" w:hAnsi="宋体" w:cs="宋体"/>
          <w:sz w:val="24"/>
        </w:rPr>
      </w:pPr>
    </w:p>
    <w:p>
      <w:pPr>
        <w:pStyle w:val="7"/>
        <w:rPr>
          <w:rFonts w:ascii="宋体" w:hAnsi="宋体" w:cs="宋体"/>
          <w:sz w:val="24"/>
        </w:rPr>
      </w:pPr>
    </w:p>
    <w:tbl>
      <w:tblPr>
        <w:tblStyle w:val="20"/>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3"/>
        <w:gridCol w:w="2"/>
        <w:gridCol w:w="1438"/>
        <w:gridCol w:w="2"/>
        <w:gridCol w:w="1796"/>
        <w:gridCol w:w="4"/>
        <w:gridCol w:w="1419"/>
        <w:gridCol w:w="6"/>
        <w:gridCol w:w="534"/>
        <w:gridCol w:w="263"/>
        <w:gridCol w:w="6"/>
        <w:gridCol w:w="924"/>
        <w:gridCol w:w="6"/>
        <w:gridCol w:w="414"/>
        <w:gridCol w:w="472"/>
        <w:gridCol w:w="7"/>
        <w:gridCol w:w="892"/>
        <w:gridCol w:w="8"/>
        <w:gridCol w:w="1409"/>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10305"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90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161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8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825" w:hRule="atLeast"/>
        </w:trPr>
        <w:tc>
          <w:tcPr>
            <w:tcW w:w="70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4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2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0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3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9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9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17"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159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8943.78 </w:t>
            </w: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108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261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825"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1080"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2355" w:hRule="atLeast"/>
        </w:trPr>
        <w:tc>
          <w:tcPr>
            <w:tcW w:w="70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7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1080" w:hRule="atLeast"/>
        </w:trPr>
        <w:tc>
          <w:tcPr>
            <w:tcW w:w="703"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4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79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42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0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8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8"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7"/>
        <w:rPr>
          <w:rFonts w:ascii="宋体" w:hAnsi="宋体" w:cs="宋体"/>
          <w:sz w:val="24"/>
        </w:rPr>
      </w:pPr>
    </w:p>
    <w:p>
      <w:pPr>
        <w:pStyle w:val="7"/>
        <w:rPr>
          <w:rFonts w:ascii="宋体" w:hAnsi="宋体" w:cs="宋体"/>
          <w:sz w:val="24"/>
        </w:rPr>
      </w:pPr>
    </w:p>
    <w:tbl>
      <w:tblPr>
        <w:tblStyle w:val="20"/>
        <w:tblW w:w="8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2"/>
        <w:gridCol w:w="2249"/>
        <w:gridCol w:w="870"/>
        <w:gridCol w:w="720"/>
        <w:gridCol w:w="750"/>
        <w:gridCol w:w="630"/>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193"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29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147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3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17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5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3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80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17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7"/>
        <w:rPr>
          <w:rFonts w:ascii="宋体" w:hAnsi="宋体" w:cs="宋体"/>
          <w:sz w:val="24"/>
        </w:rPr>
      </w:pPr>
    </w:p>
    <w:p>
      <w:pPr>
        <w:pStyle w:val="7"/>
        <w:rPr>
          <w:rFonts w:ascii="宋体" w:hAnsi="宋体" w:cs="宋体"/>
          <w:sz w:val="24"/>
        </w:rPr>
      </w:pPr>
    </w:p>
    <w:tbl>
      <w:tblPr>
        <w:tblStyle w:val="20"/>
        <w:tblW w:w="10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5"/>
        <w:gridCol w:w="1815"/>
        <w:gridCol w:w="3150"/>
        <w:gridCol w:w="1485"/>
        <w:gridCol w:w="35"/>
        <w:gridCol w:w="126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102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98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工程名称：2021年竹料分公司厂区生产区域固定式气体检测仪安装项目</w:t>
            </w:r>
          </w:p>
        </w:tc>
        <w:tc>
          <w:tcPr>
            <w:tcW w:w="152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6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0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1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2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0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10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7"/>
        <w:rPr>
          <w:rFonts w:ascii="宋体" w:hAnsi="宋体" w:cs="宋体"/>
          <w:sz w:val="24"/>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both"/>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6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已仔细研究本询价文件全部要求，完全理解询价文件所有实质性响应</w:t>
      </w:r>
    </w:p>
    <w:p>
      <w:pPr>
        <w:ind w:firstLine="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提供资</w:t>
      </w:r>
    </w:p>
    <w:p>
      <w:pPr>
        <w:pStyle w:val="2"/>
        <w:ind w:firstLine="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w:t>
      </w:r>
      <w:r>
        <w:rPr>
          <w:rFonts w:hint="eastAsia" w:ascii="仿宋_GB2312" w:hAnsi="仿宋_GB2312" w:eastAsia="仿宋_GB2312" w:cs="仿宋_GB2312"/>
          <w:b w:val="0"/>
          <w:bCs/>
          <w:sz w:val="28"/>
          <w:szCs w:val="28"/>
          <w:lang w:val="en-US" w:eastAsia="zh-CN"/>
        </w:rPr>
        <w:t>询价文件</w:t>
      </w:r>
      <w:r>
        <w:rPr>
          <w:rFonts w:hint="eastAsia" w:ascii="仿宋_GB2312" w:hAnsi="仿宋_GB2312" w:eastAsia="仿宋_GB2312" w:cs="仿宋_GB2312"/>
          <w:b w:val="0"/>
          <w:bCs/>
          <w:sz w:val="28"/>
          <w:szCs w:val="28"/>
        </w:rPr>
        <w:t>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r>
        <w:rPr>
          <w:rFonts w:hint="eastAsia" w:ascii="仿宋_GB2312" w:hAnsi="仿宋_GB2312" w:cs="仿宋_GB2312"/>
          <w:b w:val="0"/>
          <w:bCs/>
          <w:sz w:val="28"/>
          <w:szCs w:val="28"/>
          <w:lang w:val="en-US" w:eastAsia="zh-CN"/>
        </w:rPr>
        <w:t>我司</w:t>
      </w:r>
      <w:r>
        <w:rPr>
          <w:rFonts w:hint="eastAsia" w:ascii="仿宋" w:hAnsi="仿宋" w:eastAsia="仿宋" w:cs="仿宋_GB2312"/>
          <w:color w:val="auto"/>
          <w:kern w:val="2"/>
          <w:sz w:val="28"/>
          <w:szCs w:val="28"/>
          <w:highlight w:val="none"/>
          <w:u w:val="none"/>
          <w:lang w:val="en-US" w:eastAsia="zh-CN" w:bidi="ar-SA"/>
        </w:rPr>
        <w:t>承诺，所供货物均为制造商原装全新产品。</w:t>
      </w:r>
    </w:p>
    <w:p>
      <w:pPr>
        <w:ind w:firstLine="0"/>
        <w:jc w:val="both"/>
        <w:rPr>
          <w:rFonts w:hint="eastAsia" w:ascii="仿宋_GB2312" w:hAnsi="仿宋_GB2312" w:eastAsia="仿宋_GB2312" w:cs="仿宋_GB2312"/>
          <w:b w:val="0"/>
          <w:bCs/>
          <w:sz w:val="28"/>
          <w:szCs w:val="28"/>
        </w:rPr>
      </w:pPr>
    </w:p>
    <w:p>
      <w:pPr>
        <w:ind w:firstLine="0"/>
        <w:jc w:val="righ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报价单位（盖公章）：</w:t>
      </w:r>
    </w:p>
    <w:p>
      <w:pPr>
        <w:pStyle w:val="11"/>
        <w:adjustRightInd w:val="0"/>
        <w:snapToGrid w:val="0"/>
        <w:spacing w:line="360" w:lineRule="auto"/>
        <w:jc w:val="center"/>
        <w:rPr>
          <w:rFonts w:hint="eastAsia" w:hAnsi="宋体" w:cs="宋体"/>
          <w:b/>
          <w:bCs w:val="0"/>
          <w:color w:val="auto"/>
          <w:sz w:val="28"/>
          <w:szCs w:val="28"/>
          <w:highlight w:val="none"/>
          <w:lang w:val="en-US" w:eastAsia="zh-CN"/>
        </w:rPr>
      </w:pPr>
      <w:r>
        <w:rPr>
          <w:rFonts w:hint="eastAsia" w:ascii="仿宋_GB2312" w:hAnsi="仿宋_GB2312" w:eastAsia="仿宋_GB2312" w:cs="仿宋_GB2312"/>
          <w:b w:val="0"/>
          <w:bCs/>
          <w:sz w:val="28"/>
          <w:szCs w:val="28"/>
          <w:lang w:val="en-US" w:eastAsia="zh-CN"/>
        </w:rPr>
        <w:t xml:space="preserve">                                            年  月  日</w:t>
      </w:r>
    </w:p>
    <w:p>
      <w:pPr>
        <w:pStyle w:val="2"/>
        <w:jc w:val="both"/>
        <w:rPr>
          <w:rFonts w:hint="eastAsia" w:ascii="仿宋_GB2312" w:hAnsi="仿宋_GB2312" w:cs="仿宋_GB2312"/>
          <w:b/>
          <w:sz w:val="28"/>
          <w:szCs w:val="28"/>
          <w:highlight w:val="none"/>
          <w:lang w:val="en-US" w:eastAsia="zh-CN"/>
        </w:rPr>
      </w:pPr>
    </w:p>
    <w:p>
      <w:pPr>
        <w:pStyle w:val="2"/>
        <w:jc w:val="center"/>
        <w:rPr>
          <w:rFonts w:hint="eastAsia"/>
          <w:sz w:val="28"/>
          <w:szCs w:val="28"/>
          <w:highlight w:val="none"/>
        </w:rPr>
      </w:pPr>
    </w:p>
    <w:sectPr>
      <w:headerReference r:id="rId9" w:type="default"/>
      <w:footerReference r:id="rId10"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74D75"/>
    <w:multiLevelType w:val="singleLevel"/>
    <w:tmpl w:val="DAA74D75"/>
    <w:lvl w:ilvl="0" w:tentative="0">
      <w:start w:val="2"/>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A694A"/>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0FE7217"/>
    <w:rsid w:val="01225268"/>
    <w:rsid w:val="01332392"/>
    <w:rsid w:val="01CC5DC1"/>
    <w:rsid w:val="0254075C"/>
    <w:rsid w:val="027228BA"/>
    <w:rsid w:val="027A5F7E"/>
    <w:rsid w:val="02C34928"/>
    <w:rsid w:val="035E158C"/>
    <w:rsid w:val="03F97C93"/>
    <w:rsid w:val="042F070F"/>
    <w:rsid w:val="05087E50"/>
    <w:rsid w:val="057316FE"/>
    <w:rsid w:val="05C81CB3"/>
    <w:rsid w:val="06382740"/>
    <w:rsid w:val="06F253F2"/>
    <w:rsid w:val="06F52300"/>
    <w:rsid w:val="078B13D3"/>
    <w:rsid w:val="07984E92"/>
    <w:rsid w:val="07DF75F9"/>
    <w:rsid w:val="07FF3771"/>
    <w:rsid w:val="08746141"/>
    <w:rsid w:val="087B58FD"/>
    <w:rsid w:val="08864A2E"/>
    <w:rsid w:val="08E60740"/>
    <w:rsid w:val="08ED45DC"/>
    <w:rsid w:val="09036FEC"/>
    <w:rsid w:val="09890B6B"/>
    <w:rsid w:val="09B207F9"/>
    <w:rsid w:val="0A455D06"/>
    <w:rsid w:val="0AA55D58"/>
    <w:rsid w:val="0AC842F4"/>
    <w:rsid w:val="0AF62188"/>
    <w:rsid w:val="0AFD1714"/>
    <w:rsid w:val="0B021542"/>
    <w:rsid w:val="0B044923"/>
    <w:rsid w:val="0B50371D"/>
    <w:rsid w:val="0B856175"/>
    <w:rsid w:val="0C0C4F5E"/>
    <w:rsid w:val="0CD43F4E"/>
    <w:rsid w:val="0D3C5A42"/>
    <w:rsid w:val="0D47351E"/>
    <w:rsid w:val="0DB157C7"/>
    <w:rsid w:val="0DB907BA"/>
    <w:rsid w:val="0DDA4687"/>
    <w:rsid w:val="0E147B86"/>
    <w:rsid w:val="0E1806AD"/>
    <w:rsid w:val="0E317B07"/>
    <w:rsid w:val="0E871FE6"/>
    <w:rsid w:val="0F8D020F"/>
    <w:rsid w:val="0FBA283B"/>
    <w:rsid w:val="0FDB1E5D"/>
    <w:rsid w:val="0FE050EB"/>
    <w:rsid w:val="100D0F14"/>
    <w:rsid w:val="106E6CB2"/>
    <w:rsid w:val="10AA358C"/>
    <w:rsid w:val="1182509D"/>
    <w:rsid w:val="118C0FD9"/>
    <w:rsid w:val="11A021F8"/>
    <w:rsid w:val="11E70E51"/>
    <w:rsid w:val="126465E3"/>
    <w:rsid w:val="12BC067A"/>
    <w:rsid w:val="12E304BC"/>
    <w:rsid w:val="13396241"/>
    <w:rsid w:val="1342257A"/>
    <w:rsid w:val="137F4EDD"/>
    <w:rsid w:val="140D16FA"/>
    <w:rsid w:val="14131036"/>
    <w:rsid w:val="142A5803"/>
    <w:rsid w:val="142B2BA6"/>
    <w:rsid w:val="14492156"/>
    <w:rsid w:val="1457366A"/>
    <w:rsid w:val="14740A1C"/>
    <w:rsid w:val="14E57AA8"/>
    <w:rsid w:val="156E33B1"/>
    <w:rsid w:val="15A24872"/>
    <w:rsid w:val="160C2218"/>
    <w:rsid w:val="16732FEB"/>
    <w:rsid w:val="169F0920"/>
    <w:rsid w:val="16C160F7"/>
    <w:rsid w:val="176E7480"/>
    <w:rsid w:val="176F1701"/>
    <w:rsid w:val="1774228A"/>
    <w:rsid w:val="184616E2"/>
    <w:rsid w:val="187F72BD"/>
    <w:rsid w:val="18A93985"/>
    <w:rsid w:val="194C5F03"/>
    <w:rsid w:val="195C6B8F"/>
    <w:rsid w:val="19670736"/>
    <w:rsid w:val="198B1794"/>
    <w:rsid w:val="19986284"/>
    <w:rsid w:val="19CB6C4E"/>
    <w:rsid w:val="1A4A7898"/>
    <w:rsid w:val="1B230264"/>
    <w:rsid w:val="1B337A04"/>
    <w:rsid w:val="1B5979EB"/>
    <w:rsid w:val="1B742D28"/>
    <w:rsid w:val="1B8205DE"/>
    <w:rsid w:val="1BD65E8E"/>
    <w:rsid w:val="1C2E26F9"/>
    <w:rsid w:val="1CA165BA"/>
    <w:rsid w:val="1DF47703"/>
    <w:rsid w:val="1E0A7577"/>
    <w:rsid w:val="1E302A17"/>
    <w:rsid w:val="1E4D60A7"/>
    <w:rsid w:val="1E5828D6"/>
    <w:rsid w:val="1E69751A"/>
    <w:rsid w:val="1E742207"/>
    <w:rsid w:val="1E8A1A2E"/>
    <w:rsid w:val="1EA70E6F"/>
    <w:rsid w:val="1EB419F1"/>
    <w:rsid w:val="1ECF381A"/>
    <w:rsid w:val="1F1D0383"/>
    <w:rsid w:val="1F516372"/>
    <w:rsid w:val="1F5A4C7B"/>
    <w:rsid w:val="1F6D6B9B"/>
    <w:rsid w:val="1F7B7E85"/>
    <w:rsid w:val="1F8B04A4"/>
    <w:rsid w:val="1FD430C8"/>
    <w:rsid w:val="1FFD0A09"/>
    <w:rsid w:val="20031A29"/>
    <w:rsid w:val="20897D54"/>
    <w:rsid w:val="2098653A"/>
    <w:rsid w:val="20E33285"/>
    <w:rsid w:val="20EE5CEF"/>
    <w:rsid w:val="218F0720"/>
    <w:rsid w:val="21A3091C"/>
    <w:rsid w:val="21A37952"/>
    <w:rsid w:val="22551E62"/>
    <w:rsid w:val="22752CBC"/>
    <w:rsid w:val="228A10C3"/>
    <w:rsid w:val="22DE2184"/>
    <w:rsid w:val="230D1610"/>
    <w:rsid w:val="23416F2E"/>
    <w:rsid w:val="23715AB1"/>
    <w:rsid w:val="23975CF1"/>
    <w:rsid w:val="239E7BB1"/>
    <w:rsid w:val="23A52A88"/>
    <w:rsid w:val="23AB06E8"/>
    <w:rsid w:val="24121125"/>
    <w:rsid w:val="24406826"/>
    <w:rsid w:val="24660163"/>
    <w:rsid w:val="24BA4B4F"/>
    <w:rsid w:val="250B3654"/>
    <w:rsid w:val="25550BF7"/>
    <w:rsid w:val="259C35AD"/>
    <w:rsid w:val="25D424D0"/>
    <w:rsid w:val="264A1C7B"/>
    <w:rsid w:val="265D39A6"/>
    <w:rsid w:val="269221D6"/>
    <w:rsid w:val="269C0568"/>
    <w:rsid w:val="26AF5527"/>
    <w:rsid w:val="26C61B9B"/>
    <w:rsid w:val="27563635"/>
    <w:rsid w:val="27567996"/>
    <w:rsid w:val="275C68E7"/>
    <w:rsid w:val="27993673"/>
    <w:rsid w:val="27B45138"/>
    <w:rsid w:val="28796DBC"/>
    <w:rsid w:val="289A6D28"/>
    <w:rsid w:val="2995396A"/>
    <w:rsid w:val="299A6204"/>
    <w:rsid w:val="29D355CE"/>
    <w:rsid w:val="2A5141EB"/>
    <w:rsid w:val="2B52084C"/>
    <w:rsid w:val="2B814F29"/>
    <w:rsid w:val="2BB36041"/>
    <w:rsid w:val="2BCA23E3"/>
    <w:rsid w:val="2BFE2C3D"/>
    <w:rsid w:val="2C005FB1"/>
    <w:rsid w:val="2C144E7B"/>
    <w:rsid w:val="2C241C0C"/>
    <w:rsid w:val="2C526E44"/>
    <w:rsid w:val="2C7971C9"/>
    <w:rsid w:val="2D036C68"/>
    <w:rsid w:val="2D2007BF"/>
    <w:rsid w:val="2D2A3A40"/>
    <w:rsid w:val="2D59130E"/>
    <w:rsid w:val="2D6119E0"/>
    <w:rsid w:val="2DE16FC8"/>
    <w:rsid w:val="2E023880"/>
    <w:rsid w:val="2E2D69CE"/>
    <w:rsid w:val="2E331AA4"/>
    <w:rsid w:val="2E3C7FCC"/>
    <w:rsid w:val="2EC64439"/>
    <w:rsid w:val="2EE4717D"/>
    <w:rsid w:val="2F3E0420"/>
    <w:rsid w:val="2FDA6411"/>
    <w:rsid w:val="2FDF2898"/>
    <w:rsid w:val="30273893"/>
    <w:rsid w:val="308974AE"/>
    <w:rsid w:val="30A377A9"/>
    <w:rsid w:val="31083285"/>
    <w:rsid w:val="312D766A"/>
    <w:rsid w:val="31452908"/>
    <w:rsid w:val="317206EA"/>
    <w:rsid w:val="318B1CE1"/>
    <w:rsid w:val="31C262B1"/>
    <w:rsid w:val="324F01A8"/>
    <w:rsid w:val="325B51AB"/>
    <w:rsid w:val="328B2DE0"/>
    <w:rsid w:val="328E012B"/>
    <w:rsid w:val="32C8755D"/>
    <w:rsid w:val="32D8387B"/>
    <w:rsid w:val="3328107B"/>
    <w:rsid w:val="334C7FB6"/>
    <w:rsid w:val="33766BFC"/>
    <w:rsid w:val="337E39B4"/>
    <w:rsid w:val="33921DFA"/>
    <w:rsid w:val="33F45B18"/>
    <w:rsid w:val="340E5753"/>
    <w:rsid w:val="345227C7"/>
    <w:rsid w:val="349E201F"/>
    <w:rsid w:val="34A669C9"/>
    <w:rsid w:val="34CE55B1"/>
    <w:rsid w:val="352765C3"/>
    <w:rsid w:val="359E74A2"/>
    <w:rsid w:val="35C81E3D"/>
    <w:rsid w:val="35DB582C"/>
    <w:rsid w:val="365C7D3B"/>
    <w:rsid w:val="37152C21"/>
    <w:rsid w:val="387F65CC"/>
    <w:rsid w:val="38E7490F"/>
    <w:rsid w:val="392F3EDF"/>
    <w:rsid w:val="39582046"/>
    <w:rsid w:val="39704948"/>
    <w:rsid w:val="39941685"/>
    <w:rsid w:val="39DD52FC"/>
    <w:rsid w:val="3A2627B5"/>
    <w:rsid w:val="3A32028A"/>
    <w:rsid w:val="3A75031D"/>
    <w:rsid w:val="3A771C78"/>
    <w:rsid w:val="3A8A2E97"/>
    <w:rsid w:val="3AAE23D0"/>
    <w:rsid w:val="3AEC77EC"/>
    <w:rsid w:val="3B543BE4"/>
    <w:rsid w:val="3B8A137D"/>
    <w:rsid w:val="3B8E0546"/>
    <w:rsid w:val="3C6F7834"/>
    <w:rsid w:val="3CBE4011"/>
    <w:rsid w:val="3D0C28A3"/>
    <w:rsid w:val="3D1D7AE0"/>
    <w:rsid w:val="3D373873"/>
    <w:rsid w:val="3D883B84"/>
    <w:rsid w:val="3DB31838"/>
    <w:rsid w:val="3DBA45CA"/>
    <w:rsid w:val="3E3402C7"/>
    <w:rsid w:val="3E9C6B44"/>
    <w:rsid w:val="3F01636D"/>
    <w:rsid w:val="3F0F639C"/>
    <w:rsid w:val="3F251027"/>
    <w:rsid w:val="3F2A16D9"/>
    <w:rsid w:val="3F2B7C0B"/>
    <w:rsid w:val="3F2D5006"/>
    <w:rsid w:val="3F34383F"/>
    <w:rsid w:val="3F933492"/>
    <w:rsid w:val="3FEB2C55"/>
    <w:rsid w:val="40172113"/>
    <w:rsid w:val="409876FA"/>
    <w:rsid w:val="40CB59DB"/>
    <w:rsid w:val="40DD388A"/>
    <w:rsid w:val="412B5EF9"/>
    <w:rsid w:val="415E1BCB"/>
    <w:rsid w:val="41644A94"/>
    <w:rsid w:val="418678AC"/>
    <w:rsid w:val="41C5075E"/>
    <w:rsid w:val="41E14722"/>
    <w:rsid w:val="41FE523A"/>
    <w:rsid w:val="42385F06"/>
    <w:rsid w:val="433318B9"/>
    <w:rsid w:val="4350003C"/>
    <w:rsid w:val="43592C8A"/>
    <w:rsid w:val="4363359A"/>
    <w:rsid w:val="436D3322"/>
    <w:rsid w:val="43714570"/>
    <w:rsid w:val="438D6032"/>
    <w:rsid w:val="43B60E25"/>
    <w:rsid w:val="44150C53"/>
    <w:rsid w:val="443A794D"/>
    <w:rsid w:val="44C2005E"/>
    <w:rsid w:val="44C415AC"/>
    <w:rsid w:val="456D23E4"/>
    <w:rsid w:val="45E15AD3"/>
    <w:rsid w:val="4609629D"/>
    <w:rsid w:val="461940F5"/>
    <w:rsid w:val="46415F51"/>
    <w:rsid w:val="46C50BB0"/>
    <w:rsid w:val="46F6477A"/>
    <w:rsid w:val="46FB4812"/>
    <w:rsid w:val="472F6141"/>
    <w:rsid w:val="481172C2"/>
    <w:rsid w:val="48544365"/>
    <w:rsid w:val="48DF209C"/>
    <w:rsid w:val="49203090"/>
    <w:rsid w:val="4954314F"/>
    <w:rsid w:val="499E520A"/>
    <w:rsid w:val="49A040E3"/>
    <w:rsid w:val="4A0465FC"/>
    <w:rsid w:val="4A0E7134"/>
    <w:rsid w:val="4A610720"/>
    <w:rsid w:val="4A765636"/>
    <w:rsid w:val="4A826ECA"/>
    <w:rsid w:val="4AE704C8"/>
    <w:rsid w:val="4AEC0128"/>
    <w:rsid w:val="4B2B671A"/>
    <w:rsid w:val="4B9B271E"/>
    <w:rsid w:val="4BD224D2"/>
    <w:rsid w:val="4C0857D9"/>
    <w:rsid w:val="4C112DAA"/>
    <w:rsid w:val="4C1F216E"/>
    <w:rsid w:val="4C770284"/>
    <w:rsid w:val="4CDD728B"/>
    <w:rsid w:val="4D4B1598"/>
    <w:rsid w:val="4D690654"/>
    <w:rsid w:val="4DB53509"/>
    <w:rsid w:val="4DF57B76"/>
    <w:rsid w:val="4E0C3F18"/>
    <w:rsid w:val="4E3605DF"/>
    <w:rsid w:val="4F105D44"/>
    <w:rsid w:val="4F4832AE"/>
    <w:rsid w:val="501D53E3"/>
    <w:rsid w:val="50F26881"/>
    <w:rsid w:val="51827AB3"/>
    <w:rsid w:val="51A32C5C"/>
    <w:rsid w:val="51A61200"/>
    <w:rsid w:val="51A73630"/>
    <w:rsid w:val="522412EA"/>
    <w:rsid w:val="523E53BA"/>
    <w:rsid w:val="528152ED"/>
    <w:rsid w:val="529E721A"/>
    <w:rsid w:val="52B01FEA"/>
    <w:rsid w:val="52E562E7"/>
    <w:rsid w:val="531252B7"/>
    <w:rsid w:val="53136E96"/>
    <w:rsid w:val="53211D72"/>
    <w:rsid w:val="535D6353"/>
    <w:rsid w:val="536A66AC"/>
    <w:rsid w:val="538E20F2"/>
    <w:rsid w:val="53FA7E7E"/>
    <w:rsid w:val="54095CAC"/>
    <w:rsid w:val="540D24F2"/>
    <w:rsid w:val="54132E9C"/>
    <w:rsid w:val="543A060D"/>
    <w:rsid w:val="54C93027"/>
    <w:rsid w:val="54EE39E0"/>
    <w:rsid w:val="552C139A"/>
    <w:rsid w:val="55387937"/>
    <w:rsid w:val="560F58BD"/>
    <w:rsid w:val="56246739"/>
    <w:rsid w:val="567F4F72"/>
    <w:rsid w:val="56916773"/>
    <w:rsid w:val="56931BCA"/>
    <w:rsid w:val="57A45AB0"/>
    <w:rsid w:val="584F605B"/>
    <w:rsid w:val="594D372E"/>
    <w:rsid w:val="599A716F"/>
    <w:rsid w:val="59B13C7D"/>
    <w:rsid w:val="59DA45F8"/>
    <w:rsid w:val="59FE29C1"/>
    <w:rsid w:val="5A694A6E"/>
    <w:rsid w:val="5AD02CE9"/>
    <w:rsid w:val="5B2C336E"/>
    <w:rsid w:val="5B817878"/>
    <w:rsid w:val="5B8C46B7"/>
    <w:rsid w:val="5BAE7C98"/>
    <w:rsid w:val="5BB167FD"/>
    <w:rsid w:val="5BB31780"/>
    <w:rsid w:val="5BBB3F0E"/>
    <w:rsid w:val="5BBF010C"/>
    <w:rsid w:val="5BE80ED6"/>
    <w:rsid w:val="5BE93227"/>
    <w:rsid w:val="5C1F2143"/>
    <w:rsid w:val="5C2112B1"/>
    <w:rsid w:val="5C2637C6"/>
    <w:rsid w:val="5C365D04"/>
    <w:rsid w:val="5C6A4F56"/>
    <w:rsid w:val="5C724C44"/>
    <w:rsid w:val="5C934FBC"/>
    <w:rsid w:val="5D4701FF"/>
    <w:rsid w:val="5D7801BD"/>
    <w:rsid w:val="5DB5274B"/>
    <w:rsid w:val="5E366E20"/>
    <w:rsid w:val="5F2B3E62"/>
    <w:rsid w:val="5F3C0698"/>
    <w:rsid w:val="5F454782"/>
    <w:rsid w:val="5F8D7DD2"/>
    <w:rsid w:val="6020684C"/>
    <w:rsid w:val="60991209"/>
    <w:rsid w:val="60A22369"/>
    <w:rsid w:val="6107183D"/>
    <w:rsid w:val="61413405"/>
    <w:rsid w:val="61827E11"/>
    <w:rsid w:val="62224CD8"/>
    <w:rsid w:val="62430ED0"/>
    <w:rsid w:val="62441245"/>
    <w:rsid w:val="6297324D"/>
    <w:rsid w:val="62BA4910"/>
    <w:rsid w:val="62DA63F2"/>
    <w:rsid w:val="63461925"/>
    <w:rsid w:val="634E0E69"/>
    <w:rsid w:val="639C03B2"/>
    <w:rsid w:val="63B95DD0"/>
    <w:rsid w:val="63C855A5"/>
    <w:rsid w:val="63D2248E"/>
    <w:rsid w:val="64076927"/>
    <w:rsid w:val="641F5061"/>
    <w:rsid w:val="644C665E"/>
    <w:rsid w:val="64794284"/>
    <w:rsid w:val="647B25FD"/>
    <w:rsid w:val="648D3512"/>
    <w:rsid w:val="64A16B26"/>
    <w:rsid w:val="64C35712"/>
    <w:rsid w:val="64F14717"/>
    <w:rsid w:val="659E3545"/>
    <w:rsid w:val="65FF6A62"/>
    <w:rsid w:val="66007D67"/>
    <w:rsid w:val="661A5E9E"/>
    <w:rsid w:val="663F0B50"/>
    <w:rsid w:val="666C3E28"/>
    <w:rsid w:val="66AD508C"/>
    <w:rsid w:val="66B46173"/>
    <w:rsid w:val="67390D68"/>
    <w:rsid w:val="675D7F46"/>
    <w:rsid w:val="68710FFA"/>
    <w:rsid w:val="68EA3D00"/>
    <w:rsid w:val="68F2666E"/>
    <w:rsid w:val="695307BF"/>
    <w:rsid w:val="69AB74E8"/>
    <w:rsid w:val="69C61397"/>
    <w:rsid w:val="6A2A0CBD"/>
    <w:rsid w:val="6A6C75A6"/>
    <w:rsid w:val="6A9751D9"/>
    <w:rsid w:val="6ABF1065"/>
    <w:rsid w:val="6B361372"/>
    <w:rsid w:val="6B3A104C"/>
    <w:rsid w:val="6B7731C8"/>
    <w:rsid w:val="6BC17F36"/>
    <w:rsid w:val="6C105A58"/>
    <w:rsid w:val="6C8B6196"/>
    <w:rsid w:val="6CA73B7E"/>
    <w:rsid w:val="6CAE465D"/>
    <w:rsid w:val="6CDE65D7"/>
    <w:rsid w:val="6D095C70"/>
    <w:rsid w:val="6D4B1F5D"/>
    <w:rsid w:val="6D6945FA"/>
    <w:rsid w:val="6D7F45C1"/>
    <w:rsid w:val="6D8238A7"/>
    <w:rsid w:val="6D8D3F04"/>
    <w:rsid w:val="6E070112"/>
    <w:rsid w:val="6E6E2BC3"/>
    <w:rsid w:val="6E8F7310"/>
    <w:rsid w:val="6ED20ADF"/>
    <w:rsid w:val="6ED7145E"/>
    <w:rsid w:val="6EFC1923"/>
    <w:rsid w:val="6EFF3807"/>
    <w:rsid w:val="6F433C4F"/>
    <w:rsid w:val="6F483FA1"/>
    <w:rsid w:val="6F7E1CFB"/>
    <w:rsid w:val="6F971204"/>
    <w:rsid w:val="6FD17FED"/>
    <w:rsid w:val="6FF213AA"/>
    <w:rsid w:val="70597C5F"/>
    <w:rsid w:val="707B2BF4"/>
    <w:rsid w:val="708B4795"/>
    <w:rsid w:val="70A40C13"/>
    <w:rsid w:val="70B566F6"/>
    <w:rsid w:val="70BF1851"/>
    <w:rsid w:val="71AA44E0"/>
    <w:rsid w:val="71DD43F1"/>
    <w:rsid w:val="724A458E"/>
    <w:rsid w:val="725A272F"/>
    <w:rsid w:val="728D2845"/>
    <w:rsid w:val="73096F4B"/>
    <w:rsid w:val="732E3907"/>
    <w:rsid w:val="73727874"/>
    <w:rsid w:val="739B0393"/>
    <w:rsid w:val="73CD7F8D"/>
    <w:rsid w:val="73D16993"/>
    <w:rsid w:val="743261FE"/>
    <w:rsid w:val="74571ED1"/>
    <w:rsid w:val="74C976CD"/>
    <w:rsid w:val="74F97B62"/>
    <w:rsid w:val="75011284"/>
    <w:rsid w:val="75200B56"/>
    <w:rsid w:val="75435570"/>
    <w:rsid w:val="76503F28"/>
    <w:rsid w:val="765A1D9E"/>
    <w:rsid w:val="765F4A43"/>
    <w:rsid w:val="76B03549"/>
    <w:rsid w:val="77BF3706"/>
    <w:rsid w:val="781634CE"/>
    <w:rsid w:val="78192540"/>
    <w:rsid w:val="781A002A"/>
    <w:rsid w:val="782404A5"/>
    <w:rsid w:val="78852A86"/>
    <w:rsid w:val="78966470"/>
    <w:rsid w:val="78E10C30"/>
    <w:rsid w:val="78EE276F"/>
    <w:rsid w:val="79005551"/>
    <w:rsid w:val="79091E93"/>
    <w:rsid w:val="794E51BB"/>
    <w:rsid w:val="7953674C"/>
    <w:rsid w:val="796075AF"/>
    <w:rsid w:val="7A026DB8"/>
    <w:rsid w:val="7A230545"/>
    <w:rsid w:val="7A443465"/>
    <w:rsid w:val="7A737B65"/>
    <w:rsid w:val="7A7853FF"/>
    <w:rsid w:val="7A896D0A"/>
    <w:rsid w:val="7B1227F8"/>
    <w:rsid w:val="7B5969CB"/>
    <w:rsid w:val="7B9A5BD4"/>
    <w:rsid w:val="7BAB2D86"/>
    <w:rsid w:val="7C00467F"/>
    <w:rsid w:val="7C0C3EC0"/>
    <w:rsid w:val="7C42096C"/>
    <w:rsid w:val="7C861F23"/>
    <w:rsid w:val="7CBD0E38"/>
    <w:rsid w:val="7D080D47"/>
    <w:rsid w:val="7D72325C"/>
    <w:rsid w:val="7D9D7924"/>
    <w:rsid w:val="7D9E7F8B"/>
    <w:rsid w:val="7DDE038D"/>
    <w:rsid w:val="7E111B9B"/>
    <w:rsid w:val="7E185C72"/>
    <w:rsid w:val="7E3F55F2"/>
    <w:rsid w:val="7E6150E3"/>
    <w:rsid w:val="7E9633BF"/>
    <w:rsid w:val="7F04016F"/>
    <w:rsid w:val="7F0620BA"/>
    <w:rsid w:val="7F1C1099"/>
    <w:rsid w:val="7F884AE1"/>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link w:val="33"/>
    <w:semiHidden/>
    <w:qFormat/>
    <w:uiPriority w:val="0"/>
    <w:pPr>
      <w:jc w:val="left"/>
    </w:pPr>
    <w:rPr>
      <w:szCs w:val="24"/>
    </w:r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2"/>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30"/>
    <w:unhideWhenUsed/>
    <w:qFormat/>
    <w:uiPriority w:val="99"/>
    <w:pPr>
      <w:tabs>
        <w:tab w:val="center" w:pos="4153"/>
        <w:tab w:val="right" w:pos="8306"/>
      </w:tabs>
      <w:snapToGrid w:val="0"/>
      <w:jc w:val="left"/>
    </w:pPr>
    <w:rPr>
      <w:sz w:val="18"/>
    </w:rPr>
  </w:style>
  <w:style w:type="paragraph" w:styleId="14">
    <w:name w:val="header"/>
    <w:basedOn w:val="1"/>
    <w:link w:val="3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List"/>
    <w:basedOn w:val="1"/>
    <w:next w:val="1"/>
    <w:qFormat/>
    <w:uiPriority w:val="0"/>
    <w:pPr>
      <w:snapToGrid w:val="0"/>
    </w:pPr>
    <w:rPr>
      <w:szCs w:val="24"/>
    </w:rPr>
  </w:style>
  <w:style w:type="paragraph" w:styleId="17">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8">
    <w:name w:val="Body Text First Indent"/>
    <w:basedOn w:val="9"/>
    <w:unhideWhenUsed/>
    <w:qFormat/>
    <w:uiPriority w:val="99"/>
    <w:pPr>
      <w:widowControl w:val="0"/>
      <w:spacing w:after="120" w:line="240" w:lineRule="auto"/>
      <w:ind w:firstLine="420"/>
    </w:pPr>
    <w:rPr>
      <w:kern w:val="2"/>
      <w:sz w:val="21"/>
    </w:rPr>
  </w:style>
  <w:style w:type="paragraph" w:styleId="19">
    <w:name w:val="Body Text First Indent 2"/>
    <w:basedOn w:val="10"/>
    <w:qFormat/>
    <w:uiPriority w:val="0"/>
    <w:pPr>
      <w:adjustRightInd/>
      <w:snapToGrid/>
      <w:spacing w:line="360" w:lineRule="auto"/>
      <w:ind w:firstLine="471" w:firstLineChars="200"/>
      <w:textAlignment w:val="auto"/>
    </w:pPr>
    <w:rPr>
      <w:rFonts w:hint="eastAsia" w:hAnsi="Times New Roman"/>
      <w:kern w:val="2"/>
    </w:rPr>
  </w:style>
  <w:style w:type="table" w:styleId="21">
    <w:name w:val="Table Grid"/>
    <w:basedOn w:val="2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unhideWhenUsed/>
    <w:qFormat/>
    <w:uiPriority w:val="99"/>
  </w:style>
  <w:style w:type="character" w:styleId="25">
    <w:name w:val="Hyperlink"/>
    <w:basedOn w:val="22"/>
    <w:unhideWhenUsed/>
    <w:qFormat/>
    <w:uiPriority w:val="99"/>
    <w:rPr>
      <w:color w:val="0000FF"/>
      <w:u w:val="single"/>
    </w:rPr>
  </w:style>
  <w:style w:type="character" w:styleId="26">
    <w:name w:val="annotation reference"/>
    <w:basedOn w:val="22"/>
    <w:semiHidden/>
    <w:qFormat/>
    <w:uiPriority w:val="0"/>
    <w:rPr>
      <w:sz w:val="21"/>
      <w:szCs w:val="21"/>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Char"/>
    <w:basedOn w:val="22"/>
    <w:link w:val="13"/>
    <w:qFormat/>
    <w:uiPriority w:val="99"/>
    <w:rPr>
      <w:sz w:val="18"/>
    </w:rPr>
  </w:style>
  <w:style w:type="character" w:customStyle="1" w:styleId="31">
    <w:name w:val="页眉 Char"/>
    <w:link w:val="14"/>
    <w:qFormat/>
    <w:uiPriority w:val="0"/>
    <w:rPr>
      <w:kern w:val="2"/>
      <w:sz w:val="18"/>
    </w:rPr>
  </w:style>
  <w:style w:type="character" w:customStyle="1" w:styleId="32">
    <w:name w:val="纯文本 Char"/>
    <w:basedOn w:val="22"/>
    <w:link w:val="11"/>
    <w:qFormat/>
    <w:uiPriority w:val="0"/>
    <w:rPr>
      <w:rFonts w:ascii="宋体" w:hAnsi="Courier New" w:cs="Courier New"/>
      <w:sz w:val="21"/>
      <w:szCs w:val="21"/>
    </w:rPr>
  </w:style>
  <w:style w:type="character" w:customStyle="1" w:styleId="33">
    <w:name w:val="批注文字 Char"/>
    <w:basedOn w:val="22"/>
    <w:link w:val="8"/>
    <w:semiHidden/>
    <w:qFormat/>
    <w:uiPriority w:val="0"/>
    <w:rPr>
      <w:kern w:val="2"/>
      <w:sz w:val="21"/>
      <w:szCs w:val="24"/>
    </w:rPr>
  </w:style>
  <w:style w:type="paragraph" w:customStyle="1" w:styleId="34">
    <w:name w:val="List Paragraph"/>
    <w:basedOn w:val="1"/>
    <w:unhideWhenUsed/>
    <w:qFormat/>
    <w:uiPriority w:val="99"/>
    <w:pPr>
      <w:ind w:firstLine="420" w:firstLineChars="200"/>
    </w:pPr>
  </w:style>
  <w:style w:type="paragraph" w:customStyle="1" w:styleId="35">
    <w:name w:val="No Spacing"/>
    <w:qFormat/>
    <w:uiPriority w:val="1"/>
    <w:rPr>
      <w:rFonts w:ascii="Calibri" w:hAnsi="Calibri" w:eastAsia="宋体" w:cs="Times New Roman"/>
      <w:sz w:val="22"/>
      <w:szCs w:val="22"/>
      <w:lang w:val="en-US" w:eastAsia="zh-CN" w:bidi="ar-SA"/>
    </w:rPr>
  </w:style>
  <w:style w:type="paragraph" w:customStyle="1" w:styleId="36">
    <w:name w:val="_Style 3"/>
    <w:basedOn w:val="1"/>
    <w:qFormat/>
    <w:uiPriority w:val="34"/>
    <w:pPr>
      <w:ind w:firstLine="420" w:firstLineChars="200"/>
    </w:pPr>
  </w:style>
  <w:style w:type="paragraph" w:customStyle="1" w:styleId="37">
    <w:name w:val="列出段落1"/>
    <w:basedOn w:val="1"/>
    <w:qFormat/>
    <w:uiPriority w:val="34"/>
    <w:pPr>
      <w:ind w:firstLine="420" w:firstLineChars="200"/>
    </w:pPr>
  </w:style>
  <w:style w:type="paragraph" w:customStyle="1" w:styleId="38">
    <w:name w:val="p0"/>
    <w:basedOn w:val="1"/>
    <w:qFormat/>
    <w:uiPriority w:val="0"/>
    <w:pPr>
      <w:widowControl/>
    </w:pPr>
    <w:rPr>
      <w:rFonts w:ascii="Times New Roman" w:hAnsi="Times New Roman" w:eastAsia="宋体" w:cs="Times New Roman"/>
      <w:kern w:val="0"/>
      <w:szCs w:val="21"/>
    </w:rPr>
  </w:style>
  <w:style w:type="paragraph" w:customStyle="1" w:styleId="3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_Style 4"/>
    <w:basedOn w:val="3"/>
    <w:next w:val="1"/>
    <w:qFormat/>
    <w:uiPriority w:val="0"/>
    <w:pPr>
      <w:keepNext w:val="0"/>
      <w:keepLines w:val="0"/>
      <w:spacing w:before="0" w:after="0" w:line="576" w:lineRule="auto"/>
      <w:jc w:val="left"/>
      <w:outlineLvl w:val="9"/>
    </w:pPr>
    <w:rPr>
      <w:rFonts w:ascii="Calibri" w:hAnsi="Calibri" w:eastAsia="黑体"/>
      <w:kern w:val="0"/>
      <w:lang w:eastAsia="en-US"/>
    </w:rPr>
  </w:style>
  <w:style w:type="paragraph" w:customStyle="1" w:styleId="41">
    <w:name w:val="Default"/>
    <w:next w:val="1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0</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2021-09-03T01:28:00Z</cp:lastPrinted>
  <dcterms:modified xsi:type="dcterms:W3CDTF">2021-12-07T03:35:32Z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