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bookmarkStart w:id="0" w:name="_Hlk82512634"/>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640"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XJ-20211119-3</w:t>
      </w:r>
      <w:r>
        <w:rPr>
          <w:sz w:val="32"/>
          <w:szCs w:val="32"/>
        </w:rPr>
        <w:fldChar w:fldCharType="begin"/>
      </w:r>
      <w:r>
        <w:rPr>
          <w:sz w:val="32"/>
          <w:szCs w:val="32"/>
        </w:rPr>
        <w:instrText xml:space="preserve"> DOCVARIABLE  采购编号  \* MERGEFORMAT </w:instrText>
      </w:r>
      <w:r>
        <w:rPr>
          <w:sz w:val="32"/>
          <w:szCs w:val="32"/>
        </w:rPr>
        <w:fldChar w:fldCharType="end"/>
      </w:r>
    </w:p>
    <w:p>
      <w:pPr>
        <w:tabs>
          <w:tab w:val="left" w:pos="420"/>
          <w:tab w:val="left" w:pos="6660"/>
        </w:tabs>
        <w:spacing w:line="360" w:lineRule="auto"/>
        <w:ind w:left="2238" w:leftChars="304" w:hanging="1600" w:hangingChars="500"/>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项目名称：广州市净水有限公司石井净水分公司二期起重机加慢速档及一期部分轨道加固项目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bCs/>
          <w:sz w:val="28"/>
        </w:rPr>
        <w:sectPr>
          <w:headerReference r:id="rId3" w:type="default"/>
          <w:footerReference r:id="rId4" w:type="default"/>
          <w:footerReference r:id="rId5" w:type="even"/>
          <w:type w:val="continuous"/>
          <w:pgSz w:w="11906" w:h="16838"/>
          <w:pgMar w:top="1134" w:right="1134" w:bottom="1134" w:left="1701" w:header="851" w:footer="992" w:gutter="0"/>
          <w:pgNumType w:start="1"/>
          <w:cols w:space="720" w:num="1"/>
          <w:docGrid w:type="linesAndChars" w:linePitch="312" w:charSpace="0"/>
        </w:sect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11</w:t>
      </w:r>
      <w:r>
        <w:rPr>
          <w:rFonts w:hint="eastAsia" w:ascii="仿宋" w:hAnsi="仿宋" w:eastAsia="仿宋" w:cs="仿宋_GB2312"/>
          <w:b/>
          <w:bCs/>
          <w:sz w:val="28"/>
        </w:rPr>
        <w:t>月</w:t>
      </w:r>
      <w:r>
        <w:rPr>
          <w:rFonts w:hint="eastAsia" w:ascii="仿宋" w:hAnsi="仿宋" w:eastAsia="仿宋" w:cs="仿宋_GB2312"/>
          <w:b/>
          <w:bCs/>
          <w:sz w:val="28"/>
          <w:lang w:val="en-US" w:eastAsia="zh-CN"/>
        </w:rPr>
        <w:t>19</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val="en-US" w:eastAsia="zh-CN"/>
        </w:rPr>
        <w:t>石井净水分公司二期起重机加慢速档及一期部分轨道加固项目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自筹资金</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XJ-20211119-3</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val="en-US" w:eastAsia="zh-CN"/>
        </w:rPr>
        <w:t>广州市净水有限公司石井净水分公司二期起重机加慢速档及一期部分轨道加固项目</w:t>
      </w:r>
    </w:p>
    <w:p>
      <w:pPr>
        <w:autoSpaceDE w:val="0"/>
        <w:autoSpaceDN w:val="0"/>
        <w:spacing w:line="360" w:lineRule="auto"/>
        <w:ind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sz w:val="28"/>
          <w:szCs w:val="28"/>
          <w:lang w:val="zh-CN"/>
        </w:rPr>
        <w:t>四、最</w:t>
      </w:r>
      <w:r>
        <w:rPr>
          <w:rFonts w:hint="eastAsia" w:ascii="仿宋_GB2312" w:hAnsi="仿宋_GB2312" w:eastAsia="仿宋_GB2312" w:cs="仿宋_GB2312"/>
          <w:color w:val="000000" w:themeColor="text1"/>
          <w:sz w:val="28"/>
          <w:szCs w:val="28"/>
          <w:lang w:val="zh-CN"/>
          <w14:textFill>
            <w14:solidFill>
              <w14:schemeClr w14:val="tx1"/>
            </w14:solidFill>
          </w14:textFill>
        </w:rPr>
        <w:t>高</w:t>
      </w:r>
      <w:r>
        <w:rPr>
          <w:rFonts w:hint="eastAsia" w:ascii="仿宋_GB2312" w:hAnsi="仿宋_GB2312" w:eastAsia="仿宋_GB2312" w:cs="仿宋_GB2312"/>
          <w:color w:val="000000" w:themeColor="text1"/>
          <w:sz w:val="28"/>
          <w:szCs w:val="28"/>
          <w14:textFill>
            <w14:solidFill>
              <w14:schemeClr w14:val="tx1"/>
            </w14:solidFill>
          </w14:textFill>
        </w:rPr>
        <w:t>总</w:t>
      </w:r>
      <w:r>
        <w:rPr>
          <w:rFonts w:hint="eastAsia" w:ascii="仿宋_GB2312" w:hAnsi="仿宋_GB2312" w:eastAsia="仿宋_GB2312" w:cs="仿宋_GB2312"/>
          <w:color w:val="000000" w:themeColor="text1"/>
          <w:sz w:val="28"/>
          <w:szCs w:val="28"/>
          <w:lang w:val="zh-CN"/>
          <w14:textFill>
            <w14:solidFill>
              <w14:schemeClr w14:val="tx1"/>
            </w14:solidFill>
          </w14:textFill>
        </w:rPr>
        <w:t>限价：</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13.212404</w:t>
      </w:r>
      <w:r>
        <w:rPr>
          <w:rFonts w:hint="eastAsia" w:ascii="仿宋_GB2312" w:hAnsi="仿宋_GB2312" w:eastAsia="仿宋_GB2312" w:cs="仿宋_GB2312"/>
          <w:color w:val="000000" w:themeColor="text1"/>
          <w:sz w:val="28"/>
          <w:szCs w:val="28"/>
          <w:u w:val="single"/>
          <w14:textFill>
            <w14:solidFill>
              <w14:schemeClr w14:val="tx1"/>
            </w14:solidFill>
          </w14:textFill>
        </w:rPr>
        <w:t>万元</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其中税前总造价为121214.72元人民币，税率9%。绿色施工安全防护措施费包干，分部分项人工费+分部分项机具费，费用为10835.60元人民币）。</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石井净水分公司二期在用的六台起重机设备，在初期设计并没有涉及双速控制的相关内容。投入运行后，在使用的过程中，缺少慢速档，运行的稳定性大幅降低，特别是吊装大型设备、潜水泵等摇摆幅度非常大，很难平稳的安全工作，容易造成重要设备的碰撞、损坏。</w:t>
      </w:r>
    </w:p>
    <w:p>
      <w:pPr>
        <w:pStyle w:val="28"/>
        <w:rPr>
          <w:rFonts w:ascii="仿宋_GB2312"/>
          <w:sz w:val="28"/>
          <w:szCs w:val="28"/>
          <w:lang w:val="zh-CN"/>
        </w:rPr>
      </w:pPr>
      <w:r>
        <w:rPr>
          <w:rFonts w:hint="eastAsia"/>
          <w:lang w:val="zh-CN"/>
        </w:rPr>
        <w:t xml:space="preserve"> </w:t>
      </w:r>
      <w:r>
        <w:rPr>
          <w:lang w:val="zh-CN"/>
        </w:rPr>
        <w:t xml:space="preserve">   1.</w:t>
      </w:r>
      <w:r>
        <w:rPr>
          <w:rFonts w:hint="eastAsia" w:ascii="仿宋_GB2312"/>
          <w:sz w:val="28"/>
          <w:szCs w:val="28"/>
          <w:lang w:val="en-US" w:eastAsia="zh-CN"/>
        </w:rPr>
        <w:t>工程量</w:t>
      </w:r>
      <w:r>
        <w:rPr>
          <w:rFonts w:hint="eastAsia" w:ascii="仿宋_GB2312"/>
          <w:sz w:val="28"/>
          <w:szCs w:val="28"/>
          <w:lang w:val="zh-CN"/>
        </w:rPr>
        <w:t>清单</w:t>
      </w: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0"/>
        <w:gridCol w:w="980"/>
        <w:gridCol w:w="700"/>
        <w:gridCol w:w="700"/>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top"/>
          </w:tcPr>
          <w:p>
            <w:pPr>
              <w:adjustRightInd w:val="0"/>
              <w:spacing w:line="400" w:lineRule="exact"/>
              <w:jc w:val="center"/>
              <w:rPr>
                <w:rFonts w:ascii="宋体"/>
                <w:b/>
                <w:bCs/>
                <w:sz w:val="24"/>
              </w:rPr>
            </w:pPr>
            <w:r>
              <w:rPr>
                <w:rFonts w:hint="eastAsia"/>
                <w:b/>
                <w:bCs/>
                <w:sz w:val="24"/>
              </w:rPr>
              <w:t>序号</w:t>
            </w:r>
          </w:p>
        </w:tc>
        <w:tc>
          <w:tcPr>
            <w:tcW w:w="2100" w:type="dxa"/>
            <w:noWrap w:val="0"/>
            <w:vAlign w:val="top"/>
          </w:tcPr>
          <w:p>
            <w:pPr>
              <w:adjustRightInd w:val="0"/>
              <w:spacing w:line="400" w:lineRule="exact"/>
              <w:jc w:val="center"/>
              <w:rPr>
                <w:rFonts w:ascii="宋体"/>
                <w:b/>
                <w:bCs/>
                <w:sz w:val="24"/>
              </w:rPr>
            </w:pPr>
            <w:r>
              <w:rPr>
                <w:rFonts w:hint="eastAsia"/>
                <w:b/>
                <w:bCs/>
                <w:sz w:val="24"/>
              </w:rPr>
              <w:t>项目名称</w:t>
            </w:r>
          </w:p>
        </w:tc>
        <w:tc>
          <w:tcPr>
            <w:tcW w:w="980" w:type="dxa"/>
            <w:noWrap w:val="0"/>
            <w:vAlign w:val="top"/>
          </w:tcPr>
          <w:p>
            <w:pPr>
              <w:adjustRightInd w:val="0"/>
              <w:spacing w:line="400" w:lineRule="exact"/>
              <w:jc w:val="center"/>
              <w:rPr>
                <w:rFonts w:ascii="宋体"/>
                <w:b/>
                <w:bCs/>
                <w:sz w:val="24"/>
              </w:rPr>
            </w:pPr>
            <w:r>
              <w:rPr>
                <w:rFonts w:hint="eastAsia"/>
                <w:b/>
                <w:bCs/>
                <w:sz w:val="24"/>
              </w:rPr>
              <w:t>型号</w:t>
            </w:r>
          </w:p>
        </w:tc>
        <w:tc>
          <w:tcPr>
            <w:tcW w:w="700" w:type="dxa"/>
            <w:noWrap w:val="0"/>
            <w:vAlign w:val="top"/>
          </w:tcPr>
          <w:p>
            <w:pPr>
              <w:adjustRightInd w:val="0"/>
              <w:spacing w:line="400" w:lineRule="exact"/>
              <w:jc w:val="center"/>
              <w:rPr>
                <w:rFonts w:ascii="宋体"/>
                <w:b/>
                <w:bCs/>
                <w:sz w:val="24"/>
              </w:rPr>
            </w:pPr>
            <w:r>
              <w:rPr>
                <w:rFonts w:hint="eastAsia"/>
                <w:b/>
                <w:bCs/>
                <w:sz w:val="24"/>
              </w:rPr>
              <w:t>数量</w:t>
            </w:r>
          </w:p>
        </w:tc>
        <w:tc>
          <w:tcPr>
            <w:tcW w:w="700" w:type="dxa"/>
            <w:noWrap w:val="0"/>
            <w:vAlign w:val="top"/>
          </w:tcPr>
          <w:p>
            <w:pPr>
              <w:adjustRightInd w:val="0"/>
              <w:spacing w:line="400" w:lineRule="exact"/>
              <w:jc w:val="center"/>
              <w:rPr>
                <w:rFonts w:ascii="宋体"/>
                <w:b/>
                <w:bCs/>
                <w:sz w:val="24"/>
              </w:rPr>
            </w:pPr>
            <w:r>
              <w:rPr>
                <w:rFonts w:hint="eastAsia"/>
                <w:b/>
                <w:bCs/>
                <w:sz w:val="24"/>
              </w:rPr>
              <w:t>单位</w:t>
            </w:r>
          </w:p>
        </w:tc>
        <w:tc>
          <w:tcPr>
            <w:tcW w:w="4459" w:type="dxa"/>
            <w:noWrap w:val="0"/>
            <w:vAlign w:val="top"/>
          </w:tcPr>
          <w:p>
            <w:pPr>
              <w:adjustRightInd w:val="0"/>
              <w:spacing w:line="400" w:lineRule="exact"/>
              <w:jc w:val="center"/>
              <w:rPr>
                <w:rFonts w:hint="default" w:ascii="宋体" w:eastAsia="宋体"/>
                <w:b/>
                <w:bCs/>
                <w:sz w:val="24"/>
                <w:lang w:val="en-US" w:eastAsia="zh-CN"/>
              </w:rPr>
            </w:pPr>
            <w:r>
              <w:rPr>
                <w:rFonts w:hint="eastAsia"/>
                <w:b/>
                <w:bCs/>
                <w:sz w:val="24"/>
              </w:rPr>
              <w:t>位置</w:t>
            </w:r>
            <w:r>
              <w:rPr>
                <w:rFonts w:hint="eastAsia"/>
                <w:b/>
                <w:bCs/>
                <w:sz w:val="24"/>
                <w:lang w:val="en-US" w:eastAsia="zh-CN"/>
              </w:rPr>
              <w:t>及项目特征描述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1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更换双速电机</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5T</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台</w:t>
            </w:r>
          </w:p>
        </w:tc>
        <w:tc>
          <w:tcPr>
            <w:tcW w:w="4459" w:type="dxa"/>
            <w:noWrap w:val="0"/>
            <w:vAlign w:val="center"/>
          </w:tcPr>
          <w:p>
            <w:pPr>
              <w:adjustRightInd w:val="0"/>
              <w:spacing w:line="400" w:lineRule="exact"/>
              <w:jc w:val="left"/>
              <w:rPr>
                <w:rFonts w:hint="default" w:ascii="仿宋" w:hAnsi="仿宋" w:eastAsia="仿宋" w:cs="仿宋"/>
                <w:sz w:val="24"/>
                <w:lang w:val="en-US" w:eastAsia="zh-CN"/>
              </w:rPr>
            </w:pPr>
            <w:r>
              <w:rPr>
                <w:rFonts w:hint="eastAsia" w:ascii="仿宋" w:hAnsi="仿宋" w:eastAsia="仿宋" w:cs="仿宋"/>
                <w:sz w:val="24"/>
              </w:rPr>
              <w:t>中间提升泵南北线，含增加接触器、按钮、小车改止挡及控制线</w:t>
            </w:r>
            <w:r>
              <w:rPr>
                <w:rFonts w:hint="eastAsia" w:ascii="仿宋" w:hAnsi="仿宋" w:eastAsia="仿宋" w:cs="仿宋"/>
                <w:sz w:val="24"/>
                <w:lang w:eastAsia="zh-CN"/>
              </w:rPr>
              <w:t>，</w:t>
            </w:r>
            <w:r>
              <w:rPr>
                <w:rFonts w:hint="eastAsia" w:ascii="仿宋" w:hAnsi="仿宋" w:eastAsia="仿宋" w:cs="仿宋"/>
                <w:sz w:val="24"/>
                <w:lang w:val="en-US" w:eastAsia="zh-CN"/>
              </w:rPr>
              <w:t>规格：7，5KW，设备名称：单梁桥式起重机，型号：LD5T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21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更换双速电机</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3T</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台</w:t>
            </w:r>
          </w:p>
        </w:tc>
        <w:tc>
          <w:tcPr>
            <w:tcW w:w="4459" w:type="dxa"/>
            <w:noWrap w:val="0"/>
            <w:vAlign w:val="center"/>
          </w:tcPr>
          <w:p>
            <w:pPr>
              <w:adjustRightInd w:val="0"/>
              <w:spacing w:line="400" w:lineRule="exact"/>
              <w:jc w:val="left"/>
              <w:rPr>
                <w:rFonts w:hint="default" w:ascii="仿宋" w:hAnsi="仿宋" w:eastAsia="仿宋" w:cs="仿宋"/>
                <w:sz w:val="24"/>
                <w:lang w:val="en-US" w:eastAsia="zh-CN"/>
              </w:rPr>
            </w:pPr>
            <w:r>
              <w:rPr>
                <w:rFonts w:hint="eastAsia" w:ascii="仿宋" w:hAnsi="仿宋" w:eastAsia="仿宋" w:cs="仿宋"/>
                <w:sz w:val="24"/>
              </w:rPr>
              <w:t>二期中间车道，生化池南北回流泵房。含增加接触器、按钮及控制线</w:t>
            </w:r>
            <w:r>
              <w:rPr>
                <w:rFonts w:hint="eastAsia" w:ascii="仿宋" w:hAnsi="仿宋" w:eastAsia="仿宋" w:cs="仿宋"/>
                <w:sz w:val="24"/>
                <w:lang w:eastAsia="zh-CN"/>
              </w:rPr>
              <w:t>，</w:t>
            </w:r>
            <w:r>
              <w:rPr>
                <w:rFonts w:hint="eastAsia" w:ascii="仿宋" w:hAnsi="仿宋" w:eastAsia="仿宋" w:cs="仿宋"/>
                <w:sz w:val="24"/>
                <w:lang w:val="en-US" w:eastAsia="zh-CN"/>
              </w:rPr>
              <w:t>规格：4.5KW，设备名称：单梁桥式起重机，型号：LD3T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21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更换双速电机</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2T</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台</w:t>
            </w:r>
          </w:p>
        </w:tc>
        <w:tc>
          <w:tcPr>
            <w:tcW w:w="4459" w:type="dxa"/>
            <w:noWrap w:val="0"/>
            <w:vAlign w:val="center"/>
          </w:tcPr>
          <w:p>
            <w:pPr>
              <w:adjustRightInd w:val="0"/>
              <w:spacing w:line="400" w:lineRule="exact"/>
              <w:jc w:val="left"/>
              <w:rPr>
                <w:rFonts w:hint="eastAsia" w:ascii="仿宋" w:hAnsi="仿宋" w:eastAsia="仿宋" w:cs="仿宋"/>
                <w:sz w:val="24"/>
                <w:lang w:eastAsia="zh-CN"/>
              </w:rPr>
            </w:pPr>
            <w:r>
              <w:rPr>
                <w:rFonts w:hint="eastAsia" w:ascii="仿宋" w:hAnsi="仿宋" w:eastAsia="仿宋" w:cs="仿宋"/>
                <w:sz w:val="24"/>
              </w:rPr>
              <w:t>V型池夹层，含增加接触器、按钮及控制线</w:t>
            </w:r>
            <w:r>
              <w:rPr>
                <w:rFonts w:hint="eastAsia" w:ascii="仿宋" w:hAnsi="仿宋" w:eastAsia="仿宋" w:cs="仿宋"/>
                <w:sz w:val="24"/>
                <w:lang w:eastAsia="zh-CN"/>
              </w:rPr>
              <w:t>，</w:t>
            </w:r>
            <w:r>
              <w:rPr>
                <w:rFonts w:hint="eastAsia" w:ascii="仿宋" w:hAnsi="仿宋" w:eastAsia="仿宋" w:cs="仿宋"/>
                <w:sz w:val="24"/>
                <w:lang w:val="en-US" w:eastAsia="zh-CN"/>
              </w:rPr>
              <w:t>规格：3KW，设备名称：单梁桥式起重机，型号：LD2T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21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天车轨道加固</w:t>
            </w:r>
          </w:p>
        </w:tc>
        <w:tc>
          <w:tcPr>
            <w:tcW w:w="980"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台</w:t>
            </w:r>
          </w:p>
        </w:tc>
        <w:tc>
          <w:tcPr>
            <w:tcW w:w="4459" w:type="dxa"/>
            <w:noWrap w:val="0"/>
            <w:vAlign w:val="center"/>
          </w:tcPr>
          <w:p>
            <w:pPr>
              <w:adjustRightInd w:val="0"/>
              <w:spacing w:line="400" w:lineRule="exact"/>
              <w:jc w:val="left"/>
              <w:rPr>
                <w:rFonts w:hint="default" w:ascii="仿宋" w:hAnsi="仿宋" w:eastAsia="仿宋" w:cs="仿宋"/>
                <w:sz w:val="24"/>
                <w:lang w:val="en-US" w:eastAsia="zh-CN"/>
              </w:rPr>
            </w:pPr>
            <w:r>
              <w:rPr>
                <w:rFonts w:hint="eastAsia" w:ascii="仿宋" w:hAnsi="仿宋" w:eastAsia="仿宋" w:cs="仿宋"/>
                <w:sz w:val="24"/>
              </w:rPr>
              <w:t>初雨泵房</w:t>
            </w:r>
            <w:r>
              <w:rPr>
                <w:rFonts w:hint="eastAsia" w:ascii="仿宋" w:hAnsi="仿宋" w:eastAsia="仿宋" w:cs="仿宋"/>
                <w:sz w:val="24"/>
                <w:lang w:val="en-US" w:eastAsia="zh-CN"/>
              </w:rPr>
              <w:t>天车</w:t>
            </w:r>
            <w:r>
              <w:rPr>
                <w:rFonts w:hint="eastAsia" w:ascii="仿宋" w:hAnsi="仿宋" w:eastAsia="仿宋" w:cs="仿宋"/>
                <w:sz w:val="24"/>
              </w:rPr>
              <w:t>轨道长约36米，出水</w:t>
            </w:r>
            <w:r>
              <w:rPr>
                <w:rFonts w:hint="eastAsia" w:ascii="仿宋" w:hAnsi="仿宋" w:eastAsia="仿宋" w:cs="仿宋"/>
                <w:sz w:val="24"/>
                <w:lang w:val="en-US" w:eastAsia="zh-CN"/>
              </w:rPr>
              <w:t>泵房天车</w:t>
            </w:r>
            <w:r>
              <w:rPr>
                <w:rFonts w:hint="eastAsia" w:ascii="仿宋" w:hAnsi="仿宋" w:eastAsia="仿宋" w:cs="仿宋"/>
                <w:sz w:val="24"/>
              </w:rPr>
              <w:t>轨道长约30米。</w:t>
            </w:r>
            <w:r>
              <w:rPr>
                <w:rFonts w:hint="eastAsia" w:ascii="仿宋" w:hAnsi="仿宋" w:eastAsia="仿宋" w:cs="仿宋"/>
                <w:sz w:val="24"/>
                <w:lang w:val="en-US" w:eastAsia="zh-CN"/>
              </w:rPr>
              <w:t>主材：钢板，槽钢，材质：Q235，规格：-10#、10#，数量：66m²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21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接触器安装</w:t>
            </w:r>
          </w:p>
        </w:tc>
        <w:tc>
          <w:tcPr>
            <w:tcW w:w="980"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32A</w:t>
            </w:r>
          </w:p>
        </w:tc>
        <w:tc>
          <w:tcPr>
            <w:tcW w:w="700"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700"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台</w:t>
            </w:r>
          </w:p>
        </w:tc>
        <w:tc>
          <w:tcPr>
            <w:tcW w:w="4459"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21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接触器安装</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25A</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台</w:t>
            </w:r>
          </w:p>
        </w:tc>
        <w:tc>
          <w:tcPr>
            <w:tcW w:w="4459"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7</w:t>
            </w:r>
          </w:p>
        </w:tc>
        <w:tc>
          <w:tcPr>
            <w:tcW w:w="21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配线</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BV4</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800</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米</w:t>
            </w:r>
          </w:p>
        </w:tc>
        <w:tc>
          <w:tcPr>
            <w:tcW w:w="4459"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敷设方式：电控箱内敷设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21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二期北线生化池天车更换变压器</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5T</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台</w:t>
            </w:r>
          </w:p>
        </w:tc>
        <w:tc>
          <w:tcPr>
            <w:tcW w:w="4459"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1、功率：100W，2、工作电压：380V/36V</w:t>
            </w:r>
          </w:p>
        </w:tc>
      </w:tr>
    </w:tbl>
    <w:p>
      <w:pPr>
        <w:pStyle w:val="28"/>
        <w:ind w:firstLine="480" w:firstLineChars="200"/>
        <w:rPr>
          <w:rFonts w:ascii="仿宋_GB2312"/>
        </w:rPr>
      </w:pPr>
    </w:p>
    <w:p>
      <w:pPr>
        <w:pStyle w:val="28"/>
        <w:ind w:firstLine="480" w:firstLineChars="200"/>
        <w:rPr>
          <w:rFonts w:ascii="仿宋_GB2312"/>
        </w:rPr>
      </w:pPr>
    </w:p>
    <w:p>
      <w:pPr>
        <w:pStyle w:val="28"/>
        <w:ind w:firstLine="480" w:firstLineChars="200"/>
        <w:rPr>
          <w:rFonts w:ascii="仿宋_GB2312"/>
        </w:rPr>
      </w:pPr>
    </w:p>
    <w:p>
      <w:pPr>
        <w:pStyle w:val="28"/>
        <w:ind w:firstLine="480" w:firstLineChars="200"/>
        <w:rPr>
          <w:rFonts w:hint="default" w:ascii="仿宋_GB2312" w:eastAsia="仿宋_GB2312" w:hAnsiTheme="minorEastAsia"/>
          <w:sz w:val="28"/>
          <w:szCs w:val="28"/>
          <w:lang w:val="en-US" w:eastAsia="zh-CN"/>
        </w:rPr>
      </w:pPr>
      <w:r>
        <w:rPr>
          <w:rFonts w:ascii="仿宋_GB2312"/>
        </w:rPr>
        <w:t>2.</w:t>
      </w:r>
      <w:r>
        <w:rPr>
          <w:rFonts w:hint="eastAsia" w:ascii="仿宋_GB2312" w:hAnsiTheme="minorEastAsia"/>
          <w:sz w:val="28"/>
          <w:szCs w:val="28"/>
          <w:lang w:val="en-US" w:eastAsia="zh-CN"/>
        </w:rPr>
        <w:t>劳动力需要量：</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noWrap w:val="0"/>
            <w:vAlign w:val="center"/>
          </w:tcPr>
          <w:p>
            <w:pPr>
              <w:adjustRightInd w:val="0"/>
              <w:spacing w:line="360" w:lineRule="atLeast"/>
              <w:jc w:val="center"/>
              <w:textAlignment w:val="baseline"/>
              <w:rPr>
                <w:rFonts w:hint="eastAsia" w:ascii="宋体" w:hAnsi="宋体" w:cs="宋体"/>
                <w:b/>
                <w:bCs/>
                <w:kern w:val="0"/>
                <w:sz w:val="24"/>
              </w:rPr>
            </w:pPr>
            <w:r>
              <w:rPr>
                <w:rFonts w:hint="eastAsia" w:ascii="宋体" w:hAnsi="宋体" w:cs="宋体"/>
                <w:b/>
                <w:bCs/>
                <w:kern w:val="0"/>
                <w:sz w:val="24"/>
              </w:rPr>
              <w:t>序号</w:t>
            </w:r>
          </w:p>
        </w:tc>
        <w:tc>
          <w:tcPr>
            <w:tcW w:w="2835" w:type="dxa"/>
            <w:noWrap w:val="0"/>
            <w:vAlign w:val="center"/>
          </w:tcPr>
          <w:p>
            <w:pPr>
              <w:adjustRightInd w:val="0"/>
              <w:spacing w:line="360" w:lineRule="atLeast"/>
              <w:jc w:val="center"/>
              <w:textAlignment w:val="baseline"/>
              <w:rPr>
                <w:rFonts w:hint="eastAsia" w:ascii="宋体" w:hAnsi="宋体" w:cs="宋体"/>
                <w:b/>
                <w:bCs/>
                <w:kern w:val="0"/>
                <w:sz w:val="24"/>
              </w:rPr>
            </w:pPr>
            <w:r>
              <w:rPr>
                <w:rFonts w:hint="eastAsia" w:ascii="宋体" w:hAnsi="宋体" w:cs="宋体"/>
                <w:b/>
                <w:bCs/>
                <w:kern w:val="0"/>
                <w:sz w:val="24"/>
              </w:rPr>
              <w:t>工种</w:t>
            </w:r>
          </w:p>
        </w:tc>
        <w:tc>
          <w:tcPr>
            <w:tcW w:w="1134" w:type="dxa"/>
            <w:noWrap w:val="0"/>
            <w:vAlign w:val="center"/>
          </w:tcPr>
          <w:p>
            <w:pPr>
              <w:adjustRightInd w:val="0"/>
              <w:spacing w:line="360" w:lineRule="atLeast"/>
              <w:jc w:val="center"/>
              <w:textAlignment w:val="baseline"/>
              <w:rPr>
                <w:rFonts w:hint="eastAsia" w:ascii="宋体" w:hAnsi="宋体" w:cs="宋体"/>
                <w:b/>
                <w:bCs/>
                <w:kern w:val="0"/>
                <w:sz w:val="24"/>
              </w:rPr>
            </w:pPr>
            <w:r>
              <w:rPr>
                <w:rFonts w:hint="eastAsia" w:ascii="宋体" w:hAnsi="宋体" w:cs="宋体"/>
                <w:b/>
                <w:bCs/>
                <w:kern w:val="0"/>
                <w:sz w:val="24"/>
              </w:rPr>
              <w:t>人数</w:t>
            </w:r>
          </w:p>
        </w:tc>
        <w:tc>
          <w:tcPr>
            <w:tcW w:w="2835" w:type="dxa"/>
            <w:noWrap w:val="0"/>
            <w:vAlign w:val="center"/>
          </w:tcPr>
          <w:p>
            <w:pPr>
              <w:adjustRightInd w:val="0"/>
              <w:spacing w:line="360" w:lineRule="atLeast"/>
              <w:jc w:val="center"/>
              <w:textAlignment w:val="baseline"/>
              <w:rPr>
                <w:rFonts w:hint="eastAsia"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noWrap w:val="0"/>
            <w:vAlign w:val="center"/>
          </w:tcPr>
          <w:p>
            <w:pPr>
              <w:adjustRightInd w:val="0"/>
              <w:spacing w:line="360" w:lineRule="atLeast"/>
              <w:jc w:val="center"/>
              <w:textAlignment w:val="baseline"/>
              <w:rPr>
                <w:rFonts w:hint="eastAsia" w:ascii="宋体" w:hAnsi="宋体" w:cs="宋体"/>
                <w:kern w:val="0"/>
                <w:sz w:val="24"/>
              </w:rPr>
            </w:pPr>
            <w:r>
              <w:rPr>
                <w:rFonts w:hint="eastAsia" w:ascii="宋体" w:hAnsi="宋体" w:cs="宋体"/>
                <w:kern w:val="0"/>
                <w:sz w:val="24"/>
              </w:rPr>
              <w:t>1</w:t>
            </w:r>
          </w:p>
        </w:tc>
        <w:tc>
          <w:tcPr>
            <w:tcW w:w="2835" w:type="dxa"/>
            <w:noWrap w:val="0"/>
            <w:vAlign w:val="center"/>
          </w:tcPr>
          <w:p>
            <w:pPr>
              <w:adjustRightInd w:val="0"/>
              <w:spacing w:line="360" w:lineRule="atLeast"/>
              <w:jc w:val="center"/>
              <w:textAlignment w:val="baseline"/>
              <w:rPr>
                <w:rFonts w:hint="eastAsia" w:ascii="宋体" w:hAnsi="宋体" w:cs="宋体"/>
                <w:kern w:val="0"/>
                <w:sz w:val="24"/>
              </w:rPr>
            </w:pPr>
            <w:r>
              <w:rPr>
                <w:rFonts w:hint="eastAsia" w:ascii="宋体" w:hAnsi="宋体" w:cs="宋体"/>
                <w:kern w:val="0"/>
                <w:sz w:val="24"/>
              </w:rPr>
              <w:t>项目负责人</w:t>
            </w:r>
          </w:p>
        </w:tc>
        <w:tc>
          <w:tcPr>
            <w:tcW w:w="1134" w:type="dxa"/>
            <w:noWrap w:val="0"/>
            <w:vAlign w:val="center"/>
          </w:tcPr>
          <w:p>
            <w:pPr>
              <w:adjustRightInd w:val="0"/>
              <w:spacing w:line="360" w:lineRule="atLeast"/>
              <w:jc w:val="center"/>
              <w:textAlignment w:val="baseline"/>
              <w:rPr>
                <w:rFonts w:hint="eastAsia" w:ascii="宋体" w:hAnsi="宋体" w:cs="宋体"/>
                <w:kern w:val="0"/>
                <w:sz w:val="24"/>
              </w:rPr>
            </w:pPr>
            <w:r>
              <w:rPr>
                <w:rFonts w:hint="eastAsia" w:ascii="宋体" w:hAnsi="宋体" w:cs="宋体"/>
                <w:kern w:val="0"/>
                <w:sz w:val="24"/>
              </w:rPr>
              <w:t>1</w:t>
            </w:r>
          </w:p>
        </w:tc>
        <w:tc>
          <w:tcPr>
            <w:tcW w:w="2835" w:type="dxa"/>
            <w:noWrap w:val="0"/>
            <w:vAlign w:val="center"/>
          </w:tcPr>
          <w:p>
            <w:pPr>
              <w:adjustRightInd w:val="0"/>
              <w:spacing w:line="360" w:lineRule="atLeast"/>
              <w:jc w:val="center"/>
              <w:textAlignment w:val="baseline"/>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noWrap w:val="0"/>
            <w:vAlign w:val="top"/>
          </w:tcPr>
          <w:p>
            <w:pPr>
              <w:adjustRightInd w:val="0"/>
              <w:spacing w:line="360" w:lineRule="atLeast"/>
              <w:jc w:val="center"/>
              <w:textAlignment w:val="baseline"/>
              <w:rPr>
                <w:rFonts w:ascii="宋体" w:hAnsi="宋体" w:cs="宋体"/>
                <w:kern w:val="0"/>
                <w:sz w:val="24"/>
              </w:rPr>
            </w:pPr>
            <w:r>
              <w:rPr>
                <w:rFonts w:hint="eastAsia" w:ascii="宋体" w:hAnsi="宋体" w:cs="宋体"/>
                <w:kern w:val="0"/>
                <w:sz w:val="24"/>
              </w:rPr>
              <w:t>2</w:t>
            </w:r>
          </w:p>
        </w:tc>
        <w:tc>
          <w:tcPr>
            <w:tcW w:w="2835" w:type="dxa"/>
            <w:noWrap w:val="0"/>
            <w:vAlign w:val="top"/>
          </w:tcPr>
          <w:p>
            <w:pPr>
              <w:adjustRightInd w:val="0"/>
              <w:spacing w:line="360" w:lineRule="atLeast"/>
              <w:jc w:val="center"/>
              <w:textAlignment w:val="baseline"/>
              <w:rPr>
                <w:rFonts w:hint="eastAsia" w:ascii="宋体" w:hAnsi="宋体" w:cs="宋体"/>
                <w:kern w:val="0"/>
                <w:sz w:val="24"/>
              </w:rPr>
            </w:pPr>
            <w:r>
              <w:rPr>
                <w:rFonts w:hint="eastAsia" w:ascii="宋体" w:hAnsi="宋体" w:cs="宋体"/>
                <w:kern w:val="0"/>
                <w:sz w:val="24"/>
              </w:rPr>
              <w:t>现场安全员</w:t>
            </w:r>
          </w:p>
        </w:tc>
        <w:tc>
          <w:tcPr>
            <w:tcW w:w="1134" w:type="dxa"/>
            <w:noWrap w:val="0"/>
            <w:vAlign w:val="top"/>
          </w:tcPr>
          <w:p>
            <w:pPr>
              <w:adjustRightInd w:val="0"/>
              <w:spacing w:line="360" w:lineRule="atLeast"/>
              <w:jc w:val="center"/>
              <w:textAlignment w:val="baseline"/>
              <w:rPr>
                <w:rFonts w:ascii="宋体" w:hAnsi="宋体" w:cs="宋体"/>
                <w:kern w:val="0"/>
                <w:sz w:val="24"/>
              </w:rPr>
            </w:pPr>
            <w:r>
              <w:rPr>
                <w:rFonts w:hint="eastAsia" w:ascii="宋体" w:hAnsi="宋体" w:cs="宋体"/>
                <w:kern w:val="0"/>
                <w:sz w:val="24"/>
              </w:rPr>
              <w:t>1</w:t>
            </w:r>
          </w:p>
        </w:tc>
        <w:tc>
          <w:tcPr>
            <w:tcW w:w="2835" w:type="dxa"/>
            <w:noWrap w:val="0"/>
            <w:vAlign w:val="top"/>
          </w:tcPr>
          <w:p>
            <w:pPr>
              <w:adjustRightInd w:val="0"/>
              <w:spacing w:line="360" w:lineRule="atLeast"/>
              <w:jc w:val="center"/>
              <w:textAlignment w:val="baseline"/>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noWrap w:val="0"/>
            <w:vAlign w:val="top"/>
          </w:tcPr>
          <w:p>
            <w:pPr>
              <w:adjustRightInd w:val="0"/>
              <w:spacing w:line="360" w:lineRule="atLeast"/>
              <w:jc w:val="center"/>
              <w:textAlignment w:val="baseline"/>
              <w:rPr>
                <w:rFonts w:ascii="宋体" w:hAnsi="宋体" w:cs="宋体"/>
                <w:kern w:val="0"/>
                <w:sz w:val="24"/>
              </w:rPr>
            </w:pPr>
            <w:r>
              <w:rPr>
                <w:rFonts w:hint="eastAsia" w:ascii="宋体" w:hAnsi="宋体" w:cs="宋体"/>
                <w:kern w:val="0"/>
                <w:sz w:val="24"/>
              </w:rPr>
              <w:t>3</w:t>
            </w:r>
          </w:p>
        </w:tc>
        <w:tc>
          <w:tcPr>
            <w:tcW w:w="2835" w:type="dxa"/>
            <w:noWrap w:val="0"/>
            <w:vAlign w:val="top"/>
          </w:tcPr>
          <w:p>
            <w:pPr>
              <w:adjustRightInd w:val="0"/>
              <w:spacing w:line="360" w:lineRule="atLeast"/>
              <w:jc w:val="center"/>
              <w:textAlignment w:val="baseline"/>
              <w:rPr>
                <w:rFonts w:hint="eastAsia" w:ascii="宋体" w:hAnsi="宋体" w:cs="宋体"/>
                <w:kern w:val="0"/>
                <w:sz w:val="24"/>
              </w:rPr>
            </w:pPr>
            <w:r>
              <w:rPr>
                <w:rFonts w:hint="eastAsia" w:ascii="宋体" w:hAnsi="宋体" w:cs="宋体"/>
                <w:kern w:val="0"/>
                <w:sz w:val="24"/>
              </w:rPr>
              <w:t>电工</w:t>
            </w:r>
          </w:p>
        </w:tc>
        <w:tc>
          <w:tcPr>
            <w:tcW w:w="1134" w:type="dxa"/>
            <w:noWrap w:val="0"/>
            <w:vAlign w:val="top"/>
          </w:tcPr>
          <w:p>
            <w:pPr>
              <w:adjustRightInd w:val="0"/>
              <w:spacing w:line="360" w:lineRule="atLeast"/>
              <w:jc w:val="center"/>
              <w:textAlignment w:val="baseline"/>
              <w:rPr>
                <w:rFonts w:ascii="宋体" w:hAnsi="宋体" w:cs="宋体"/>
                <w:kern w:val="0"/>
                <w:sz w:val="24"/>
              </w:rPr>
            </w:pPr>
            <w:r>
              <w:rPr>
                <w:rFonts w:hint="eastAsia" w:ascii="宋体" w:hAnsi="宋体" w:cs="宋体"/>
                <w:kern w:val="0"/>
                <w:sz w:val="24"/>
              </w:rPr>
              <w:t>1</w:t>
            </w:r>
          </w:p>
        </w:tc>
        <w:tc>
          <w:tcPr>
            <w:tcW w:w="2835" w:type="dxa"/>
            <w:noWrap w:val="0"/>
            <w:vAlign w:val="top"/>
          </w:tcPr>
          <w:p>
            <w:pPr>
              <w:adjustRightInd w:val="0"/>
              <w:spacing w:line="360" w:lineRule="atLeast"/>
              <w:jc w:val="center"/>
              <w:textAlignment w:val="baseline"/>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4" w:type="dxa"/>
            <w:noWrap w:val="0"/>
            <w:vAlign w:val="top"/>
          </w:tcPr>
          <w:p>
            <w:pPr>
              <w:adjustRightInd w:val="0"/>
              <w:spacing w:line="360" w:lineRule="atLeast"/>
              <w:jc w:val="center"/>
              <w:textAlignment w:val="baseline"/>
              <w:rPr>
                <w:rFonts w:ascii="宋体" w:hAnsi="宋体" w:cs="宋体"/>
                <w:kern w:val="0"/>
                <w:sz w:val="24"/>
              </w:rPr>
            </w:pPr>
            <w:r>
              <w:rPr>
                <w:rFonts w:hint="eastAsia" w:ascii="宋体" w:hAnsi="宋体" w:cs="宋体"/>
                <w:kern w:val="0"/>
                <w:sz w:val="24"/>
              </w:rPr>
              <w:t>4</w:t>
            </w:r>
          </w:p>
        </w:tc>
        <w:tc>
          <w:tcPr>
            <w:tcW w:w="2835" w:type="dxa"/>
            <w:noWrap w:val="0"/>
            <w:vAlign w:val="top"/>
          </w:tcPr>
          <w:p>
            <w:pPr>
              <w:adjustRightInd w:val="0"/>
              <w:spacing w:line="360" w:lineRule="atLeast"/>
              <w:jc w:val="center"/>
              <w:textAlignment w:val="baseline"/>
              <w:rPr>
                <w:rFonts w:hint="eastAsia" w:ascii="宋体" w:hAnsi="宋体" w:cs="宋体"/>
                <w:kern w:val="0"/>
                <w:sz w:val="24"/>
              </w:rPr>
            </w:pPr>
            <w:r>
              <w:rPr>
                <w:rFonts w:hint="eastAsia" w:ascii="宋体" w:hAnsi="宋体" w:cs="宋体"/>
                <w:kern w:val="0"/>
                <w:sz w:val="24"/>
              </w:rPr>
              <w:t>施工人员</w:t>
            </w:r>
          </w:p>
        </w:tc>
        <w:tc>
          <w:tcPr>
            <w:tcW w:w="1134" w:type="dxa"/>
            <w:noWrap w:val="0"/>
            <w:vAlign w:val="top"/>
          </w:tcPr>
          <w:p>
            <w:pPr>
              <w:adjustRightInd w:val="0"/>
              <w:spacing w:line="360" w:lineRule="atLeast"/>
              <w:jc w:val="center"/>
              <w:textAlignment w:val="baseline"/>
              <w:rPr>
                <w:rFonts w:hint="eastAsia" w:ascii="宋体" w:hAnsi="宋体" w:cs="宋体"/>
                <w:kern w:val="0"/>
                <w:sz w:val="24"/>
              </w:rPr>
            </w:pPr>
            <w:r>
              <w:rPr>
                <w:rFonts w:hint="eastAsia" w:ascii="宋体" w:hAnsi="宋体" w:cs="宋体"/>
                <w:kern w:val="0"/>
                <w:sz w:val="24"/>
              </w:rPr>
              <w:t>1</w:t>
            </w:r>
          </w:p>
        </w:tc>
        <w:tc>
          <w:tcPr>
            <w:tcW w:w="2835" w:type="dxa"/>
            <w:noWrap w:val="0"/>
            <w:vAlign w:val="top"/>
          </w:tcPr>
          <w:p>
            <w:pPr>
              <w:adjustRightInd w:val="0"/>
              <w:spacing w:line="360" w:lineRule="atLeast"/>
              <w:jc w:val="center"/>
              <w:textAlignment w:val="baseline"/>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9" w:type="dxa"/>
            <w:gridSpan w:val="2"/>
            <w:noWrap w:val="0"/>
            <w:vAlign w:val="top"/>
          </w:tcPr>
          <w:p>
            <w:pPr>
              <w:adjustRightInd w:val="0"/>
              <w:spacing w:line="360" w:lineRule="atLeast"/>
              <w:jc w:val="center"/>
              <w:textAlignment w:val="baseline"/>
              <w:rPr>
                <w:rFonts w:hint="eastAsia" w:ascii="宋体" w:hAnsi="宋体" w:cs="宋体"/>
                <w:kern w:val="0"/>
                <w:sz w:val="24"/>
              </w:rPr>
            </w:pPr>
            <w:r>
              <w:rPr>
                <w:rFonts w:hint="eastAsia" w:ascii="宋体" w:hAnsi="宋体" w:cs="宋体"/>
                <w:kern w:val="0"/>
                <w:sz w:val="24"/>
              </w:rPr>
              <w:t>合计</w:t>
            </w:r>
          </w:p>
        </w:tc>
        <w:tc>
          <w:tcPr>
            <w:tcW w:w="1134" w:type="dxa"/>
            <w:noWrap w:val="0"/>
            <w:vAlign w:val="top"/>
          </w:tcPr>
          <w:p>
            <w:pPr>
              <w:adjustRightInd w:val="0"/>
              <w:spacing w:line="360" w:lineRule="atLeast"/>
              <w:jc w:val="center"/>
              <w:textAlignment w:val="baseline"/>
              <w:rPr>
                <w:rFonts w:ascii="宋体" w:hAnsi="宋体" w:cs="宋体"/>
                <w:kern w:val="0"/>
                <w:sz w:val="24"/>
              </w:rPr>
            </w:pPr>
            <w:r>
              <w:rPr>
                <w:rFonts w:hint="eastAsia" w:ascii="宋体" w:hAnsi="宋体" w:cs="宋体"/>
                <w:kern w:val="0"/>
                <w:sz w:val="24"/>
              </w:rPr>
              <w:t>4</w:t>
            </w:r>
          </w:p>
        </w:tc>
        <w:tc>
          <w:tcPr>
            <w:tcW w:w="2835" w:type="dxa"/>
            <w:noWrap w:val="0"/>
            <w:vAlign w:val="top"/>
          </w:tcPr>
          <w:p>
            <w:pPr>
              <w:adjustRightInd w:val="0"/>
              <w:spacing w:line="360" w:lineRule="atLeast"/>
              <w:jc w:val="center"/>
              <w:textAlignment w:val="baseline"/>
              <w:rPr>
                <w:rFonts w:hint="eastAsia" w:ascii="宋体" w:hAnsi="宋体" w:cs="宋体"/>
                <w:kern w:val="0"/>
                <w:sz w:val="24"/>
              </w:rPr>
            </w:pPr>
          </w:p>
        </w:tc>
      </w:tr>
    </w:tbl>
    <w:p>
      <w:pPr>
        <w:pStyle w:val="28"/>
      </w:pPr>
    </w:p>
    <w:p>
      <w:p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w:t>
      </w:r>
      <w:r>
        <w:rPr>
          <w:rFonts w:ascii="仿宋_GB2312" w:hAnsi="仿宋_GB2312" w:eastAsia="仿宋_GB2312" w:cs="仿宋_GB2312"/>
          <w:sz w:val="28"/>
          <w:szCs w:val="28"/>
          <w:u w:val="single"/>
          <w:lang w:val="zh-CN"/>
        </w:rPr>
        <w:t>报价单位须是在中华人民共和国境内注册的独立法人或其他组织，</w:t>
      </w:r>
      <w:r>
        <w:rPr>
          <w:rFonts w:hint="eastAsia" w:ascii="仿宋_GB2312" w:hAnsi="仿宋_GB2312" w:eastAsia="仿宋_GB2312" w:cs="仿宋_GB2312"/>
          <w:sz w:val="28"/>
          <w:szCs w:val="28"/>
          <w:u w:val="single"/>
        </w:rPr>
        <w:t>具有独立法人资格，</w:t>
      </w:r>
      <w:r>
        <w:rPr>
          <w:rFonts w:ascii="仿宋_GB2312" w:hAnsi="仿宋_GB2312" w:eastAsia="仿宋_GB2312" w:cs="仿宋_GB2312"/>
          <w:sz w:val="28"/>
          <w:szCs w:val="28"/>
          <w:u w:val="single"/>
          <w:lang w:val="zh-CN"/>
        </w:rPr>
        <w:t>持有工商行政管理部门核发的营业执照，且能开具增值税发票</w:t>
      </w:r>
      <w:r>
        <w:rPr>
          <w:rFonts w:hint="eastAsia" w:ascii="仿宋_GB2312" w:hAnsi="仿宋_GB2312" w:eastAsia="仿宋_GB2312" w:cs="仿宋_GB2312"/>
          <w:sz w:val="28"/>
          <w:szCs w:val="28"/>
          <w:u w:val="single"/>
        </w:rPr>
        <w:t>。</w:t>
      </w:r>
    </w:p>
    <w:p>
      <w:pPr>
        <w:spacing w:line="360" w:lineRule="auto"/>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u w:val="single"/>
        </w:rPr>
        <w:t>2</w:t>
      </w:r>
      <w:r>
        <w:rPr>
          <w:rFonts w:hint="eastAsia" w:ascii="仿宋_GB2312" w:hAnsi="仿宋_GB2312" w:eastAsia="仿宋_GB2312" w:cs="仿宋_GB2312"/>
          <w:sz w:val="28"/>
          <w:szCs w:val="28"/>
          <w:u w:val="single"/>
        </w:rPr>
        <w:t>.业绩要求：</w:t>
      </w:r>
      <w:r>
        <w:rPr>
          <w:rFonts w:hint="eastAsia" w:ascii="仿宋_GB2312" w:hAnsi="仿宋_GB2312" w:eastAsia="仿宋_GB2312" w:cs="仿宋_GB2312"/>
          <w:sz w:val="28"/>
          <w:szCs w:val="28"/>
          <w:u w:val="single"/>
          <w:lang w:val="en-US" w:eastAsia="zh-CN"/>
        </w:rPr>
        <w:t>2018</w:t>
      </w:r>
      <w:r>
        <w:rPr>
          <w:rFonts w:hint="eastAsia" w:ascii="仿宋_GB2312" w:hAnsi="仿宋_GB2312" w:eastAsia="仿宋_GB2312" w:cs="仿宋_GB2312"/>
          <w:sz w:val="28"/>
          <w:szCs w:val="28"/>
          <w:u w:val="single"/>
        </w:rPr>
        <w:t>年1月1日至今，最少具有一项</w:t>
      </w:r>
      <w:r>
        <w:rPr>
          <w:rFonts w:hint="eastAsia" w:ascii="仿宋_GB2312" w:hAnsi="仿宋_GB2312" w:eastAsia="仿宋_GB2312" w:cs="仿宋_GB2312"/>
          <w:sz w:val="28"/>
          <w:szCs w:val="28"/>
          <w:u w:val="single"/>
          <w:lang w:val="en-US" w:eastAsia="zh-CN"/>
        </w:rPr>
        <w:t>起重机</w:t>
      </w:r>
      <w:r>
        <w:rPr>
          <w:rFonts w:hint="eastAsia" w:ascii="仿宋_GB2312" w:hAnsi="仿宋_GB2312" w:eastAsia="仿宋_GB2312" w:cs="仿宋_GB2312"/>
          <w:sz w:val="28"/>
          <w:szCs w:val="28"/>
          <w:u w:val="single"/>
        </w:rPr>
        <w:t>维修业绩（提供合同复印件证明，包括但不限于项目名称、金额及实施内容、合同双方签字盖章、签订日期，并加盖单位公章）。</w:t>
      </w:r>
    </w:p>
    <w:p>
      <w:pPr>
        <w:spacing w:line="520" w:lineRule="exact"/>
        <w:ind w:firstLine="560" w:firstLineChars="200"/>
        <w:rPr>
          <w:rFonts w:ascii="仿宋" w:hAnsi="仿宋" w:eastAsia="仿宋" w:cs="仿宋"/>
          <w:sz w:val="28"/>
          <w:szCs w:val="28"/>
          <w:u w:val="single"/>
        </w:rPr>
      </w:pPr>
      <w:r>
        <w:rPr>
          <w:rFonts w:ascii="仿宋_GB2312" w:hAnsi="仿宋_GB2312" w:eastAsia="仿宋_GB2312" w:cs="仿宋_GB2312"/>
          <w:sz w:val="28"/>
          <w:szCs w:val="28"/>
          <w:lang w:val="zh-CN"/>
        </w:rPr>
        <w:t>3</w:t>
      </w:r>
      <w:r>
        <w:rPr>
          <w:rFonts w:hint="eastAsia" w:ascii="仿宋_GB2312" w:hAnsi="仿宋_GB2312" w:eastAsia="仿宋_GB2312" w:cs="仿宋_GB2312"/>
          <w:sz w:val="28"/>
          <w:szCs w:val="28"/>
          <w:lang w:val="zh-CN"/>
        </w:rPr>
        <w:t>.</w:t>
      </w:r>
      <w:r>
        <w:rPr>
          <w:rFonts w:hint="eastAsia" w:ascii="仿宋" w:hAnsi="仿宋" w:eastAsia="仿宋" w:cs="仿宋_GB2312"/>
          <w:color w:val="000000" w:themeColor="text1"/>
          <w:sz w:val="28"/>
          <w:szCs w:val="28"/>
          <w:u w:val="single"/>
          <w14:textFill>
            <w14:solidFill>
              <w14:schemeClr w14:val="tx1"/>
            </w14:solidFill>
          </w14:textFill>
        </w:rPr>
        <w:t>报价人应</w:t>
      </w:r>
      <w:r>
        <w:rPr>
          <w:rFonts w:hint="eastAsia" w:ascii="仿宋" w:hAnsi="仿宋" w:eastAsia="仿宋" w:cs="仿宋_GB2312"/>
          <w:color w:val="000000" w:themeColor="text1"/>
          <w:sz w:val="28"/>
          <w:szCs w:val="28"/>
          <w:u w:val="single"/>
          <w:lang w:val="en-US" w:eastAsia="zh-CN"/>
          <w14:textFill>
            <w14:solidFill>
              <w14:schemeClr w14:val="tx1"/>
            </w14:solidFill>
          </w14:textFill>
        </w:rPr>
        <w:t>提供特种设备生产许可证C级证明，并</w:t>
      </w:r>
      <w:r>
        <w:rPr>
          <w:rFonts w:hint="eastAsia" w:ascii="仿宋" w:hAnsi="仿宋" w:eastAsia="仿宋" w:cs="仿宋_GB2312"/>
          <w:color w:val="000000" w:themeColor="text1"/>
          <w:sz w:val="28"/>
          <w:szCs w:val="28"/>
          <w:u w:val="single"/>
          <w14:textFill>
            <w14:solidFill>
              <w14:schemeClr w14:val="tx1"/>
            </w14:solidFill>
          </w14:textFill>
        </w:rPr>
        <w:t>书面承诺所提供报价货物/设备均为全新产品</w:t>
      </w:r>
      <w:r>
        <w:rPr>
          <w:rFonts w:hint="eastAsia" w:ascii="仿宋" w:hAnsi="仿宋" w:eastAsia="仿宋" w:cs="仿宋"/>
          <w:color w:val="000000"/>
          <w:sz w:val="28"/>
          <w:szCs w:val="28"/>
          <w:u w:val="single"/>
        </w:rPr>
        <w:t>。</w:t>
      </w:r>
    </w:p>
    <w:p>
      <w:pPr>
        <w:numPr>
          <w:ilvl w:val="0"/>
          <w:numId w:val="1"/>
        </w:numPr>
        <w:autoSpaceDE w:val="0"/>
        <w:autoSpaceDN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lang w:val="zh-CN"/>
        </w:rPr>
        <w:t>现场踏勘(答疑会)时间、地点（也可由报价人自行踏勘现场）：</w:t>
      </w:r>
      <w:r>
        <w:rPr>
          <w:rFonts w:ascii="仿宋_GB2312" w:hAnsi="仿宋_GB2312" w:eastAsia="仿宋_GB2312" w:cs="仿宋_GB2312"/>
          <w:sz w:val="28"/>
          <w:szCs w:val="28"/>
        </w:rPr>
        <w:t>因现场拆卸、安装环境较复杂，</w:t>
      </w:r>
      <w:r>
        <w:rPr>
          <w:rFonts w:hint="eastAsia" w:ascii="仿宋_GB2312" w:hAnsi="仿宋_GB2312" w:eastAsia="仿宋_GB2312" w:cs="仿宋_GB2312"/>
          <w:sz w:val="28"/>
          <w:szCs w:val="28"/>
        </w:rPr>
        <w:t>须</w:t>
      </w:r>
      <w:r>
        <w:rPr>
          <w:rFonts w:hint="eastAsia" w:ascii="仿宋_GB2312" w:hAnsi="仿宋_GB2312" w:eastAsia="仿宋_GB2312" w:cs="仿宋_GB2312"/>
          <w:bCs/>
          <w:sz w:val="28"/>
          <w:szCs w:val="28"/>
        </w:rPr>
        <w:t>在提交报价文件前进行现场踏勘，未进行现场踏勘而报价的，一律视为无效报价。递交响应文件时需附上现场踏勘</w:t>
      </w:r>
      <w:r>
        <w:rPr>
          <w:rFonts w:hint="eastAsia" w:ascii="仿宋_GB2312" w:hAnsi="仿宋" w:eastAsia="仿宋_GB2312" w:cs="仿宋_GB2312"/>
          <w:color w:val="000000"/>
          <w:sz w:val="28"/>
          <w:szCs w:val="28"/>
        </w:rPr>
        <w:t>委派书</w:t>
      </w:r>
      <w:r>
        <w:rPr>
          <w:rFonts w:hint="eastAsia" w:ascii="仿宋_GB2312" w:hAnsi="仿宋_GB2312" w:eastAsia="仿宋_GB2312" w:cs="仿宋_GB2312"/>
          <w:bCs/>
          <w:sz w:val="28"/>
          <w:szCs w:val="28"/>
        </w:rPr>
        <w:t>（需求单位及报价单位均需盖章）。</w:t>
      </w:r>
    </w:p>
    <w:p>
      <w:pPr>
        <w:numPr>
          <w:ilvl w:val="0"/>
          <w:numId w:val="2"/>
        </w:numPr>
        <w:autoSpaceDE w:val="0"/>
        <w:autoSpaceDN w:val="0"/>
        <w:ind w:left="5318" w:leftChars="266" w:hanging="4760" w:hangingChars="17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现场踏勘(答疑会)集合时间：</w:t>
      </w:r>
      <w:r>
        <w:rPr>
          <w:rFonts w:hint="eastAsia" w:ascii="仿宋_GB2312" w:hAnsi="仿宋_GB2312" w:eastAsia="仿宋_GB2312" w:cs="仿宋_GB2312"/>
          <w:sz w:val="28"/>
          <w:szCs w:val="28"/>
          <w:lang w:val="en-US" w:eastAsia="zh-CN"/>
        </w:rPr>
        <w:t>2021年11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至11时00分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2.现场踏勘(答疑会)集合地点：</w:t>
      </w:r>
      <w:r>
        <w:rPr>
          <w:rFonts w:hint="eastAsia" w:ascii="仿宋_GB2312" w:hAnsi="仿宋" w:eastAsia="仿宋_GB2312" w:cs="仿宋_GB2312"/>
          <w:color w:val="000000"/>
          <w:sz w:val="28"/>
          <w:szCs w:val="28"/>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rPr>
        <w:t>分公司</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分前，在广州市净水有限公司门户网站免费下载。</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分至</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分；询价响应文件递交截止时间：2021年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color w:val="000000"/>
          <w:sz w:val="28"/>
          <w:szCs w:val="28"/>
        </w:rPr>
        <w:t>递交响应文件时须提供授权委托人身份证原件备查。</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十二、评审地点：广州市净水有限公司</w:t>
      </w:r>
      <w:r>
        <w:rPr>
          <w:rFonts w:hint="eastAsia" w:ascii="仿宋_GB2312" w:hAnsi="仿宋_GB2312" w:eastAsia="仿宋_GB2312" w:cs="仿宋_GB2312"/>
          <w:sz w:val="28"/>
          <w:szCs w:val="28"/>
        </w:rPr>
        <w:t>六楼</w:t>
      </w:r>
      <w:r>
        <w:rPr>
          <w:rFonts w:hint="eastAsia" w:ascii="仿宋_GB2312" w:hAnsi="仿宋_GB2312" w:eastAsia="仿宋_GB2312" w:cs="仿宋_GB2312"/>
          <w:sz w:val="28"/>
          <w:szCs w:val="28"/>
          <w:lang w:val="zh-CN"/>
        </w:rPr>
        <w:t xml:space="preserve">招标办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询价人：广州市净水有限公司</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联系地址：广州市天河区临江大道501号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联系人：黄工             联系方式：020-62315524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广州市净水有限公司</w:t>
      </w:r>
    </w:p>
    <w:p>
      <w:pPr>
        <w:autoSpaceDE w:val="0"/>
        <w:autoSpaceDN w:val="0"/>
        <w:ind w:firstLine="560" w:firstLineChars="200"/>
        <w:rPr>
          <w:rFonts w:ascii="仿宋_GB2312" w:hAnsi="仿宋_GB2312" w:eastAsia="仿宋_GB2312" w:cs="仿宋_GB2312"/>
          <w:sz w:val="28"/>
          <w:szCs w:val="28"/>
          <w:lang w:val="zh-CN"/>
        </w:rPr>
        <w:sectPr>
          <w:footerReference r:id="rId6" w:type="default"/>
          <w:type w:val="continuous"/>
          <w:pgSz w:w="11906" w:h="16838"/>
          <w:pgMar w:top="1134" w:right="1134" w:bottom="1134" w:left="1701" w:header="851" w:footer="992" w:gutter="0"/>
          <w:pgNumType w:start="1"/>
          <w:cols w:space="720" w:num="1"/>
          <w:docGrid w:type="linesAndChars" w:linePitch="312" w:charSpace="0"/>
        </w:sect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lang w:val="zh-CN"/>
        </w:rPr>
        <w:t>日</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致：广州市净水有限公司</w:t>
      </w:r>
    </w:p>
    <w:p>
      <w:pPr>
        <w:spacing w:line="360" w:lineRule="auto"/>
        <w:rPr>
          <w:rFonts w:ascii="仿宋_GB2312" w:hAnsi="仿宋_GB2312" w:eastAsia="仿宋_GB2312" w:cs="仿宋_GB2312"/>
          <w:b/>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z w:val="28"/>
          <w:szCs w:val="28"/>
          <w:u w:val="single"/>
        </w:rPr>
        <w:t xml:space="preserve">（报价单位名称）     </w:t>
      </w:r>
      <w:r>
        <w:rPr>
          <w:rFonts w:hint="eastAsia" w:ascii="仿宋_GB2312" w:hAnsi="仿宋_GB2312" w:eastAsia="仿宋_GB2312" w:cs="仿宋_GB2312"/>
          <w:sz w:val="28"/>
          <w:szCs w:val="28"/>
        </w:rPr>
        <w:t>现委派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z w:val="28"/>
          <w:szCs w:val="28"/>
          <w:u w:val="single"/>
        </w:rPr>
        <w:t xml:space="preserve">（姓名、职务、身份证号）    </w:t>
      </w:r>
      <w:r>
        <w:rPr>
          <w:rFonts w:hint="eastAsia" w:ascii="仿宋_GB2312" w:hAnsi="仿宋_GB2312" w:eastAsia="仿宋_GB2312" w:cs="仿宋_GB2312"/>
          <w:sz w:val="28"/>
          <w:szCs w:val="28"/>
        </w:rPr>
        <w:t>处理本项目</w:t>
      </w:r>
      <w:r>
        <w:rPr>
          <w:rFonts w:hint="eastAsia" w:ascii="仿宋_GB2312" w:hAnsi="仿宋_GB2312" w:eastAsia="仿宋_GB2312" w:cs="仿宋_GB2312"/>
          <w:sz w:val="28"/>
          <w:szCs w:val="28"/>
          <w:u w:val="single"/>
          <w:lang w:val="en-US" w:eastAsia="zh-CN"/>
        </w:rPr>
        <w:t>石井净水分公司二期起重机加慢速档及一期部分轨道加固项目</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的现场踏勘事宜。</w:t>
      </w:r>
    </w:p>
    <w:p>
      <w:pPr>
        <w:spacing w:line="360" w:lineRule="auto"/>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pStyle w:val="28"/>
        <w:ind w:firstLine="560" w:firstLineChars="200"/>
      </w:pPr>
      <w:r>
        <w:rPr>
          <w:rFonts w:hint="eastAsia" w:ascii="仿宋_GB2312" w:hAnsi="仿宋_GB2312" w:cs="仿宋_GB2312"/>
          <w:sz w:val="28"/>
          <w:szCs w:val="28"/>
        </w:rPr>
        <w:t>（注：基于近期疫情防控形势，授权委托人须出示健康码</w:t>
      </w:r>
      <w:r>
        <w:rPr>
          <w:rFonts w:hint="eastAsia" w:ascii="仿宋_GB2312" w:hAnsi="仿宋_GB2312" w:cs="仿宋_GB2312"/>
          <w:sz w:val="28"/>
          <w:szCs w:val="28"/>
          <w:lang w:val="en-US" w:eastAsia="zh-CN"/>
        </w:rPr>
        <w:t>48小时内有效核酸结果</w:t>
      </w:r>
      <w:r>
        <w:rPr>
          <w:rFonts w:hint="eastAsia" w:ascii="仿宋_GB2312" w:hAnsi="仿宋_GB2312" w:cs="仿宋_GB2312"/>
          <w:sz w:val="28"/>
          <w:szCs w:val="28"/>
        </w:rPr>
        <w:t>和提供疫苗接种情况，否则不予进入我公司）</w:t>
      </w:r>
    </w:p>
    <w:p>
      <w:pPr>
        <w:adjustRightInd w:val="0"/>
        <w:snapToGrid w:val="0"/>
        <w:spacing w:line="360" w:lineRule="auto"/>
        <w:rPr>
          <w:rFonts w:ascii="仿宋_GB2312" w:hAnsi="仿宋_GB2312" w:eastAsia="仿宋_GB2312" w:cs="仿宋_GB2312"/>
          <w:sz w:val="28"/>
          <w:szCs w:val="28"/>
        </w:rPr>
      </w:pP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报价单位法定代表人（或法定授权代表）签字：</w:t>
      </w:r>
      <w:r>
        <w:rPr>
          <w:rFonts w:hint="eastAsia" w:ascii="仿宋_GB2312" w:hAnsi="仿宋_GB2312" w:eastAsia="仿宋_GB2312" w:cs="仿宋_GB2312"/>
          <w:sz w:val="28"/>
          <w:szCs w:val="28"/>
          <w:u w:val="single"/>
        </w:rPr>
        <w:t xml:space="preserve">                   </w:t>
      </w:r>
    </w:p>
    <w:p>
      <w:pPr>
        <w:adjustRightInd w:val="0"/>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报价单位名称（签章）：</w:t>
      </w:r>
      <w:r>
        <w:rPr>
          <w:rFonts w:hint="eastAsia" w:ascii="仿宋_GB2312" w:hAnsi="仿宋_GB2312" w:eastAsia="仿宋_GB2312" w:cs="仿宋_GB2312"/>
          <w:sz w:val="28"/>
          <w:szCs w:val="28"/>
          <w:u w:val="single"/>
        </w:rPr>
        <w:t xml:space="preserve">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28"/>
        <w:ind w:firstLine="1126"/>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atLeast"/>
        </w:trPr>
        <w:tc>
          <w:tcPr>
            <w:tcW w:w="4815"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石井净水</w:t>
            </w:r>
            <w:r>
              <w:rPr>
                <w:rFonts w:hint="eastAsia" w:ascii="仿宋_GB2312" w:hAnsi="仿宋_GB2312" w:eastAsia="仿宋_GB2312" w:cs="仿宋_GB2312"/>
                <w:sz w:val="28"/>
                <w:szCs w:val="28"/>
              </w:rPr>
              <w:t>分公司生产部（盖章）</w:t>
            </w:r>
          </w:p>
          <w:p>
            <w:pPr>
              <w:spacing w:line="360" w:lineRule="auto"/>
              <w:rPr>
                <w:rFonts w:ascii="仿宋_GB2312" w:hAnsi="仿宋_GB2312" w:eastAsia="仿宋_GB2312" w:cs="仿宋_GB2312"/>
                <w:sz w:val="28"/>
                <w:szCs w:val="28"/>
              </w:rPr>
            </w:pPr>
          </w:p>
          <w:p>
            <w:p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经办人：</w:t>
            </w:r>
            <w:r>
              <w:rPr>
                <w:rFonts w:hint="eastAsia" w:ascii="仿宋_GB2312" w:hAnsi="仿宋_GB2312" w:eastAsia="仿宋_GB2312" w:cs="仿宋_GB2312"/>
                <w:sz w:val="28"/>
                <w:szCs w:val="28"/>
                <w:lang w:val="en-US" w:eastAsia="zh-CN"/>
              </w:rPr>
              <w:t>陈达健</w:t>
            </w:r>
          </w:p>
          <w:p>
            <w:pPr>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13632371793</w:t>
            </w:r>
          </w:p>
        </w:tc>
      </w:tr>
    </w:tbl>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2"/>
        <w:adjustRightInd w:val="0"/>
        <w:snapToGrid w:val="0"/>
        <w:spacing w:line="560" w:lineRule="exact"/>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 xml:space="preserve">须对本项目为单位的服务进行整体响应，任何只对其中一部分内容进行的响应都被视为无效响应。 </w:t>
      </w:r>
    </w:p>
    <w:p>
      <w:pPr>
        <w:pStyle w:val="12"/>
        <w:adjustRightInd w:val="0"/>
        <w:snapToGrid w:val="0"/>
        <w:spacing w:line="360" w:lineRule="auto"/>
        <w:ind w:firstLine="560" w:firstLineChars="200"/>
        <w:rPr>
          <w:rFonts w:ascii="仿宋_GB2312" w:hAnsi="仿宋_GB2312" w:eastAsia="仿宋_GB2312" w:cs="仿宋_GB2312"/>
          <w:b/>
          <w:sz w:val="28"/>
          <w:szCs w:val="28"/>
          <w:lang w:val="zh-CN"/>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pStyle w:val="12"/>
        <w:numPr>
          <w:ilvl w:val="0"/>
          <w:numId w:val="3"/>
        </w:numPr>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Cs/>
          <w:sz w:val="28"/>
          <w:szCs w:val="28"/>
          <w:lang w:val="en-US" w:eastAsia="zh-CN"/>
        </w:rPr>
      </w:pPr>
      <w:r>
        <w:rPr>
          <w:rFonts w:hint="eastAsia" w:ascii="仿宋" w:hAnsi="仿宋" w:eastAsia="仿宋"/>
          <w:bCs/>
          <w:sz w:val="28"/>
          <w:szCs w:val="28"/>
          <w:lang w:val="en-US" w:eastAsia="zh-CN"/>
        </w:rPr>
        <w:t>石井净水分公司二期在用的六台起重机设备，为提高工作效率及吊车的运行稳定性，现进行起升单速改双速控制，以保证吊重物能平稳平顺，使吊重物体摇摆幅度降低，从而提高安全系数，保证操作人员及财产的安全；出水泵房天车轨道和初雨泵房天车轨道加固调整使吊车大车行走更加稳定、更加安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Cs/>
          <w:sz w:val="28"/>
          <w:szCs w:val="28"/>
          <w:lang w:val="en-US" w:eastAsia="zh-CN"/>
        </w:rPr>
      </w:pPr>
      <w:r>
        <w:rPr>
          <w:rFonts w:hint="eastAsia" w:ascii="仿宋" w:hAnsi="仿宋" w:eastAsia="仿宋"/>
          <w:bCs/>
          <w:sz w:val="28"/>
          <w:szCs w:val="28"/>
          <w:lang w:val="en-US" w:eastAsia="zh-CN"/>
        </w:rPr>
        <w:t>现场施工环境描述：施工涉及用电安全，机械伤害，高空作业等安全风险，施工安全风险增加，需搭可靠劳固的脚手架进行施工。</w:t>
      </w:r>
    </w:p>
    <w:p>
      <w:pPr>
        <w:pStyle w:val="12"/>
        <w:numPr>
          <w:ilvl w:val="0"/>
          <w:numId w:val="4"/>
        </w:numPr>
        <w:adjustRightInd w:val="0"/>
        <w:snapToGrid w:val="0"/>
        <w:spacing w:line="360" w:lineRule="auto"/>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w:t>
      </w:r>
      <w:r>
        <w:rPr>
          <w:rFonts w:hint="eastAsia" w:ascii="仿宋_GB2312" w:hAnsi="仿宋_GB2312" w:eastAsia="仿宋_GB2312" w:cs="仿宋_GB2312"/>
          <w:b/>
          <w:sz w:val="28"/>
          <w:szCs w:val="28"/>
          <w:lang w:val="en-US" w:eastAsia="zh-CN"/>
        </w:rPr>
        <w:t>必要性</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石井净分公司二期在用的六台起重机设备，在初期设计并没有涉及双速控制的相关内容。投入运行后，在使用的过程中，缺少慢速档，运行的稳定性大幅降低，特别是吊装大型设备、潜水泵等摇摆幅度非常大，很难平稳的运行，容易造成重要设备的碰撞、损坏。</w:t>
      </w:r>
    </w:p>
    <w:p>
      <w:pPr>
        <w:pStyle w:val="28"/>
        <w:rPr>
          <w:rFonts w:hint="eastAsia"/>
          <w:lang w:val="zh-CN"/>
        </w:rPr>
      </w:pPr>
    </w:p>
    <w:p>
      <w:pPr>
        <w:pStyle w:val="28"/>
        <w:rPr>
          <w:rFonts w:ascii="仿宋_GB2312"/>
          <w:b/>
          <w:bCs/>
          <w:sz w:val="28"/>
          <w:szCs w:val="28"/>
          <w:lang w:val="zh-CN"/>
        </w:rPr>
      </w:pPr>
      <w:r>
        <w:rPr>
          <w:rFonts w:hint="eastAsia"/>
          <w:lang w:val="zh-CN"/>
        </w:rPr>
        <w:t xml:space="preserve"> </w:t>
      </w:r>
      <w:r>
        <w:rPr>
          <w:lang w:val="zh-CN"/>
        </w:rPr>
        <w:t xml:space="preserve">   </w:t>
      </w:r>
      <w:r>
        <w:rPr>
          <w:b/>
          <w:bCs/>
          <w:lang w:val="zh-CN"/>
        </w:rPr>
        <w:t xml:space="preserve"> </w:t>
      </w:r>
      <w:r>
        <w:rPr>
          <w:rFonts w:hint="eastAsia" w:ascii="仿宋_GB2312"/>
          <w:b/>
          <w:bCs/>
          <w:sz w:val="28"/>
          <w:szCs w:val="28"/>
          <w:lang w:val="en-US" w:eastAsia="zh-CN"/>
        </w:rPr>
        <w:t>工程量</w:t>
      </w:r>
      <w:r>
        <w:rPr>
          <w:rFonts w:hint="eastAsia" w:ascii="仿宋_GB2312"/>
          <w:b/>
          <w:bCs/>
          <w:sz w:val="28"/>
          <w:szCs w:val="28"/>
          <w:lang w:val="zh-CN"/>
        </w:rPr>
        <w:t>清单</w:t>
      </w: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0"/>
        <w:gridCol w:w="980"/>
        <w:gridCol w:w="700"/>
        <w:gridCol w:w="700"/>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top"/>
          </w:tcPr>
          <w:p>
            <w:pPr>
              <w:adjustRightInd w:val="0"/>
              <w:spacing w:line="400" w:lineRule="exact"/>
              <w:jc w:val="center"/>
              <w:rPr>
                <w:rFonts w:ascii="宋体"/>
                <w:b/>
                <w:bCs/>
                <w:sz w:val="24"/>
              </w:rPr>
            </w:pPr>
            <w:r>
              <w:rPr>
                <w:rFonts w:hint="eastAsia"/>
                <w:b/>
                <w:bCs/>
                <w:sz w:val="24"/>
              </w:rPr>
              <w:t>序号</w:t>
            </w:r>
          </w:p>
        </w:tc>
        <w:tc>
          <w:tcPr>
            <w:tcW w:w="2100" w:type="dxa"/>
            <w:noWrap w:val="0"/>
            <w:vAlign w:val="top"/>
          </w:tcPr>
          <w:p>
            <w:pPr>
              <w:adjustRightInd w:val="0"/>
              <w:spacing w:line="400" w:lineRule="exact"/>
              <w:jc w:val="center"/>
              <w:rPr>
                <w:rFonts w:ascii="宋体"/>
                <w:b/>
                <w:bCs/>
                <w:sz w:val="24"/>
              </w:rPr>
            </w:pPr>
            <w:r>
              <w:rPr>
                <w:rFonts w:hint="eastAsia"/>
                <w:b/>
                <w:bCs/>
                <w:sz w:val="24"/>
              </w:rPr>
              <w:t>项目名称</w:t>
            </w:r>
          </w:p>
        </w:tc>
        <w:tc>
          <w:tcPr>
            <w:tcW w:w="980" w:type="dxa"/>
            <w:noWrap w:val="0"/>
            <w:vAlign w:val="top"/>
          </w:tcPr>
          <w:p>
            <w:pPr>
              <w:adjustRightInd w:val="0"/>
              <w:spacing w:line="400" w:lineRule="exact"/>
              <w:jc w:val="center"/>
              <w:rPr>
                <w:rFonts w:ascii="宋体"/>
                <w:b/>
                <w:bCs/>
                <w:sz w:val="24"/>
              </w:rPr>
            </w:pPr>
            <w:r>
              <w:rPr>
                <w:rFonts w:hint="eastAsia"/>
                <w:b/>
                <w:bCs/>
                <w:sz w:val="24"/>
              </w:rPr>
              <w:t>型号</w:t>
            </w:r>
          </w:p>
        </w:tc>
        <w:tc>
          <w:tcPr>
            <w:tcW w:w="700" w:type="dxa"/>
            <w:noWrap w:val="0"/>
            <w:vAlign w:val="top"/>
          </w:tcPr>
          <w:p>
            <w:pPr>
              <w:adjustRightInd w:val="0"/>
              <w:spacing w:line="400" w:lineRule="exact"/>
              <w:jc w:val="center"/>
              <w:rPr>
                <w:rFonts w:ascii="宋体"/>
                <w:b/>
                <w:bCs/>
                <w:sz w:val="24"/>
              </w:rPr>
            </w:pPr>
            <w:r>
              <w:rPr>
                <w:rFonts w:hint="eastAsia"/>
                <w:b/>
                <w:bCs/>
                <w:sz w:val="24"/>
              </w:rPr>
              <w:t>数量</w:t>
            </w:r>
          </w:p>
        </w:tc>
        <w:tc>
          <w:tcPr>
            <w:tcW w:w="700" w:type="dxa"/>
            <w:noWrap w:val="0"/>
            <w:vAlign w:val="top"/>
          </w:tcPr>
          <w:p>
            <w:pPr>
              <w:adjustRightInd w:val="0"/>
              <w:spacing w:line="400" w:lineRule="exact"/>
              <w:jc w:val="center"/>
              <w:rPr>
                <w:rFonts w:ascii="宋体"/>
                <w:b/>
                <w:bCs/>
                <w:sz w:val="24"/>
              </w:rPr>
            </w:pPr>
            <w:r>
              <w:rPr>
                <w:rFonts w:hint="eastAsia"/>
                <w:b/>
                <w:bCs/>
                <w:sz w:val="24"/>
              </w:rPr>
              <w:t>单位</w:t>
            </w:r>
          </w:p>
        </w:tc>
        <w:tc>
          <w:tcPr>
            <w:tcW w:w="4459" w:type="dxa"/>
            <w:noWrap w:val="0"/>
            <w:vAlign w:val="top"/>
          </w:tcPr>
          <w:p>
            <w:pPr>
              <w:adjustRightInd w:val="0"/>
              <w:spacing w:line="400" w:lineRule="exact"/>
              <w:jc w:val="center"/>
              <w:rPr>
                <w:rFonts w:hint="default" w:ascii="宋体" w:eastAsia="宋体"/>
                <w:b/>
                <w:bCs/>
                <w:sz w:val="24"/>
                <w:lang w:val="en-US" w:eastAsia="zh-CN"/>
              </w:rPr>
            </w:pPr>
            <w:r>
              <w:rPr>
                <w:rFonts w:hint="eastAsia"/>
                <w:b/>
                <w:bCs/>
                <w:sz w:val="24"/>
              </w:rPr>
              <w:t>位置</w:t>
            </w:r>
            <w:r>
              <w:rPr>
                <w:rFonts w:hint="eastAsia"/>
                <w:b/>
                <w:bCs/>
                <w:sz w:val="24"/>
                <w:lang w:val="en-US" w:eastAsia="zh-CN"/>
              </w:rPr>
              <w:t>及项目特征描述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1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更换双速电机</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5T</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台</w:t>
            </w:r>
          </w:p>
        </w:tc>
        <w:tc>
          <w:tcPr>
            <w:tcW w:w="4459" w:type="dxa"/>
            <w:noWrap w:val="0"/>
            <w:vAlign w:val="center"/>
          </w:tcPr>
          <w:p>
            <w:pPr>
              <w:adjustRightInd w:val="0"/>
              <w:spacing w:line="400" w:lineRule="exact"/>
              <w:jc w:val="left"/>
              <w:rPr>
                <w:rFonts w:hint="default" w:ascii="仿宋" w:hAnsi="仿宋" w:eastAsia="仿宋" w:cs="仿宋"/>
                <w:sz w:val="24"/>
                <w:lang w:val="en-US" w:eastAsia="zh-CN"/>
              </w:rPr>
            </w:pPr>
            <w:r>
              <w:rPr>
                <w:rFonts w:hint="eastAsia" w:ascii="仿宋" w:hAnsi="仿宋" w:eastAsia="仿宋" w:cs="仿宋"/>
                <w:sz w:val="24"/>
              </w:rPr>
              <w:t>中间提升泵南北线，含增加接触器、按钮、小车改止挡及控制线</w:t>
            </w:r>
            <w:r>
              <w:rPr>
                <w:rFonts w:hint="eastAsia" w:ascii="仿宋" w:hAnsi="仿宋" w:eastAsia="仿宋" w:cs="仿宋"/>
                <w:sz w:val="24"/>
                <w:lang w:eastAsia="zh-CN"/>
              </w:rPr>
              <w:t>，</w:t>
            </w:r>
            <w:r>
              <w:rPr>
                <w:rFonts w:hint="eastAsia" w:ascii="仿宋" w:hAnsi="仿宋" w:eastAsia="仿宋" w:cs="仿宋"/>
                <w:sz w:val="24"/>
                <w:lang w:val="en-US" w:eastAsia="zh-CN"/>
              </w:rPr>
              <w:t>规格：7，5KW，设备名称：单梁桥式起重机，型号：LD5T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21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更换双速电机</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3T</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台</w:t>
            </w:r>
          </w:p>
        </w:tc>
        <w:tc>
          <w:tcPr>
            <w:tcW w:w="4459" w:type="dxa"/>
            <w:noWrap w:val="0"/>
            <w:vAlign w:val="center"/>
          </w:tcPr>
          <w:p>
            <w:pPr>
              <w:adjustRightInd w:val="0"/>
              <w:spacing w:line="400" w:lineRule="exact"/>
              <w:jc w:val="left"/>
              <w:rPr>
                <w:rFonts w:hint="default" w:ascii="仿宋" w:hAnsi="仿宋" w:eastAsia="仿宋" w:cs="仿宋"/>
                <w:sz w:val="24"/>
                <w:lang w:val="en-US" w:eastAsia="zh-CN"/>
              </w:rPr>
            </w:pPr>
            <w:r>
              <w:rPr>
                <w:rFonts w:hint="eastAsia" w:ascii="仿宋" w:hAnsi="仿宋" w:eastAsia="仿宋" w:cs="仿宋"/>
                <w:sz w:val="24"/>
              </w:rPr>
              <w:t>二期中间车道，生化池南北回流泵房。含增加接触器、按钮及控制线</w:t>
            </w:r>
            <w:r>
              <w:rPr>
                <w:rFonts w:hint="eastAsia" w:ascii="仿宋" w:hAnsi="仿宋" w:eastAsia="仿宋" w:cs="仿宋"/>
                <w:sz w:val="24"/>
                <w:lang w:eastAsia="zh-CN"/>
              </w:rPr>
              <w:t>，</w:t>
            </w:r>
            <w:r>
              <w:rPr>
                <w:rFonts w:hint="eastAsia" w:ascii="仿宋" w:hAnsi="仿宋" w:eastAsia="仿宋" w:cs="仿宋"/>
                <w:sz w:val="24"/>
                <w:lang w:val="en-US" w:eastAsia="zh-CN"/>
              </w:rPr>
              <w:t>规格：4.5KW，设备名称：单梁桥式起重机，型号：LD3T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21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更换双速电机</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2T</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台</w:t>
            </w:r>
          </w:p>
        </w:tc>
        <w:tc>
          <w:tcPr>
            <w:tcW w:w="4459" w:type="dxa"/>
            <w:noWrap w:val="0"/>
            <w:vAlign w:val="center"/>
          </w:tcPr>
          <w:p>
            <w:pPr>
              <w:adjustRightInd w:val="0"/>
              <w:spacing w:line="400" w:lineRule="exact"/>
              <w:jc w:val="left"/>
              <w:rPr>
                <w:rFonts w:hint="eastAsia" w:ascii="仿宋" w:hAnsi="仿宋" w:eastAsia="仿宋" w:cs="仿宋"/>
                <w:sz w:val="24"/>
                <w:lang w:eastAsia="zh-CN"/>
              </w:rPr>
            </w:pPr>
            <w:r>
              <w:rPr>
                <w:rFonts w:hint="eastAsia" w:ascii="仿宋" w:hAnsi="仿宋" w:eastAsia="仿宋" w:cs="仿宋"/>
                <w:sz w:val="24"/>
              </w:rPr>
              <w:t>V型池夹层，含增加接触器、按钮及控制线</w:t>
            </w:r>
            <w:r>
              <w:rPr>
                <w:rFonts w:hint="eastAsia" w:ascii="仿宋" w:hAnsi="仿宋" w:eastAsia="仿宋" w:cs="仿宋"/>
                <w:sz w:val="24"/>
                <w:lang w:eastAsia="zh-CN"/>
              </w:rPr>
              <w:t>，</w:t>
            </w:r>
            <w:r>
              <w:rPr>
                <w:rFonts w:hint="eastAsia" w:ascii="仿宋" w:hAnsi="仿宋" w:eastAsia="仿宋" w:cs="仿宋"/>
                <w:sz w:val="24"/>
                <w:lang w:val="en-US" w:eastAsia="zh-CN"/>
              </w:rPr>
              <w:t>规格：3KW，设备名称：单梁桥式起重机，型号：LD2T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21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天车轨道加固</w:t>
            </w:r>
          </w:p>
        </w:tc>
        <w:tc>
          <w:tcPr>
            <w:tcW w:w="980"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700" w:type="dxa"/>
            <w:noWrap w:val="0"/>
            <w:vAlign w:val="center"/>
          </w:tcPr>
          <w:p>
            <w:pPr>
              <w:adjustRightInd w:val="0"/>
              <w:spacing w:line="400" w:lineRule="exact"/>
              <w:jc w:val="center"/>
              <w:rPr>
                <w:rFonts w:hint="eastAsia" w:ascii="仿宋" w:hAnsi="仿宋" w:eastAsia="仿宋" w:cs="仿宋"/>
                <w:sz w:val="24"/>
              </w:rPr>
            </w:pPr>
            <w:r>
              <w:rPr>
                <w:rFonts w:hint="eastAsia" w:ascii="仿宋" w:hAnsi="仿宋" w:eastAsia="仿宋" w:cs="仿宋"/>
                <w:sz w:val="24"/>
              </w:rPr>
              <w:t>台</w:t>
            </w:r>
          </w:p>
        </w:tc>
        <w:tc>
          <w:tcPr>
            <w:tcW w:w="4459" w:type="dxa"/>
            <w:noWrap w:val="0"/>
            <w:vAlign w:val="center"/>
          </w:tcPr>
          <w:p>
            <w:pPr>
              <w:adjustRightInd w:val="0"/>
              <w:spacing w:line="400" w:lineRule="exact"/>
              <w:jc w:val="left"/>
              <w:rPr>
                <w:rFonts w:hint="default" w:ascii="仿宋" w:hAnsi="仿宋" w:eastAsia="仿宋" w:cs="仿宋"/>
                <w:sz w:val="24"/>
                <w:lang w:val="en-US" w:eastAsia="zh-CN"/>
              </w:rPr>
            </w:pPr>
            <w:r>
              <w:rPr>
                <w:rFonts w:hint="eastAsia" w:ascii="仿宋" w:hAnsi="仿宋" w:eastAsia="仿宋" w:cs="仿宋"/>
                <w:sz w:val="24"/>
              </w:rPr>
              <w:t>初雨泵房</w:t>
            </w:r>
            <w:r>
              <w:rPr>
                <w:rFonts w:hint="eastAsia" w:ascii="仿宋" w:hAnsi="仿宋" w:eastAsia="仿宋" w:cs="仿宋"/>
                <w:sz w:val="24"/>
                <w:lang w:val="en-US" w:eastAsia="zh-CN"/>
              </w:rPr>
              <w:t>天车</w:t>
            </w:r>
            <w:r>
              <w:rPr>
                <w:rFonts w:hint="eastAsia" w:ascii="仿宋" w:hAnsi="仿宋" w:eastAsia="仿宋" w:cs="仿宋"/>
                <w:sz w:val="24"/>
              </w:rPr>
              <w:t>轨道长约36米，出水</w:t>
            </w:r>
            <w:r>
              <w:rPr>
                <w:rFonts w:hint="eastAsia" w:ascii="仿宋" w:hAnsi="仿宋" w:eastAsia="仿宋" w:cs="仿宋"/>
                <w:sz w:val="24"/>
                <w:lang w:val="en-US" w:eastAsia="zh-CN"/>
              </w:rPr>
              <w:t>泵房天车</w:t>
            </w:r>
            <w:r>
              <w:rPr>
                <w:rFonts w:hint="eastAsia" w:ascii="仿宋" w:hAnsi="仿宋" w:eastAsia="仿宋" w:cs="仿宋"/>
                <w:sz w:val="24"/>
              </w:rPr>
              <w:t>轨道长约30米。</w:t>
            </w:r>
            <w:r>
              <w:rPr>
                <w:rFonts w:hint="eastAsia" w:ascii="仿宋" w:hAnsi="仿宋" w:eastAsia="仿宋" w:cs="仿宋"/>
                <w:sz w:val="24"/>
                <w:lang w:val="en-US" w:eastAsia="zh-CN"/>
              </w:rPr>
              <w:t>主材：钢板，槽钢，材质：Q235，规格：-10#、10#，数量：66m²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21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接触器安装</w:t>
            </w:r>
          </w:p>
        </w:tc>
        <w:tc>
          <w:tcPr>
            <w:tcW w:w="980"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32A</w:t>
            </w:r>
          </w:p>
        </w:tc>
        <w:tc>
          <w:tcPr>
            <w:tcW w:w="700"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700" w:type="dxa"/>
            <w:noWrap w:val="0"/>
            <w:vAlign w:val="center"/>
          </w:tcPr>
          <w:p>
            <w:pPr>
              <w:adjustRightIn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台</w:t>
            </w:r>
          </w:p>
        </w:tc>
        <w:tc>
          <w:tcPr>
            <w:tcW w:w="4459"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21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接触器安装</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25A</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台</w:t>
            </w:r>
          </w:p>
        </w:tc>
        <w:tc>
          <w:tcPr>
            <w:tcW w:w="4459"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7</w:t>
            </w:r>
          </w:p>
        </w:tc>
        <w:tc>
          <w:tcPr>
            <w:tcW w:w="21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配线</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BV4</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800</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米</w:t>
            </w:r>
          </w:p>
        </w:tc>
        <w:tc>
          <w:tcPr>
            <w:tcW w:w="4459"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敷设方式：电控箱内敷设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21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二期北线生化池天车更换变压器</w:t>
            </w:r>
          </w:p>
        </w:tc>
        <w:tc>
          <w:tcPr>
            <w:tcW w:w="98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5T</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700"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台</w:t>
            </w:r>
          </w:p>
        </w:tc>
        <w:tc>
          <w:tcPr>
            <w:tcW w:w="4459" w:type="dxa"/>
            <w:noWrap w:val="0"/>
            <w:vAlign w:val="center"/>
          </w:tcPr>
          <w:p>
            <w:pPr>
              <w:adjustRightIn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1、功率：100W，2、工作电压：380V/36V</w:t>
            </w:r>
          </w:p>
        </w:tc>
      </w:tr>
    </w:tbl>
    <w:p>
      <w:pPr>
        <w:pStyle w:val="28"/>
        <w:ind w:firstLine="281" w:firstLineChars="100"/>
        <w:rPr>
          <w:rFonts w:hint="eastAsia" w:ascii="仿宋_GB2312" w:hAnsiTheme="minorEastAsia"/>
          <w:b/>
          <w:bCs/>
          <w:sz w:val="28"/>
          <w:szCs w:val="28"/>
        </w:rPr>
      </w:pPr>
    </w:p>
    <w:p>
      <w:pPr>
        <w:pStyle w:val="28"/>
        <w:ind w:firstLine="281" w:firstLineChars="100"/>
        <w:rPr>
          <w:rFonts w:ascii="仿宋_GB2312" w:hAnsiTheme="minorEastAsia"/>
          <w:b/>
          <w:bCs/>
          <w:sz w:val="28"/>
          <w:szCs w:val="28"/>
        </w:rPr>
      </w:pPr>
      <w:r>
        <w:rPr>
          <w:rFonts w:hint="eastAsia" w:ascii="仿宋_GB2312" w:hAnsiTheme="minorEastAsia"/>
          <w:b/>
          <w:bCs/>
          <w:sz w:val="28"/>
          <w:szCs w:val="28"/>
        </w:rPr>
        <w:t>维修服务内容清单</w:t>
      </w:r>
    </w:p>
    <w:tbl>
      <w:tblPr>
        <w:tblStyle w:val="21"/>
        <w:tblW w:w="5077" w:type="pct"/>
        <w:tblInd w:w="-147" w:type="dxa"/>
        <w:tblLayout w:type="autofit"/>
        <w:tblCellMar>
          <w:top w:w="0" w:type="dxa"/>
          <w:left w:w="108" w:type="dxa"/>
          <w:bottom w:w="0" w:type="dxa"/>
          <w:right w:w="108" w:type="dxa"/>
        </w:tblCellMar>
      </w:tblPr>
      <w:tblGrid>
        <w:gridCol w:w="747"/>
        <w:gridCol w:w="8980"/>
      </w:tblGrid>
      <w:tr>
        <w:tblPrEx>
          <w:tblCellMar>
            <w:top w:w="0" w:type="dxa"/>
            <w:left w:w="108" w:type="dxa"/>
            <w:bottom w:w="0" w:type="dxa"/>
            <w:right w:w="108" w:type="dxa"/>
          </w:tblCellMar>
        </w:tblPrEx>
        <w:tc>
          <w:tcPr>
            <w:tcW w:w="384" w:type="pct"/>
            <w:tcBorders>
              <w:top w:val="single" w:color="auto" w:sz="4" w:space="0"/>
              <w:left w:val="single" w:color="auto" w:sz="4" w:space="0"/>
              <w:bottom w:val="single" w:color="auto" w:sz="4" w:space="0"/>
              <w:right w:val="single" w:color="auto" w:sz="4" w:space="0"/>
            </w:tcBorders>
            <w:vAlign w:val="center"/>
          </w:tcPr>
          <w:p>
            <w:pPr>
              <w:pStyle w:val="10"/>
              <w:tabs>
                <w:tab w:val="left" w:pos="720"/>
              </w:tabs>
              <w:adjustRightInd w:val="0"/>
              <w:snapToGrid w:val="0"/>
              <w:spacing w:after="0" w:line="360" w:lineRule="auto"/>
              <w:jc w:val="center"/>
              <w:rPr>
                <w:rFonts w:ascii="仿宋_GB2312" w:hAnsi="宋体" w:eastAsia="仿宋_GB2312" w:cs="宋体"/>
                <w:b/>
                <w:bCs/>
                <w:sz w:val="24"/>
                <w:szCs w:val="20"/>
              </w:rPr>
            </w:pPr>
            <w:r>
              <w:rPr>
                <w:rFonts w:hint="eastAsia" w:ascii="仿宋_GB2312" w:hAnsi="宋体" w:eastAsia="仿宋_GB2312" w:cs="宋体"/>
                <w:b/>
                <w:bCs/>
                <w:sz w:val="24"/>
                <w:szCs w:val="20"/>
              </w:rPr>
              <w:t>序号</w:t>
            </w:r>
          </w:p>
        </w:tc>
        <w:tc>
          <w:tcPr>
            <w:tcW w:w="4615" w:type="pct"/>
            <w:tcBorders>
              <w:top w:val="single" w:color="auto" w:sz="4" w:space="0"/>
              <w:left w:val="nil"/>
              <w:bottom w:val="single" w:color="auto" w:sz="4" w:space="0"/>
              <w:right w:val="single" w:color="auto" w:sz="4" w:space="0"/>
            </w:tcBorders>
            <w:vAlign w:val="center"/>
          </w:tcPr>
          <w:p>
            <w:pPr>
              <w:pStyle w:val="10"/>
              <w:tabs>
                <w:tab w:val="left" w:pos="720"/>
              </w:tabs>
              <w:adjustRightInd w:val="0"/>
              <w:snapToGrid w:val="0"/>
              <w:spacing w:after="0" w:line="360" w:lineRule="auto"/>
              <w:ind w:firstLine="482" w:firstLineChars="200"/>
              <w:jc w:val="center"/>
              <w:rPr>
                <w:rFonts w:ascii="仿宋_GB2312" w:hAnsi="宋体" w:eastAsia="仿宋_GB2312" w:cs="宋体"/>
                <w:b/>
                <w:bCs/>
                <w:sz w:val="24"/>
                <w:szCs w:val="20"/>
              </w:rPr>
            </w:pPr>
            <w:r>
              <w:rPr>
                <w:rFonts w:hint="eastAsia" w:ascii="仿宋_GB2312" w:hAnsi="宋体" w:eastAsia="仿宋_GB2312" w:cs="宋体"/>
                <w:b/>
                <w:bCs/>
                <w:sz w:val="24"/>
                <w:szCs w:val="20"/>
                <w:lang w:val="en-US" w:eastAsia="zh-CN"/>
              </w:rPr>
              <w:t>起重机的</w:t>
            </w:r>
            <w:r>
              <w:rPr>
                <w:rFonts w:hint="eastAsia" w:ascii="仿宋_GB2312" w:hAnsi="宋体" w:eastAsia="仿宋_GB2312" w:cs="宋体"/>
                <w:b/>
                <w:bCs/>
                <w:sz w:val="24"/>
                <w:szCs w:val="20"/>
              </w:rPr>
              <w:t>服务内容</w:t>
            </w:r>
          </w:p>
        </w:tc>
      </w:tr>
      <w:tr>
        <w:tblPrEx>
          <w:tblCellMar>
            <w:top w:w="0" w:type="dxa"/>
            <w:left w:w="108" w:type="dxa"/>
            <w:bottom w:w="0" w:type="dxa"/>
            <w:right w:w="108" w:type="dxa"/>
          </w:tblCellMar>
        </w:tblPrEx>
        <w:tc>
          <w:tcPr>
            <w:tcW w:w="384" w:type="pct"/>
            <w:tcBorders>
              <w:top w:val="nil"/>
              <w:left w:val="single" w:color="auto" w:sz="4" w:space="0"/>
              <w:bottom w:val="single" w:color="auto" w:sz="4" w:space="0"/>
              <w:right w:val="single" w:color="auto" w:sz="4" w:space="0"/>
            </w:tcBorders>
            <w:vAlign w:val="center"/>
          </w:tcPr>
          <w:p>
            <w:pPr>
              <w:pStyle w:val="10"/>
              <w:tabs>
                <w:tab w:val="left" w:pos="720"/>
              </w:tabs>
              <w:adjustRightInd w:val="0"/>
              <w:snapToGrid w:val="0"/>
              <w:spacing w:after="0" w:line="360" w:lineRule="auto"/>
              <w:rPr>
                <w:rFonts w:ascii="仿宋_GB2312" w:hAnsi="宋体" w:eastAsia="仿宋_GB2312" w:cs="宋体"/>
                <w:sz w:val="24"/>
                <w:szCs w:val="20"/>
              </w:rPr>
            </w:pPr>
            <w:r>
              <w:rPr>
                <w:rFonts w:hint="eastAsia" w:ascii="仿宋_GB2312" w:hAnsi="宋体" w:eastAsia="仿宋_GB2312" w:cs="宋体"/>
                <w:sz w:val="24"/>
                <w:szCs w:val="20"/>
              </w:rPr>
              <w:t xml:space="preserve">  1</w:t>
            </w:r>
          </w:p>
        </w:tc>
        <w:tc>
          <w:tcPr>
            <w:tcW w:w="4615" w:type="pct"/>
            <w:tcBorders>
              <w:top w:val="nil"/>
              <w:left w:val="nil"/>
              <w:bottom w:val="single" w:color="auto" w:sz="4" w:space="0"/>
              <w:right w:val="single" w:color="auto" w:sz="4" w:space="0"/>
            </w:tcBorders>
            <w:vAlign w:val="center"/>
          </w:tcPr>
          <w:p>
            <w:pPr>
              <w:pStyle w:val="10"/>
              <w:tabs>
                <w:tab w:val="left" w:pos="720"/>
              </w:tabs>
              <w:adjustRightInd w:val="0"/>
              <w:snapToGrid w:val="0"/>
              <w:spacing w:after="0" w:line="360" w:lineRule="auto"/>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在需更换的起重设备下面搭好脚手架，然后以手拉葫芦人力拆卸电动葫芦上的起升单速电机，再安装双速电机。</w:t>
            </w:r>
          </w:p>
        </w:tc>
      </w:tr>
      <w:tr>
        <w:tblPrEx>
          <w:tblCellMar>
            <w:top w:w="0" w:type="dxa"/>
            <w:left w:w="108" w:type="dxa"/>
            <w:bottom w:w="0" w:type="dxa"/>
            <w:right w:w="108" w:type="dxa"/>
          </w:tblCellMar>
        </w:tblPrEx>
        <w:tc>
          <w:tcPr>
            <w:tcW w:w="384" w:type="pct"/>
            <w:tcBorders>
              <w:top w:val="nil"/>
              <w:left w:val="single" w:color="auto" w:sz="4" w:space="0"/>
              <w:bottom w:val="single" w:color="auto" w:sz="4" w:space="0"/>
              <w:right w:val="single" w:color="auto" w:sz="4" w:space="0"/>
            </w:tcBorders>
            <w:vAlign w:val="center"/>
          </w:tcPr>
          <w:p>
            <w:pPr>
              <w:pStyle w:val="10"/>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2</w:t>
            </w:r>
          </w:p>
        </w:tc>
        <w:tc>
          <w:tcPr>
            <w:tcW w:w="4615" w:type="pct"/>
            <w:tcBorders>
              <w:top w:val="nil"/>
              <w:left w:val="nil"/>
              <w:bottom w:val="single" w:color="auto" w:sz="4" w:space="0"/>
              <w:right w:val="single" w:color="auto" w:sz="4" w:space="0"/>
            </w:tcBorders>
            <w:vAlign w:val="center"/>
          </w:tcPr>
          <w:p>
            <w:pPr>
              <w:pStyle w:val="10"/>
              <w:tabs>
                <w:tab w:val="left" w:pos="720"/>
              </w:tabs>
              <w:adjustRightInd w:val="0"/>
              <w:snapToGrid w:val="0"/>
              <w:spacing w:after="0" w:line="360" w:lineRule="auto"/>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安装接触器及进行线路调整。</w:t>
            </w:r>
          </w:p>
        </w:tc>
      </w:tr>
      <w:tr>
        <w:tblPrEx>
          <w:tblCellMar>
            <w:top w:w="0" w:type="dxa"/>
            <w:left w:w="108" w:type="dxa"/>
            <w:bottom w:w="0" w:type="dxa"/>
            <w:right w:w="108" w:type="dxa"/>
          </w:tblCellMar>
        </w:tblPrEx>
        <w:tc>
          <w:tcPr>
            <w:tcW w:w="384" w:type="pct"/>
            <w:tcBorders>
              <w:top w:val="nil"/>
              <w:left w:val="single" w:color="auto" w:sz="4" w:space="0"/>
              <w:bottom w:val="single" w:color="auto" w:sz="4" w:space="0"/>
              <w:right w:val="single" w:color="auto" w:sz="4" w:space="0"/>
            </w:tcBorders>
            <w:vAlign w:val="center"/>
          </w:tcPr>
          <w:p>
            <w:pPr>
              <w:pStyle w:val="10"/>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3</w:t>
            </w:r>
          </w:p>
        </w:tc>
        <w:tc>
          <w:tcPr>
            <w:tcW w:w="4615" w:type="pct"/>
            <w:tcBorders>
              <w:top w:val="nil"/>
              <w:left w:val="nil"/>
              <w:bottom w:val="single" w:color="auto" w:sz="4" w:space="0"/>
              <w:right w:val="single" w:color="auto" w:sz="4" w:space="0"/>
            </w:tcBorders>
            <w:vAlign w:val="center"/>
          </w:tcPr>
          <w:p>
            <w:pPr>
              <w:pStyle w:val="10"/>
              <w:tabs>
                <w:tab w:val="left" w:pos="720"/>
              </w:tabs>
              <w:adjustRightInd w:val="0"/>
              <w:snapToGrid w:val="0"/>
              <w:spacing w:after="0" w:line="360" w:lineRule="auto"/>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进行通电调试。</w:t>
            </w:r>
          </w:p>
        </w:tc>
      </w:tr>
      <w:tr>
        <w:tblPrEx>
          <w:tblCellMar>
            <w:top w:w="0" w:type="dxa"/>
            <w:left w:w="108" w:type="dxa"/>
            <w:bottom w:w="0" w:type="dxa"/>
            <w:right w:w="108" w:type="dxa"/>
          </w:tblCellMar>
        </w:tblPrEx>
        <w:trPr>
          <w:trHeight w:val="704" w:hRule="atLeast"/>
        </w:trPr>
        <w:tc>
          <w:tcPr>
            <w:tcW w:w="384" w:type="pct"/>
            <w:tcBorders>
              <w:top w:val="nil"/>
              <w:left w:val="single" w:color="auto" w:sz="4" w:space="0"/>
              <w:bottom w:val="single" w:color="auto" w:sz="4" w:space="0"/>
              <w:right w:val="single" w:color="auto" w:sz="4" w:space="0"/>
            </w:tcBorders>
            <w:vAlign w:val="center"/>
          </w:tcPr>
          <w:p>
            <w:pPr>
              <w:pStyle w:val="10"/>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4</w:t>
            </w:r>
          </w:p>
        </w:tc>
        <w:tc>
          <w:tcPr>
            <w:tcW w:w="4615" w:type="pct"/>
            <w:tcBorders>
              <w:top w:val="nil"/>
              <w:left w:val="nil"/>
              <w:bottom w:val="single" w:color="auto" w:sz="4" w:space="0"/>
              <w:right w:val="single" w:color="auto" w:sz="4" w:space="0"/>
            </w:tcBorders>
            <w:vAlign w:val="center"/>
          </w:tcPr>
          <w:p>
            <w:pPr>
              <w:pStyle w:val="10"/>
              <w:tabs>
                <w:tab w:val="left" w:pos="720"/>
              </w:tabs>
              <w:adjustRightInd w:val="0"/>
              <w:snapToGrid w:val="0"/>
              <w:spacing w:after="0" w:line="360" w:lineRule="auto"/>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拆除脚手架，并移至下一台需要更换的设备下再重新搭建。</w:t>
            </w:r>
          </w:p>
        </w:tc>
      </w:tr>
      <w:tr>
        <w:tblPrEx>
          <w:tblCellMar>
            <w:top w:w="0" w:type="dxa"/>
            <w:left w:w="108" w:type="dxa"/>
            <w:bottom w:w="0" w:type="dxa"/>
            <w:right w:w="108" w:type="dxa"/>
          </w:tblCellMar>
        </w:tblPrEx>
        <w:trPr>
          <w:trHeight w:val="477" w:hRule="atLeast"/>
        </w:trPr>
        <w:tc>
          <w:tcPr>
            <w:tcW w:w="384" w:type="pct"/>
            <w:tcBorders>
              <w:top w:val="nil"/>
              <w:left w:val="single" w:color="auto" w:sz="4" w:space="0"/>
              <w:bottom w:val="single" w:color="auto" w:sz="4" w:space="0"/>
              <w:right w:val="single" w:color="auto" w:sz="4" w:space="0"/>
            </w:tcBorders>
            <w:vAlign w:val="center"/>
          </w:tcPr>
          <w:p>
            <w:pPr>
              <w:pStyle w:val="10"/>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5</w:t>
            </w:r>
          </w:p>
        </w:tc>
        <w:tc>
          <w:tcPr>
            <w:tcW w:w="4615" w:type="pct"/>
            <w:tcBorders>
              <w:top w:val="nil"/>
              <w:left w:val="nil"/>
              <w:bottom w:val="single" w:color="auto" w:sz="4" w:space="0"/>
              <w:right w:val="single" w:color="auto" w:sz="4" w:space="0"/>
            </w:tcBorders>
            <w:vAlign w:val="center"/>
          </w:tcPr>
          <w:p>
            <w:pPr>
              <w:pStyle w:val="10"/>
              <w:tabs>
                <w:tab w:val="left" w:pos="720"/>
              </w:tabs>
              <w:adjustRightInd w:val="0"/>
              <w:snapToGrid w:val="0"/>
              <w:spacing w:after="0" w:line="360" w:lineRule="auto"/>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轨道调整以扳手进行吊码、连接螺栓进行拧紧加固。</w:t>
            </w:r>
          </w:p>
        </w:tc>
      </w:tr>
      <w:tr>
        <w:tblPrEx>
          <w:tblCellMar>
            <w:top w:w="0" w:type="dxa"/>
            <w:left w:w="108" w:type="dxa"/>
            <w:bottom w:w="0" w:type="dxa"/>
            <w:right w:w="108" w:type="dxa"/>
          </w:tblCellMar>
        </w:tblPrEx>
        <w:tc>
          <w:tcPr>
            <w:tcW w:w="384" w:type="pct"/>
            <w:tcBorders>
              <w:top w:val="nil"/>
              <w:left w:val="single" w:color="auto" w:sz="4" w:space="0"/>
              <w:bottom w:val="single" w:color="auto" w:sz="4" w:space="0"/>
              <w:right w:val="single" w:color="auto" w:sz="4" w:space="0"/>
            </w:tcBorders>
            <w:vAlign w:val="center"/>
          </w:tcPr>
          <w:p>
            <w:pPr>
              <w:pStyle w:val="10"/>
              <w:tabs>
                <w:tab w:val="left" w:pos="720"/>
              </w:tabs>
              <w:adjustRightInd w:val="0"/>
              <w:snapToGrid w:val="0"/>
              <w:spacing w:after="0" w:line="360" w:lineRule="auto"/>
              <w:ind w:firstLine="240" w:firstLineChars="100"/>
              <w:rPr>
                <w:rFonts w:ascii="仿宋_GB2312" w:hAnsi="宋体" w:eastAsia="仿宋_GB2312" w:cs="宋体"/>
                <w:sz w:val="24"/>
                <w:szCs w:val="20"/>
              </w:rPr>
            </w:pPr>
            <w:r>
              <w:rPr>
                <w:rFonts w:hint="eastAsia" w:ascii="仿宋_GB2312" w:hAnsi="宋体" w:eastAsia="仿宋_GB2312" w:cs="宋体"/>
                <w:sz w:val="24"/>
                <w:szCs w:val="20"/>
              </w:rPr>
              <w:t>6</w:t>
            </w:r>
          </w:p>
        </w:tc>
        <w:tc>
          <w:tcPr>
            <w:tcW w:w="4615" w:type="pct"/>
            <w:tcBorders>
              <w:top w:val="nil"/>
              <w:left w:val="nil"/>
              <w:bottom w:val="single" w:color="auto" w:sz="4" w:space="0"/>
              <w:right w:val="single" w:color="auto" w:sz="4" w:space="0"/>
            </w:tcBorders>
            <w:vAlign w:val="center"/>
          </w:tcPr>
          <w:p>
            <w:pPr>
              <w:pStyle w:val="10"/>
              <w:tabs>
                <w:tab w:val="left" w:pos="720"/>
              </w:tabs>
              <w:adjustRightInd w:val="0"/>
              <w:snapToGrid w:val="0"/>
              <w:spacing w:after="0" w:line="360" w:lineRule="auto"/>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施工过程不破坏周围环境。如施工中造成绿化、墙壁、瓷砖损害等，无偿复原。施工过程不影响厂内运行生产。</w:t>
            </w:r>
          </w:p>
        </w:tc>
      </w:tr>
    </w:tbl>
    <w:p>
      <w:pPr>
        <w:pStyle w:val="28"/>
      </w:pPr>
    </w:p>
    <w:p>
      <w:pPr>
        <w:pStyle w:val="12"/>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pStyle w:val="10"/>
        <w:tabs>
          <w:tab w:val="left" w:pos="720"/>
        </w:tabs>
        <w:adjustRightInd w:val="0"/>
        <w:snapToGrid w:val="0"/>
        <w:spacing w:after="0" w:line="360" w:lineRule="auto"/>
        <w:ind w:firstLine="56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8"/>
          <w:szCs w:val="28"/>
          <w:lang w:val="en-US" w:eastAsia="zh-CN" w:bidi="ar-SA"/>
        </w:rPr>
        <w:t>本次项目工期15天，实施过程中可能对施工区域附近的范围产生通行影响及短时间无法吊装设备或工具的可能，为保障人、车通行的安全系数及降低施工区域天车的使用率的应对措施及预案分别为：1、施工范围进行围蔽，未经许可不得随便进入施工区域。2、优先处理使用率较高的天车，确保施工进度不耽误。3、高空作业采用符合要求的脚手架，作业人员佩戴安全带、安全帽，焊接时需要做好相应的防护措施，确保所有人员持证上岗。</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.质量要求：</w:t>
      </w:r>
      <w:r>
        <w:rPr>
          <w:rFonts w:hint="eastAsia" w:ascii="仿宋" w:hAnsi="仿宋" w:eastAsia="仿宋"/>
          <w:sz w:val="28"/>
          <w:szCs w:val="28"/>
        </w:rPr>
        <w:t>详见合同范本。</w:t>
      </w:r>
    </w:p>
    <w:p>
      <w:pPr>
        <w:spacing w:line="360" w:lineRule="auto"/>
        <w:ind w:firstLine="560" w:firstLineChars="200"/>
        <w:rPr>
          <w:rFonts w:ascii="宋体" w:hAnsi="宋体" w:cs="宋体"/>
          <w:sz w:val="24"/>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.质保期：1年。</w:t>
      </w:r>
    </w:p>
    <w:p>
      <w:pPr>
        <w:autoSpaceDE w:val="0"/>
        <w:autoSpaceDN w:val="0"/>
        <w:spacing w:line="360" w:lineRule="auto"/>
        <w:ind w:left="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.付款方式：</w:t>
      </w:r>
      <w:r>
        <w:rPr>
          <w:rFonts w:hint="eastAsia" w:ascii="仿宋_GB2312" w:hAnsi="仿宋_GB2312" w:eastAsia="仿宋_GB2312" w:cs="仿宋_GB2312"/>
          <w:sz w:val="28"/>
          <w:szCs w:val="28"/>
          <w:lang w:val="zh-CN"/>
        </w:rPr>
        <w:t>按合同范本</w:t>
      </w:r>
      <w:r>
        <w:rPr>
          <w:rFonts w:hint="eastAsia" w:ascii="仿宋_GB2312" w:hAnsi="仿宋_GB2312" w:eastAsia="仿宋_GB2312" w:cs="仿宋_GB2312"/>
          <w:sz w:val="28"/>
          <w:szCs w:val="28"/>
        </w:rPr>
        <w:t>。</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.总包及分包规定：不允许分包、转包。</w:t>
      </w:r>
    </w:p>
    <w:p>
      <w:pPr>
        <w:tabs>
          <w:tab w:val="center" w:pos="5156"/>
        </w:tabs>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.承包方式：单价包干。</w:t>
      </w: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numPr>
          <w:ilvl w:val="0"/>
          <w:numId w:val="5"/>
        </w:numPr>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一、概念释义</w:t>
      </w:r>
    </w:p>
    <w:p>
      <w:pPr>
        <w:pStyle w:val="12"/>
        <w:adjustRightInd w:val="0"/>
        <w:snapToGrid w:val="0"/>
        <w:spacing w:line="300" w:lineRule="auto"/>
        <w:ind w:left="560"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1.“询价人”是指：</w:t>
      </w:r>
      <w:r>
        <w:rPr>
          <w:rFonts w:hint="eastAsia" w:ascii="仿宋_GB2312" w:eastAsia="仿宋_GB2312" w:cs="仿宋_GB2312"/>
          <w:color w:val="000000"/>
          <w:sz w:val="28"/>
          <w:szCs w:val="28"/>
          <w:u w:val="single"/>
        </w:rPr>
        <w:t>广州市净水有限公司</w:t>
      </w:r>
      <w:r>
        <w:rPr>
          <w:rFonts w:hint="eastAsia" w:ascii="仿宋_GB2312" w:eastAsia="仿宋_GB2312" w:cs="仿宋_GB2312"/>
          <w:color w:val="000000"/>
          <w:sz w:val="28"/>
          <w:szCs w:val="28"/>
        </w:rPr>
        <w:t>。</w:t>
      </w:r>
    </w:p>
    <w:p>
      <w:pPr>
        <w:pStyle w:val="12"/>
        <w:tabs>
          <w:tab w:val="left" w:pos="360"/>
        </w:tabs>
        <w:adjustRightInd w:val="0"/>
        <w:snapToGrid w:val="0"/>
        <w:spacing w:line="300" w:lineRule="auto"/>
        <w:ind w:left="560" w:hanging="560" w:hangingChars="200"/>
        <w:rPr>
          <w:rFonts w:ascii="仿宋_GB2312" w:eastAsia="仿宋_GB2312" w:cs="仿宋_GB2312"/>
          <w:color w:val="000000"/>
          <w:kern w:val="0"/>
          <w:sz w:val="28"/>
          <w:szCs w:val="28"/>
        </w:rPr>
      </w:pPr>
      <w:r>
        <w:rPr>
          <w:rFonts w:hint="eastAsia" w:ascii="仿宋_GB2312" w:eastAsia="仿宋_GB2312" w:cs="仿宋_GB2312"/>
          <w:color w:val="000000"/>
          <w:sz w:val="28"/>
          <w:szCs w:val="28"/>
        </w:rPr>
        <w:t>2.合格的报价单位:</w:t>
      </w:r>
      <w:r>
        <w:rPr>
          <w:rFonts w:hint="eastAsia" w:ascii="仿宋_GB2312" w:eastAsia="仿宋_GB2312" w:cs="仿宋_GB2312"/>
          <w:color w:val="000000"/>
          <w:kern w:val="0"/>
          <w:sz w:val="28"/>
          <w:szCs w:val="28"/>
        </w:rPr>
        <w:t>符合询价文件规定资格</w:t>
      </w:r>
      <w:r>
        <w:rPr>
          <w:rFonts w:hint="eastAsia" w:ascii="仿宋_GB2312" w:eastAsia="仿宋_GB2312" w:cs="仿宋_GB2312"/>
          <w:color w:val="000000"/>
          <w:sz w:val="28"/>
          <w:szCs w:val="28"/>
          <w:lang w:val="zh-CN"/>
        </w:rPr>
        <w:t>要求</w:t>
      </w:r>
      <w:r>
        <w:rPr>
          <w:rFonts w:hint="eastAsia" w:ascii="仿宋_GB2312" w:eastAsia="仿宋_GB2312" w:cs="仿宋_GB2312"/>
          <w:color w:val="000000"/>
          <w:kern w:val="0"/>
          <w:sz w:val="28"/>
          <w:szCs w:val="28"/>
        </w:rPr>
        <w:t>的报价单位。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3.“承包人”是指经法定程序确认并授以合同的报价单位。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_GB2312" w:eastAsia="仿宋_GB2312" w:cs="仿宋_GB2312"/>
          <w:b/>
          <w:color w:val="000000"/>
          <w:sz w:val="28"/>
          <w:szCs w:val="28"/>
        </w:rPr>
      </w:pPr>
      <w:r>
        <w:rPr>
          <w:rFonts w:hint="eastAsia" w:ascii="仿宋_GB2312" w:eastAsia="仿宋_GB2312" w:cs="仿宋_GB2312"/>
          <w:b/>
          <w:color w:val="000000"/>
          <w:sz w:val="28"/>
          <w:szCs w:val="28"/>
        </w:rPr>
        <w:t>二、询价文件</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 询价文件的构成</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6.1询价文件包括但不限于下列文件:</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1)报价邀请函</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2) 项目内容</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3) 报价单位须知</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4) 合同书格式</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5) 询价响应文件格式</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6) 在询价过程中由询价人发出的修正和补充文件等</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7. 询价文件的澄清或修改</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7.2任何要求对询价文件进行澄清的报价单位，均应以书面形式通知询价人。询价人对其收到的书面的对询价文件的澄清要求均以书面形式</w:t>
      </w:r>
      <w:r>
        <w:rPr>
          <w:rFonts w:hint="eastAsia" w:ascii="仿宋" w:eastAsia="仿宋" w:cs="仿宋_GB2312"/>
          <w:color w:val="000000"/>
          <w:sz w:val="28"/>
          <w:szCs w:val="28"/>
        </w:rPr>
        <w:t>予以答复</w:t>
      </w:r>
      <w:r>
        <w:rPr>
          <w:rFonts w:hint="eastAsia" w:ascii="仿宋_GB2312" w:eastAsia="仿宋_GB2312" w:cs="仿宋_GB2312"/>
          <w:color w:val="000000"/>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７.3询价文件的修改或澄清将以书面形式通知所有购买询价文件的报价单位或以净水公司门户网站公告的形式发布，并对其具有约束力。报价单位在收到上述通知后，应立即向询价人回函确认。</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7.4询价人可以视询价具体情况，延长递交询价响应文件截止时间，并将变更时间以书面形式通知所有询价文件收受人或以净水公司门户网站公告的形式发布。</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7.5 书面形式包括但不限于以纸质、电子邮件、门户网站信息公告等形式。</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三、询价响应文件的编制和数量</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8．询价响应费用</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9．报价的语言及计量</w:t>
      </w:r>
    </w:p>
    <w:p>
      <w:pPr>
        <w:pStyle w:val="12"/>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10．询价响应文件的构成</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10.1报价单位编制的询价响应文件应包括但不少于本询价文件第四章《询价响应文件格式》的所有内容。</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11. 询价响应文件编制</w:t>
      </w:r>
    </w:p>
    <w:p>
      <w:pPr>
        <w:spacing w:line="300" w:lineRule="auto"/>
        <w:ind w:left="630" w:hanging="630" w:hangingChars="225"/>
        <w:rPr>
          <w:rFonts w:ascii="仿宋_GB2312" w:eastAsia="仿宋_GB2312" w:cs="仿宋_GB2312"/>
          <w:color w:val="000000"/>
          <w:sz w:val="28"/>
          <w:szCs w:val="28"/>
        </w:rPr>
      </w:pPr>
      <w:r>
        <w:rPr>
          <w:rFonts w:hint="eastAsia" w:ascii="仿宋_GB2312" w:eastAsia="仿宋_GB2312"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12.3任何有选择性报价的报价，将被视为无效报价。</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12.4报价人不得存在以下情形之一：</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（1）与询价人存在利害关系且可能影响询价公正性；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（2）法定代表人或单位负责人为同一个人或者存在控股、管理关系的不同单位,同时参加同一项目或同一子项目；</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（3）为本询价项目提供过设计、编制技术规范和其他文件的咨询服务；</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（4）被依法暂停或者取消投标资格；</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（5）被责令停产停业、暂扣或者吊销许可证、暂扣或者吊销执照；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（6）进入清算程序，或被宣告破产，或其他丧失履约能力的情形；</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（7）在参加本项目前3年内在存在重大违法记录；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（8）被“全国企业信用信息公示系统”（网址：http://www.gsxt.gov.cn/）列入经营异常名录和严重违法企业名单；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（9）被《信用中国》网站（www.creditchina.gov.cn）公示存在不良信用记录；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 xml:space="preserve">（10）本项目截止时间前的半年中，在询价人组织的招标、询价活动中有被查实提供虚假材料的。 </w:t>
      </w:r>
    </w:p>
    <w:p>
      <w:pPr>
        <w:pStyle w:val="12"/>
        <w:adjustRightInd w:val="0"/>
        <w:snapToGrid w:val="0"/>
        <w:spacing w:line="300" w:lineRule="auto"/>
        <w:ind w:left="562" w:leftChars="1"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13. 不接受联合体报价。</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14. 报价单位资格证明文件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14.2资格证明文件必须真实有效，复印件必须加盖单位印章。</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15. 报价有效期</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15.1询价响应文件应在</w:t>
      </w:r>
      <w:r>
        <w:rPr>
          <w:rFonts w:hint="eastAsia" w:ascii="仿宋" w:eastAsia="仿宋" w:cs="仿宋_GB2312"/>
          <w:color w:val="000000"/>
          <w:sz w:val="28"/>
          <w:szCs w:val="28"/>
        </w:rPr>
        <w:t>递交响应文件截止时间</w:t>
      </w:r>
      <w:r>
        <w:rPr>
          <w:rFonts w:hint="eastAsia" w:ascii="仿宋_GB2312" w:eastAsia="仿宋_GB2312" w:cs="仿宋_GB2312"/>
          <w:color w:val="000000"/>
          <w:sz w:val="28"/>
          <w:szCs w:val="28"/>
        </w:rPr>
        <w:t>起</w:t>
      </w:r>
      <w:r>
        <w:rPr>
          <w:rFonts w:hint="eastAsia" w:ascii="仿宋_GB2312" w:eastAsia="仿宋_GB2312" w:cs="仿宋_GB2312"/>
          <w:color w:val="000000"/>
          <w:sz w:val="28"/>
          <w:szCs w:val="28"/>
          <w:u w:val="single"/>
        </w:rPr>
        <w:t>90</w:t>
      </w:r>
      <w:r>
        <w:rPr>
          <w:rFonts w:hint="eastAsia" w:asci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16.1 报价单位应编制询价响应文件一式</w:t>
      </w:r>
      <w:r>
        <w:rPr>
          <w:rFonts w:hint="eastAsia" w:ascii="仿宋_GB2312" w:eastAsia="仿宋_GB2312" w:cs="仿宋_GB2312"/>
          <w:color w:val="000000"/>
          <w:kern w:val="0"/>
          <w:sz w:val="28"/>
          <w:szCs w:val="28"/>
          <w:u w:val="single"/>
        </w:rPr>
        <w:t>2</w:t>
      </w:r>
      <w:r>
        <w:rPr>
          <w:rFonts w:hint="eastAsia" w:ascii="仿宋_GB2312" w:eastAsia="仿宋_GB2312" w:cs="仿宋_GB2312"/>
          <w:color w:val="000000"/>
          <w:kern w:val="0"/>
          <w:sz w:val="28"/>
          <w:szCs w:val="28"/>
        </w:rPr>
        <w:t>份，其中正本一份和副本</w:t>
      </w:r>
      <w:r>
        <w:rPr>
          <w:rFonts w:hint="eastAsia" w:ascii="仿宋_GB2312" w:eastAsia="仿宋_GB2312" w:cs="仿宋_GB2312"/>
          <w:color w:val="000000"/>
          <w:kern w:val="0"/>
          <w:sz w:val="28"/>
          <w:szCs w:val="28"/>
          <w:u w:val="single"/>
        </w:rPr>
        <w:t>各一</w:t>
      </w:r>
      <w:r>
        <w:rPr>
          <w:rFonts w:hint="eastAsia" w:asci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eastAsia="仿宋_GB2312" w:cs="仿宋_GB2312"/>
          <w:b/>
          <w:color w:val="000000"/>
          <w:sz w:val="28"/>
          <w:szCs w:val="28"/>
        </w:rPr>
      </w:pPr>
      <w:r>
        <w:rPr>
          <w:rFonts w:hint="eastAsia" w:asci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 询价响应文件的密封和标记</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18. 询价响应文件递交截止时间</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264" w:lineRule="auto"/>
        <w:ind w:right="32"/>
        <w:rPr>
          <w:rFonts w:ascii="仿宋_GB2312" w:eastAsia="仿宋_GB2312" w:cs="仿宋_GB2312"/>
          <w:color w:val="000000"/>
          <w:sz w:val="28"/>
          <w:szCs w:val="28"/>
        </w:rPr>
      </w:pPr>
      <w:r>
        <w:rPr>
          <w:rFonts w:hint="eastAsia" w:ascii="仿宋_GB2312" w:eastAsia="仿宋_GB2312" w:cs="仿宋_GB2312"/>
          <w:color w:val="000000"/>
          <w:sz w:val="28"/>
          <w:szCs w:val="28"/>
        </w:rPr>
        <w:t>19. 询价响应文件的修改和撤回</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。从询价响应文件递交截止时间至报价单位承诺的报价有效期内，报价单位不得撤回其报价。</w:t>
      </w:r>
    </w:p>
    <w:p>
      <w:pPr>
        <w:pStyle w:val="12"/>
        <w:adjustRightInd w:val="0"/>
        <w:snapToGrid w:val="0"/>
        <w:spacing w:line="264" w:lineRule="auto"/>
        <w:ind w:left="420" w:right="32" w:hanging="420"/>
        <w:rPr>
          <w:rFonts w:ascii="仿宋_GB2312" w:eastAsia="仿宋_GB2312" w:cs="仿宋_GB2312"/>
          <w:color w:val="000000"/>
          <w:sz w:val="28"/>
          <w:szCs w:val="28"/>
        </w:rPr>
      </w:pPr>
      <w:r>
        <w:rPr>
          <w:rFonts w:hint="eastAsia" w:ascii="仿宋_GB2312" w:eastAsia="仿宋_GB2312" w:cs="仿宋_GB2312"/>
          <w:color w:val="000000"/>
          <w:sz w:val="28"/>
          <w:szCs w:val="28"/>
        </w:rPr>
        <w:t>19.3 报价单位所提交的询价响应文件在询价结束后，无论成交与否都不退还。</w:t>
      </w:r>
    </w:p>
    <w:p>
      <w:pPr>
        <w:pStyle w:val="12"/>
        <w:adjustRightInd w:val="0"/>
        <w:snapToGrid w:val="0"/>
        <w:spacing w:line="264"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五、评审</w:t>
      </w:r>
    </w:p>
    <w:p>
      <w:pPr>
        <w:pStyle w:val="12"/>
        <w:adjustRightInd w:val="0"/>
        <w:snapToGrid w:val="0"/>
        <w:spacing w:line="264" w:lineRule="auto"/>
        <w:rPr>
          <w:rFonts w:ascii="仿宋_GB2312" w:eastAsia="仿宋_GB2312" w:cs="仿宋_GB2312"/>
          <w:color w:val="000000"/>
          <w:sz w:val="28"/>
          <w:szCs w:val="28"/>
        </w:rPr>
      </w:pPr>
      <w:r>
        <w:rPr>
          <w:rFonts w:hint="eastAsia" w:ascii="仿宋_GB2312" w:eastAsia="仿宋_GB2312" w:cs="仿宋_GB2312"/>
          <w:color w:val="000000"/>
          <w:sz w:val="28"/>
          <w:szCs w:val="28"/>
        </w:rPr>
        <w:t>20. 询价小组</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 xml:space="preserve">20.1 </w:t>
      </w:r>
      <w:r>
        <w:rPr>
          <w:rFonts w:hint="eastAsia" w:ascii="仿宋_GB2312" w:eastAsia="仿宋_GB2312" w:cs="仿宋_GB2312"/>
          <w:color w:val="000000"/>
          <w:kern w:val="0"/>
          <w:sz w:val="28"/>
          <w:szCs w:val="28"/>
        </w:rPr>
        <w:t>评审由</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20.3询价小组依法根据询价文件的规定对询价响应文件进行评审,并据此推荐成交候选人。</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20.4拆封询价响应文件时，出现下列情形之一的，不参与评审：</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（1）响应文件没密封完整的，或封面未注明报价单位名称、项目名称、日期等项目信息的；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（2）响应文件中的法定代表人或授权代理人与报价响应文件登记表的信息不一致的。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264" w:lineRule="auto"/>
        <w:ind w:left="630" w:right="32" w:hanging="630" w:hangingChars="225"/>
        <w:rPr>
          <w:rFonts w:ascii="仿宋" w:eastAsia="仿宋" w:cs="仿宋_GB2312"/>
          <w:bCs/>
          <w:color w:val="000000"/>
          <w:kern w:val="0"/>
          <w:sz w:val="28"/>
          <w:szCs w:val="28"/>
        </w:rPr>
      </w:pPr>
      <w:r>
        <w:rPr>
          <w:rFonts w:hint="eastAsia" w:ascii="仿宋_GB2312" w:eastAsia="仿宋_GB2312" w:cs="仿宋_GB2312"/>
          <w:color w:val="000000"/>
          <w:kern w:val="0"/>
          <w:sz w:val="28"/>
          <w:szCs w:val="28"/>
        </w:rPr>
        <w:t>21.4 询</w:t>
      </w:r>
      <w:r>
        <w:rPr>
          <w:rFonts w:hint="eastAsia" w:ascii="仿宋_GB2312" w:eastAsia="仿宋_GB2312" w:cs="仿宋_GB2312"/>
          <w:bCs/>
          <w:color w:val="000000"/>
          <w:kern w:val="0"/>
          <w:sz w:val="28"/>
          <w:szCs w:val="28"/>
        </w:rPr>
        <w:t>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22.报价的评审</w:t>
      </w:r>
    </w:p>
    <w:p>
      <w:pPr>
        <w:autoSpaceDE w:val="0"/>
        <w:autoSpaceDN w:val="0"/>
        <w:adjustRightInd w:val="0"/>
        <w:snapToGrid w:val="0"/>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a</w:t>
      </w:r>
      <w:r>
        <w:rPr>
          <w:rFonts w:hint="eastAsia" w:ascii="仿宋_GB2312" w:eastAsia="仿宋_GB2312" w:cs="仿宋_GB2312"/>
          <w:color w:val="000000"/>
          <w:kern w:val="0"/>
          <w:sz w:val="28"/>
          <w:szCs w:val="28"/>
        </w:rPr>
        <w:t>)大写金额与小写金额不一致的，以大写金额为准；</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b)</w:t>
      </w:r>
      <w:r>
        <w:rPr>
          <w:rFonts w:hint="eastAsia" w:ascii="仿宋_GB2312" w:eastAsia="仿宋_GB2312" w:cs="仿宋_GB2312"/>
          <w:color w:val="000000"/>
          <w:kern w:val="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22.3超过最高限价的报价将被拒绝。</w:t>
      </w:r>
    </w:p>
    <w:p>
      <w:pPr>
        <w:spacing w:line="36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23.2承包人确定后，询价人</w:t>
      </w:r>
      <w:r>
        <w:rPr>
          <w:rFonts w:hint="eastAsia" w:ascii="仿宋_GB2312" w:eastAsia="仿宋_GB2312" w:cs="仿宋_GB2312"/>
          <w:color w:val="000000"/>
          <w:kern w:val="0"/>
          <w:sz w:val="28"/>
          <w:szCs w:val="28"/>
        </w:rPr>
        <w:t>向承包人发出《发包通知书》，</w:t>
      </w:r>
      <w:r>
        <w:rPr>
          <w:rFonts w:hint="eastAsia" w:ascii="仿宋_GB2312" w:eastAsia="仿宋_GB2312" w:cs="仿宋_GB2312"/>
          <w:color w:val="000000"/>
          <w:sz w:val="28"/>
          <w:szCs w:val="28"/>
        </w:rPr>
        <w:t>对承包人和询价人具有同等法律效力</w:t>
      </w:r>
      <w:r>
        <w:rPr>
          <w:rFonts w:hint="eastAsia" w:ascii="仿宋_GB2312" w:eastAsia="仿宋_GB2312" w:cs="仿宋_GB2312"/>
          <w:color w:val="000000"/>
          <w:kern w:val="0"/>
          <w:sz w:val="28"/>
          <w:szCs w:val="28"/>
        </w:rPr>
        <w:t>。</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七、合同的订立和履行</w:t>
      </w:r>
    </w:p>
    <w:p>
      <w:pPr>
        <w:autoSpaceDE w:val="0"/>
        <w:autoSpaceDN w:val="0"/>
        <w:adjustRightInd w:val="0"/>
        <w:snapToGrid w:val="0"/>
        <w:spacing w:line="300" w:lineRule="auto"/>
        <w:ind w:right="32"/>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24.合同的订立</w:t>
      </w:r>
    </w:p>
    <w:p>
      <w:pPr>
        <w:autoSpaceDE w:val="0"/>
        <w:autoSpaceDN w:val="0"/>
        <w:adjustRightInd w:val="0"/>
        <w:snapToGrid w:val="0"/>
        <w:spacing w:line="300" w:lineRule="auto"/>
        <w:ind w:right="32"/>
        <w:rPr>
          <w:rFonts w:ascii="仿宋" w:eastAsia="仿宋" w:cs="仿宋_GB2312"/>
          <w:color w:val="000000"/>
          <w:sz w:val="28"/>
          <w:szCs w:val="28"/>
        </w:rPr>
      </w:pPr>
      <w:r>
        <w:rPr>
          <w:rFonts w:hint="eastAsia" w:asci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eastAsia="仿宋_GB2312" w:cs="仿宋_GB2312"/>
          <w:color w:val="000000"/>
          <w:sz w:val="28"/>
          <w:szCs w:val="28"/>
        </w:rPr>
        <w:t>不得超出询价文件和承包人询价响应文件的范围、也不得再行订立背离合同实质性内容的其他协议。</w:t>
      </w:r>
      <w:r>
        <w:rPr>
          <w:rFonts w:hint="eastAsia" w:ascii="仿宋_GB2312" w:eastAsia="仿宋_GB2312" w:cs="仿宋_GB2312"/>
          <w:color w:val="000000"/>
          <w:kern w:val="0"/>
          <w:sz w:val="28"/>
          <w:szCs w:val="28"/>
        </w:rPr>
        <w:t>因承包人原因导致未按规定时限签订合同的，发包人有权视为其自动放弃该项目</w:t>
      </w:r>
      <w:r>
        <w:rPr>
          <w:rFonts w:hint="eastAsia" w:ascii="仿宋_GB2312" w:eastAsia="仿宋_GB2312" w:cs="仿宋_GB2312"/>
          <w:color w:val="000000"/>
          <w:kern w:val="0"/>
          <w:sz w:val="28"/>
          <w:szCs w:val="28"/>
          <w:lang w:val="en-US" w:eastAsia="zh-CN"/>
        </w:rPr>
        <w:t>承包资格</w:t>
      </w:r>
      <w:r>
        <w:rPr>
          <w:rFonts w:hint="eastAsia" w:ascii="仿宋_GB2312" w:eastAsia="仿宋_GB2312" w:cs="仿宋_GB2312"/>
          <w:color w:val="000000"/>
          <w:kern w:val="0"/>
          <w:sz w:val="28"/>
          <w:szCs w:val="28"/>
        </w:rPr>
        <w:t>。</w:t>
      </w:r>
    </w:p>
    <w:p>
      <w:pPr>
        <w:adjustRightInd w:val="0"/>
        <w:snapToGrid w:val="0"/>
        <w:spacing w:line="300" w:lineRule="auto"/>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25.合同的履行</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25.2承包人因不可抗力或者自身原因不能履行承包合同的，询价人</w:t>
      </w:r>
      <w:r>
        <w:rPr>
          <w:rFonts w:hint="eastAsia" w:ascii="仿宋_GB2312" w:eastAsia="仿宋_GB2312" w:cs="仿宋_GB2312"/>
          <w:color w:val="000000"/>
          <w:sz w:val="28"/>
          <w:szCs w:val="28"/>
        </w:rPr>
        <w:t>可以与排位在承包人之后第一位的成交候选报价单位签订承包</w:t>
      </w:r>
      <w:r>
        <w:rPr>
          <w:rFonts w:hint="eastAsia" w:asci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_GB2312" w:eastAsia="仿宋_GB2312" w:cs="仿宋_GB2312"/>
          <w:b/>
          <w:color w:val="000000"/>
          <w:kern w:val="0"/>
          <w:sz w:val="28"/>
          <w:szCs w:val="28"/>
        </w:rPr>
      </w:pPr>
      <w:r>
        <w:rPr>
          <w:rFonts w:hint="eastAsia" w:asci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eastAsia="仿宋" w:cs="仿宋"/>
          <w:color w:val="000000"/>
          <w:sz w:val="36"/>
          <w:szCs w:val="36"/>
        </w:rPr>
      </w:pPr>
      <w:r>
        <w:rPr>
          <w:rFonts w:hint="eastAsia" w:ascii="仿宋_GB2312" w:eastAsia="仿宋_GB2312" w:cs="仿宋_GB2312"/>
          <w:color w:val="000000"/>
          <w:sz w:val="28"/>
          <w:szCs w:val="28"/>
        </w:rPr>
        <w:t>26.如果报价人认为询价文件或询价过程或询价结果使其权益受到损害的，可向询价人提出书面质疑。询价人应在规定时间内给与答复。</w:t>
      </w:r>
    </w:p>
    <w:p>
      <w:pPr>
        <w:pStyle w:val="5"/>
        <w:rPr>
          <w:rFonts w:hint="eastAsia" w:ascii="仿宋_GB2312" w:hAnsi="仿宋_GB2312" w:eastAsia="仿宋_GB2312" w:cs="仿宋_GB2312"/>
        </w:rPr>
      </w:pPr>
    </w:p>
    <w:p>
      <w:pPr>
        <w:rPr>
          <w:rFonts w:hint="eastAsia" w:ascii="仿宋_GB2312" w:hAnsi="仿宋_GB2312" w:eastAsia="仿宋_GB2312" w:cs="仿宋_GB2312"/>
        </w:rPr>
      </w:pPr>
    </w:p>
    <w:p>
      <w:pPr>
        <w:pStyle w:val="28"/>
        <w:rPr>
          <w:rFonts w:hint="eastAsia"/>
        </w:rPr>
      </w:pPr>
    </w:p>
    <w:p>
      <w:pPr>
        <w:pStyle w:val="5"/>
        <w:rPr>
          <w:rFonts w:hint="eastAsia" w:ascii="仿宋_GB2312" w:hAnsi="仿宋_GB2312" w:eastAsia="仿宋_GB2312" w:cs="仿宋_GB2312"/>
        </w:rPr>
      </w:pPr>
    </w:p>
    <w:p>
      <w:pPr>
        <w:pStyle w:val="5"/>
        <w:rPr>
          <w:rFonts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广州市净水有限公司石井净水分公司二期起重机加慢速档及一期部分轨道</w:t>
      </w:r>
    </w:p>
    <w:p>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u w:val="single"/>
          <w:lang w:val="en-US" w:eastAsia="zh-CN"/>
        </w:rPr>
        <w:t>加固项目</w:t>
      </w:r>
      <w:r>
        <w:rPr>
          <w:rFonts w:hint="eastAsia" w:ascii="仿宋_GB2312" w:hAnsi="仿宋_GB2312" w:eastAsia="仿宋_GB2312" w:cs="仿宋_GB2312"/>
          <w:sz w:val="28"/>
          <w:szCs w:val="28"/>
        </w:rPr>
        <w:t>报价记录表</w:t>
      </w:r>
    </w:p>
    <w:p>
      <w:pPr>
        <w:spacing w:line="500" w:lineRule="exact"/>
        <w:ind w:firstLine="3465" w:firstLineChars="1650"/>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tbl>
      <w:tblPr>
        <w:tblStyle w:val="21"/>
        <w:tblW w:w="9059" w:type="dxa"/>
        <w:jc w:val="center"/>
        <w:tblLayout w:type="fixed"/>
        <w:tblCellMar>
          <w:top w:w="0" w:type="dxa"/>
          <w:left w:w="108" w:type="dxa"/>
          <w:bottom w:w="0" w:type="dxa"/>
          <w:right w:w="108" w:type="dxa"/>
        </w:tblCellMar>
      </w:tblPr>
      <w:tblGrid>
        <w:gridCol w:w="669"/>
        <w:gridCol w:w="3255"/>
        <w:gridCol w:w="752"/>
        <w:gridCol w:w="1279"/>
        <w:gridCol w:w="1552"/>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rPr>
            </w:pPr>
            <w:r>
              <w:rPr>
                <w:rFonts w:hint="eastAsia" w:ascii="仿宋" w:hAnsi="仿宋" w:eastAsia="仿宋" w:cs="仿宋_GB2312"/>
                <w:color w:val="000000"/>
                <w:szCs w:val="21"/>
                <w:lang w:val="en-US" w:eastAsia="zh-CN"/>
              </w:rPr>
              <w:t>联系电话</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ind w:firstLine="3150" w:firstLineChars="1500"/>
        <w:rPr>
          <w:rFonts w:ascii="仿宋_GB2312" w:hAnsi="仿宋_GB2312" w:eastAsia="仿宋_GB2312" w:cs="仿宋_GB2312"/>
        </w:rPr>
      </w:pPr>
    </w:p>
    <w:p>
      <w:pPr>
        <w:spacing w:line="440" w:lineRule="exact"/>
        <w:ind w:firstLine="1680" w:firstLineChars="800"/>
        <w:rPr>
          <w:rFonts w:ascii="仿宋_GB2312" w:hAnsi="仿宋_GB2312" w:eastAsia="仿宋_GB2312" w:cs="仿宋_GB2312"/>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440" w:lineRule="exact"/>
        <w:ind w:firstLine="5250" w:firstLineChars="2500"/>
        <w:rPr>
          <w:rFonts w:ascii="仿宋_GB2312" w:hAnsi="仿宋_GB2312" w:eastAsia="仿宋_GB2312" w:cs="仿宋_GB2312"/>
          <w:u w:val="single"/>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广州市净水有限公司非公招项目询价评审记录表</w:t>
      </w:r>
    </w:p>
    <w:p>
      <w:pPr>
        <w:spacing w:line="360" w:lineRule="auto"/>
        <w:ind w:left="1200" w:hanging="1200" w:hangingChars="500"/>
        <w:rPr>
          <w:rFonts w:hint="eastAsia" w:ascii="宋体" w:hAnsi="宋体" w:eastAsia="宋体" w:cs="宋体"/>
          <w:sz w:val="24"/>
          <w:szCs w:val="24"/>
          <w:u w:val="single"/>
        </w:rPr>
      </w:pPr>
      <w:r>
        <w:rPr>
          <w:rFonts w:hint="eastAsia" w:ascii="宋体" w:hAnsi="宋体"/>
          <w:sz w:val="24"/>
        </w:rPr>
        <w:t>项目名称：</w:t>
      </w:r>
      <w:r>
        <w:rPr>
          <w:rFonts w:hint="eastAsia" w:ascii="宋体" w:hAnsi="宋体"/>
          <w:sz w:val="24"/>
          <w:u w:val="single"/>
          <w:lang w:val="en-US" w:eastAsia="zh-CN"/>
        </w:rPr>
        <w:t>广州市净水有限公司</w:t>
      </w:r>
      <w:r>
        <w:rPr>
          <w:rFonts w:hint="eastAsia" w:ascii="宋体" w:hAnsi="宋体" w:eastAsia="宋体" w:cs="宋体"/>
          <w:sz w:val="24"/>
          <w:szCs w:val="24"/>
          <w:u w:val="single"/>
          <w:lang w:val="en-US" w:eastAsia="zh-CN"/>
        </w:rPr>
        <w:t>石井净</w:t>
      </w:r>
      <w:r>
        <w:rPr>
          <w:rFonts w:hint="eastAsia" w:ascii="宋体" w:hAnsi="宋体" w:cs="宋体"/>
          <w:sz w:val="24"/>
          <w:szCs w:val="24"/>
          <w:u w:val="single"/>
          <w:lang w:val="en-US" w:eastAsia="zh-CN"/>
        </w:rPr>
        <w:t>水</w:t>
      </w:r>
      <w:r>
        <w:rPr>
          <w:rFonts w:hint="eastAsia" w:ascii="宋体" w:hAnsi="宋体" w:eastAsia="宋体" w:cs="宋体"/>
          <w:sz w:val="24"/>
          <w:szCs w:val="24"/>
          <w:u w:val="single"/>
          <w:lang w:val="en-US" w:eastAsia="zh-CN"/>
        </w:rPr>
        <w:t>分公司二期起重机加慢速档及一期部分轨道加固项目</w:t>
      </w:r>
    </w:p>
    <w:tbl>
      <w:tblPr>
        <w:tblStyle w:val="21"/>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3529"/>
        <w:gridCol w:w="1055"/>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582"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3529"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55"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582"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3529"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55"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符合报名条件资格要求</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企业法定代表人资格证明书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法定代表人授权委托书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关于资格的声明函</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35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lang w:eastAsia="zh-CN"/>
              </w:rPr>
            </w:pPr>
            <w:r>
              <w:rPr>
                <w:rFonts w:hint="eastAsia" w:ascii="宋体" w:hAnsi="宋体" w:eastAsia="宋体" w:cs="宋体"/>
                <w:color w:val="000000"/>
                <w:sz w:val="24"/>
                <w:szCs w:val="24"/>
              </w:rPr>
              <w:t>拟委派的项目负责人情况表</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原</w:t>
            </w:r>
            <w:r>
              <w:rPr>
                <w:rFonts w:hint="eastAsia" w:ascii="宋体" w:hAnsi="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报价意向承诺及声明函</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响应承诺书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16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16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6"/>
        </w:numPr>
        <w:ind w:firstLine="630" w:firstLineChars="300"/>
      </w:pPr>
      <w:r>
        <w:rPr>
          <w:rFonts w:hint="eastAsia"/>
        </w:rPr>
        <w:t>本表所有审核情况均为符合的，结论为报名成功。若有一项或以上审核情况为不符合的，结论为报名不成功。</w:t>
      </w:r>
    </w:p>
    <w:p>
      <w:pPr>
        <w:ind w:left="630"/>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ind w:firstLine="8960" w:firstLineChars="3200"/>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both"/>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400" w:lineRule="atLeast"/>
        <w:rPr>
          <w:rFonts w:hint="eastAsia"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val="en-US" w:eastAsia="zh-CN"/>
        </w:rPr>
        <w:t>广州市净水有限公司石井净水分公司二期起重机加慢速档及一期部分轨道加固项目</w:t>
      </w:r>
    </w:p>
    <w:p>
      <w:pPr>
        <w:spacing w:line="400" w:lineRule="atLeast"/>
        <w:rPr>
          <w:rFonts w:hAnsi="宋体" w:eastAsia="宋体"/>
        </w:rPr>
      </w:pPr>
      <w:r>
        <w:rPr>
          <w:rFonts w:hint="eastAsia" w:ascii="宋体" w:hAnsi="宋体" w:cs="宋体"/>
          <w:b/>
          <w:sz w:val="30"/>
          <w:szCs w:val="30"/>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ascii="宋体" w:hAnsi="宋体" w:cs="宋体"/>
          <w:b/>
          <w:bCs/>
          <w:sz w:val="30"/>
          <w:szCs w:val="30"/>
        </w:rPr>
        <w:t>2021</w:t>
      </w:r>
      <w:r>
        <w:rPr>
          <w:rFonts w:hint="eastAsia" w:ascii="宋体" w:hAnsi="宋体" w:cs="宋体"/>
          <w:b/>
          <w:bCs/>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pStyle w:val="28"/>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rPr>
          <w:lang w:val="zh-CN"/>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val="en-US" w:eastAsia="zh-CN"/>
        </w:rPr>
        <w:t>石井净分公司二期起重机加慢速档及一期部分轨道加固项目</w:t>
      </w:r>
      <w:r>
        <w:rPr>
          <w:rFonts w:hint="eastAsia" w:asciiTheme="minorEastAsia" w:hAnsiTheme="minorEastAsia" w:eastAsiaTheme="minorEastAsia" w:cstheme="minorEastAsia"/>
          <w:sz w:val="24"/>
        </w:rPr>
        <w:t>工程施工方</w:t>
      </w:r>
      <w:r>
        <w:rPr>
          <w:rFonts w:hint="eastAsia" w:ascii="宋体" w:hAnsi="宋体" w:cs="宋体" w:eastAsiaTheme="minorEastAsia"/>
          <w:sz w:val="24"/>
        </w:rPr>
        <w:t>。</w:t>
      </w:r>
      <w:r>
        <w:rPr>
          <w:rFonts w:hint="eastAsia" w:ascii="宋体" w:hAnsi="宋体" w:cs="宋体"/>
          <w:sz w:val="24"/>
        </w:rPr>
        <w:t>遵循平等、自愿、公平和诚实信用的原则，双方协商一致，订立本合同。</w:t>
      </w:r>
    </w:p>
    <w:p>
      <w:pPr>
        <w:spacing w:line="360" w:lineRule="auto"/>
        <w:ind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中标通知书；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广州市净水有限公司石井净水分公司二期起重机加慢速档及一期部分轨道加固项目</w:t>
      </w:r>
    </w:p>
    <w:p>
      <w:pPr>
        <w:spacing w:line="384" w:lineRule="auto"/>
        <w:ind w:firstLine="480" w:firstLineChars="200"/>
        <w:rPr>
          <w:rFonts w:ascii="宋体" w:hAnsi="宋体" w:cs="宋体"/>
          <w:sz w:val="24"/>
        </w:rPr>
      </w:pPr>
      <w:r>
        <w:rPr>
          <w:rFonts w:hint="eastAsia" w:ascii="宋体" w:hAnsi="宋体" w:cs="宋体"/>
          <w:sz w:val="24"/>
        </w:rPr>
        <w:t>2.2项目地点：</w:t>
      </w:r>
      <w:r>
        <w:rPr>
          <w:rFonts w:hint="eastAsia" w:ascii="宋体" w:hAnsi="宋体" w:cs="宋体"/>
          <w:sz w:val="24"/>
          <w:u w:val="single"/>
        </w:rPr>
        <w:t>广州市净水有限公司</w:t>
      </w:r>
      <w:r>
        <w:rPr>
          <w:rFonts w:hint="eastAsia" w:ascii="宋体" w:hAnsi="宋体" w:cs="宋体"/>
          <w:sz w:val="24"/>
          <w:u w:val="single"/>
          <w:lang w:val="en-US" w:eastAsia="zh-CN"/>
        </w:rPr>
        <w:t>石井净水</w:t>
      </w:r>
      <w:r>
        <w:rPr>
          <w:rFonts w:hint="eastAsia" w:ascii="宋体" w:hAnsi="宋体" w:cs="宋体"/>
          <w:sz w:val="24"/>
          <w:u w:val="single"/>
        </w:rPr>
        <w:t>分公司</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3</w:t>
      </w:r>
      <w:r>
        <w:rPr>
          <w:rFonts w:hint="eastAsia" w:ascii="宋体" w:hAnsi="宋体" w:cs="宋体"/>
          <w:sz w:val="24"/>
        </w:rPr>
        <w:t>项目内容：</w:t>
      </w:r>
      <w:r>
        <w:rPr>
          <w:rFonts w:hint="eastAsia" w:ascii="宋体" w:hAnsi="宋体" w:cs="宋体"/>
          <w:sz w:val="24"/>
          <w:u w:val="single"/>
          <w:lang w:val="en-US" w:eastAsia="zh-CN"/>
        </w:rPr>
        <w:t>对石井净水分公司二期在用的六台起重机设备增加慢速档，一期出水泵房和初雨泵房天车轨道加固，使用更加安全平稳</w:t>
      </w:r>
      <w:r>
        <w:rPr>
          <w:rFonts w:hint="eastAsia" w:ascii="宋体" w:hAnsi="宋体" w:cs="宋体"/>
          <w:sz w:val="24"/>
          <w:u w:val="single"/>
        </w:rPr>
        <w:t>。</w:t>
      </w:r>
    </w:p>
    <w:p>
      <w:pPr>
        <w:spacing w:line="384" w:lineRule="auto"/>
        <w:ind w:firstLine="480" w:firstLineChars="200"/>
      </w:pPr>
      <w:r>
        <w:rPr>
          <w:rFonts w:hint="eastAsia" w:ascii="宋体" w:hAnsi="宋体" w:cs="宋体"/>
          <w:sz w:val="24"/>
        </w:rPr>
        <w:t>2.</w:t>
      </w:r>
      <w:r>
        <w:rPr>
          <w:rFonts w:ascii="宋体" w:hAnsi="宋体" w:cs="宋体"/>
          <w:sz w:val="24"/>
        </w:rPr>
        <w:t>4</w:t>
      </w:r>
      <w:r>
        <w:rPr>
          <w:rFonts w:hint="eastAsia" w:ascii="宋体" w:hAnsi="宋体" w:cs="宋体"/>
          <w:sz w:val="24"/>
        </w:rPr>
        <w:t>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 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w:t>
      </w:r>
      <w:r>
        <w:rPr>
          <w:rFonts w:hint="eastAsia" w:ascii="宋体" w:hAnsi="宋体" w:cs="宋体"/>
          <w:sz w:val="24"/>
          <w:u w:val="single"/>
        </w:rPr>
        <w:t>（1）</w:t>
      </w:r>
      <w:r>
        <w:rPr>
          <w:rFonts w:hint="eastAsia" w:ascii="宋体" w:hAnsi="宋体" w:cs="宋体"/>
          <w:sz w:val="24"/>
        </w:rPr>
        <w:t>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 xml:space="preserve">人民币…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 /</w:t>
      </w:r>
      <w:r>
        <w:rPr>
          <w:rFonts w:ascii="宋体" w:hAnsi="宋体" w:cs="宋体"/>
          <w:sz w:val="24"/>
          <w:u w:val="single"/>
        </w:rPr>
        <w:t xml:space="preserve"> </w:t>
      </w:r>
      <w:r>
        <w:rPr>
          <w:rFonts w:hint="eastAsia" w:ascii="宋体" w:hAnsi="宋体" w:cs="宋体"/>
          <w:sz w:val="24"/>
          <w:u w:val="single"/>
        </w:rPr>
        <w:t>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szCs w:val="24"/>
        </w:rPr>
        <w:t>4.3因非甲方原因引起工程量报价清单中工程量发生增减，且单个子目工程量变化幅度在5%以内（含）时，按工程量报价清单中列明的子目单价结算。否则，按新增单价执行。</w:t>
      </w:r>
    </w:p>
    <w:p>
      <w:pPr>
        <w:spacing w:line="384" w:lineRule="auto"/>
        <w:ind w:firstLine="480" w:firstLineChars="200"/>
        <w:rPr>
          <w:rFonts w:ascii="宋体" w:hAnsi="宋体" w:cs="宋体"/>
          <w:bCs/>
          <w:sz w:val="24"/>
        </w:rPr>
      </w:pPr>
      <w:r>
        <w:rPr>
          <w:rFonts w:hint="eastAsia" w:ascii="宋体" w:hAnsi="宋体" w:cs="宋体"/>
          <w:bCs/>
          <w:sz w:val="24"/>
        </w:rPr>
        <w:t>4.4合同中没有适用于变更工程项目的单价的，按新增单价执行。</w:t>
      </w:r>
    </w:p>
    <w:p>
      <w:pPr>
        <w:spacing w:line="384" w:lineRule="auto"/>
        <w:ind w:firstLine="480" w:firstLineChars="200"/>
        <w:rPr>
          <w:rFonts w:ascii="宋体" w:hAnsi="宋体" w:cs="宋体"/>
          <w:bCs/>
          <w:sz w:val="24"/>
        </w:rPr>
      </w:pPr>
      <w:r>
        <w:rPr>
          <w:rFonts w:hint="eastAsia" w:ascii="宋体" w:hAnsi="宋体" w:cs="宋体"/>
          <w:bCs/>
          <w:sz w:val="24"/>
        </w:rPr>
        <w:t>新增单价计价原则：</w:t>
      </w:r>
    </w:p>
    <w:p>
      <w:pPr>
        <w:spacing w:line="384" w:lineRule="auto"/>
        <w:ind w:firstLine="480" w:firstLineChars="200"/>
        <w:rPr>
          <w:rFonts w:ascii="宋体" w:hAnsi="宋体" w:cs="宋体"/>
          <w:bCs/>
          <w:sz w:val="24"/>
        </w:rPr>
      </w:pPr>
      <w:r>
        <w:rPr>
          <w:rFonts w:hint="eastAsia" w:ascii="宋体" w:hAnsi="宋体" w:cs="宋体"/>
          <w:bCs/>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384" w:lineRule="auto"/>
        <w:ind w:firstLine="480" w:firstLineChars="200"/>
        <w:rPr>
          <w:rFonts w:ascii="宋体" w:hAnsi="宋体" w:cs="宋体"/>
          <w:bCs/>
          <w:sz w:val="24"/>
        </w:rPr>
      </w:pPr>
      <w:r>
        <w:rPr>
          <w:rFonts w:hint="eastAsia" w:ascii="宋体" w:hAnsi="宋体" w:cs="宋体"/>
          <w:bCs/>
          <w:sz w:val="24"/>
        </w:rPr>
        <w:t>2.项目计价材料、设备价格的控制：按以下顺序作为降序优先级依次采用工程开工报告中开工日期当月的下列价格：</w:t>
      </w:r>
    </w:p>
    <w:p>
      <w:pPr>
        <w:spacing w:line="384" w:lineRule="auto"/>
        <w:ind w:firstLine="480" w:firstLineChars="200"/>
        <w:rPr>
          <w:rFonts w:ascii="宋体" w:hAnsi="宋体" w:cs="宋体"/>
          <w:bCs/>
          <w:sz w:val="24"/>
        </w:rPr>
      </w:pPr>
      <w:r>
        <w:rPr>
          <w:rFonts w:hint="eastAsia" w:ascii="宋体" w:hAnsi="宋体" w:cs="宋体"/>
          <w:bCs/>
          <w:sz w:val="24"/>
        </w:rPr>
        <w:t>（1）《广州地区建设工程常用材料税前综合价格》（下称综合价格）。</w:t>
      </w:r>
    </w:p>
    <w:p>
      <w:pPr>
        <w:spacing w:line="384" w:lineRule="auto"/>
        <w:ind w:firstLine="480" w:firstLineChars="200"/>
        <w:rPr>
          <w:rFonts w:ascii="宋体" w:hAnsi="宋体" w:cs="宋体"/>
          <w:bCs/>
          <w:sz w:val="24"/>
        </w:rPr>
      </w:pPr>
      <w:r>
        <w:rPr>
          <w:rFonts w:hint="eastAsia" w:ascii="宋体" w:hAnsi="宋体" w:cs="宋体"/>
          <w:bCs/>
          <w:sz w:val="24"/>
        </w:rPr>
        <w:t>（2）《广州地区建设工程材料（设备）厂商价格信息》（下称厂商价格）下浮10-20%。</w:t>
      </w:r>
    </w:p>
    <w:p>
      <w:pPr>
        <w:spacing w:line="384" w:lineRule="auto"/>
        <w:ind w:firstLine="480" w:firstLineChars="200"/>
        <w:rPr>
          <w:rFonts w:ascii="宋体" w:hAnsi="宋体" w:cs="宋体"/>
          <w:bCs/>
          <w:sz w:val="24"/>
        </w:rPr>
      </w:pPr>
      <w:r>
        <w:rPr>
          <w:rFonts w:hint="eastAsia" w:ascii="宋体" w:hAnsi="宋体" w:cs="宋体"/>
          <w:bCs/>
          <w:sz w:val="24"/>
        </w:rPr>
        <w:t>（3）综合价格、厂商价格中缺项的，采用由北京瑞恒达建筑咨询有限公司提供服务的“慧讯网”中查到的相应材料、设备价格的工程价。</w:t>
      </w:r>
    </w:p>
    <w:p>
      <w:pPr>
        <w:spacing w:line="384" w:lineRule="auto"/>
        <w:ind w:firstLine="480" w:firstLineChars="200"/>
        <w:rPr>
          <w:rFonts w:ascii="宋体" w:hAnsi="宋体" w:cs="宋体"/>
          <w:bCs/>
          <w:sz w:val="24"/>
        </w:rPr>
      </w:pPr>
      <w:r>
        <w:rPr>
          <w:rFonts w:ascii="宋体" w:hAnsi="宋体" w:cs="宋体"/>
          <w:bCs/>
          <w:sz w:val="24"/>
        </w:rPr>
        <w:t>（4）通过市场询价双方协商确定。</w:t>
      </w:r>
    </w:p>
    <w:p>
      <w:pPr>
        <w:spacing w:line="384" w:lineRule="auto"/>
        <w:ind w:firstLine="480" w:firstLineChars="200"/>
        <w:rPr>
          <w:rFonts w:ascii="宋体" w:hAnsi="宋体" w:cs="宋体"/>
          <w:bCs/>
          <w:sz w:val="24"/>
        </w:rPr>
      </w:pPr>
      <w:r>
        <w:rPr>
          <w:rFonts w:hint="eastAsia" w:ascii="宋体" w:hAnsi="宋体" w:cs="宋体"/>
          <w:bCs/>
          <w:sz w:val="24"/>
        </w:rPr>
        <w:t>3.按1、2组价后下浮5%计取。</w:t>
      </w:r>
    </w:p>
    <w:p>
      <w:pPr>
        <w:spacing w:line="360" w:lineRule="auto"/>
        <w:ind w:firstLine="482" w:firstLineChars="200"/>
        <w:rPr>
          <w:rFonts w:ascii="宋体" w:hAnsi="宋体" w:cs="宋体"/>
          <w:b/>
          <w:bCs/>
          <w:sz w:val="24"/>
        </w:rPr>
      </w:pPr>
      <w:r>
        <w:rPr>
          <w:rFonts w:hint="eastAsia" w:ascii="宋体" w:hAnsi="宋体" w:cs="宋体"/>
          <w:b/>
          <w:bCs/>
          <w:sz w:val="24"/>
        </w:rPr>
        <w:t>第五条 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年 </w:t>
      </w:r>
      <w:r>
        <w:rPr>
          <w:rFonts w:ascii="宋体" w:hAnsi="宋体" w:cs="宋体"/>
          <w:sz w:val="24"/>
          <w:u w:val="single"/>
        </w:rPr>
        <w:t xml:space="preserve">  </w:t>
      </w:r>
      <w:r>
        <w:rPr>
          <w:rFonts w:hint="eastAsia" w:ascii="宋体" w:hAnsi="宋体" w:cs="宋体"/>
          <w:sz w:val="24"/>
          <w:u w:val="single"/>
        </w:rPr>
        <w:t xml:space="preserve">月 </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15</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1</w:t>
      </w:r>
      <w:r>
        <w:rPr>
          <w:rFonts w:ascii="宋体" w:hAnsi="宋体" w:cs="宋体"/>
          <w:sz w:val="24"/>
          <w:u w:val="single"/>
        </w:rPr>
        <w:t>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rPr>
        <w:t>1</w:t>
      </w:r>
      <w:r>
        <w:rPr>
          <w:rFonts w:ascii="宋体" w:hAnsi="宋体" w:cs="宋体"/>
          <w:bCs/>
          <w:sz w:val="24"/>
          <w:u w:val="single"/>
        </w:rPr>
        <w:t>5</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5.5乙方不履行合同义务、或履行合同义务不符合合同约定、或违反国家、省、市行业标准的，甲方有权要求乙方限期整改。乙方逾期未完成整改的，每项每超过1日支付违约金人民币1万元，超过_</w:t>
      </w:r>
      <w:r>
        <w:rPr>
          <w:rFonts w:hint="eastAsia" w:ascii="宋体" w:hAnsi="宋体" w:cs="宋体"/>
          <w:bCs/>
          <w:sz w:val="24"/>
        </w:rPr>
        <w:t>1</w:t>
      </w:r>
      <w:r>
        <w:rPr>
          <w:rFonts w:ascii="宋体" w:hAnsi="宋体" w:cs="宋体"/>
          <w:bCs/>
          <w:sz w:val="24"/>
        </w:rPr>
        <w:t>0_日，甲方有权解除合同并要求乙方支付合同暂定总价的20%作为违约金</w:t>
      </w:r>
      <w:r>
        <w:rPr>
          <w:rFonts w:hint="eastAsia" w:ascii="宋体" w:hAnsi="宋体" w:cs="宋体"/>
          <w:bCs/>
          <w:sz w:val="24"/>
        </w:rPr>
        <w:t>（如合同另行约定违约责任，从其约定）</w:t>
      </w:r>
      <w:r>
        <w:rPr>
          <w:rFonts w:ascii="宋体" w:hAnsi="宋体" w:cs="宋体"/>
          <w:bCs/>
          <w:sz w:val="24"/>
        </w:rPr>
        <w:t>。</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 xml:space="preserve">5.6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5.7施工过程中，项目负责人应驻场管理，否则甲方有权要求乙方支付违约 1000元/天，因此造成损失的，按实际发生额赔偿。</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5.8施工过程中，乙方应负责配备现场的应急物资。具体应急物资配备详见附件应急救援物资清单。</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5.9在合同有效期内，若乙方发生不诚信行为情形的，乙方自愿接受甲方按《广州市净水有限公司经营建设项目参建企业不诚信行为管理办法》处理。</w:t>
      </w:r>
    </w:p>
    <w:p>
      <w:pPr>
        <w:spacing w:line="360" w:lineRule="auto"/>
        <w:ind w:firstLine="482" w:firstLineChars="200"/>
        <w:rPr>
          <w:rFonts w:ascii="宋体" w:hAnsi="宋体" w:cs="宋体"/>
          <w:b/>
          <w:bCs/>
          <w:sz w:val="24"/>
        </w:rPr>
      </w:pPr>
      <w:r>
        <w:rPr>
          <w:rFonts w:hint="eastAsia" w:ascii="宋体" w:hAnsi="宋体" w:cs="宋体"/>
          <w:b/>
          <w:bCs/>
          <w:sz w:val="24"/>
        </w:rPr>
        <w:t>第六条 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hint="eastAsia" w:ascii="宋体" w:hAnsi="宋体" w:cs="宋体"/>
          <w:sz w:val="24"/>
          <w:lang w:val="en-US" w:eastAsia="zh-CN"/>
        </w:rPr>
        <w:t>8</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ascii="宋体" w:hAnsi="宋体" w:cs="宋体"/>
          <w:b/>
          <w:bCs/>
          <w:sz w:val="24"/>
        </w:rPr>
      </w:pPr>
      <w:r>
        <w:rPr>
          <w:rFonts w:ascii="宋体" w:hAnsi="宋体" w:cs="宋体"/>
          <w:sz w:val="24"/>
        </w:rPr>
        <w:t>6.6</w:t>
      </w:r>
      <w:r>
        <w:rPr>
          <w:rFonts w:hint="eastAsia" w:ascii="宋体" w:hAnsi="宋体" w:cs="宋体"/>
          <w:sz w:val="24"/>
        </w:rPr>
        <w:t>按相关法律法规及甲方相关作业施工管理要求执行。</w:t>
      </w:r>
    </w:p>
    <w:p>
      <w:pPr>
        <w:spacing w:line="360" w:lineRule="auto"/>
        <w:ind w:firstLine="482" w:firstLineChars="200"/>
        <w:rPr>
          <w:rFonts w:ascii="宋体" w:hAnsi="宋体" w:cs="宋体"/>
          <w:b/>
          <w:bCs/>
          <w:sz w:val="24"/>
        </w:rPr>
      </w:pPr>
      <w:r>
        <w:rPr>
          <w:rFonts w:hint="eastAsia" w:ascii="宋体" w:hAnsi="宋体" w:cs="宋体"/>
          <w:b/>
          <w:bCs/>
          <w:sz w:val="24"/>
        </w:rPr>
        <w:t>第七条 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60" w:lineRule="auto"/>
        <w:ind w:firstLine="482" w:firstLineChars="200"/>
        <w:rPr>
          <w:rFonts w:ascii="宋体" w:hAnsi="宋体" w:cs="宋体"/>
          <w:b/>
          <w:bCs/>
          <w:sz w:val="24"/>
        </w:rPr>
      </w:pPr>
      <w:r>
        <w:rPr>
          <w:rFonts w:hint="eastAsia" w:ascii="宋体" w:hAnsi="宋体" w:cs="宋体"/>
          <w:b/>
          <w:bCs/>
          <w:sz w:val="24"/>
        </w:rPr>
        <w:t>第八条 付款及履约担保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lang w:val="en-US" w:eastAsia="zh-CN"/>
        </w:rPr>
        <w:t>合同价款按以下支付：</w:t>
      </w:r>
      <w:r>
        <w:rPr>
          <w:rFonts w:hint="eastAsia" w:hAnsi="宋体" w:cs="宋体"/>
          <w:sz w:val="24"/>
          <w:szCs w:val="24"/>
          <w:u w:val="none"/>
        </w:rPr>
        <w:t>项目验收合格后，由乙方提交申请支付资料</w:t>
      </w:r>
      <w:r>
        <w:rPr>
          <w:rFonts w:hAnsi="宋体" w:cs="宋体"/>
          <w:sz w:val="24"/>
          <w:szCs w:val="24"/>
          <w:u w:val="none"/>
        </w:rPr>
        <w:t xml:space="preserve"> 15 </w:t>
      </w:r>
      <w:r>
        <w:rPr>
          <w:rFonts w:hint="eastAsia" w:hAnsi="宋体" w:cs="宋体"/>
          <w:sz w:val="24"/>
          <w:szCs w:val="24"/>
          <w:u w:val="none"/>
        </w:rPr>
        <w:t>个工作日内，甲方支付</w:t>
      </w:r>
      <w:r>
        <w:rPr>
          <w:rFonts w:hint="eastAsia" w:hAnsi="宋体" w:cs="宋体"/>
          <w:sz w:val="24"/>
          <w:szCs w:val="24"/>
          <w:u w:val="none"/>
          <w:lang w:eastAsia="zh-CN"/>
        </w:rPr>
        <w:t>至</w:t>
      </w:r>
      <w:r>
        <w:rPr>
          <w:rFonts w:hint="eastAsia" w:hAnsi="宋体" w:cs="宋体"/>
          <w:sz w:val="24"/>
          <w:szCs w:val="24"/>
          <w:u w:val="none"/>
        </w:rPr>
        <w:t>合同暂定总价的</w:t>
      </w:r>
      <w:r>
        <w:rPr>
          <w:rFonts w:hint="eastAsia" w:hAnsi="宋体" w:cs="宋体"/>
          <w:sz w:val="24"/>
          <w:szCs w:val="24"/>
          <w:u w:val="none"/>
          <w:lang w:val="en-US" w:eastAsia="zh-CN"/>
        </w:rPr>
        <w:t>80</w:t>
      </w:r>
      <w:r>
        <w:rPr>
          <w:rFonts w:hint="eastAsia" w:hAnsi="宋体" w:cs="宋体"/>
          <w:sz w:val="24"/>
          <w:szCs w:val="24"/>
          <w:u w:val="none"/>
        </w:rPr>
        <w:t>％即</w:t>
      </w:r>
      <w:r>
        <w:rPr>
          <w:rFonts w:hint="eastAsia" w:hAnsi="宋体" w:cs="宋体"/>
          <w:sz w:val="24"/>
          <w:szCs w:val="24"/>
          <w:u w:val="none"/>
          <w:lang w:val="en-US" w:eastAsia="zh-CN"/>
        </w:rPr>
        <w:t>^</w:t>
      </w:r>
      <w:r>
        <w:rPr>
          <w:rFonts w:hint="eastAsia" w:hAnsi="宋体" w:cs="宋体"/>
          <w:sz w:val="24"/>
          <w:szCs w:val="24"/>
          <w:u w:val="non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non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Ansi="宋体" w:cs="宋体"/>
          <w:sz w:val="24"/>
          <w:szCs w:val="24"/>
        </w:rPr>
      </w:pPr>
      <w:r>
        <w:rPr>
          <w:rFonts w:hint="eastAsia" w:hAnsi="宋体" w:cs="宋体"/>
          <w:sz w:val="24"/>
          <w:szCs w:val="24"/>
        </w:rPr>
        <w:t>8.2.</w:t>
      </w:r>
      <w:r>
        <w:rPr>
          <w:rFonts w:hAnsi="宋体" w:cs="宋体"/>
          <w:sz w:val="24"/>
          <w:szCs w:val="24"/>
        </w:rPr>
        <w:t>3</w:t>
      </w:r>
      <w:r>
        <w:rPr>
          <w:rFonts w:hint="eastAsia" w:hAnsi="宋体" w:cs="宋体"/>
          <w:sz w:val="24"/>
          <w:szCs w:val="24"/>
        </w:rPr>
        <w:t>本项目工程款的支付单位为：</w:t>
      </w:r>
      <w:r>
        <w:rPr>
          <w:rFonts w:hint="eastAsia" w:hAnsi="宋体" w:cs="宋体"/>
          <w:sz w:val="24"/>
          <w:szCs w:val="24"/>
          <w:u w:val="single"/>
        </w:rPr>
        <w:t xml:space="preserve"> 广州市净水有限公司</w:t>
      </w:r>
      <w:r>
        <w:rPr>
          <w:rFonts w:hint="eastAsia" w:hAnsi="宋体" w:cs="宋体"/>
          <w:sz w:val="24"/>
          <w:szCs w:val="24"/>
          <w:u w:val="single"/>
          <w:lang w:val="en-US" w:eastAsia="zh-CN"/>
        </w:rPr>
        <w:t>石井净水</w:t>
      </w:r>
      <w:r>
        <w:rPr>
          <w:rFonts w:hint="eastAsia" w:hAnsi="宋体" w:cs="宋体"/>
          <w:sz w:val="24"/>
          <w:szCs w:val="24"/>
          <w:u w:val="single"/>
        </w:rPr>
        <w:t>分公司</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360" w:lineRule="auto"/>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00A8"/>
      </w:r>
      <w:r>
        <w:rPr>
          <w:rFonts w:hint="eastAsia" w:ascii="宋体" w:hAnsi="宋体" w:cs="宋体"/>
          <w:szCs w:val="21"/>
        </w:rPr>
        <w:t>有</w:t>
      </w:r>
      <w:r>
        <w:rPr>
          <w:rFonts w:ascii="宋体" w:hAnsi="宋体" w:cs="宋体"/>
          <w:szCs w:val="21"/>
        </w:rPr>
        <w:t xml:space="preserve"> </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lang w:val="en-US" w:eastAsia="zh-CN"/>
        </w:rPr>
        <w:t xml:space="preserve">         </w:t>
      </w:r>
      <w:r>
        <w:rPr>
          <w:rFonts w:hint="eastAsia" w:ascii="宋体" w:hAnsi="宋体" w:cs="宋体"/>
          <w:sz w:val="24"/>
        </w:rPr>
        <w:t>作为违约金。</w:t>
      </w:r>
    </w:p>
    <w:p>
      <w:pPr>
        <w:pStyle w:val="18"/>
        <w:spacing w:before="0" w:beforeAutospacing="0" w:after="0" w:afterAutospacing="0" w:line="360" w:lineRule="auto"/>
        <w:ind w:firstLine="480" w:firstLineChars="200"/>
      </w:pPr>
      <w:r>
        <w:rPr>
          <w:rFonts w:cs="宋体"/>
        </w:rPr>
        <w:t>8.5.1</w:t>
      </w:r>
      <w:r>
        <w:t>履约担保</w:t>
      </w:r>
      <w:r>
        <w:rPr>
          <w:rFonts w:hint="eastAsia"/>
        </w:rPr>
        <w:t>按以下任一种形式提供</w:t>
      </w:r>
      <w:r>
        <w:t>：</w:t>
      </w:r>
    </w:p>
    <w:p>
      <w:pPr>
        <w:pStyle w:val="18"/>
        <w:spacing w:before="0" w:beforeAutospacing="0" w:after="0" w:afterAutospacing="0" w:line="360" w:lineRule="auto"/>
        <w:ind w:firstLine="480"/>
      </w:pPr>
      <w:r>
        <w:rPr>
          <w:rFonts w:hint="eastAsia"/>
        </w:rPr>
        <w:t>（1）符合甲方要求（详见附件7保函格式）的银行独立保函，</w:t>
      </w:r>
    </w:p>
    <w:p>
      <w:pPr>
        <w:pStyle w:val="18"/>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8"/>
        <w:spacing w:before="0" w:beforeAutospacing="0" w:after="0" w:afterAutospacing="0" w:line="360" w:lineRule="auto"/>
        <w:ind w:left="199" w:leftChars="95" w:firstLine="240" w:firstLineChars="10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hint="eastAsia" w:ascii="Segoe UI Symbol" w:hAnsi="Segoe UI Symbol" w:cs="Segoe UI Symbol" w:eastAsiaTheme="minorEastAsia"/>
          <w:sz w:val="24"/>
          <w:lang w:eastAsia="zh-CN"/>
        </w:rPr>
        <w:sym w:font="Wingdings 2" w:char="0052"/>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：广州市净水有限公司</w:t>
      </w:r>
      <w:r>
        <w:rPr>
          <w:rFonts w:hint="eastAsia" w:asciiTheme="minorEastAsia" w:hAnsiTheme="minorEastAsia" w:eastAsiaTheme="minorEastAsia" w:cstheme="minorEastAsia"/>
          <w:u w:val="single"/>
          <w:lang w:val="en-US" w:eastAsia="zh-CN"/>
        </w:rPr>
        <w:t>石井净水</w:t>
      </w:r>
      <w:r>
        <w:rPr>
          <w:rFonts w:hint="eastAsia" w:asciiTheme="minorEastAsia" w:hAnsiTheme="minorEastAsia" w:eastAsiaTheme="minorEastAsia" w:cstheme="minorEastAsia"/>
          <w:u w:val="single"/>
        </w:rPr>
        <w:t xml:space="preserve">分公司 </w:t>
      </w:r>
    </w:p>
    <w:p>
      <w:pPr>
        <w:spacing w:line="360" w:lineRule="auto"/>
        <w:ind w:firstLine="482" w:firstLineChars="200"/>
        <w:rPr>
          <w:rFonts w:ascii="宋体" w:hAnsi="宋体" w:cs="宋体"/>
          <w:b/>
          <w:bCs/>
          <w:sz w:val="24"/>
        </w:rPr>
      </w:pPr>
      <w:bookmarkStart w:id="1" w:name="_Toc474245220"/>
      <w:bookmarkStart w:id="2" w:name="_Toc518992994"/>
      <w:bookmarkStart w:id="3" w:name="_Toc520190034"/>
      <w:r>
        <w:rPr>
          <w:rFonts w:hint="eastAsia" w:ascii="宋体" w:hAnsi="宋体" w:cs="宋体"/>
          <w:b/>
          <w:bCs/>
          <w:sz w:val="24"/>
        </w:rPr>
        <w:t>第十条 质量保证</w:t>
      </w:r>
      <w:bookmarkEnd w:id="1"/>
      <w:bookmarkEnd w:id="2"/>
      <w:bookmarkEnd w:id="3"/>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10.2</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壹 </w:t>
      </w:r>
      <w:r>
        <w:rPr>
          <w:rFonts w:hint="eastAsia" w:ascii="宋体" w:hAnsi="宋体" w:cs="宋体"/>
          <w:kern w:val="0"/>
          <w:sz w:val="24"/>
          <w:lang w:val="zh-CN"/>
        </w:rPr>
        <w:t>年。</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line="360" w:lineRule="auto"/>
        <w:ind w:firstLine="482" w:firstLineChars="200"/>
        <w:rPr>
          <w:rFonts w:ascii="宋体" w:hAnsi="宋体" w:cs="宋体"/>
          <w:b/>
          <w:bCs/>
          <w:sz w:val="24"/>
          <w:highlight w:val="none"/>
        </w:rPr>
      </w:pPr>
      <w:bookmarkStart w:id="4" w:name="_Toc107447255"/>
      <w:bookmarkStart w:id="5" w:name="_Toc520190040"/>
      <w:bookmarkStart w:id="6" w:name="_Toc19692"/>
      <w:bookmarkStart w:id="7" w:name="_Toc183666531"/>
      <w:bookmarkStart w:id="8" w:name="_Toc306350467"/>
      <w:bookmarkStart w:id="9" w:name="_Toc518993000"/>
      <w:bookmarkStart w:id="10" w:name="_Toc474245226"/>
      <w:bookmarkStart w:id="11" w:name="_Toc107446862"/>
      <w:r>
        <w:rPr>
          <w:rFonts w:hint="eastAsia" w:ascii="宋体" w:hAnsi="宋体" w:cs="宋体"/>
          <w:b/>
          <w:bCs/>
          <w:sz w:val="24"/>
          <w:highlight w:val="none"/>
        </w:rPr>
        <w:t>第十一条 不可抗力</w:t>
      </w:r>
      <w:bookmarkEnd w:id="4"/>
      <w:bookmarkEnd w:id="5"/>
      <w:bookmarkEnd w:id="6"/>
      <w:bookmarkEnd w:id="7"/>
      <w:bookmarkEnd w:id="8"/>
      <w:bookmarkEnd w:id="9"/>
      <w:bookmarkEnd w:id="10"/>
      <w:bookmarkEnd w:id="11"/>
    </w:p>
    <w:p>
      <w:pPr>
        <w:widowControl/>
        <w:autoSpaceDE w:val="0"/>
        <w:autoSpaceDN w:val="0"/>
        <w:adjustRightInd w:val="0"/>
        <w:spacing w:line="384" w:lineRule="auto"/>
        <w:ind w:firstLine="480" w:firstLineChars="200"/>
        <w:rPr>
          <w:rFonts w:ascii="宋体" w:hAnsi="宋体" w:cs="宋体"/>
          <w:bCs/>
          <w:sz w:val="24"/>
        </w:rPr>
      </w:pPr>
      <w:bookmarkStart w:id="12" w:name="_Toc107446864"/>
      <w:bookmarkStart w:id="13" w:name="_Toc306350468"/>
      <w:bookmarkStart w:id="14" w:name="_Toc518993001"/>
      <w:bookmarkStart w:id="15" w:name="_Toc474245227"/>
      <w:bookmarkStart w:id="16" w:name="_Toc12010"/>
      <w:bookmarkStart w:id="17" w:name="_Toc183666532"/>
      <w:bookmarkStart w:id="18" w:name="_Toc107447257"/>
      <w:bookmarkStart w:id="19" w:name="_Toc520190041"/>
      <w:bookmarkStart w:id="20" w:name="_Toc118172294"/>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bCs/>
          <w:sz w:val="24"/>
        </w:rPr>
      </w:pPr>
      <w:r>
        <w:rPr>
          <w:rFonts w:hint="eastAsia" w:ascii="宋体" w:hAnsi="宋体" w:cs="宋体"/>
          <w:b/>
          <w:bCs/>
          <w:sz w:val="24"/>
        </w:rPr>
        <w:t>十二条 争议解决</w:t>
      </w:r>
      <w:bookmarkEnd w:id="12"/>
      <w:bookmarkEnd w:id="13"/>
      <w:bookmarkEnd w:id="14"/>
      <w:bookmarkEnd w:id="15"/>
      <w:bookmarkEnd w:id="16"/>
      <w:bookmarkEnd w:id="17"/>
      <w:bookmarkEnd w:id="18"/>
      <w:bookmarkEnd w:id="19"/>
      <w:bookmarkEnd w:id="20"/>
    </w:p>
    <w:p>
      <w:pPr>
        <w:spacing w:line="360" w:lineRule="auto"/>
        <w:ind w:firstLine="482"/>
        <w:rPr>
          <w:rFonts w:ascii="宋体" w:hAnsi="宋体" w:cs="宋体"/>
          <w:bCs/>
          <w:sz w:val="24"/>
        </w:rPr>
      </w:pPr>
      <w:bookmarkStart w:id="21" w:name="_Toc306350469"/>
      <w:bookmarkStart w:id="22" w:name="_Toc183666533"/>
      <w:r>
        <w:rPr>
          <w:rFonts w:ascii="宋体" w:hAnsi="宋体" w:cs="宋体"/>
          <w:bCs/>
          <w:sz w:val="24"/>
        </w:rPr>
        <w:t>12.1</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ascii="宋体" w:hAnsi="宋体" w:cs="宋体"/>
          <w:b/>
          <w:bCs/>
          <w:sz w:val="24"/>
        </w:rPr>
      </w:pPr>
      <w:r>
        <w:rPr>
          <w:rFonts w:ascii="宋体" w:hAnsi="宋体" w:cs="宋体"/>
          <w:bCs/>
          <w:sz w:val="24"/>
        </w:rPr>
        <w:t>12.2</w:t>
      </w:r>
      <w:r>
        <w:rPr>
          <w:rFonts w:hint="eastAsia" w:ascii="宋体" w:hAnsi="宋体" w:cs="宋体"/>
          <w:sz w:val="24"/>
        </w:rPr>
        <w:t>在甲方同意的情况下，除有争端之外的合同其它部分在争端解决前应</w:t>
      </w:r>
      <w:bookmarkEnd w:id="21"/>
      <w:bookmarkEnd w:id="22"/>
      <w:bookmarkStart w:id="23" w:name="_Toc474245229"/>
      <w:bookmarkStart w:id="24" w:name="_Toc518993003"/>
      <w:bookmarkStart w:id="25" w:name="_Toc520190043"/>
      <w:r>
        <w:rPr>
          <w:rFonts w:hint="eastAsia" w:ascii="宋体" w:hAnsi="宋体" w:cs="宋体"/>
          <w:sz w:val="24"/>
        </w:rPr>
        <w:t>继续执行。</w:t>
      </w:r>
    </w:p>
    <w:p>
      <w:pPr>
        <w:spacing w:line="360" w:lineRule="auto"/>
        <w:ind w:firstLine="482" w:firstLineChars="200"/>
        <w:rPr>
          <w:rFonts w:ascii="宋体" w:hAnsi="宋体" w:cs="宋体"/>
          <w:b/>
          <w:bCs/>
          <w:sz w:val="24"/>
        </w:rPr>
      </w:pPr>
      <w:r>
        <w:rPr>
          <w:rFonts w:hint="eastAsia" w:ascii="宋体" w:hAnsi="宋体" w:cs="宋体"/>
          <w:b/>
          <w:bCs/>
          <w:sz w:val="24"/>
        </w:rPr>
        <w:t xml:space="preserve">第十三条 </w:t>
      </w:r>
      <w:bookmarkStart w:id="26" w:name="_Toc107447264"/>
      <w:bookmarkStart w:id="27" w:name="_Toc107446871"/>
      <w:r>
        <w:rPr>
          <w:rFonts w:hint="eastAsia" w:ascii="宋体" w:hAnsi="宋体" w:cs="宋体"/>
          <w:b/>
          <w:bCs/>
          <w:sz w:val="24"/>
        </w:rPr>
        <w:t>合同生效及其他</w:t>
      </w:r>
      <w:bookmarkEnd w:id="23"/>
      <w:bookmarkEnd w:id="24"/>
      <w:bookmarkEnd w:id="25"/>
      <w:bookmarkEnd w:id="26"/>
      <w:bookmarkEnd w:id="27"/>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肆</w:t>
      </w:r>
      <w:r>
        <w:rPr>
          <w:rFonts w:ascii="宋体" w:hAnsi="宋体" w:cs="宋体"/>
          <w:sz w:val="24"/>
          <w:u w:val="single"/>
        </w:rPr>
        <w:t xml:space="preserve"> </w:t>
      </w:r>
      <w:r>
        <w:rPr>
          <w:rFonts w:hint="eastAsia" w:ascii="宋体" w:hAnsi="宋体" w:cs="宋体"/>
          <w:sz w:val="24"/>
        </w:rPr>
        <w:t>份，乙方</w:t>
      </w:r>
      <w:r>
        <w:rPr>
          <w:rFonts w:hint="eastAsia" w:ascii="宋体" w:hAnsi="宋体" w:cs="宋体"/>
          <w:sz w:val="24"/>
          <w:u w:val="single"/>
        </w:rPr>
        <w:t xml:space="preserve"> </w:t>
      </w:r>
      <w:r>
        <w:rPr>
          <w:rFonts w:hint="eastAsia" w:ascii="宋体" w:hAnsi="宋体" w:cs="宋体"/>
          <w:sz w:val="24"/>
          <w:u w:val="single"/>
          <w:lang w:val="en-US" w:eastAsia="zh-CN"/>
        </w:rPr>
        <w:t>贰</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p>
    <w:p>
      <w:pPr>
        <w:spacing w:line="384" w:lineRule="auto"/>
        <w:rPr>
          <w:rFonts w:hint="eastAsia"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1</w:t>
      </w:r>
      <w:r>
        <w:rPr>
          <w:rFonts w:ascii="宋体" w:hAnsi="宋体" w:cs="宋体"/>
          <w:sz w:val="24"/>
        </w:rPr>
        <w:t>.</w:t>
      </w:r>
      <w:r>
        <w:rPr>
          <w:rFonts w:hint="eastAsia" w:ascii="宋体" w:hAnsi="宋体" w:cs="宋体"/>
          <w:sz w:val="24"/>
        </w:rPr>
        <w:t>廉洁协议</w:t>
      </w:r>
    </w:p>
    <w:p>
      <w:pPr>
        <w:spacing w:line="384" w:lineRule="auto"/>
        <w:ind w:firstLine="720" w:firstLineChars="300"/>
        <w:rPr>
          <w:rFonts w:ascii="宋体" w:hAnsi="宋体" w:cs="宋体"/>
          <w:sz w:val="24"/>
        </w:rPr>
      </w:pPr>
      <w:r>
        <w:rPr>
          <w:rFonts w:hint="eastAsia" w:ascii="宋体" w:hAnsi="宋体" w:cs="宋体"/>
          <w:sz w:val="24"/>
          <w:lang w:val="en-US" w:eastAsia="zh-CN"/>
        </w:rPr>
        <w:t>2</w:t>
      </w:r>
      <w:r>
        <w:rPr>
          <w:rFonts w:ascii="宋体" w:hAnsi="宋体" w:cs="宋体"/>
          <w:sz w:val="24"/>
        </w:rPr>
        <w:t>.</w:t>
      </w:r>
      <w:r>
        <w:rPr>
          <w:rFonts w:hint="eastAsia" w:ascii="宋体" w:hAnsi="宋体" w:cs="宋体"/>
          <w:sz w:val="24"/>
        </w:rPr>
        <w:t>营运场所施工安全协议书</w:t>
      </w:r>
    </w:p>
    <w:p>
      <w:pPr>
        <w:spacing w:line="384" w:lineRule="auto"/>
        <w:rPr>
          <w:rFonts w:hint="eastAsia" w:asciiTheme="minorEastAsia" w:hAnsiTheme="minorEastAsia" w:eastAsiaTheme="minorEastAsia" w:cstheme="minorEastAsia"/>
          <w:sz w:val="24"/>
          <w:szCs w:val="24"/>
        </w:rPr>
      </w:pPr>
      <w:r>
        <w:rPr>
          <w:rFonts w:ascii="宋体" w:hAnsi="宋体" w:cs="宋体"/>
          <w:sz w:val="24"/>
        </w:rPr>
        <w:t xml:space="preserve">      </w:t>
      </w: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szCs w:val="24"/>
        </w:rPr>
        <w:t>应急救援物资清单</w:t>
      </w:r>
    </w:p>
    <w:p>
      <w:pPr>
        <w:pStyle w:val="28"/>
        <w:rPr>
          <w:rFonts w:hint="default" w:eastAsia="仿宋_GB2312"/>
          <w:lang w:val="en-US" w:eastAsia="zh-CN"/>
        </w:rPr>
      </w:pPr>
      <w:r>
        <w:rPr>
          <w:rFonts w:hint="eastAsia"/>
          <w:lang w:val="en-US" w:eastAsia="zh-CN"/>
        </w:rPr>
        <w:t xml:space="preserve">      4</w:t>
      </w:r>
      <w:r>
        <w:rPr>
          <w:rFonts w:hint="eastAsia" w:ascii="宋体" w:hAnsi="宋体" w:eastAsia="宋体" w:cs="宋体"/>
          <w:color w:val="auto"/>
          <w:kern w:val="2"/>
          <w:sz w:val="24"/>
          <w:szCs w:val="20"/>
          <w:lang w:val="en-US" w:eastAsia="zh-CN" w:bidi="ar-SA"/>
        </w:rPr>
        <w:t>.</w:t>
      </w:r>
      <w:r>
        <w:rPr>
          <w:rFonts w:hint="eastAsia" w:asciiTheme="minorEastAsia" w:hAnsiTheme="minorEastAsia" w:eastAsiaTheme="minorEastAsia" w:cstheme="minorEastAsia"/>
          <w:sz w:val="24"/>
          <w:szCs w:val="24"/>
        </w:rPr>
        <w:t>不诚信行为的情形及相应被暂停参与投标活动的处理标准</w:t>
      </w:r>
    </w:p>
    <w:p>
      <w:pPr>
        <w:spacing w:line="360" w:lineRule="auto"/>
        <w:ind w:firstLine="720" w:firstLineChars="300"/>
        <w:rPr>
          <w:rFonts w:hint="eastAsia" w:asciiTheme="minorEastAsia" w:hAnsiTheme="minorEastAsia" w:eastAsiaTheme="minorEastAsia" w:cstheme="minorEastAsia"/>
          <w:sz w:val="24"/>
          <w:szCs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eastAsia="宋体" w:cs="宋体"/>
          <w:color w:val="auto"/>
          <w:kern w:val="2"/>
          <w:sz w:val="24"/>
          <w:szCs w:val="20"/>
          <w:lang w:val="en-US" w:eastAsia="zh-CN" w:bidi="ar-SA"/>
        </w:rPr>
        <w:t>工程量清单</w:t>
      </w:r>
    </w:p>
    <w:p>
      <w:pPr>
        <w:pStyle w:val="2"/>
      </w:pPr>
    </w:p>
    <w:p>
      <w:pPr>
        <w:spacing w:line="360" w:lineRule="auto"/>
        <w:ind w:firstLine="480"/>
        <w:rPr>
          <w:rFonts w:ascii="宋体" w:hAnsi="宋体" w:cs="宋体"/>
          <w:sz w:val="24"/>
        </w:rPr>
      </w:pPr>
    </w:p>
    <w:p>
      <w:pPr>
        <w:pStyle w:val="28"/>
      </w:pPr>
    </w:p>
    <w:p>
      <w:pPr>
        <w:pStyle w:val="28"/>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   （盖章）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bCs/>
          <w:sz w:val="24"/>
        </w:rPr>
        <w:t xml:space="preserve">                           </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 xml:space="preserve">经办人： </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left="5587" w:hanging="5587" w:hangingChars="2650"/>
        <w:rPr>
          <w:rFonts w:ascii="宋体" w:hAnsi="宋体" w:cs="宋体"/>
          <w:b/>
          <w:bCs/>
          <w:szCs w:val="21"/>
        </w:rPr>
      </w:pPr>
      <w:r>
        <w:rPr>
          <w:rFonts w:hint="eastAsia" w:ascii="宋体" w:hAnsi="宋体" w:cs="宋体"/>
          <w:b/>
          <w:bCs/>
          <w:szCs w:val="21"/>
        </w:rPr>
        <w:t>以下空白。</w:t>
      </w:r>
    </w:p>
    <w:p>
      <w:pPr>
        <w:spacing w:line="360" w:lineRule="auto"/>
        <w:rPr>
          <w:rFonts w:hint="eastAsia" w:ascii="宋体" w:hAnsi="宋体" w:cs="宋体"/>
          <w:b/>
          <w:bCs/>
          <w:szCs w:val="21"/>
        </w:rPr>
      </w:pPr>
      <w:bookmarkStart w:id="28" w:name="_Toc389815339"/>
      <w:bookmarkStart w:id="29" w:name="_Toc389815031"/>
      <w:bookmarkStart w:id="30" w:name="_Toc387080836"/>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1</w:t>
      </w:r>
      <w:r>
        <w:rPr>
          <w:rFonts w:hint="eastAsia" w:ascii="宋体" w:hAnsi="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5"/>
      </w:pPr>
    </w:p>
    <w:p/>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2</w:t>
      </w:r>
      <w:r>
        <w:rPr>
          <w:rFonts w:hint="eastAsia" w:ascii="宋体" w:hAnsi="宋体" w:cs="宋体"/>
          <w:b/>
          <w:szCs w:val="21"/>
        </w:rPr>
        <w:t>：</w:t>
      </w:r>
      <w:bookmarkEnd w:id="28"/>
      <w:bookmarkEnd w:id="29"/>
      <w:bookmarkEnd w:id="30"/>
      <w:r>
        <w:rPr>
          <w:rFonts w:hint="eastAsia" w:ascii="宋体" w:hAnsi="宋体" w:cs="宋体"/>
          <w:b/>
          <w:szCs w:val="21"/>
        </w:rPr>
        <w:t>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4"/>
          <w:rFonts w:asciiTheme="minorEastAsia" w:hAnsiTheme="minorEastAsia" w:eastAsiaTheme="minorEastAsia"/>
          <w:b w:val="0"/>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本协议作为 </w:t>
      </w:r>
      <w:r>
        <w:rPr>
          <w:rFonts w:hint="eastAsia" w:asciiTheme="minorEastAsia" w:hAnsiTheme="minorEastAsia" w:eastAsiaTheme="minorEastAsia"/>
          <w:sz w:val="24"/>
          <w:u w:val="single"/>
          <w:lang w:val="en-US" w:eastAsia="zh-CN"/>
        </w:rPr>
        <w:t>石井净分公司二期起重机加慢速档及一期部分轨道加固项目</w:t>
      </w:r>
      <w:r>
        <w:rPr>
          <w:rFonts w:hint="eastAsia" w:asciiTheme="minorEastAsia" w:hAnsiTheme="minorEastAsia" w:eastAsiaTheme="minorEastAsia"/>
          <w:sz w:val="24"/>
          <w:u w:val="single"/>
        </w:rPr>
        <w:t>合同</w:t>
      </w:r>
      <w:r>
        <w:rPr>
          <w:rFonts w:hint="eastAsia" w:asciiTheme="minorEastAsia" w:hAnsiTheme="minorEastAsia" w:eastAsiaTheme="minorEastAsia"/>
          <w:sz w:val="24"/>
        </w:rPr>
        <w:t xml:space="preserve"> 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right="960"/>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widowControl/>
        <w:spacing w:line="360" w:lineRule="auto"/>
        <w:ind w:firstLine="1370" w:firstLineChars="650"/>
        <w:jc w:val="left"/>
        <w:rPr>
          <w:rFonts w:ascii="宋体" w:hAnsi="宋体"/>
          <w:b/>
          <w:szCs w:val="21"/>
        </w:rPr>
      </w:pPr>
    </w:p>
    <w:p>
      <w:pPr>
        <w:pStyle w:val="28"/>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8"/>
      </w:pPr>
    </w:p>
    <w:p>
      <w:pPr>
        <w:pStyle w:val="28"/>
      </w:pPr>
    </w:p>
    <w:p>
      <w:pPr>
        <w:pStyle w:val="28"/>
      </w:pPr>
    </w:p>
    <w:p>
      <w:pPr>
        <w:pStyle w:val="28"/>
      </w:pPr>
    </w:p>
    <w:p>
      <w:pPr>
        <w:spacing w:line="360" w:lineRule="auto"/>
        <w:rPr>
          <w:rFonts w:hint="eastAsia" w:ascii="宋体" w:hAnsi="宋体" w:cs="宋体"/>
          <w:b/>
          <w:bCs/>
          <w:sz w:val="24"/>
          <w:szCs w:val="24"/>
        </w:rPr>
      </w:pPr>
    </w:p>
    <w:p>
      <w:pPr>
        <w:spacing w:line="360" w:lineRule="auto"/>
        <w:rPr>
          <w:rFonts w:ascii="宋体" w:hAnsi="宋体" w:cs="宋体"/>
          <w:b/>
          <w:bCs/>
          <w:sz w:val="24"/>
          <w:szCs w:val="24"/>
        </w:rPr>
      </w:pPr>
      <w:bookmarkStart w:id="32" w:name="_GoBack"/>
      <w:bookmarkEnd w:id="32"/>
      <w:r>
        <w:rPr>
          <w:rFonts w:hint="eastAsia" w:ascii="宋体" w:hAnsi="宋体" w:cs="宋体"/>
          <w:b/>
          <w:bCs/>
          <w:sz w:val="24"/>
          <w:szCs w:val="24"/>
        </w:rPr>
        <w:t>附件</w:t>
      </w:r>
      <w:r>
        <w:rPr>
          <w:rFonts w:hint="eastAsia" w:ascii="宋体" w:hAnsi="宋体" w:cs="宋体"/>
          <w:b/>
          <w:bCs/>
          <w:sz w:val="24"/>
          <w:szCs w:val="24"/>
          <w:lang w:val="en-US" w:eastAsia="zh-CN"/>
        </w:rPr>
        <w:t>3</w:t>
      </w:r>
      <w:r>
        <w:rPr>
          <w:rFonts w:hint="eastAsia" w:ascii="宋体" w:hAnsi="宋体" w:cs="宋体"/>
          <w:b/>
          <w:bCs/>
          <w:sz w:val="24"/>
          <w:szCs w:val="24"/>
        </w:rPr>
        <w:t>：项目投入人员架构表/应急救援物资清单</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bCs/>
          <w:sz w:val="24"/>
          <w:szCs w:val="24"/>
        </w:rPr>
      </w:pPr>
      <w:r>
        <w:rPr>
          <w:rFonts w:hint="eastAsia" w:ascii="宋体" w:hAnsi="宋体" w:cs="宋体"/>
          <w:b/>
          <w:sz w:val="24"/>
          <w:szCs w:val="24"/>
        </w:rPr>
        <w:t>拟投入工程人员配备响应表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宋体" w:hAnsi="宋体" w:cs="宋体"/>
                <w:sz w:val="24"/>
                <w:szCs w:val="24"/>
              </w:rPr>
            </w:pPr>
            <w:r>
              <w:rPr>
                <w:rFonts w:hint="eastAsia" w:ascii="宋体" w:hAnsi="宋体" w:cs="宋体"/>
                <w:kern w:val="0"/>
                <w:sz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top"/>
          </w:tcPr>
          <w:p>
            <w:pPr>
              <w:adjustRightInd w:val="0"/>
              <w:spacing w:line="360" w:lineRule="atLeast"/>
              <w:jc w:val="center"/>
              <w:textAlignment w:val="baseline"/>
              <w:rPr>
                <w:rFonts w:ascii="宋体" w:hAnsi="宋体" w:cs="宋体"/>
                <w:sz w:val="24"/>
                <w:szCs w:val="24"/>
              </w:rPr>
            </w:pPr>
            <w:r>
              <w:rPr>
                <w:rFonts w:hint="eastAsia" w:ascii="宋体" w:hAnsi="宋体" w:cs="宋体"/>
                <w:kern w:val="0"/>
                <w:sz w:val="24"/>
              </w:rPr>
              <w:t>现场安全员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top"/>
          </w:tcPr>
          <w:p>
            <w:pPr>
              <w:adjustRightInd w:val="0"/>
              <w:spacing w:line="360" w:lineRule="atLeast"/>
              <w:jc w:val="center"/>
              <w:textAlignment w:val="baseline"/>
              <w:rPr>
                <w:rFonts w:ascii="宋体" w:hAnsi="宋体" w:cs="宋体"/>
                <w:sz w:val="24"/>
                <w:szCs w:val="24"/>
              </w:rPr>
            </w:pPr>
            <w:r>
              <w:rPr>
                <w:rFonts w:hint="eastAsia" w:ascii="宋体" w:hAnsi="宋体" w:cs="宋体"/>
                <w:kern w:val="0"/>
                <w:sz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top"/>
          </w:tcPr>
          <w:p>
            <w:pPr>
              <w:adjustRightInd w:val="0"/>
              <w:spacing w:line="360" w:lineRule="atLeast"/>
              <w:jc w:val="center"/>
              <w:textAlignment w:val="baseline"/>
              <w:rPr>
                <w:rFonts w:ascii="宋体" w:hAnsi="宋体" w:cs="宋体"/>
                <w:sz w:val="24"/>
                <w:szCs w:val="24"/>
              </w:rPr>
            </w:pPr>
            <w:r>
              <w:rPr>
                <w:rFonts w:hint="eastAsia" w:ascii="宋体" w:hAnsi="宋体" w:cs="宋体"/>
                <w:kern w:val="0"/>
                <w:sz w:val="24"/>
              </w:rPr>
              <w:t>施工人员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textAlignment w:val="baseline"/>
              <w:rPr>
                <w:rFonts w:ascii="宋体" w:hAnsi="宋体" w:cs="宋体"/>
                <w:sz w:val="24"/>
                <w:szCs w:val="24"/>
              </w:rPr>
            </w:pPr>
            <w:r>
              <w:rPr>
                <w:rFonts w:hint="eastAsia" w:ascii="宋体" w:hAnsi="宋体" w:cs="宋体"/>
                <w:kern w:val="0"/>
                <w:sz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pStyle w:val="28"/>
      </w:pPr>
    </w:p>
    <w:p>
      <w:pPr>
        <w:spacing w:line="360" w:lineRule="auto"/>
        <w:jc w:val="center"/>
        <w:rPr>
          <w:rFonts w:ascii="宋体" w:hAnsi="宋体" w:cs="宋体"/>
          <w:b/>
          <w:bCs/>
          <w:sz w:val="24"/>
          <w:szCs w:val="24"/>
        </w:rPr>
      </w:pPr>
      <w:r>
        <w:rPr>
          <w:rFonts w:hint="eastAsia" w:ascii="宋体" w:hAnsi="宋体" w:cs="宋体"/>
          <w:b/>
          <w:bCs/>
          <w:sz w:val="24"/>
          <w:szCs w:val="24"/>
        </w:rPr>
        <w:t>应急救援物资清单</w:t>
      </w:r>
    </w:p>
    <w:tbl>
      <w:tblPr>
        <w:tblStyle w:val="21"/>
        <w:tblW w:w="8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b/>
                <w:bCs/>
                <w:snapToGrid w:val="0"/>
                <w:color w:val="000000"/>
                <w:sz w:val="24"/>
                <w:szCs w:val="24"/>
              </w:rPr>
            </w:pPr>
            <w:r>
              <w:rPr>
                <w:rFonts w:hint="eastAsia" w:ascii="宋体" w:hAnsi="宋体" w:cs="宋体"/>
                <w:b/>
                <w:bCs/>
                <w:snapToGrid w:val="0"/>
                <w:color w:val="000000"/>
                <w:sz w:val="24"/>
                <w:szCs w:val="24"/>
              </w:rPr>
              <w:t>序号</w:t>
            </w:r>
          </w:p>
        </w:tc>
        <w:tc>
          <w:tcPr>
            <w:tcW w:w="5386" w:type="dxa"/>
            <w:vAlign w:val="center"/>
          </w:tcPr>
          <w:p>
            <w:pPr>
              <w:jc w:val="center"/>
              <w:rPr>
                <w:rFonts w:ascii="宋体" w:hAnsi="宋体" w:cs="宋体"/>
                <w:b/>
                <w:bCs/>
                <w:snapToGrid w:val="0"/>
                <w:color w:val="000000"/>
                <w:sz w:val="24"/>
                <w:szCs w:val="24"/>
              </w:rPr>
            </w:pPr>
            <w:r>
              <w:rPr>
                <w:rFonts w:hint="eastAsia" w:ascii="宋体" w:hAnsi="宋体" w:cs="宋体"/>
                <w:b/>
                <w:bCs/>
                <w:snapToGrid w:val="0"/>
                <w:color w:val="000000"/>
                <w:sz w:val="24"/>
                <w:szCs w:val="24"/>
              </w:rPr>
              <w:t>设备/材料名称（规格）</w:t>
            </w:r>
          </w:p>
        </w:tc>
        <w:tc>
          <w:tcPr>
            <w:tcW w:w="1531" w:type="dxa"/>
            <w:vAlign w:val="center"/>
          </w:tcPr>
          <w:p>
            <w:pPr>
              <w:jc w:val="center"/>
              <w:rPr>
                <w:rFonts w:hint="default" w:ascii="宋体" w:hAnsi="宋体" w:eastAsia="宋体" w:cs="宋体"/>
                <w:b/>
                <w:bCs/>
                <w:snapToGrid w:val="0"/>
                <w:color w:val="000000"/>
                <w:sz w:val="24"/>
                <w:szCs w:val="24"/>
                <w:lang w:val="en-US" w:eastAsia="zh-CN"/>
              </w:rPr>
            </w:pPr>
            <w:r>
              <w:rPr>
                <w:rFonts w:hint="eastAsia" w:ascii="宋体" w:hAnsi="宋体" w:cs="宋体"/>
                <w:b/>
                <w:bCs/>
                <w:snapToGrid w:val="0"/>
                <w:color w:val="000000"/>
                <w:sz w:val="24"/>
                <w:szCs w:val="24"/>
              </w:rPr>
              <w:t>数量</w:t>
            </w:r>
            <w:r>
              <w:rPr>
                <w:rFonts w:hint="eastAsia" w:ascii="宋体" w:hAnsi="宋体" w:cs="宋体"/>
                <w:b/>
                <w:bCs/>
                <w:snapToGrid w:val="0"/>
                <w:color w:val="000000"/>
                <w:sz w:val="24"/>
                <w:szCs w:val="24"/>
                <w:lang w:val="en-US"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1</w:t>
            </w:r>
          </w:p>
        </w:tc>
        <w:tc>
          <w:tcPr>
            <w:tcW w:w="5386" w:type="dxa"/>
            <w:vAlign w:val="center"/>
          </w:tcPr>
          <w:p>
            <w:pPr>
              <w:jc w:val="center"/>
              <w:rPr>
                <w:rFonts w:ascii="宋体" w:hAnsi="宋体" w:cs="宋体"/>
                <w:snapToGrid w:val="0"/>
                <w:color w:val="000000"/>
                <w:sz w:val="24"/>
                <w:szCs w:val="24"/>
              </w:rPr>
            </w:pPr>
            <w:r>
              <w:rPr>
                <w:rFonts w:hint="eastAsia"/>
                <w:sz w:val="28"/>
                <w:szCs w:val="20"/>
              </w:rPr>
              <w:t>2</w:t>
            </w:r>
            <w:r>
              <w:rPr>
                <w:rFonts w:hint="eastAsia"/>
                <w:sz w:val="28"/>
                <w:szCs w:val="20"/>
                <w:lang w:val="en-US" w:eastAsia="zh-CN"/>
              </w:rPr>
              <w:t>T</w:t>
            </w:r>
            <w:r>
              <w:rPr>
                <w:rFonts w:hint="eastAsia"/>
                <w:sz w:val="28"/>
                <w:szCs w:val="20"/>
              </w:rPr>
              <w:t>手拉葫芦</w:t>
            </w:r>
          </w:p>
        </w:tc>
        <w:tc>
          <w:tcPr>
            <w:tcW w:w="1531" w:type="dxa"/>
            <w:vAlign w:val="center"/>
          </w:tcPr>
          <w:p>
            <w:pPr>
              <w:jc w:val="center"/>
              <w:rPr>
                <w:rFonts w:ascii="宋体" w:hAnsi="宋体" w:cs="宋体"/>
                <w:sz w:val="24"/>
                <w:szCs w:val="24"/>
              </w:rPr>
            </w:pPr>
            <w:r>
              <w:rPr>
                <w:rFonts w:hint="eastAsia"/>
                <w:sz w:val="28"/>
                <w:szCs w:val="20"/>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2</w:t>
            </w:r>
          </w:p>
        </w:tc>
        <w:tc>
          <w:tcPr>
            <w:tcW w:w="5386" w:type="dxa"/>
            <w:vAlign w:val="center"/>
          </w:tcPr>
          <w:p>
            <w:pPr>
              <w:jc w:val="center"/>
              <w:rPr>
                <w:rFonts w:ascii="宋体" w:hAnsi="宋体" w:cs="宋体"/>
                <w:sz w:val="24"/>
                <w:szCs w:val="24"/>
              </w:rPr>
            </w:pPr>
            <w:r>
              <w:rPr>
                <w:rFonts w:hint="eastAsia"/>
                <w:sz w:val="28"/>
                <w:szCs w:val="20"/>
              </w:rPr>
              <w:t>电焊机</w:t>
            </w:r>
          </w:p>
        </w:tc>
        <w:tc>
          <w:tcPr>
            <w:tcW w:w="1531" w:type="dxa"/>
            <w:vAlign w:val="center"/>
          </w:tcPr>
          <w:p>
            <w:pPr>
              <w:jc w:val="center"/>
              <w:rPr>
                <w:rFonts w:ascii="宋体" w:hAnsi="宋体" w:cs="宋体"/>
                <w:sz w:val="24"/>
                <w:szCs w:val="24"/>
              </w:rPr>
            </w:pPr>
            <w:r>
              <w:rPr>
                <w:rFonts w:hint="eastAsia"/>
                <w:sz w:val="28"/>
                <w:szCs w:val="20"/>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3</w:t>
            </w:r>
          </w:p>
        </w:tc>
        <w:tc>
          <w:tcPr>
            <w:tcW w:w="5386" w:type="dxa"/>
            <w:vAlign w:val="center"/>
          </w:tcPr>
          <w:p>
            <w:pPr>
              <w:jc w:val="center"/>
              <w:rPr>
                <w:rFonts w:ascii="宋体" w:hAnsi="宋体" w:cs="宋体"/>
                <w:sz w:val="24"/>
                <w:szCs w:val="24"/>
              </w:rPr>
            </w:pPr>
            <w:r>
              <w:rPr>
                <w:rFonts w:hint="eastAsia"/>
                <w:sz w:val="28"/>
                <w:szCs w:val="20"/>
              </w:rPr>
              <w:t>气割设备</w:t>
            </w:r>
          </w:p>
        </w:tc>
        <w:tc>
          <w:tcPr>
            <w:tcW w:w="1531" w:type="dxa"/>
            <w:vAlign w:val="center"/>
          </w:tcPr>
          <w:p>
            <w:pPr>
              <w:jc w:val="center"/>
              <w:rPr>
                <w:rFonts w:ascii="宋体" w:hAnsi="宋体" w:cs="宋体"/>
                <w:sz w:val="24"/>
                <w:szCs w:val="24"/>
              </w:rPr>
            </w:pPr>
            <w:r>
              <w:rPr>
                <w:rFonts w:hint="eastAsia"/>
                <w:sz w:val="28"/>
                <w:szCs w:val="20"/>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4</w:t>
            </w:r>
          </w:p>
        </w:tc>
        <w:tc>
          <w:tcPr>
            <w:tcW w:w="5386" w:type="dxa"/>
            <w:vAlign w:val="center"/>
          </w:tcPr>
          <w:p>
            <w:pPr>
              <w:jc w:val="center"/>
              <w:rPr>
                <w:rFonts w:ascii="宋体" w:hAnsi="宋体" w:cs="宋体"/>
                <w:sz w:val="24"/>
                <w:szCs w:val="24"/>
              </w:rPr>
            </w:pPr>
            <w:r>
              <w:rPr>
                <w:rFonts w:hint="eastAsia"/>
                <w:sz w:val="28"/>
                <w:szCs w:val="20"/>
              </w:rPr>
              <w:t>角向磨光机</w:t>
            </w:r>
          </w:p>
        </w:tc>
        <w:tc>
          <w:tcPr>
            <w:tcW w:w="1531" w:type="dxa"/>
            <w:vAlign w:val="center"/>
          </w:tcPr>
          <w:p>
            <w:pPr>
              <w:jc w:val="center"/>
              <w:rPr>
                <w:rFonts w:ascii="宋体" w:hAnsi="宋体" w:cs="宋体"/>
                <w:sz w:val="24"/>
                <w:szCs w:val="24"/>
              </w:rPr>
            </w:pPr>
            <w:r>
              <w:rPr>
                <w:rFonts w:hint="eastAsia"/>
                <w:sz w:val="28"/>
                <w:szCs w:val="20"/>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5</w:t>
            </w:r>
          </w:p>
        </w:tc>
        <w:tc>
          <w:tcPr>
            <w:tcW w:w="5386" w:type="dxa"/>
            <w:vAlign w:val="center"/>
          </w:tcPr>
          <w:p>
            <w:pPr>
              <w:jc w:val="center"/>
              <w:rPr>
                <w:rFonts w:ascii="宋体" w:hAnsi="宋体" w:cs="宋体"/>
                <w:sz w:val="24"/>
                <w:szCs w:val="24"/>
              </w:rPr>
            </w:pPr>
            <w:r>
              <w:rPr>
                <w:rFonts w:hint="eastAsia"/>
                <w:sz w:val="28"/>
                <w:szCs w:val="20"/>
              </w:rPr>
              <w:t>安全带</w:t>
            </w:r>
          </w:p>
        </w:tc>
        <w:tc>
          <w:tcPr>
            <w:tcW w:w="1531" w:type="dxa"/>
            <w:vAlign w:val="center"/>
          </w:tcPr>
          <w:p>
            <w:pPr>
              <w:jc w:val="center"/>
              <w:rPr>
                <w:rFonts w:ascii="宋体" w:hAnsi="宋体" w:cs="宋体"/>
                <w:sz w:val="24"/>
                <w:szCs w:val="24"/>
              </w:rPr>
            </w:pPr>
            <w:r>
              <w:rPr>
                <w:rFonts w:hint="eastAsia"/>
                <w:sz w:val="28"/>
                <w:szCs w:val="20"/>
              </w:rPr>
              <w:t>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6</w:t>
            </w:r>
          </w:p>
        </w:tc>
        <w:tc>
          <w:tcPr>
            <w:tcW w:w="5386" w:type="dxa"/>
            <w:vAlign w:val="center"/>
          </w:tcPr>
          <w:p>
            <w:pPr>
              <w:jc w:val="center"/>
              <w:rPr>
                <w:rFonts w:ascii="宋体" w:hAnsi="宋体" w:cs="宋体"/>
                <w:sz w:val="24"/>
                <w:szCs w:val="24"/>
              </w:rPr>
            </w:pPr>
            <w:r>
              <w:rPr>
                <w:rFonts w:hint="eastAsia"/>
                <w:sz w:val="28"/>
                <w:szCs w:val="20"/>
              </w:rPr>
              <w:t>安全帽</w:t>
            </w:r>
          </w:p>
        </w:tc>
        <w:tc>
          <w:tcPr>
            <w:tcW w:w="1531" w:type="dxa"/>
            <w:vAlign w:val="center"/>
          </w:tcPr>
          <w:p>
            <w:pPr>
              <w:jc w:val="center"/>
              <w:rPr>
                <w:rFonts w:ascii="宋体" w:hAnsi="宋体" w:cs="宋体"/>
                <w:sz w:val="24"/>
                <w:szCs w:val="24"/>
              </w:rPr>
            </w:pPr>
            <w:r>
              <w:rPr>
                <w:rFonts w:hint="eastAsia"/>
                <w:sz w:val="28"/>
                <w:szCs w:val="20"/>
              </w:rPr>
              <w:t>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7</w:t>
            </w:r>
          </w:p>
        </w:tc>
        <w:tc>
          <w:tcPr>
            <w:tcW w:w="5386" w:type="dxa"/>
            <w:vAlign w:val="center"/>
          </w:tcPr>
          <w:p>
            <w:pPr>
              <w:jc w:val="center"/>
              <w:rPr>
                <w:rFonts w:ascii="宋体" w:hAnsi="宋体" w:cs="宋体"/>
                <w:sz w:val="24"/>
                <w:szCs w:val="24"/>
              </w:rPr>
            </w:pPr>
            <w:r>
              <w:rPr>
                <w:rFonts w:hint="eastAsia"/>
                <w:sz w:val="28"/>
                <w:szCs w:val="20"/>
              </w:rPr>
              <w:t>安全警示带</w:t>
            </w:r>
          </w:p>
        </w:tc>
        <w:tc>
          <w:tcPr>
            <w:tcW w:w="1531" w:type="dxa"/>
            <w:vAlign w:val="center"/>
          </w:tcPr>
          <w:p>
            <w:pPr>
              <w:jc w:val="center"/>
              <w:rPr>
                <w:rFonts w:ascii="宋体" w:hAnsi="宋体" w:cs="宋体"/>
                <w:sz w:val="24"/>
                <w:szCs w:val="24"/>
              </w:rPr>
            </w:pPr>
            <w:r>
              <w:rPr>
                <w:rFonts w:hint="eastAsia"/>
                <w:sz w:val="28"/>
                <w:szCs w:val="20"/>
              </w:rPr>
              <w:t>1卷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8</w:t>
            </w:r>
          </w:p>
        </w:tc>
        <w:tc>
          <w:tcPr>
            <w:tcW w:w="5386" w:type="dxa"/>
            <w:vAlign w:val="center"/>
          </w:tcPr>
          <w:p>
            <w:pPr>
              <w:jc w:val="center"/>
              <w:rPr>
                <w:rFonts w:ascii="宋体" w:hAnsi="宋体" w:cs="宋体"/>
                <w:sz w:val="24"/>
                <w:szCs w:val="24"/>
              </w:rPr>
            </w:pPr>
            <w:r>
              <w:rPr>
                <w:rFonts w:hint="eastAsia"/>
                <w:sz w:val="28"/>
                <w:szCs w:val="20"/>
              </w:rPr>
              <w:t>排栅架</w:t>
            </w:r>
          </w:p>
        </w:tc>
        <w:tc>
          <w:tcPr>
            <w:tcW w:w="1531" w:type="dxa"/>
            <w:vAlign w:val="center"/>
          </w:tcPr>
          <w:p>
            <w:pPr>
              <w:jc w:val="center"/>
              <w:rPr>
                <w:rFonts w:ascii="宋体" w:hAnsi="宋体" w:cs="宋体"/>
                <w:sz w:val="24"/>
                <w:szCs w:val="24"/>
              </w:rPr>
            </w:pPr>
            <w:r>
              <w:rPr>
                <w:rFonts w:hint="eastAsia"/>
                <w:sz w:val="28"/>
                <w:szCs w:val="20"/>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9</w:t>
            </w:r>
          </w:p>
        </w:tc>
        <w:tc>
          <w:tcPr>
            <w:tcW w:w="5386" w:type="dxa"/>
            <w:vAlign w:val="center"/>
          </w:tcPr>
          <w:p>
            <w:pPr>
              <w:jc w:val="center"/>
              <w:rPr>
                <w:rFonts w:ascii="宋体" w:hAnsi="宋体" w:cs="宋体"/>
                <w:sz w:val="24"/>
                <w:szCs w:val="24"/>
              </w:rPr>
            </w:pPr>
            <w:r>
              <w:rPr>
                <w:rFonts w:hint="eastAsia"/>
                <w:sz w:val="28"/>
                <w:szCs w:val="20"/>
              </w:rPr>
              <w:t>万用表</w:t>
            </w:r>
          </w:p>
        </w:tc>
        <w:tc>
          <w:tcPr>
            <w:tcW w:w="1531" w:type="dxa"/>
            <w:vAlign w:val="center"/>
          </w:tcPr>
          <w:p>
            <w:pPr>
              <w:jc w:val="center"/>
              <w:rPr>
                <w:rFonts w:ascii="宋体" w:hAnsi="宋体" w:cs="宋体"/>
                <w:sz w:val="24"/>
                <w:szCs w:val="24"/>
              </w:rPr>
            </w:pPr>
            <w:r>
              <w:rPr>
                <w:rFonts w:hint="eastAsia"/>
                <w:sz w:val="28"/>
                <w:szCs w:val="20"/>
              </w:rPr>
              <w:t>1只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ascii="宋体" w:hAnsi="宋体" w:cs="宋体"/>
                <w:sz w:val="24"/>
                <w:szCs w:val="24"/>
              </w:rPr>
              <w:t>10</w:t>
            </w:r>
          </w:p>
        </w:tc>
        <w:tc>
          <w:tcPr>
            <w:tcW w:w="5386" w:type="dxa"/>
            <w:vAlign w:val="center"/>
          </w:tcPr>
          <w:p>
            <w:pPr>
              <w:jc w:val="center"/>
              <w:rPr>
                <w:rFonts w:ascii="宋体" w:hAnsi="宋体" w:cs="宋体"/>
                <w:sz w:val="24"/>
                <w:szCs w:val="24"/>
              </w:rPr>
            </w:pPr>
            <w:r>
              <w:rPr>
                <w:rFonts w:hint="eastAsia"/>
                <w:sz w:val="28"/>
                <w:szCs w:val="20"/>
              </w:rPr>
              <w:t>1m钢直尺</w:t>
            </w:r>
          </w:p>
        </w:tc>
        <w:tc>
          <w:tcPr>
            <w:tcW w:w="1531" w:type="dxa"/>
            <w:vAlign w:val="center"/>
          </w:tcPr>
          <w:p>
            <w:pPr>
              <w:jc w:val="center"/>
              <w:rPr>
                <w:rFonts w:ascii="宋体" w:hAnsi="宋体" w:cs="宋体"/>
                <w:sz w:val="24"/>
                <w:szCs w:val="24"/>
              </w:rPr>
            </w:pPr>
            <w:r>
              <w:rPr>
                <w:rFonts w:hint="eastAsia"/>
                <w:sz w:val="28"/>
                <w:szCs w:val="20"/>
              </w:rPr>
              <w:t>1把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1</w:t>
            </w:r>
          </w:p>
        </w:tc>
        <w:tc>
          <w:tcPr>
            <w:tcW w:w="5386" w:type="dxa"/>
            <w:vAlign w:val="center"/>
          </w:tcPr>
          <w:p>
            <w:pPr>
              <w:jc w:val="center"/>
              <w:rPr>
                <w:rFonts w:ascii="宋体" w:hAnsi="宋体" w:cs="宋体"/>
                <w:sz w:val="24"/>
                <w:szCs w:val="24"/>
              </w:rPr>
            </w:pPr>
            <w:r>
              <w:rPr>
                <w:rFonts w:hint="eastAsia"/>
                <w:sz w:val="28"/>
                <w:szCs w:val="20"/>
              </w:rPr>
              <w:t>水平仪</w:t>
            </w:r>
          </w:p>
        </w:tc>
        <w:tc>
          <w:tcPr>
            <w:tcW w:w="1531" w:type="dxa"/>
            <w:vAlign w:val="center"/>
          </w:tcPr>
          <w:p>
            <w:pPr>
              <w:jc w:val="center"/>
              <w:rPr>
                <w:rFonts w:ascii="宋体" w:hAnsi="宋体" w:cs="宋体"/>
                <w:sz w:val="24"/>
                <w:szCs w:val="24"/>
              </w:rPr>
            </w:pPr>
            <w:r>
              <w:rPr>
                <w:rFonts w:hint="eastAsia"/>
                <w:sz w:val="28"/>
                <w:szCs w:val="20"/>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5386" w:type="dxa"/>
            <w:vAlign w:val="center"/>
          </w:tcPr>
          <w:p>
            <w:pPr>
              <w:jc w:val="center"/>
              <w:rPr>
                <w:rFonts w:hint="eastAsia"/>
                <w:sz w:val="28"/>
                <w:szCs w:val="20"/>
              </w:rPr>
            </w:pPr>
            <w:r>
              <w:rPr>
                <w:rFonts w:hint="eastAsia"/>
                <w:sz w:val="28"/>
                <w:szCs w:val="20"/>
              </w:rPr>
              <w:t>30m钢拉尺</w:t>
            </w:r>
          </w:p>
        </w:tc>
        <w:tc>
          <w:tcPr>
            <w:tcW w:w="1531" w:type="dxa"/>
            <w:vAlign w:val="center"/>
          </w:tcPr>
          <w:p>
            <w:pPr>
              <w:jc w:val="center"/>
              <w:rPr>
                <w:rFonts w:hint="eastAsia" w:ascii="宋体" w:hAnsi="宋体" w:cs="宋体"/>
                <w:sz w:val="24"/>
                <w:szCs w:val="24"/>
              </w:rPr>
            </w:pPr>
            <w:r>
              <w:rPr>
                <w:rFonts w:hint="eastAsia"/>
                <w:sz w:val="28"/>
                <w:szCs w:val="20"/>
              </w:rPr>
              <w:t>1把</w:t>
            </w:r>
          </w:p>
        </w:tc>
      </w:tr>
    </w:tbl>
    <w:p>
      <w:pPr>
        <w:pStyle w:val="28"/>
      </w:pPr>
    </w:p>
    <w:p>
      <w:pPr>
        <w:pStyle w:val="28"/>
        <w:rPr>
          <w:rFonts w:hAnsi="宋体"/>
          <w:b/>
          <w:szCs w:val="21"/>
        </w:rPr>
      </w:pPr>
    </w:p>
    <w:p>
      <w:pPr>
        <w:pStyle w:val="28"/>
        <w:rPr>
          <w:rFonts w:hAnsi="宋体"/>
          <w:b/>
          <w:szCs w:val="21"/>
        </w:rPr>
      </w:pPr>
    </w:p>
    <w:p>
      <w:pPr>
        <w:pStyle w:val="28"/>
        <w:rPr>
          <w:rFonts w:hAnsi="宋体"/>
          <w:b/>
          <w:szCs w:val="21"/>
        </w:rPr>
      </w:pPr>
    </w:p>
    <w:p>
      <w:pPr>
        <w:pStyle w:val="28"/>
        <w:rPr>
          <w:rFonts w:hAnsi="宋体"/>
          <w:b/>
          <w:szCs w:val="21"/>
        </w:rPr>
      </w:pPr>
    </w:p>
    <w:p>
      <w:pPr>
        <w:pStyle w:val="28"/>
        <w:rPr>
          <w:rFonts w:hAnsi="宋体"/>
          <w:b/>
          <w:szCs w:val="21"/>
        </w:rPr>
      </w:pPr>
    </w:p>
    <w:p>
      <w:pPr>
        <w:pStyle w:val="28"/>
        <w:rPr>
          <w:rFonts w:hAnsi="宋体"/>
          <w:b/>
          <w:szCs w:val="21"/>
        </w:rPr>
      </w:pPr>
    </w:p>
    <w:p>
      <w:pPr>
        <w:pStyle w:val="28"/>
        <w:rPr>
          <w:rFonts w:hAnsi="宋体"/>
          <w:b/>
          <w:szCs w:val="21"/>
        </w:rPr>
      </w:pPr>
    </w:p>
    <w:p>
      <w:pPr>
        <w:pStyle w:val="28"/>
        <w:rPr>
          <w:rFonts w:hAnsi="宋体"/>
          <w:b/>
          <w:szCs w:val="21"/>
        </w:rPr>
      </w:pPr>
    </w:p>
    <w:p>
      <w:pPr>
        <w:spacing w:line="360" w:lineRule="auto"/>
        <w:rPr>
          <w:rFonts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val="en-US" w:eastAsia="zh-CN"/>
        </w:rPr>
        <w:t>4</w:t>
      </w:r>
      <w:r>
        <w:rPr>
          <w:rFonts w:hint="eastAsia" w:ascii="宋体" w:hAnsi="宋体" w:cs="宋体"/>
          <w:b/>
          <w:bCs/>
          <w:sz w:val="24"/>
          <w:szCs w:val="24"/>
        </w:rPr>
        <w:t>：不诚信行为的情形及相应被暂停参与投标活动的处理标准</w:t>
      </w:r>
    </w:p>
    <w:p>
      <w:pPr>
        <w:adjustRightInd w:val="0"/>
        <w:snapToGrid w:val="0"/>
        <w:jc w:val="center"/>
        <w:rPr>
          <w:rFonts w:ascii="方正小标宋简体" w:hAnsi="方正小标宋简体" w:eastAsia="方正小标宋简体" w:cs="方正小标宋简体"/>
          <w:sz w:val="32"/>
          <w:szCs w:val="32"/>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widowControl/>
        <w:jc w:val="left"/>
        <w:rPr>
          <w:rFonts w:ascii="宋体" w:hAnsi="宋体" w:cs="宋体"/>
          <w:color w:val="000000" w:themeColor="text1"/>
          <w:szCs w:val="21"/>
          <w14:textFill>
            <w14:solidFill>
              <w14:schemeClr w14:val="tx1"/>
            </w14:solidFill>
          </w14:textFill>
        </w:rPr>
      </w:pPr>
    </w:p>
    <w:p>
      <w:pPr>
        <w:pStyle w:val="28"/>
        <w:rPr>
          <w:rFonts w:hAnsi="宋体"/>
          <w:b/>
          <w:szCs w:val="21"/>
        </w:rPr>
      </w:pPr>
    </w:p>
    <w:p>
      <w:pPr>
        <w:pStyle w:val="28"/>
        <w:rPr>
          <w:rFonts w:hAnsi="宋体"/>
          <w:b/>
          <w:szCs w:val="21"/>
        </w:rPr>
      </w:pPr>
    </w:p>
    <w:p>
      <w:pPr>
        <w:pStyle w:val="28"/>
        <w:rPr>
          <w:rFonts w:hAnsi="宋体"/>
          <w:b/>
          <w:szCs w:val="21"/>
        </w:rPr>
      </w:pPr>
    </w:p>
    <w:p>
      <w:pPr>
        <w:pStyle w:val="28"/>
        <w:rPr>
          <w:sz w:val="22"/>
          <w:szCs w:val="22"/>
        </w:rPr>
      </w:pPr>
    </w:p>
    <w:p>
      <w:pPr>
        <w:spacing w:line="360" w:lineRule="auto"/>
        <w:rPr>
          <w:rFonts w:ascii="宋体" w:hAnsi="宋体"/>
          <w:b/>
          <w:szCs w:val="21"/>
        </w:rPr>
      </w:pPr>
    </w:p>
    <w:p>
      <w:pPr>
        <w:pStyle w:val="28"/>
      </w:pPr>
    </w:p>
    <w:p>
      <w:pPr>
        <w:pStyle w:val="28"/>
      </w:pPr>
    </w:p>
    <w:p>
      <w:pPr>
        <w:pStyle w:val="28"/>
      </w:pPr>
    </w:p>
    <w:p>
      <w:pPr>
        <w:pStyle w:val="28"/>
      </w:pPr>
    </w:p>
    <w:p>
      <w:pPr>
        <w:pStyle w:val="28"/>
      </w:pPr>
    </w:p>
    <w:p>
      <w:pPr>
        <w:spacing w:line="360" w:lineRule="auto"/>
        <w:rPr>
          <w:rFonts w:hint="eastAsia" w:ascii="宋体" w:hAnsi="宋体" w:cs="宋体"/>
          <w:b/>
          <w:bCs/>
          <w:sz w:val="24"/>
          <w:szCs w:val="24"/>
          <w:lang w:val="en-US" w:eastAsia="zh-CN"/>
        </w:rPr>
      </w:pPr>
    </w:p>
    <w:p>
      <w:pPr>
        <w:pStyle w:val="28"/>
        <w:rPr>
          <w:rFonts w:hint="eastAsia" w:ascii="宋体" w:hAnsi="宋体" w:cs="宋体"/>
          <w:b/>
          <w:bCs/>
          <w:sz w:val="24"/>
          <w:szCs w:val="24"/>
          <w:lang w:val="en-US" w:eastAsia="zh-CN"/>
        </w:rPr>
      </w:pPr>
    </w:p>
    <w:p>
      <w:pPr>
        <w:pStyle w:val="28"/>
        <w:rPr>
          <w:rFonts w:hint="eastAsia" w:ascii="宋体" w:hAnsi="宋体" w:cs="宋体"/>
          <w:b/>
          <w:bCs/>
          <w:sz w:val="24"/>
          <w:szCs w:val="24"/>
          <w:lang w:val="en-US" w:eastAsia="zh-CN"/>
        </w:rPr>
      </w:pPr>
    </w:p>
    <w:p>
      <w:pPr>
        <w:pStyle w:val="28"/>
        <w:rPr>
          <w:rFonts w:hint="eastAsia" w:hAnsi="宋体" w:cs="宋体"/>
          <w:b/>
          <w:bCs/>
          <w:sz w:val="24"/>
          <w:szCs w:val="24"/>
          <w:lang w:val="en-US" w:eastAsia="zh-CN"/>
        </w:rPr>
      </w:pPr>
    </w:p>
    <w:p>
      <w:pPr>
        <w:pStyle w:val="28"/>
        <w:rPr>
          <w:rFonts w:hint="eastAsia" w:hAnsi="宋体" w:cs="宋体"/>
          <w:b/>
          <w:bCs/>
          <w:sz w:val="24"/>
          <w:szCs w:val="24"/>
          <w:lang w:val="en-US" w:eastAsia="zh-CN"/>
        </w:rPr>
      </w:pPr>
    </w:p>
    <w:p>
      <w:pPr>
        <w:pStyle w:val="28"/>
        <w:rPr>
          <w:rFonts w:hint="eastAsia" w:hAnsi="宋体" w:cs="宋体"/>
          <w:b/>
          <w:bCs/>
          <w:sz w:val="24"/>
          <w:szCs w:val="24"/>
          <w:lang w:val="en-US" w:eastAsia="zh-CN"/>
        </w:rPr>
      </w:pPr>
    </w:p>
    <w:p>
      <w:p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附件5：工程量清单</w:t>
      </w:r>
    </w:p>
    <w:p>
      <w:pPr>
        <w:pStyle w:val="28"/>
        <w:rPr>
          <w:rFonts w:hint="eastAsia" w:ascii="宋体" w:hAnsi="宋体" w:cs="宋体"/>
          <w:b/>
          <w:bCs/>
          <w:sz w:val="24"/>
          <w:szCs w:val="24"/>
          <w:lang w:val="en-US" w:eastAsia="zh-CN"/>
        </w:rPr>
      </w:pPr>
    </w:p>
    <w:p>
      <w:pPr>
        <w:pStyle w:val="28"/>
        <w:jc w:val="center"/>
        <w:rPr>
          <w:rFonts w:ascii="宋体" w:hAnsi="宋体" w:cs="宋体"/>
          <w:b/>
          <w:bCs/>
          <w:szCs w:val="21"/>
        </w:rPr>
      </w:pPr>
      <w:r>
        <w:rPr>
          <w:rFonts w:hint="eastAsia" w:hAnsi="宋体" w:cs="宋体"/>
          <w:b/>
          <w:bCs/>
          <w:sz w:val="28"/>
          <w:szCs w:val="21"/>
          <w:lang w:val="en-US" w:eastAsia="zh-CN"/>
        </w:rPr>
        <w:t>工程量清单</w:t>
      </w:r>
    </w:p>
    <w:tbl>
      <w:tblPr>
        <w:tblStyle w:val="21"/>
        <w:tblW w:w="67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5"/>
        <w:gridCol w:w="2819"/>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3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1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4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164"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54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tbl>
      <w:tblPr>
        <w:tblStyle w:val="21"/>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7"/>
        <w:gridCol w:w="1487"/>
        <w:gridCol w:w="3131"/>
        <w:gridCol w:w="595"/>
        <w:gridCol w:w="1050"/>
        <w:gridCol w:w="112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4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双速电机（更换双速电机）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1.名称:双速电机（更换双速电机）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2.型号:7.5W</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3.单机试运转要求:电动机调试</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4.含原单速电机拆除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双速电机（更换双速电机）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1.名称:双速电机（更换双速电机）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2.型号:4.5W</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3.单机试运转要求:电动机调试</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4.含原单速电机拆除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双速电机（更换双速电机）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1.名称:双速电机（更换双速电机）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2.型号:3KW</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3.单机试运转要求:电动机调试</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4.含原单速电机拆除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一期天车轨道加固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1.主材：钢板，槽钢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2.材质：Q235</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3.规格：-10、10#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180.8219</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tabs>
                <w:tab w:val="left" w:pos="926"/>
              </w:tabs>
              <w:jc w:val="left"/>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1.名称:接触器</w:t>
            </w:r>
          </w:p>
          <w:p>
            <w:pPr>
              <w:tabs>
                <w:tab w:val="left" w:pos="926"/>
              </w:tabs>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2.型号:32A</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1.名称:接触器</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2.型号:25A</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8</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1.名称:电气配线</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2.型号:BV-4mm2</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3.材质:铜质</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4.配线部位:轨道内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米</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800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二期北线天车更换变压器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1.名称:二期北线天车更换变压器</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2.型号:5吨</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3.规格:100W 380V/36V</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4.其余满足招标文件、设计图纸、施工验收规范等要求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lang w:val="en-US" w:eastAsia="zh-CN"/>
              </w:rPr>
              <w:t>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rPr>
              <w:t>分部分项合计</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按费率计算的绿色施工安全防护措施费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4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tbl>
      <w:tblPr>
        <w:tblStyle w:val="21"/>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438"/>
        <w:gridCol w:w="1574"/>
        <w:gridCol w:w="1609"/>
        <w:gridCol w:w="910"/>
        <w:gridCol w:w="561"/>
        <w:gridCol w:w="821"/>
        <w:gridCol w:w="1385"/>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1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8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36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w:t>
            </w:r>
            <w:r>
              <w:rPr>
                <w:rFonts w:hint="eastAsia" w:ascii="宋体" w:hAnsi="宋体" w:cs="宋体"/>
                <w:i w:val="0"/>
                <w:color w:val="000000"/>
                <w:kern w:val="0"/>
                <w:sz w:val="20"/>
                <w:szCs w:val="20"/>
                <w:u w:val="none"/>
                <w:lang w:val="en-US" w:eastAsia="zh-CN" w:bidi="ar"/>
              </w:rPr>
              <w:t>机具</w:t>
            </w:r>
            <w:r>
              <w:rPr>
                <w:rFonts w:hint="eastAsia" w:ascii="宋体" w:hAnsi="宋体" w:eastAsia="宋体" w:cs="宋体"/>
                <w:i w:val="0"/>
                <w:color w:val="000000"/>
                <w:kern w:val="0"/>
                <w:sz w:val="20"/>
                <w:szCs w:val="20"/>
                <w:u w:val="none"/>
                <w:lang w:val="en-US" w:eastAsia="zh-CN" w:bidi="ar"/>
              </w:rPr>
              <w:t>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10835.6</w:t>
            </w: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1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60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33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8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0080" w:type="dxa"/>
            <w:gridSpan w:val="9"/>
            <w:tcBorders>
              <w:top w:val="single" w:color="000000" w:sz="4"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b/>
                <w:bCs/>
                <w:i w:val="0"/>
                <w:color w:val="000000"/>
                <w:sz w:val="20"/>
                <w:szCs w:val="20"/>
                <w:u w:val="none"/>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42"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65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0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7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54"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20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rPr>
          <w:rFonts w:hint="eastAsia" w:ascii="宋体" w:hAnsi="宋体" w:cs="宋体"/>
          <w:b/>
          <w:bCs/>
          <w:sz w:val="24"/>
          <w:szCs w:val="24"/>
          <w:lang w:val="en-US" w:eastAsia="zh-CN"/>
        </w:rPr>
      </w:pPr>
    </w:p>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规费、税金项目清单与计价表</w:t>
      </w:r>
    </w:p>
    <w:tbl>
      <w:tblPr>
        <w:tblStyle w:val="21"/>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6"/>
        <w:gridCol w:w="2813"/>
        <w:gridCol w:w="3338"/>
        <w:gridCol w:w="1190"/>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8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1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default" w:ascii="宋体" w:hAnsi="宋体" w:cs="宋体"/>
          <w:b/>
          <w:bCs/>
          <w:sz w:val="24"/>
          <w:szCs w:val="24"/>
          <w:lang w:val="en-US" w:eastAsia="zh-CN"/>
        </w:rPr>
      </w:pPr>
    </w:p>
    <w:p>
      <w:pPr>
        <w:pStyle w:val="6"/>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2"/>
        <w:jc w:val="center"/>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u w:val="single"/>
          <w:lang w:val="en-US" w:eastAsia="zh-CN" w:bidi="ar-SA"/>
        </w:rPr>
        <w:t>广州市净水有限公司石井净水分公司二期起重机加慢速档及一期部分轨道</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kern w:val="2"/>
          <w:sz w:val="28"/>
          <w:szCs w:val="28"/>
          <w:u w:val="single"/>
          <w:lang w:val="en-US" w:eastAsia="zh-CN" w:bidi="ar-SA"/>
        </w:rPr>
        <w:t>加固项目</w:t>
      </w: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420" w:firstLineChars="150"/>
        <w:jc w:val="left"/>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lang w:val="en-US" w:eastAsia="zh-CN"/>
        </w:rPr>
        <w:t>广州市净水有限公司</w:t>
      </w:r>
      <w:r>
        <w:rPr>
          <w:rFonts w:hint="eastAsia" w:ascii="仿宋_GB2312" w:hAnsi="仿宋_GB2312" w:eastAsia="仿宋_GB2312" w:cs="仿宋_GB2312"/>
          <w:kern w:val="2"/>
          <w:sz w:val="28"/>
          <w:szCs w:val="28"/>
          <w:u w:val="single"/>
          <w:lang w:val="en-US" w:eastAsia="zh-CN" w:bidi="ar-SA"/>
        </w:rPr>
        <w:t>石井净</w:t>
      </w:r>
      <w:r>
        <w:rPr>
          <w:rFonts w:hint="eastAsia" w:hAnsi="仿宋_GB2312" w:cs="仿宋_GB2312"/>
          <w:kern w:val="2"/>
          <w:sz w:val="28"/>
          <w:szCs w:val="28"/>
          <w:u w:val="single"/>
          <w:lang w:val="en-US" w:eastAsia="zh-CN" w:bidi="ar-SA"/>
        </w:rPr>
        <w:t>水</w:t>
      </w:r>
      <w:r>
        <w:rPr>
          <w:rFonts w:hint="eastAsia" w:ascii="仿宋_GB2312" w:hAnsi="仿宋_GB2312" w:eastAsia="仿宋_GB2312" w:cs="仿宋_GB2312"/>
          <w:kern w:val="2"/>
          <w:sz w:val="28"/>
          <w:szCs w:val="28"/>
          <w:u w:val="single"/>
          <w:lang w:val="en-US" w:eastAsia="zh-CN" w:bidi="ar-SA"/>
        </w:rPr>
        <w:t>分公司二期起重机加慢速档及一期部分轨道加固项目</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3092" w:firstLineChars="11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报价单位名称：</w:t>
      </w:r>
    </w:p>
    <w:p>
      <w:pPr>
        <w:autoSpaceDE w:val="0"/>
        <w:autoSpaceDN w:val="0"/>
        <w:spacing w:line="240" w:lineRule="atLeast"/>
        <w:ind w:firstLine="1968" w:firstLineChars="70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pgNumType w:start="1"/>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rPr>
          <w:rFonts w:ascii="宋体" w:hAnsi="宋体"/>
          <w:color w:val="000000"/>
          <w:sz w:val="24"/>
          <w:szCs w:val="24"/>
        </w:rPr>
      </w:pPr>
      <w:r>
        <w:rPr>
          <w:rFonts w:hint="eastAsia" w:ascii="宋体" w:hAnsi="宋体"/>
          <w:color w:val="000000"/>
          <w:sz w:val="24"/>
          <w:szCs w:val="24"/>
        </w:rPr>
        <w:t>法定代表人</w:t>
      </w:r>
      <w:r>
        <w:rPr>
          <w:rFonts w:hint="eastAsia" w:ascii="宋体" w:hAnsi="宋体"/>
          <w:sz w:val="24"/>
          <w:szCs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color w:val="000000"/>
                <w:sz w:val="24"/>
                <w:szCs w:val="24"/>
              </w:rPr>
              <w:t>人像面</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color w:val="000000"/>
                <w:sz w:val="24"/>
                <w:szCs w:val="24"/>
              </w:rPr>
              <w:t>国徽面</w:t>
            </w:r>
            <w:r>
              <w:rPr>
                <w:rFonts w:hint="eastAsia" w:ascii="宋体" w:hAnsi="宋体"/>
                <w:sz w:val="24"/>
                <w:szCs w:val="24"/>
              </w:rPr>
              <w:t>，盖单位公章</w:t>
            </w:r>
          </w:p>
          <w:p>
            <w:pPr>
              <w:pStyle w:val="28"/>
            </w:pPr>
          </w:p>
          <w:p>
            <w:pPr>
              <w:spacing w:line="360" w:lineRule="auto"/>
              <w:jc w:val="left"/>
              <w:rPr>
                <w:rFonts w:ascii="宋体" w:hAnsi="宋体"/>
                <w:sz w:val="24"/>
                <w:szCs w:val="24"/>
              </w:rPr>
            </w:pPr>
          </w:p>
        </w:tc>
      </w:tr>
    </w:tbl>
    <w:p>
      <w:pPr>
        <w:rPr>
          <w:rFonts w:ascii="仿宋" w:hAnsi="仿宋" w:eastAsia="仿宋" w:cs="仿宋_GB2312"/>
          <w:color w:val="000000"/>
          <w:sz w:val="28"/>
          <w:szCs w:val="28"/>
        </w:rPr>
      </w:pPr>
    </w:p>
    <w:p>
      <w:pPr>
        <w:rPr>
          <w:rFonts w:ascii="仿宋" w:hAnsi="仿宋" w:eastAsia="仿宋" w:cs="仿宋_GB2312"/>
          <w:b/>
          <w:color w:val="000000"/>
          <w:sz w:val="28"/>
          <w:szCs w:val="28"/>
        </w:rPr>
      </w:pPr>
      <w:r>
        <w:rPr>
          <w:rFonts w:hint="eastAsia" w:ascii="仿宋" w:hAnsi="仿宋" w:eastAsia="仿宋" w:cs="仿宋_GB2312"/>
          <w:color w:val="000000"/>
          <w:sz w:val="28"/>
          <w:szCs w:val="28"/>
        </w:rPr>
        <w:t xml:space="preserve"> </w: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pStyle w:val="28"/>
      </w:pPr>
    </w:p>
    <w:p>
      <w:pPr>
        <w:spacing w:line="480" w:lineRule="exact"/>
        <w:jc w:val="both"/>
        <w:rPr>
          <w:rFonts w:ascii="仿宋" w:hAnsi="仿宋" w:eastAsia="仿宋" w:cs="仿宋_GB2312"/>
          <w:b/>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（法人姓名）（法人签字或盖私章）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签发日期：</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有效期限：签发日期起至</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hint="default" w:ascii="仿宋" w:hAnsi="仿宋" w:eastAsia="仿宋" w:cs="仿宋_GB2312"/>
          <w:color w:val="000000"/>
          <w:sz w:val="28"/>
          <w:szCs w:val="28"/>
          <w:lang w:val="en-US" w:eastAsia="zh-CN"/>
        </w:rPr>
      </w:pPr>
      <w:r>
        <w:rPr>
          <w:rFonts w:hint="eastAsia" w:ascii="仿宋" w:hAnsi="仿宋" w:eastAsia="仿宋" w:cs="仿宋_GB2312"/>
          <w:color w:val="000000"/>
          <w:sz w:val="28"/>
          <w:szCs w:val="28"/>
        </w:rPr>
        <w:t>　　</w:t>
      </w:r>
      <w:r>
        <w:rPr>
          <w:rFonts w:hint="eastAsia" w:ascii="仿宋" w:hAnsi="仿宋" w:eastAsia="仿宋" w:cs="仿宋_GB2312"/>
          <w:color w:val="000000"/>
          <w:sz w:val="28"/>
          <w:szCs w:val="28"/>
          <w:lang w:val="en-US" w:eastAsia="zh-CN"/>
        </w:rPr>
        <w:t>联系电话：</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说明：1.法定代表人为企业事业单位、国家机关、社会团体的主要行政负责人。</w:t>
      </w: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pStyle w:val="28"/>
        <w:ind w:firstLine="720" w:firstLineChars="300"/>
        <w:rPr>
          <w:rFonts w:ascii="仿宋" w:hAnsi="仿宋" w:eastAsia="仿宋" w:cs="仿宋_GB2312"/>
          <w:kern w:val="2"/>
        </w:rPr>
      </w:pPr>
      <w:r>
        <w:rPr>
          <w:rFonts w:hint="eastAsia" w:ascii="仿宋" w:hAnsi="仿宋" w:eastAsia="仿宋" w:cs="仿宋_GB2312"/>
          <w:kern w:val="2"/>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6.谈判签字代表为法定代表人，则本表不适用。</w:t>
      </w:r>
    </w:p>
    <w:p>
      <w:pPr>
        <w:widowControl/>
        <w:spacing w:line="440" w:lineRule="exact"/>
        <w:ind w:firstLine="736" w:firstLineChars="307"/>
        <w:jc w:val="left"/>
        <w:rPr>
          <w:rFonts w:ascii="仿宋" w:hAnsi="仿宋" w:eastAsia="仿宋" w:cs="仿宋_GB2312"/>
          <w:color w:val="000000"/>
          <w:sz w:val="24"/>
          <w:szCs w:val="24"/>
        </w:rPr>
      </w:pPr>
      <w:r>
        <w:rPr>
          <w:rFonts w:hint="eastAsia" w:ascii="仿宋" w:hAnsi="仿宋" w:eastAsia="仿宋" w:cs="仿宋_GB2312"/>
          <w:color w:val="000000"/>
          <w:sz w:val="24"/>
          <w:szCs w:val="24"/>
        </w:rPr>
        <w:t>7.提供授权代理人在本单位近三个月社保记录（以加盖社会保险基金管理中心印章的《缴费历史明细表》或《社会保险参保人员证明》为准），否则为无效代理人，询价响应文件无效。</w:t>
      </w:r>
    </w:p>
    <w:p>
      <w:pPr>
        <w:spacing w:line="480" w:lineRule="exact"/>
        <w:rPr>
          <w:rFonts w:ascii="仿宋" w:hAnsi="仿宋" w:eastAsia="仿宋" w:cs="仿宋_GB2312"/>
          <w:color w:val="000000"/>
          <w:sz w:val="24"/>
          <w:szCs w:val="24"/>
        </w:rPr>
      </w:pPr>
    </w:p>
    <w:p>
      <w:pPr>
        <w:widowControl/>
        <w:spacing w:line="440" w:lineRule="exact"/>
        <w:jc w:val="left"/>
        <w:rPr>
          <w:rFonts w:ascii="仿宋" w:hAnsi="仿宋" w:eastAsia="仿宋" w:cs="仿宋_GB2312"/>
          <w:color w:val="000000"/>
          <w:sz w:val="24"/>
          <w:szCs w:val="24"/>
        </w:rPr>
      </w:pPr>
    </w:p>
    <w:p>
      <w:pPr>
        <w:widowControl/>
        <w:spacing w:line="440" w:lineRule="exact"/>
        <w:jc w:val="left"/>
        <w:rPr>
          <w:rFonts w:ascii="仿宋" w:hAnsi="仿宋" w:eastAsia="仿宋" w:cs="仿宋_GB2312"/>
          <w:color w:val="000000"/>
          <w:sz w:val="24"/>
          <w:szCs w:val="24"/>
        </w:rPr>
      </w:pPr>
    </w:p>
    <w:p>
      <w:pPr>
        <w:widowControl/>
        <w:spacing w:line="440" w:lineRule="exact"/>
        <w:jc w:val="left"/>
        <w:rPr>
          <w:rFonts w:ascii="仿宋" w:hAnsi="仿宋" w:eastAsia="仿宋" w:cs="仿宋_GB2312"/>
          <w:color w:val="000000"/>
          <w:sz w:val="24"/>
          <w:szCs w:val="24"/>
        </w:rPr>
      </w:pPr>
    </w:p>
    <w:p>
      <w:pPr>
        <w:spacing w:line="440" w:lineRule="exact"/>
        <w:rPr>
          <w:rFonts w:ascii="宋体" w:hAnsi="宋体"/>
          <w:sz w:val="24"/>
          <w:szCs w:val="24"/>
        </w:rPr>
      </w:pPr>
      <w:r>
        <w:rPr>
          <w:rFonts w:hint="eastAsia" w:ascii="宋体" w:hAnsi="宋体"/>
          <w:color w:val="000000"/>
          <w:sz w:val="24"/>
          <w:szCs w:val="24"/>
        </w:rPr>
        <w:t>授权代理人</w:t>
      </w:r>
      <w:r>
        <w:rPr>
          <w:rFonts w:hint="eastAsia" w:ascii="宋体" w:hAnsi="宋体"/>
          <w:sz w:val="24"/>
          <w:szCs w:val="24"/>
        </w:rPr>
        <w:t>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国徽面，盖单位公章</w:t>
            </w:r>
          </w:p>
        </w:tc>
      </w:tr>
    </w:tbl>
    <w:p>
      <w:pPr>
        <w:spacing w:line="480" w:lineRule="exact"/>
        <w:ind w:firstLine="843" w:firstLineChars="300"/>
        <w:rPr>
          <w:rFonts w:ascii="仿宋" w:hAnsi="仿宋" w:eastAsia="仿宋" w:cs="仿宋_GB2312"/>
          <w:b/>
          <w:color w:val="000000"/>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lang w:eastAsia="zh-CN"/>
        </w:rPr>
      </w:pPr>
    </w:p>
    <w:p>
      <w:pPr>
        <w:pStyle w:val="28"/>
        <w:rPr>
          <w:rFonts w:hint="eastAsia"/>
          <w:lang w:eastAsia="zh-CN"/>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致：（项目实施单位）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1.根据询价人发出的的项目编号为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2.现我方承诺：愿以人民币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6.如果我方获得承包资格，我方将实行项目经理负责制，我方拟委派的项目负责人为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本公司违反上述承诺，或本声明陈述与事实不符，经查实，本公司愿意接受公开通报，承担由此带来的法律后果。</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承包意向人：(盖公章)</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法定代表人（签名或盖</w:t>
      </w:r>
      <w:r>
        <w:rPr>
          <w:rFonts w:hint="eastAsia" w:ascii="仿宋_GB2312" w:hAnsi="仿宋_GB2312" w:eastAsia="仿宋_GB2312" w:cs="仿宋_GB2312"/>
          <w:sz w:val="24"/>
          <w:lang w:val="en-US" w:eastAsia="zh-CN"/>
        </w:rPr>
        <w:t>私</w:t>
      </w:r>
      <w:r>
        <w:rPr>
          <w:rFonts w:hint="eastAsia" w:ascii="仿宋_GB2312" w:hAnsi="仿宋_GB2312" w:eastAsia="仿宋_GB2312" w:cs="仿宋_GB2312"/>
          <w:sz w:val="24"/>
        </w:rPr>
        <w:t>章）：</w:t>
      </w:r>
      <w:r>
        <w:rPr>
          <w:rFonts w:hint="eastAsia" w:ascii="仿宋_GB2312" w:hAnsi="仿宋_GB2312" w:eastAsia="仿宋_GB2312" w:cs="仿宋_GB2312"/>
          <w:sz w:val="24"/>
          <w:u w:val="single"/>
        </w:rPr>
        <w:t xml:space="preserve">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p>
    <w:p>
      <w:pPr>
        <w:pStyle w:val="29"/>
        <w:ind w:firstLine="488"/>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1"/>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center"/>
        <w:rPr>
          <w:rFonts w:ascii="仿宋_GB2312" w:hAnsi="仿宋_GB2312" w:eastAsia="仿宋_GB2312" w:cs="仿宋_GB2312"/>
          <w:b/>
          <w:sz w:val="28"/>
          <w:szCs w:val="28"/>
        </w:rPr>
      </w:pPr>
    </w:p>
    <w:p>
      <w:pPr>
        <w:pStyle w:val="28"/>
        <w:rPr>
          <w:rFonts w:ascii="仿宋" w:hAnsi="仿宋" w:eastAsia="仿宋"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5</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8"/>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8"/>
        <w:ind w:firstLine="1027" w:firstLineChars="367"/>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 xml:space="preserve">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 </w:t>
      </w:r>
    </w:p>
    <w:p>
      <w:pPr>
        <w:pStyle w:val="28"/>
        <w:ind w:firstLine="562"/>
        <w:jc w:val="both"/>
        <w:rPr>
          <w:rFonts w:ascii="仿宋_GB2312" w:hAnsi="仿宋_GB2312" w:cs="仿宋_GB2312"/>
          <w:b w:val="0"/>
          <w:bCs/>
          <w:color w:val="auto"/>
          <w:kern w:val="2"/>
          <w:sz w:val="28"/>
          <w:szCs w:val="28"/>
        </w:rPr>
      </w:pPr>
    </w:p>
    <w:p>
      <w:pPr>
        <w:pStyle w:val="28"/>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19"/>
        <w:jc w:val="right"/>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p>
    <w:p>
      <w:pPr>
        <w:spacing w:line="360" w:lineRule="auto"/>
        <w:jc w:val="center"/>
        <w:rPr>
          <w:rFonts w:hint="eastAsia" w:ascii="宋体" w:hAnsi="宋体" w:cs="宋体"/>
          <w:b/>
          <w:bCs/>
          <w:sz w:val="24"/>
          <w:szCs w:val="24"/>
          <w:lang w:val="en-US" w:eastAsia="zh-CN"/>
        </w:rPr>
      </w:pPr>
      <w:r>
        <w:rPr>
          <w:rFonts w:hint="eastAsia" w:ascii="仿宋_GB2312" w:hAnsi="仿宋_GB2312" w:eastAsia="仿宋_GB2312" w:cs="仿宋_GB2312"/>
          <w:b/>
          <w:kern w:val="2"/>
          <w:sz w:val="28"/>
          <w:szCs w:val="28"/>
          <w:lang w:val="en-US" w:eastAsia="zh-CN" w:bidi="ar-SA"/>
        </w:rPr>
        <w:t>6工程量清单</w:t>
      </w:r>
    </w:p>
    <w:p>
      <w:pPr>
        <w:pStyle w:val="28"/>
        <w:jc w:val="both"/>
        <w:rPr>
          <w:rFonts w:ascii="宋体" w:hAnsi="宋体" w:cs="宋体"/>
          <w:b/>
          <w:bCs/>
          <w:szCs w:val="21"/>
        </w:rPr>
      </w:pPr>
    </w:p>
    <w:tbl>
      <w:tblPr>
        <w:tblStyle w:val="21"/>
        <w:tblW w:w="67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5"/>
        <w:gridCol w:w="2819"/>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3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1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4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164"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54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tbl>
      <w:tblPr>
        <w:tblStyle w:val="21"/>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7"/>
        <w:gridCol w:w="1487"/>
        <w:gridCol w:w="3131"/>
        <w:gridCol w:w="595"/>
        <w:gridCol w:w="1050"/>
        <w:gridCol w:w="112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4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双速电机（更换双速电机）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1.名称:双速电机（更换双速电机）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2.型号:7.5W</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3.单机试运转要求:电动机调试</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4.含原单速电机拆除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双速电机（更换双速电机）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1.名称:双速电机（更换双速电机）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2.型号:4.5W</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3.单机试运转要求:电动机调试</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4.含原单速电机拆除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双速电机（更换双速电机）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1.名称:双速电机（更换双速电机）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2.型号:3KW</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3.单机试运转要求:电动机调试</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4.含原单速电机拆除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一期天车轨道加固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1.主材：钢板，槽钢</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2.材质：Q235</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3.规格：-10、10#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180.8219</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tabs>
                <w:tab w:val="left" w:pos="926"/>
              </w:tabs>
              <w:jc w:val="left"/>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1.名称:接触器</w:t>
            </w:r>
          </w:p>
          <w:p>
            <w:pPr>
              <w:tabs>
                <w:tab w:val="left" w:pos="926"/>
              </w:tabs>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2.型号:32A</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1.名称:接触器</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2.型号:25A</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8</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1.名称:电气配线</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2.型号:BV-4mm2</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3.材质:铜质</w:t>
            </w:r>
          </w:p>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4.配线部位:轨道内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米</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800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二期北线天车更换变压器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1.名称:二期北线天车更换变压器</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2.型号:5吨</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3.规格:100W 380V/36V</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4.其余满足</w:t>
            </w:r>
            <w:r>
              <w:rPr>
                <w:rFonts w:hint="eastAsia" w:ascii="宋体" w:hAnsi="宋体" w:cs="宋体"/>
                <w:i w:val="0"/>
                <w:color w:val="000000"/>
                <w:kern w:val="0"/>
                <w:sz w:val="20"/>
                <w:szCs w:val="20"/>
                <w:u w:val="none"/>
                <w:lang w:val="en-US" w:eastAsia="zh-CN" w:bidi="ar"/>
              </w:rPr>
              <w:t>询价</w:t>
            </w:r>
            <w:r>
              <w:rPr>
                <w:rFonts w:hint="eastAsia" w:ascii="宋体" w:hAnsi="宋体" w:eastAsia="宋体" w:cs="宋体"/>
                <w:i w:val="0"/>
                <w:color w:val="000000"/>
                <w:kern w:val="0"/>
                <w:sz w:val="20"/>
                <w:szCs w:val="20"/>
                <w:u w:val="none"/>
                <w:lang w:val="en-US" w:eastAsia="zh-CN" w:bidi="ar"/>
              </w:rPr>
              <w:t>文件、设计图纸、施工验收规范等要求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lang w:val="en-US" w:eastAsia="zh-CN"/>
              </w:rPr>
              <w:t>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rPr>
              <w:t>分部分项合计</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按费率计算的绿色施工安全防护措施费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4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p>
      <w:pPr>
        <w:pStyle w:val="2"/>
        <w:rPr>
          <w:rFonts w:hint="eastAsia" w:ascii="宋体" w:hAnsi="宋体" w:cs="宋体"/>
          <w:b/>
          <w:bCs/>
          <w:sz w:val="24"/>
          <w:szCs w:val="24"/>
          <w:lang w:val="en-US" w:eastAsia="zh-CN"/>
        </w:rPr>
      </w:pPr>
    </w:p>
    <w:tbl>
      <w:tblPr>
        <w:tblStyle w:val="21"/>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438"/>
        <w:gridCol w:w="1574"/>
        <w:gridCol w:w="1609"/>
        <w:gridCol w:w="910"/>
        <w:gridCol w:w="561"/>
        <w:gridCol w:w="821"/>
        <w:gridCol w:w="1385"/>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1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8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36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w:t>
            </w:r>
            <w:r>
              <w:rPr>
                <w:rFonts w:hint="eastAsia" w:ascii="宋体" w:hAnsi="宋体" w:cs="宋体"/>
                <w:i w:val="0"/>
                <w:color w:val="000000"/>
                <w:kern w:val="0"/>
                <w:sz w:val="20"/>
                <w:szCs w:val="20"/>
                <w:u w:val="none"/>
                <w:lang w:val="en-US" w:eastAsia="zh-CN" w:bidi="ar"/>
              </w:rPr>
              <w:t>机具</w:t>
            </w:r>
            <w:r>
              <w:rPr>
                <w:rFonts w:hint="eastAsia" w:ascii="宋体" w:hAnsi="宋体" w:eastAsia="宋体" w:cs="宋体"/>
                <w:i w:val="0"/>
                <w:color w:val="000000"/>
                <w:kern w:val="0"/>
                <w:sz w:val="20"/>
                <w:szCs w:val="20"/>
                <w:u w:val="none"/>
                <w:lang w:val="en-US" w:eastAsia="zh-CN" w:bidi="ar"/>
              </w:rPr>
              <w:t>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10835.6</w:t>
            </w: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1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60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1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3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8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363"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0080" w:type="dxa"/>
            <w:gridSpan w:val="9"/>
            <w:tcBorders>
              <w:top w:val="single" w:color="000000" w:sz="4"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b/>
                <w:bCs/>
                <w:i w:val="0"/>
                <w:color w:val="000000"/>
                <w:sz w:val="20"/>
                <w:szCs w:val="20"/>
                <w:u w:val="none"/>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42"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65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0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7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6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54"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20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rPr>
          <w:rFonts w:hint="eastAsia" w:ascii="宋体" w:hAnsi="宋体" w:cs="宋体"/>
          <w:b/>
          <w:bCs/>
          <w:sz w:val="24"/>
          <w:szCs w:val="24"/>
          <w:lang w:val="en-US" w:eastAsia="zh-CN"/>
        </w:rPr>
      </w:pPr>
    </w:p>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规费、税金项目清单与计价表</w:t>
      </w:r>
    </w:p>
    <w:tbl>
      <w:tblPr>
        <w:tblStyle w:val="21"/>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6"/>
        <w:gridCol w:w="2813"/>
        <w:gridCol w:w="3338"/>
        <w:gridCol w:w="1190"/>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8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1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8"/>
        <w:rPr>
          <w:rFonts w:ascii="宋体" w:hAnsi="宋体" w:cs="宋体"/>
          <w:b/>
          <w:bCs/>
          <w:szCs w:val="21"/>
        </w:rPr>
      </w:pPr>
    </w:p>
    <w:bookmarkEnd w:id="0"/>
    <w:p>
      <w:pPr>
        <w:pStyle w:val="28"/>
        <w:rPr>
          <w:rFonts w:hint="default" w:ascii="宋体" w:hAnsi="宋体" w:cs="宋体"/>
          <w:b/>
          <w:bCs/>
          <w:szCs w:val="21"/>
          <w:lang w:val="en-US" w:eastAsia="zh-CN"/>
        </w:rPr>
      </w:pPr>
    </w:p>
    <w:sectPr>
      <w:headerReference r:id="rId7" w:type="default"/>
      <w:footerReference r:id="rId8"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04810"/>
    <w:multiLevelType w:val="singleLevel"/>
    <w:tmpl w:val="97B04810"/>
    <w:lvl w:ilvl="0" w:tentative="0">
      <w:start w:val="7"/>
      <w:numFmt w:val="chineseCounting"/>
      <w:suff w:val="nothing"/>
      <w:lvlText w:val="%1、"/>
      <w:lvlJc w:val="left"/>
      <w:rPr>
        <w:rFonts w:hint="eastAsia"/>
      </w:rPr>
    </w:lvl>
  </w:abstractNum>
  <w:abstractNum w:abstractNumId="1">
    <w:nsid w:val="B13B480D"/>
    <w:multiLevelType w:val="singleLevel"/>
    <w:tmpl w:val="B13B480D"/>
    <w:lvl w:ilvl="0" w:tentative="0">
      <w:start w:val="1"/>
      <w:numFmt w:val="decimal"/>
      <w:suff w:val="space"/>
      <w:lvlText w:val="%1."/>
      <w:lvlJc w:val="left"/>
    </w:lvl>
  </w:abstractNum>
  <w:abstractNum w:abstractNumId="2">
    <w:nsid w:val="CA6F9285"/>
    <w:multiLevelType w:val="singleLevel"/>
    <w:tmpl w:val="CA6F9285"/>
    <w:lvl w:ilvl="0" w:tentative="0">
      <w:start w:val="3"/>
      <w:numFmt w:val="chineseCounting"/>
      <w:suff w:val="space"/>
      <w:lvlText w:val="第%1部分"/>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07E"/>
    <w:rsid w:val="00041B68"/>
    <w:rsid w:val="00051F9F"/>
    <w:rsid w:val="00052162"/>
    <w:rsid w:val="00054907"/>
    <w:rsid w:val="00082A87"/>
    <w:rsid w:val="00095C1E"/>
    <w:rsid w:val="000A42D6"/>
    <w:rsid w:val="000A56EB"/>
    <w:rsid w:val="000B4B67"/>
    <w:rsid w:val="000C2DD9"/>
    <w:rsid w:val="000D07B7"/>
    <w:rsid w:val="000E09D0"/>
    <w:rsid w:val="000E18AB"/>
    <w:rsid w:val="000E6312"/>
    <w:rsid w:val="000F0B31"/>
    <w:rsid w:val="000F63A3"/>
    <w:rsid w:val="001033F4"/>
    <w:rsid w:val="00113C90"/>
    <w:rsid w:val="00113EA9"/>
    <w:rsid w:val="00116C80"/>
    <w:rsid w:val="001204BB"/>
    <w:rsid w:val="0013339B"/>
    <w:rsid w:val="001511A8"/>
    <w:rsid w:val="001573AC"/>
    <w:rsid w:val="00163C2E"/>
    <w:rsid w:val="00170CCC"/>
    <w:rsid w:val="00170F56"/>
    <w:rsid w:val="00171465"/>
    <w:rsid w:val="00172A27"/>
    <w:rsid w:val="00183889"/>
    <w:rsid w:val="00185129"/>
    <w:rsid w:val="001A1D88"/>
    <w:rsid w:val="001A4904"/>
    <w:rsid w:val="001A72A4"/>
    <w:rsid w:val="001A79C5"/>
    <w:rsid w:val="001D0ABE"/>
    <w:rsid w:val="001E4679"/>
    <w:rsid w:val="00213AE2"/>
    <w:rsid w:val="00213C4F"/>
    <w:rsid w:val="0021418D"/>
    <w:rsid w:val="00220D02"/>
    <w:rsid w:val="00224273"/>
    <w:rsid w:val="00226167"/>
    <w:rsid w:val="002274D1"/>
    <w:rsid w:val="00236CE0"/>
    <w:rsid w:val="00242CE2"/>
    <w:rsid w:val="00253EAD"/>
    <w:rsid w:val="00255FE1"/>
    <w:rsid w:val="00262E59"/>
    <w:rsid w:val="00265091"/>
    <w:rsid w:val="00267F9B"/>
    <w:rsid w:val="0027091C"/>
    <w:rsid w:val="00272765"/>
    <w:rsid w:val="0028182E"/>
    <w:rsid w:val="00283D77"/>
    <w:rsid w:val="00283E67"/>
    <w:rsid w:val="002B098E"/>
    <w:rsid w:val="002B2D37"/>
    <w:rsid w:val="002B5A58"/>
    <w:rsid w:val="002D112B"/>
    <w:rsid w:val="002D23CD"/>
    <w:rsid w:val="002E4DF7"/>
    <w:rsid w:val="002E676D"/>
    <w:rsid w:val="00300061"/>
    <w:rsid w:val="00300953"/>
    <w:rsid w:val="00306EDD"/>
    <w:rsid w:val="0033207F"/>
    <w:rsid w:val="00336C52"/>
    <w:rsid w:val="003425D4"/>
    <w:rsid w:val="00343245"/>
    <w:rsid w:val="003434F2"/>
    <w:rsid w:val="00343A3A"/>
    <w:rsid w:val="003641AF"/>
    <w:rsid w:val="003717E8"/>
    <w:rsid w:val="00371D56"/>
    <w:rsid w:val="003747B6"/>
    <w:rsid w:val="00376700"/>
    <w:rsid w:val="003767EA"/>
    <w:rsid w:val="00385A20"/>
    <w:rsid w:val="00385CD3"/>
    <w:rsid w:val="00391EE2"/>
    <w:rsid w:val="00396EB0"/>
    <w:rsid w:val="003A005D"/>
    <w:rsid w:val="003A12D5"/>
    <w:rsid w:val="003B39BE"/>
    <w:rsid w:val="003C4F24"/>
    <w:rsid w:val="003D2CAD"/>
    <w:rsid w:val="004059DD"/>
    <w:rsid w:val="00410FFE"/>
    <w:rsid w:val="00414C19"/>
    <w:rsid w:val="004156EA"/>
    <w:rsid w:val="004344B9"/>
    <w:rsid w:val="00441200"/>
    <w:rsid w:val="0045549E"/>
    <w:rsid w:val="00460121"/>
    <w:rsid w:val="0046338C"/>
    <w:rsid w:val="00463643"/>
    <w:rsid w:val="004731C8"/>
    <w:rsid w:val="0047438F"/>
    <w:rsid w:val="004761B3"/>
    <w:rsid w:val="00492C21"/>
    <w:rsid w:val="0049583D"/>
    <w:rsid w:val="0049660F"/>
    <w:rsid w:val="004A2191"/>
    <w:rsid w:val="004B2D33"/>
    <w:rsid w:val="004C1B22"/>
    <w:rsid w:val="004C1DF0"/>
    <w:rsid w:val="004E7CF2"/>
    <w:rsid w:val="004F3712"/>
    <w:rsid w:val="004F7C8C"/>
    <w:rsid w:val="00505307"/>
    <w:rsid w:val="005131DF"/>
    <w:rsid w:val="0051397E"/>
    <w:rsid w:val="00515D9B"/>
    <w:rsid w:val="00520A3B"/>
    <w:rsid w:val="00524569"/>
    <w:rsid w:val="005255BD"/>
    <w:rsid w:val="00527E41"/>
    <w:rsid w:val="00536B53"/>
    <w:rsid w:val="00540EFB"/>
    <w:rsid w:val="0054349A"/>
    <w:rsid w:val="00571E9E"/>
    <w:rsid w:val="00581B73"/>
    <w:rsid w:val="00584408"/>
    <w:rsid w:val="00592274"/>
    <w:rsid w:val="005A3FE5"/>
    <w:rsid w:val="005A679B"/>
    <w:rsid w:val="005A7B95"/>
    <w:rsid w:val="005B127B"/>
    <w:rsid w:val="005B63B5"/>
    <w:rsid w:val="005C0D4B"/>
    <w:rsid w:val="005C30DC"/>
    <w:rsid w:val="005D70B8"/>
    <w:rsid w:val="005E04FD"/>
    <w:rsid w:val="005E6490"/>
    <w:rsid w:val="005F3269"/>
    <w:rsid w:val="005F3B1A"/>
    <w:rsid w:val="00611396"/>
    <w:rsid w:val="00621CAD"/>
    <w:rsid w:val="00630629"/>
    <w:rsid w:val="0063490E"/>
    <w:rsid w:val="00642552"/>
    <w:rsid w:val="00663714"/>
    <w:rsid w:val="00671469"/>
    <w:rsid w:val="00675318"/>
    <w:rsid w:val="006809B2"/>
    <w:rsid w:val="00686C6E"/>
    <w:rsid w:val="006940B1"/>
    <w:rsid w:val="006A4BAF"/>
    <w:rsid w:val="006A7AC7"/>
    <w:rsid w:val="006B062A"/>
    <w:rsid w:val="006B5BEE"/>
    <w:rsid w:val="006C2F53"/>
    <w:rsid w:val="006E219A"/>
    <w:rsid w:val="006E2E18"/>
    <w:rsid w:val="006E33F1"/>
    <w:rsid w:val="006F3F1A"/>
    <w:rsid w:val="006F75D6"/>
    <w:rsid w:val="00711C44"/>
    <w:rsid w:val="007132DB"/>
    <w:rsid w:val="00713DD5"/>
    <w:rsid w:val="00717FB7"/>
    <w:rsid w:val="00733DD1"/>
    <w:rsid w:val="007409F4"/>
    <w:rsid w:val="00741F15"/>
    <w:rsid w:val="0074526F"/>
    <w:rsid w:val="00751C09"/>
    <w:rsid w:val="00755138"/>
    <w:rsid w:val="00755775"/>
    <w:rsid w:val="00760BA5"/>
    <w:rsid w:val="00764E2A"/>
    <w:rsid w:val="0076671E"/>
    <w:rsid w:val="00772063"/>
    <w:rsid w:val="007854A3"/>
    <w:rsid w:val="007911D3"/>
    <w:rsid w:val="00792AE1"/>
    <w:rsid w:val="00794B5C"/>
    <w:rsid w:val="00796DCB"/>
    <w:rsid w:val="007A691D"/>
    <w:rsid w:val="007A6CFE"/>
    <w:rsid w:val="007B4EC7"/>
    <w:rsid w:val="007B77F3"/>
    <w:rsid w:val="007B7846"/>
    <w:rsid w:val="007C1090"/>
    <w:rsid w:val="007D3486"/>
    <w:rsid w:val="007E30AB"/>
    <w:rsid w:val="007F6D27"/>
    <w:rsid w:val="007F772E"/>
    <w:rsid w:val="00801169"/>
    <w:rsid w:val="00810AF5"/>
    <w:rsid w:val="00810BD1"/>
    <w:rsid w:val="0081635A"/>
    <w:rsid w:val="008264BE"/>
    <w:rsid w:val="00855717"/>
    <w:rsid w:val="00857153"/>
    <w:rsid w:val="0086361F"/>
    <w:rsid w:val="00865E96"/>
    <w:rsid w:val="00870CA4"/>
    <w:rsid w:val="00870CE2"/>
    <w:rsid w:val="00871ADC"/>
    <w:rsid w:val="0087285C"/>
    <w:rsid w:val="00872987"/>
    <w:rsid w:val="00887D6A"/>
    <w:rsid w:val="008940BA"/>
    <w:rsid w:val="008B3FEF"/>
    <w:rsid w:val="008B642B"/>
    <w:rsid w:val="008B7436"/>
    <w:rsid w:val="008C0492"/>
    <w:rsid w:val="008C679C"/>
    <w:rsid w:val="008D0175"/>
    <w:rsid w:val="008D7338"/>
    <w:rsid w:val="008E5737"/>
    <w:rsid w:val="008F0E53"/>
    <w:rsid w:val="008F55E6"/>
    <w:rsid w:val="008F7374"/>
    <w:rsid w:val="0090201C"/>
    <w:rsid w:val="009168C9"/>
    <w:rsid w:val="00917BA5"/>
    <w:rsid w:val="00921E38"/>
    <w:rsid w:val="00931696"/>
    <w:rsid w:val="00944106"/>
    <w:rsid w:val="009529B1"/>
    <w:rsid w:val="00953403"/>
    <w:rsid w:val="00954FAE"/>
    <w:rsid w:val="00957D49"/>
    <w:rsid w:val="00962687"/>
    <w:rsid w:val="00964E4F"/>
    <w:rsid w:val="0096611A"/>
    <w:rsid w:val="0098030C"/>
    <w:rsid w:val="00982CDA"/>
    <w:rsid w:val="009B21C3"/>
    <w:rsid w:val="009B2DEC"/>
    <w:rsid w:val="009E7E94"/>
    <w:rsid w:val="00A108AB"/>
    <w:rsid w:val="00A12D7F"/>
    <w:rsid w:val="00A21247"/>
    <w:rsid w:val="00A22ACB"/>
    <w:rsid w:val="00A24527"/>
    <w:rsid w:val="00A403F2"/>
    <w:rsid w:val="00A426A5"/>
    <w:rsid w:val="00A44273"/>
    <w:rsid w:val="00A44D76"/>
    <w:rsid w:val="00A51E44"/>
    <w:rsid w:val="00A54A9B"/>
    <w:rsid w:val="00A559AA"/>
    <w:rsid w:val="00A5643E"/>
    <w:rsid w:val="00A6789C"/>
    <w:rsid w:val="00A72917"/>
    <w:rsid w:val="00A76DB5"/>
    <w:rsid w:val="00A82974"/>
    <w:rsid w:val="00A8461C"/>
    <w:rsid w:val="00AB679A"/>
    <w:rsid w:val="00AC7DE8"/>
    <w:rsid w:val="00AE0316"/>
    <w:rsid w:val="00AE1022"/>
    <w:rsid w:val="00AE38F4"/>
    <w:rsid w:val="00AE55F9"/>
    <w:rsid w:val="00AF56B1"/>
    <w:rsid w:val="00AF612E"/>
    <w:rsid w:val="00AF72B6"/>
    <w:rsid w:val="00B06380"/>
    <w:rsid w:val="00B1009E"/>
    <w:rsid w:val="00B10238"/>
    <w:rsid w:val="00B16806"/>
    <w:rsid w:val="00B3111F"/>
    <w:rsid w:val="00B407A5"/>
    <w:rsid w:val="00B52256"/>
    <w:rsid w:val="00B712CF"/>
    <w:rsid w:val="00B751C7"/>
    <w:rsid w:val="00B857E9"/>
    <w:rsid w:val="00B85C10"/>
    <w:rsid w:val="00B8706D"/>
    <w:rsid w:val="00B949D4"/>
    <w:rsid w:val="00BA5241"/>
    <w:rsid w:val="00BC1AD9"/>
    <w:rsid w:val="00BD3A21"/>
    <w:rsid w:val="00BF4A36"/>
    <w:rsid w:val="00BF7E39"/>
    <w:rsid w:val="00C01E99"/>
    <w:rsid w:val="00C20C4F"/>
    <w:rsid w:val="00C51646"/>
    <w:rsid w:val="00C5268A"/>
    <w:rsid w:val="00C57269"/>
    <w:rsid w:val="00C61027"/>
    <w:rsid w:val="00C628F2"/>
    <w:rsid w:val="00C84680"/>
    <w:rsid w:val="00C91691"/>
    <w:rsid w:val="00C9681D"/>
    <w:rsid w:val="00CA09B5"/>
    <w:rsid w:val="00CA3B7B"/>
    <w:rsid w:val="00CA4D27"/>
    <w:rsid w:val="00CA67CC"/>
    <w:rsid w:val="00CA7558"/>
    <w:rsid w:val="00CE0B9A"/>
    <w:rsid w:val="00CF4C91"/>
    <w:rsid w:val="00CF7EFD"/>
    <w:rsid w:val="00D01F0B"/>
    <w:rsid w:val="00D10479"/>
    <w:rsid w:val="00D104B7"/>
    <w:rsid w:val="00D14668"/>
    <w:rsid w:val="00D170A3"/>
    <w:rsid w:val="00D231CA"/>
    <w:rsid w:val="00D31A78"/>
    <w:rsid w:val="00D33D9F"/>
    <w:rsid w:val="00D343A3"/>
    <w:rsid w:val="00D454F5"/>
    <w:rsid w:val="00D4562B"/>
    <w:rsid w:val="00D614CD"/>
    <w:rsid w:val="00D62E29"/>
    <w:rsid w:val="00D915A3"/>
    <w:rsid w:val="00D93AFB"/>
    <w:rsid w:val="00D94292"/>
    <w:rsid w:val="00D95837"/>
    <w:rsid w:val="00DB243B"/>
    <w:rsid w:val="00DB6303"/>
    <w:rsid w:val="00DB702E"/>
    <w:rsid w:val="00DC431D"/>
    <w:rsid w:val="00DC52E3"/>
    <w:rsid w:val="00DC77A6"/>
    <w:rsid w:val="00DE0478"/>
    <w:rsid w:val="00DE1E3F"/>
    <w:rsid w:val="00DF51C1"/>
    <w:rsid w:val="00DF74CF"/>
    <w:rsid w:val="00E11164"/>
    <w:rsid w:val="00E12831"/>
    <w:rsid w:val="00E25026"/>
    <w:rsid w:val="00E25222"/>
    <w:rsid w:val="00E253BE"/>
    <w:rsid w:val="00E301D7"/>
    <w:rsid w:val="00E30B1D"/>
    <w:rsid w:val="00E351D8"/>
    <w:rsid w:val="00E36674"/>
    <w:rsid w:val="00E42D90"/>
    <w:rsid w:val="00E43E01"/>
    <w:rsid w:val="00E62F88"/>
    <w:rsid w:val="00E70AA0"/>
    <w:rsid w:val="00E7450D"/>
    <w:rsid w:val="00E8657E"/>
    <w:rsid w:val="00E90541"/>
    <w:rsid w:val="00E948FF"/>
    <w:rsid w:val="00E96B3B"/>
    <w:rsid w:val="00E97087"/>
    <w:rsid w:val="00EA137F"/>
    <w:rsid w:val="00EB3419"/>
    <w:rsid w:val="00EC0A7B"/>
    <w:rsid w:val="00EC127B"/>
    <w:rsid w:val="00EC371A"/>
    <w:rsid w:val="00ED5D8B"/>
    <w:rsid w:val="00EE52C5"/>
    <w:rsid w:val="00F03498"/>
    <w:rsid w:val="00F0752D"/>
    <w:rsid w:val="00F07F0B"/>
    <w:rsid w:val="00F21F2B"/>
    <w:rsid w:val="00F32659"/>
    <w:rsid w:val="00F338FD"/>
    <w:rsid w:val="00F33DD6"/>
    <w:rsid w:val="00F3648A"/>
    <w:rsid w:val="00F368B2"/>
    <w:rsid w:val="00F44B81"/>
    <w:rsid w:val="00F4528F"/>
    <w:rsid w:val="00F52DE0"/>
    <w:rsid w:val="00F5766A"/>
    <w:rsid w:val="00F8270F"/>
    <w:rsid w:val="00F82835"/>
    <w:rsid w:val="00FA169A"/>
    <w:rsid w:val="00FA239B"/>
    <w:rsid w:val="00FA70B5"/>
    <w:rsid w:val="00FA7E39"/>
    <w:rsid w:val="00FB4623"/>
    <w:rsid w:val="00FB75B7"/>
    <w:rsid w:val="00FC3BD9"/>
    <w:rsid w:val="00FC558C"/>
    <w:rsid w:val="00FD353A"/>
    <w:rsid w:val="00FE25BE"/>
    <w:rsid w:val="00FE2FB8"/>
    <w:rsid w:val="022E0C50"/>
    <w:rsid w:val="02732391"/>
    <w:rsid w:val="027A5F7E"/>
    <w:rsid w:val="02907F30"/>
    <w:rsid w:val="02D33308"/>
    <w:rsid w:val="030705B6"/>
    <w:rsid w:val="031E12C8"/>
    <w:rsid w:val="03B75F0E"/>
    <w:rsid w:val="03D5378B"/>
    <w:rsid w:val="03F97C93"/>
    <w:rsid w:val="04982F85"/>
    <w:rsid w:val="05087E50"/>
    <w:rsid w:val="06113898"/>
    <w:rsid w:val="066B50E3"/>
    <w:rsid w:val="067212C2"/>
    <w:rsid w:val="06F253F2"/>
    <w:rsid w:val="07174993"/>
    <w:rsid w:val="072A35C7"/>
    <w:rsid w:val="07DF75F9"/>
    <w:rsid w:val="07E45C7F"/>
    <w:rsid w:val="081A1750"/>
    <w:rsid w:val="08862B6E"/>
    <w:rsid w:val="088D2514"/>
    <w:rsid w:val="089F5C26"/>
    <w:rsid w:val="08C02EB2"/>
    <w:rsid w:val="08E72BD3"/>
    <w:rsid w:val="09036FEC"/>
    <w:rsid w:val="09B207F9"/>
    <w:rsid w:val="09D95598"/>
    <w:rsid w:val="0A461347"/>
    <w:rsid w:val="0A486291"/>
    <w:rsid w:val="0A4E2763"/>
    <w:rsid w:val="0A6E6C20"/>
    <w:rsid w:val="0A730F5A"/>
    <w:rsid w:val="0ADC4C0E"/>
    <w:rsid w:val="0B021542"/>
    <w:rsid w:val="0B856175"/>
    <w:rsid w:val="0BFC473C"/>
    <w:rsid w:val="0C451D45"/>
    <w:rsid w:val="0C5C5B5A"/>
    <w:rsid w:val="0C7E6202"/>
    <w:rsid w:val="0D035730"/>
    <w:rsid w:val="0D096FC3"/>
    <w:rsid w:val="0D194573"/>
    <w:rsid w:val="0D6A4E6F"/>
    <w:rsid w:val="0D6D5D30"/>
    <w:rsid w:val="0E321B47"/>
    <w:rsid w:val="0E7956F8"/>
    <w:rsid w:val="0E871FE6"/>
    <w:rsid w:val="0EA30516"/>
    <w:rsid w:val="0EA43D46"/>
    <w:rsid w:val="0F153C80"/>
    <w:rsid w:val="0F842EAC"/>
    <w:rsid w:val="0F8D020F"/>
    <w:rsid w:val="0FB45D3D"/>
    <w:rsid w:val="0FDE6640"/>
    <w:rsid w:val="1014696E"/>
    <w:rsid w:val="10422BA9"/>
    <w:rsid w:val="104F0796"/>
    <w:rsid w:val="10565C33"/>
    <w:rsid w:val="1072146B"/>
    <w:rsid w:val="10A07805"/>
    <w:rsid w:val="10B74C3E"/>
    <w:rsid w:val="10FE598E"/>
    <w:rsid w:val="114160D2"/>
    <w:rsid w:val="115427F3"/>
    <w:rsid w:val="1175003C"/>
    <w:rsid w:val="11A021F8"/>
    <w:rsid w:val="11AD4E09"/>
    <w:rsid w:val="11E60B87"/>
    <w:rsid w:val="12BD684D"/>
    <w:rsid w:val="134F24E0"/>
    <w:rsid w:val="13584C42"/>
    <w:rsid w:val="13C808EC"/>
    <w:rsid w:val="14050774"/>
    <w:rsid w:val="14075E94"/>
    <w:rsid w:val="141168EE"/>
    <w:rsid w:val="14194D6B"/>
    <w:rsid w:val="144B02A3"/>
    <w:rsid w:val="1457366A"/>
    <w:rsid w:val="14BA325D"/>
    <w:rsid w:val="14E57AA8"/>
    <w:rsid w:val="155278BD"/>
    <w:rsid w:val="156E33B1"/>
    <w:rsid w:val="16732FEB"/>
    <w:rsid w:val="16984B18"/>
    <w:rsid w:val="176E7480"/>
    <w:rsid w:val="17EA2AB7"/>
    <w:rsid w:val="1817095A"/>
    <w:rsid w:val="18201C5F"/>
    <w:rsid w:val="1865185A"/>
    <w:rsid w:val="187E1194"/>
    <w:rsid w:val="187F72BD"/>
    <w:rsid w:val="188D2201"/>
    <w:rsid w:val="18910F14"/>
    <w:rsid w:val="18A93985"/>
    <w:rsid w:val="19467719"/>
    <w:rsid w:val="194C5F03"/>
    <w:rsid w:val="1A1A69C3"/>
    <w:rsid w:val="1AC50EE6"/>
    <w:rsid w:val="1B550396"/>
    <w:rsid w:val="1B972F4C"/>
    <w:rsid w:val="1C636FA3"/>
    <w:rsid w:val="1CC362EC"/>
    <w:rsid w:val="1D9137E4"/>
    <w:rsid w:val="1DA02199"/>
    <w:rsid w:val="1DA617A3"/>
    <w:rsid w:val="1DC02CA6"/>
    <w:rsid w:val="1E4650F2"/>
    <w:rsid w:val="1E5828D6"/>
    <w:rsid w:val="1E7D07B8"/>
    <w:rsid w:val="1E8A1A2E"/>
    <w:rsid w:val="1EA82186"/>
    <w:rsid w:val="1F2F0719"/>
    <w:rsid w:val="1F516372"/>
    <w:rsid w:val="1FD430C8"/>
    <w:rsid w:val="200E7730"/>
    <w:rsid w:val="205572AD"/>
    <w:rsid w:val="2092181D"/>
    <w:rsid w:val="20AA4C2F"/>
    <w:rsid w:val="20C86213"/>
    <w:rsid w:val="20D33A0F"/>
    <w:rsid w:val="20DB3B4A"/>
    <w:rsid w:val="20E33285"/>
    <w:rsid w:val="20F17276"/>
    <w:rsid w:val="21243395"/>
    <w:rsid w:val="215B78D2"/>
    <w:rsid w:val="21FE5175"/>
    <w:rsid w:val="22551E62"/>
    <w:rsid w:val="22C56A22"/>
    <w:rsid w:val="230D1610"/>
    <w:rsid w:val="231A7F53"/>
    <w:rsid w:val="233A58E3"/>
    <w:rsid w:val="23A52A88"/>
    <w:rsid w:val="24121125"/>
    <w:rsid w:val="24260853"/>
    <w:rsid w:val="245C52E2"/>
    <w:rsid w:val="249D5E4D"/>
    <w:rsid w:val="24E01D00"/>
    <w:rsid w:val="250B3654"/>
    <w:rsid w:val="25426026"/>
    <w:rsid w:val="25B8423B"/>
    <w:rsid w:val="25C24F65"/>
    <w:rsid w:val="269221D6"/>
    <w:rsid w:val="269C0568"/>
    <w:rsid w:val="26D57B1E"/>
    <w:rsid w:val="27563635"/>
    <w:rsid w:val="27567996"/>
    <w:rsid w:val="27922866"/>
    <w:rsid w:val="27B45138"/>
    <w:rsid w:val="27DF3432"/>
    <w:rsid w:val="283A4D4A"/>
    <w:rsid w:val="28810946"/>
    <w:rsid w:val="28CD6757"/>
    <w:rsid w:val="28E31CCD"/>
    <w:rsid w:val="294B4067"/>
    <w:rsid w:val="295733FB"/>
    <w:rsid w:val="29E76B67"/>
    <w:rsid w:val="2A841F63"/>
    <w:rsid w:val="2AF17291"/>
    <w:rsid w:val="2B097491"/>
    <w:rsid w:val="2B52084C"/>
    <w:rsid w:val="2B5E7FE2"/>
    <w:rsid w:val="2BB36041"/>
    <w:rsid w:val="2BCA23E3"/>
    <w:rsid w:val="2C4A396A"/>
    <w:rsid w:val="2C5261E0"/>
    <w:rsid w:val="2C8A3614"/>
    <w:rsid w:val="2CE019B8"/>
    <w:rsid w:val="2D413713"/>
    <w:rsid w:val="2D6119E0"/>
    <w:rsid w:val="2DD16764"/>
    <w:rsid w:val="2DE41F76"/>
    <w:rsid w:val="2E313258"/>
    <w:rsid w:val="2E710B90"/>
    <w:rsid w:val="2EB90C7B"/>
    <w:rsid w:val="2EC64439"/>
    <w:rsid w:val="2F7C65EB"/>
    <w:rsid w:val="2F802422"/>
    <w:rsid w:val="2F836493"/>
    <w:rsid w:val="2FDA6411"/>
    <w:rsid w:val="308974AE"/>
    <w:rsid w:val="30F44624"/>
    <w:rsid w:val="30F84435"/>
    <w:rsid w:val="31510AA0"/>
    <w:rsid w:val="31AD35F2"/>
    <w:rsid w:val="323D713F"/>
    <w:rsid w:val="325B51AB"/>
    <w:rsid w:val="32B76F91"/>
    <w:rsid w:val="330D5D4F"/>
    <w:rsid w:val="33253B2A"/>
    <w:rsid w:val="33766BFC"/>
    <w:rsid w:val="33892AB6"/>
    <w:rsid w:val="33DB0301"/>
    <w:rsid w:val="33FB18D8"/>
    <w:rsid w:val="348D5599"/>
    <w:rsid w:val="34B12711"/>
    <w:rsid w:val="34E82FA8"/>
    <w:rsid w:val="352765C3"/>
    <w:rsid w:val="35AC782A"/>
    <w:rsid w:val="360E19E5"/>
    <w:rsid w:val="36497307"/>
    <w:rsid w:val="367D45B7"/>
    <w:rsid w:val="36C903F0"/>
    <w:rsid w:val="37152C21"/>
    <w:rsid w:val="37590E1D"/>
    <w:rsid w:val="37BD636B"/>
    <w:rsid w:val="37C53919"/>
    <w:rsid w:val="384F6BCF"/>
    <w:rsid w:val="38A319F3"/>
    <w:rsid w:val="392F3EDF"/>
    <w:rsid w:val="39704948"/>
    <w:rsid w:val="397D7CAF"/>
    <w:rsid w:val="39DD52FC"/>
    <w:rsid w:val="3A5F0D51"/>
    <w:rsid w:val="3A6F5959"/>
    <w:rsid w:val="3A7B4BE2"/>
    <w:rsid w:val="3ACF151E"/>
    <w:rsid w:val="3B2A0C63"/>
    <w:rsid w:val="3B8E0546"/>
    <w:rsid w:val="3BB9228D"/>
    <w:rsid w:val="3BC61B12"/>
    <w:rsid w:val="3C193A9D"/>
    <w:rsid w:val="3C6E6543"/>
    <w:rsid w:val="3C9A5684"/>
    <w:rsid w:val="3D54230E"/>
    <w:rsid w:val="3DBA77ED"/>
    <w:rsid w:val="3DBB57D8"/>
    <w:rsid w:val="3DC40678"/>
    <w:rsid w:val="3DEB6CF9"/>
    <w:rsid w:val="3E3402C7"/>
    <w:rsid w:val="3E373913"/>
    <w:rsid w:val="3F34383F"/>
    <w:rsid w:val="3F344F84"/>
    <w:rsid w:val="40112201"/>
    <w:rsid w:val="408F3274"/>
    <w:rsid w:val="40BF3EC6"/>
    <w:rsid w:val="40D560F5"/>
    <w:rsid w:val="41227907"/>
    <w:rsid w:val="414313A1"/>
    <w:rsid w:val="415E1BCB"/>
    <w:rsid w:val="41A710C5"/>
    <w:rsid w:val="41D7352F"/>
    <w:rsid w:val="422A016D"/>
    <w:rsid w:val="42E57412"/>
    <w:rsid w:val="42ED5017"/>
    <w:rsid w:val="43714570"/>
    <w:rsid w:val="43E251C4"/>
    <w:rsid w:val="44073C0B"/>
    <w:rsid w:val="441B1210"/>
    <w:rsid w:val="44906FE6"/>
    <w:rsid w:val="44C2005E"/>
    <w:rsid w:val="44FE0999"/>
    <w:rsid w:val="45E235E0"/>
    <w:rsid w:val="46721C9D"/>
    <w:rsid w:val="46F6477A"/>
    <w:rsid w:val="4703068E"/>
    <w:rsid w:val="47631957"/>
    <w:rsid w:val="47FB7699"/>
    <w:rsid w:val="48241D53"/>
    <w:rsid w:val="48DF209C"/>
    <w:rsid w:val="490F0A07"/>
    <w:rsid w:val="491C5F85"/>
    <w:rsid w:val="49D270B7"/>
    <w:rsid w:val="4A0465FC"/>
    <w:rsid w:val="4AB228BD"/>
    <w:rsid w:val="4B7D5207"/>
    <w:rsid w:val="4B937695"/>
    <w:rsid w:val="4BE63D92"/>
    <w:rsid w:val="4BF500B9"/>
    <w:rsid w:val="4BF71E55"/>
    <w:rsid w:val="4C0C45E2"/>
    <w:rsid w:val="4C88287B"/>
    <w:rsid w:val="4C967497"/>
    <w:rsid w:val="4D396708"/>
    <w:rsid w:val="4D6E7C93"/>
    <w:rsid w:val="4DB53509"/>
    <w:rsid w:val="4DB57355"/>
    <w:rsid w:val="4DF57B76"/>
    <w:rsid w:val="4E0C3F18"/>
    <w:rsid w:val="4E3605DF"/>
    <w:rsid w:val="4EA5057F"/>
    <w:rsid w:val="4EC563BE"/>
    <w:rsid w:val="4F0867D1"/>
    <w:rsid w:val="4F105D44"/>
    <w:rsid w:val="4F794FAF"/>
    <w:rsid w:val="4F7A6D4E"/>
    <w:rsid w:val="4FE552FD"/>
    <w:rsid w:val="4FED287A"/>
    <w:rsid w:val="4FED386E"/>
    <w:rsid w:val="500028CE"/>
    <w:rsid w:val="50854079"/>
    <w:rsid w:val="511E3318"/>
    <w:rsid w:val="519B53BA"/>
    <w:rsid w:val="51A32C5C"/>
    <w:rsid w:val="51A61200"/>
    <w:rsid w:val="51A8007B"/>
    <w:rsid w:val="51F25D6C"/>
    <w:rsid w:val="52165FF3"/>
    <w:rsid w:val="523D40A0"/>
    <w:rsid w:val="523E3395"/>
    <w:rsid w:val="52CD1A94"/>
    <w:rsid w:val="53211D72"/>
    <w:rsid w:val="536567ED"/>
    <w:rsid w:val="539A4497"/>
    <w:rsid w:val="54103BF9"/>
    <w:rsid w:val="54981814"/>
    <w:rsid w:val="549C451F"/>
    <w:rsid w:val="54C93027"/>
    <w:rsid w:val="54F66391"/>
    <w:rsid w:val="55121F75"/>
    <w:rsid w:val="5587270E"/>
    <w:rsid w:val="559E664E"/>
    <w:rsid w:val="55A34512"/>
    <w:rsid w:val="55D67607"/>
    <w:rsid w:val="560F58BD"/>
    <w:rsid w:val="56277443"/>
    <w:rsid w:val="56513CD0"/>
    <w:rsid w:val="567F7DC5"/>
    <w:rsid w:val="56A11110"/>
    <w:rsid w:val="56E91820"/>
    <w:rsid w:val="579A52B7"/>
    <w:rsid w:val="58C240F5"/>
    <w:rsid w:val="58F45795"/>
    <w:rsid w:val="59637E84"/>
    <w:rsid w:val="59786976"/>
    <w:rsid w:val="5A0668A4"/>
    <w:rsid w:val="5A1E1B66"/>
    <w:rsid w:val="5A2F5485"/>
    <w:rsid w:val="5A785505"/>
    <w:rsid w:val="5AD32FDB"/>
    <w:rsid w:val="5AD42A27"/>
    <w:rsid w:val="5AFB4DC0"/>
    <w:rsid w:val="5B472E93"/>
    <w:rsid w:val="5B602D42"/>
    <w:rsid w:val="5BB167FD"/>
    <w:rsid w:val="5BE5650E"/>
    <w:rsid w:val="5BE80ED6"/>
    <w:rsid w:val="5C0803F9"/>
    <w:rsid w:val="5C1C655D"/>
    <w:rsid w:val="5C1E299B"/>
    <w:rsid w:val="5C4D007C"/>
    <w:rsid w:val="5C842DC1"/>
    <w:rsid w:val="5C9A5B38"/>
    <w:rsid w:val="5D0C5FA0"/>
    <w:rsid w:val="5D1E6DA0"/>
    <w:rsid w:val="5E0C6DCF"/>
    <w:rsid w:val="5E150CCE"/>
    <w:rsid w:val="5F3E1871"/>
    <w:rsid w:val="5F8D7DD2"/>
    <w:rsid w:val="61165818"/>
    <w:rsid w:val="612C39D9"/>
    <w:rsid w:val="617E34BB"/>
    <w:rsid w:val="619264D9"/>
    <w:rsid w:val="620376AC"/>
    <w:rsid w:val="62446327"/>
    <w:rsid w:val="6315003B"/>
    <w:rsid w:val="64500F04"/>
    <w:rsid w:val="66007D67"/>
    <w:rsid w:val="663F0B50"/>
    <w:rsid w:val="66B54A79"/>
    <w:rsid w:val="66CA0B26"/>
    <w:rsid w:val="66FD427C"/>
    <w:rsid w:val="672A6F03"/>
    <w:rsid w:val="67E50312"/>
    <w:rsid w:val="67ED0982"/>
    <w:rsid w:val="67EE3D0F"/>
    <w:rsid w:val="683B3155"/>
    <w:rsid w:val="68AD2FCA"/>
    <w:rsid w:val="68FA60D7"/>
    <w:rsid w:val="69281626"/>
    <w:rsid w:val="69BE4724"/>
    <w:rsid w:val="69C61397"/>
    <w:rsid w:val="6A68609B"/>
    <w:rsid w:val="6A8C1663"/>
    <w:rsid w:val="6ABF0D9A"/>
    <w:rsid w:val="6B097950"/>
    <w:rsid w:val="6B2108C9"/>
    <w:rsid w:val="6BFB0A96"/>
    <w:rsid w:val="6C105A58"/>
    <w:rsid w:val="6C2954B4"/>
    <w:rsid w:val="6C2E6265"/>
    <w:rsid w:val="6C447F32"/>
    <w:rsid w:val="6C565729"/>
    <w:rsid w:val="6C62671C"/>
    <w:rsid w:val="6CC40C48"/>
    <w:rsid w:val="6CD759A9"/>
    <w:rsid w:val="6D095C70"/>
    <w:rsid w:val="6D4B1F5D"/>
    <w:rsid w:val="6D6C5F0F"/>
    <w:rsid w:val="6D8238A7"/>
    <w:rsid w:val="6D844244"/>
    <w:rsid w:val="6E0F5BF9"/>
    <w:rsid w:val="6E8F7310"/>
    <w:rsid w:val="6ECC7CF8"/>
    <w:rsid w:val="6EE164EE"/>
    <w:rsid w:val="6F483FA1"/>
    <w:rsid w:val="6F5D7AB1"/>
    <w:rsid w:val="6F6957B8"/>
    <w:rsid w:val="6F9F3300"/>
    <w:rsid w:val="714F12B6"/>
    <w:rsid w:val="714F60EC"/>
    <w:rsid w:val="716B43CC"/>
    <w:rsid w:val="71884AB7"/>
    <w:rsid w:val="71E825A3"/>
    <w:rsid w:val="731E7F79"/>
    <w:rsid w:val="732E3907"/>
    <w:rsid w:val="739771C4"/>
    <w:rsid w:val="73D16993"/>
    <w:rsid w:val="742130DF"/>
    <w:rsid w:val="74461429"/>
    <w:rsid w:val="74C701A5"/>
    <w:rsid w:val="74C95BCE"/>
    <w:rsid w:val="75011284"/>
    <w:rsid w:val="75200B56"/>
    <w:rsid w:val="75435570"/>
    <w:rsid w:val="755331EA"/>
    <w:rsid w:val="75BA69F7"/>
    <w:rsid w:val="75EF13E4"/>
    <w:rsid w:val="77046DA9"/>
    <w:rsid w:val="77120E84"/>
    <w:rsid w:val="774E15AA"/>
    <w:rsid w:val="775F2577"/>
    <w:rsid w:val="781A002A"/>
    <w:rsid w:val="79030FA2"/>
    <w:rsid w:val="796075AF"/>
    <w:rsid w:val="79A971C1"/>
    <w:rsid w:val="7A026DB8"/>
    <w:rsid w:val="7A91691A"/>
    <w:rsid w:val="7B00455F"/>
    <w:rsid w:val="7B1227F8"/>
    <w:rsid w:val="7B1930C3"/>
    <w:rsid w:val="7B247A84"/>
    <w:rsid w:val="7BCD5077"/>
    <w:rsid w:val="7BF21B78"/>
    <w:rsid w:val="7C00467F"/>
    <w:rsid w:val="7C42096C"/>
    <w:rsid w:val="7C711C34"/>
    <w:rsid w:val="7C7214B1"/>
    <w:rsid w:val="7CD7133D"/>
    <w:rsid w:val="7CF168C4"/>
    <w:rsid w:val="7D001691"/>
    <w:rsid w:val="7D567E4B"/>
    <w:rsid w:val="7D72325C"/>
    <w:rsid w:val="7D8D3B20"/>
    <w:rsid w:val="7D9D7924"/>
    <w:rsid w:val="7DDE038D"/>
    <w:rsid w:val="7E0C5B6B"/>
    <w:rsid w:val="7E6150E3"/>
    <w:rsid w:val="7E7B32DD"/>
    <w:rsid w:val="7E9633BF"/>
    <w:rsid w:val="7F04016F"/>
    <w:rsid w:val="7F4A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8">
    <w:name w:val="Normal Indent"/>
    <w:basedOn w:val="1"/>
    <w:qFormat/>
    <w:uiPriority w:val="0"/>
    <w:pPr>
      <w:ind w:firstLine="420"/>
    </w:pPr>
  </w:style>
  <w:style w:type="paragraph" w:styleId="9">
    <w:name w:val="annotation text"/>
    <w:basedOn w:val="1"/>
    <w:semiHidden/>
    <w:unhideWhenUsed/>
    <w:qFormat/>
    <w:uiPriority w:val="99"/>
    <w:pPr>
      <w:jc w:val="left"/>
    </w:pPr>
  </w:style>
  <w:style w:type="paragraph" w:styleId="10">
    <w:name w:val="Body Text 3"/>
    <w:basedOn w:val="1"/>
    <w:link w:val="44"/>
    <w:semiHidden/>
    <w:qFormat/>
    <w:uiPriority w:val="0"/>
    <w:pPr>
      <w:spacing w:after="120"/>
    </w:pPr>
    <w:rPr>
      <w:sz w:val="16"/>
      <w:szCs w:val="16"/>
    </w:rPr>
  </w:style>
  <w:style w:type="paragraph" w:styleId="11">
    <w:name w:val="Body Text Indent"/>
    <w:basedOn w:val="1"/>
    <w:link w:val="46"/>
    <w:unhideWhenUsed/>
    <w:qFormat/>
    <w:uiPriority w:val="99"/>
    <w:pPr>
      <w:ind w:firstLine="830" w:firstLineChars="352"/>
    </w:pPr>
    <w:rPr>
      <w:rFonts w:ascii="仿宋_GB2312" w:eastAsia="仿宋_GB2312"/>
      <w:sz w:val="32"/>
    </w:rPr>
  </w:style>
  <w:style w:type="paragraph" w:styleId="12">
    <w:name w:val="Plain Text"/>
    <w:basedOn w:val="1"/>
    <w:link w:val="34"/>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5"/>
    <w:semiHidden/>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rPr>
  </w:style>
  <w:style w:type="paragraph" w:styleId="16">
    <w:name w:val="header"/>
    <w:basedOn w:val="1"/>
    <w:link w:val="3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Body Text First Indent"/>
    <w:basedOn w:val="2"/>
    <w:unhideWhenUsed/>
    <w:qFormat/>
    <w:uiPriority w:val="99"/>
    <w:pPr>
      <w:spacing w:after="120"/>
      <w:ind w:firstLine="420"/>
    </w:pPr>
    <w:rPr>
      <w:sz w:val="21"/>
    </w:rPr>
  </w:style>
  <w:style w:type="paragraph" w:styleId="20">
    <w:name w:val="Body Text First Indent 2"/>
    <w:basedOn w:val="11"/>
    <w:link w:val="47"/>
    <w:unhideWhenUsed/>
    <w:qFormat/>
    <w:uiPriority w:val="0"/>
    <w:pPr>
      <w:spacing w:after="120"/>
      <w:ind w:left="420" w:leftChars="200" w:firstLine="420" w:firstLineChars="200"/>
    </w:pPr>
    <w:rPr>
      <w:rFonts w:ascii="Times New Roman" w:eastAsia="宋体"/>
      <w:sz w:val="21"/>
    </w:rPr>
  </w:style>
  <w:style w:type="table" w:styleId="2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4">
    <w:name w:val="Strong"/>
    <w:basedOn w:val="23"/>
    <w:qFormat/>
    <w:uiPriority w:val="22"/>
    <w:rPr>
      <w:b/>
      <w:bCs/>
    </w:rPr>
  </w:style>
  <w:style w:type="character" w:styleId="25">
    <w:name w:val="page number"/>
    <w:basedOn w:val="23"/>
    <w:unhideWhenUsed/>
    <w:qFormat/>
    <w:uiPriority w:val="0"/>
  </w:style>
  <w:style w:type="character" w:styleId="26">
    <w:name w:val="Hyperlink"/>
    <w:basedOn w:val="23"/>
    <w:unhideWhenUsed/>
    <w:qFormat/>
    <w:uiPriority w:val="99"/>
    <w:rPr>
      <w:color w:val="0000FF"/>
      <w:u w:val="single"/>
    </w:rPr>
  </w:style>
  <w:style w:type="character" w:styleId="27">
    <w:name w:val="annotation reference"/>
    <w:basedOn w:val="23"/>
    <w:semiHidden/>
    <w:unhideWhenUsed/>
    <w:qFormat/>
    <w:uiPriority w:val="99"/>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0">
    <w:name w:val="Char"/>
    <w:basedOn w:val="1"/>
    <w:qFormat/>
    <w:uiPriority w:val="0"/>
    <w:pPr>
      <w:spacing w:line="480" w:lineRule="exact"/>
    </w:pPr>
    <w:rPr>
      <w:sz w:val="24"/>
      <w:szCs w:val="24"/>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2">
    <w:name w:val="页脚 字符"/>
    <w:basedOn w:val="23"/>
    <w:link w:val="15"/>
    <w:qFormat/>
    <w:uiPriority w:val="99"/>
    <w:rPr>
      <w:sz w:val="18"/>
    </w:rPr>
  </w:style>
  <w:style w:type="character" w:customStyle="1" w:styleId="33">
    <w:name w:val="页眉 字符"/>
    <w:link w:val="16"/>
    <w:qFormat/>
    <w:uiPriority w:val="99"/>
    <w:rPr>
      <w:kern w:val="2"/>
      <w:sz w:val="18"/>
    </w:rPr>
  </w:style>
  <w:style w:type="character" w:customStyle="1" w:styleId="34">
    <w:name w:val="纯文本 字符"/>
    <w:basedOn w:val="23"/>
    <w:link w:val="12"/>
    <w:qFormat/>
    <w:uiPriority w:val="0"/>
    <w:rPr>
      <w:rFonts w:ascii="宋体" w:hAnsi="Courier New" w:cs="Courier New"/>
      <w:sz w:val="21"/>
      <w:szCs w:val="21"/>
    </w:rPr>
  </w:style>
  <w:style w:type="character" w:customStyle="1" w:styleId="35">
    <w:name w:val="批注框文本 字符"/>
    <w:basedOn w:val="23"/>
    <w:link w:val="14"/>
    <w:semiHidden/>
    <w:qFormat/>
    <w:uiPriority w:val="99"/>
    <w:rPr>
      <w:kern w:val="2"/>
      <w:sz w:val="18"/>
      <w:szCs w:val="18"/>
    </w:rPr>
  </w:style>
  <w:style w:type="character" w:customStyle="1" w:styleId="36">
    <w:name w:val="标题 1 字符"/>
    <w:basedOn w:val="23"/>
    <w:link w:val="4"/>
    <w:qFormat/>
    <w:uiPriority w:val="0"/>
    <w:rPr>
      <w:b/>
      <w:bCs/>
      <w:kern w:val="44"/>
      <w:sz w:val="44"/>
      <w:szCs w:val="44"/>
    </w:rPr>
  </w:style>
  <w:style w:type="character" w:customStyle="1" w:styleId="37">
    <w:name w:val="页眉 Char1"/>
    <w:basedOn w:val="23"/>
    <w:qFormat/>
    <w:uiPriority w:val="99"/>
    <w:rPr>
      <w:rFonts w:ascii="Calibri" w:hAnsi="Calibri" w:eastAsia="Calibri" w:cs="Calibri"/>
      <w:color w:val="000000"/>
      <w:sz w:val="18"/>
      <w:szCs w:val="18"/>
    </w:rPr>
  </w:style>
  <w:style w:type="character" w:customStyle="1" w:styleId="38">
    <w:name w:val="页脚 Char2"/>
    <w:basedOn w:val="23"/>
    <w:qFormat/>
    <w:uiPriority w:val="99"/>
    <w:rPr>
      <w:rFonts w:ascii="Calibri" w:hAnsi="Calibri" w:eastAsia="Calibri" w:cs="Calibri"/>
      <w:color w:val="000000"/>
      <w:sz w:val="18"/>
      <w:szCs w:val="18"/>
    </w:rPr>
  </w:style>
  <w:style w:type="character" w:customStyle="1" w:styleId="39">
    <w:name w:val="纯文本 Char4"/>
    <w:basedOn w:val="23"/>
    <w:qFormat/>
    <w:uiPriority w:val="0"/>
    <w:rPr>
      <w:rFonts w:ascii="宋体" w:hAnsi="Courier New" w:eastAsia="宋体" w:cs="Times New Roman"/>
      <w:sz w:val="24"/>
      <w:szCs w:val="20"/>
    </w:rPr>
  </w:style>
  <w:style w:type="paragraph" w:styleId="40">
    <w:name w:val="No Spacing"/>
    <w:qFormat/>
    <w:uiPriority w:val="1"/>
    <w:rPr>
      <w:rFonts w:ascii="Calibri" w:hAnsi="Calibri" w:eastAsia="宋体" w:cs="Times New Roman"/>
      <w:sz w:val="22"/>
      <w:szCs w:val="22"/>
      <w:lang w:val="en-US" w:eastAsia="zh-CN" w:bidi="ar-SA"/>
    </w:rPr>
  </w:style>
  <w:style w:type="paragraph" w:customStyle="1" w:styleId="41">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2">
    <w:name w:val="List Paragraph"/>
    <w:basedOn w:val="1"/>
    <w:qFormat/>
    <w:uiPriority w:val="99"/>
    <w:pPr>
      <w:ind w:firstLine="420" w:firstLineChars="200"/>
    </w:pPr>
  </w:style>
  <w:style w:type="table" w:customStyle="1" w:styleId="43">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正文文本 3 字符"/>
    <w:basedOn w:val="23"/>
    <w:link w:val="10"/>
    <w:semiHidden/>
    <w:qFormat/>
    <w:uiPriority w:val="0"/>
    <w:rPr>
      <w:kern w:val="2"/>
      <w:sz w:val="16"/>
      <w:szCs w:val="16"/>
    </w:rPr>
  </w:style>
  <w:style w:type="paragraph" w:customStyle="1" w:styleId="45">
    <w:name w:val="样式 首行缩进:  2 字符"/>
    <w:basedOn w:val="1"/>
    <w:qFormat/>
    <w:uiPriority w:val="0"/>
    <w:pPr>
      <w:spacing w:line="400" w:lineRule="exact"/>
      <w:ind w:firstLine="200" w:firstLineChars="200"/>
    </w:pPr>
    <w:rPr>
      <w:rFonts w:cs="宋体"/>
      <w:sz w:val="24"/>
      <w:szCs w:val="24"/>
    </w:rPr>
  </w:style>
  <w:style w:type="character" w:customStyle="1" w:styleId="46">
    <w:name w:val="正文文本缩进 字符"/>
    <w:basedOn w:val="23"/>
    <w:link w:val="11"/>
    <w:qFormat/>
    <w:uiPriority w:val="99"/>
    <w:rPr>
      <w:rFonts w:ascii="仿宋_GB2312" w:eastAsia="仿宋_GB2312"/>
      <w:kern w:val="2"/>
      <w:sz w:val="32"/>
    </w:rPr>
  </w:style>
  <w:style w:type="character" w:customStyle="1" w:styleId="47">
    <w:name w:val="正文文本首行缩进 2 字符"/>
    <w:basedOn w:val="46"/>
    <w:link w:val="20"/>
    <w:qFormat/>
    <w:uiPriority w:val="0"/>
    <w:rPr>
      <w:rFonts w:ascii="仿宋_GB2312" w:eastAsia="仿宋_GB2312"/>
      <w:kern w:val="2"/>
      <w:sz w:val="21"/>
    </w:rPr>
  </w:style>
  <w:style w:type="paragraph" w:customStyle="1" w:styleId="48">
    <w:name w:val="正文_0"/>
    <w:basedOn w:val="49"/>
    <w:qFormat/>
    <w:uiPriority w:val="0"/>
    <w:rPr>
      <w:rFonts w:cs="Tahoma"/>
    </w:rPr>
  </w:style>
  <w:style w:type="paragraph" w:customStyle="1" w:styleId="49">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F1CFD-4072-4809-8CD9-64D0089ED52D}">
  <ds:schemaRefs/>
</ds:datastoreItem>
</file>

<file path=docProps/app.xml><?xml version="1.0" encoding="utf-8"?>
<Properties xmlns="http://schemas.openxmlformats.org/officeDocument/2006/extended-properties" xmlns:vt="http://schemas.openxmlformats.org/officeDocument/2006/docPropsVTypes">
  <Template>Normal</Template>
  <Pages>53</Pages>
  <Words>4517</Words>
  <Characters>25753</Characters>
  <Lines>214</Lines>
  <Paragraphs>60</Paragraphs>
  <TotalTime>2</TotalTime>
  <ScaleCrop>false</ScaleCrop>
  <LinksUpToDate>false</LinksUpToDate>
  <CharactersWithSpaces>30210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2021-09-11T04:26:00Z</dcterms:created>
  <dc:creator>WT</dc:creator>
  <cp:lastModifiedBy>林煜韩</cp:lastModifiedBy>
  <cp:lastPrinted>2021-10-14T01:21:00Z</cp:lastPrinted>
  <dcterms:modified xsi:type="dcterms:W3CDTF">2021-11-19T08:22:27Z</dcterms:modified>
  <dc:title>询价文件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578226F39E8B478FBC91237DCEF295EE</vt:lpwstr>
  </property>
</Properties>
</file>