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640" w:firstLineChars="2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w:t>
      </w:r>
      <w:r>
        <w:rPr>
          <w:rFonts w:hint="eastAsia" w:ascii="仿宋_GB2312" w:hAnsi="仿宋_GB2312" w:eastAsia="仿宋_GB2312" w:cs="仿宋_GB2312"/>
          <w:b/>
          <w:bCs/>
          <w:color w:val="000000" w:themeColor="text1"/>
          <w:sz w:val="32"/>
          <w:szCs w:val="32"/>
          <w14:textFill>
            <w14:solidFill>
              <w14:schemeClr w14:val="tx1"/>
            </w14:solidFill>
          </w14:textFill>
        </w:rPr>
        <w:t>-2021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1117-2</w:t>
      </w:r>
    </w:p>
    <w:p>
      <w:pPr>
        <w:spacing w:line="500" w:lineRule="exact"/>
        <w:ind w:left="2249" w:hanging="2240" w:hangingChars="700"/>
        <w:jc w:val="left"/>
        <w:rPr>
          <w:rFonts w:hint="eastAsia" w:ascii="仿宋_GB2312" w:hAnsi="仿宋_GB2312" w:eastAsia="仿宋_GB2312" w:cs="仿宋_GB2312"/>
          <w:b/>
          <w:bCs/>
          <w:color w:val="000000" w:themeColor="text1"/>
          <w:sz w:val="24"/>
          <w:szCs w:val="28"/>
          <w:lang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广州市净水有限公司成立土地开发公司项目可行性研究报告</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第二次</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w:t>
      </w:r>
      <w:r>
        <w:rPr>
          <w:rFonts w:hint="eastAsia" w:ascii="仿宋_GB2312" w:hAnsi="仿宋_GB2312" w:eastAsia="仿宋_GB2312" w:cs="仿宋_GB2312"/>
          <w:b/>
          <w:bCs/>
          <w:color w:val="000000" w:themeColor="text1"/>
          <w:sz w:val="36"/>
          <w:lang w:val="en-US" w:eastAsia="zh-CN"/>
          <w14:textFill>
            <w14:solidFill>
              <w14:schemeClr w14:val="tx1"/>
            </w14:solidFill>
          </w14:textFill>
        </w:rPr>
        <w:t xml:space="preserve"> </w:t>
      </w:r>
      <w:r>
        <w:rPr>
          <w:rFonts w:ascii="仿宋_GB2312" w:hAnsi="仿宋_GB2312" w:eastAsia="仿宋_GB2312" w:cs="仿宋_GB2312"/>
          <w:b/>
          <w:bCs/>
          <w:color w:val="000000" w:themeColor="text1"/>
          <w:sz w:val="36"/>
          <w14:textFill>
            <w14:solidFill>
              <w14:schemeClr w14:val="tx1"/>
            </w14:solidFill>
          </w14:textFill>
        </w:rPr>
        <w:t>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11</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17</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14:textFill>
            <w14:solidFill>
              <w14:schemeClr w14:val="tx1"/>
            </w14:solidFill>
          </w14:textFill>
        </w:rPr>
        <w:t>成立土地开发公司项目可行性研究报告</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第二次</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default" w:ascii="仿宋_GB2312" w:hAnsi="仿宋_GB2312" w:eastAsia="仿宋_GB2312" w:cs="仿宋_GB2312"/>
          <w:color w:val="000000" w:themeColor="text1"/>
          <w:sz w:val="28"/>
          <w:szCs w:val="28"/>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XJ-20211117-2</w:t>
      </w:r>
    </w:p>
    <w:p>
      <w:pPr>
        <w:autoSpaceDE w:val="0"/>
        <w:autoSpaceDN w:val="0"/>
        <w:ind w:firstLine="560" w:firstLineChars="200"/>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广州市净水有限公司成立土地开发公司项目可行性研究报告</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第二次</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、最高限价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u w:val="single"/>
          <w:lang w:val="en-US" w:eastAsia="zh-CN"/>
        </w:rPr>
        <w:t>8.82</w:t>
      </w:r>
      <w:r>
        <w:rPr>
          <w:rFonts w:hint="eastAsia" w:ascii="仿宋_GB2312" w:hAnsi="仿宋_GB2312" w:eastAsia="仿宋_GB2312" w:cs="仿宋_GB2312"/>
          <w:color w:val="auto"/>
          <w:sz w:val="28"/>
          <w:szCs w:val="28"/>
          <w:highlight w:val="none"/>
          <w:u w:val="single"/>
        </w:rPr>
        <w:t>万元</w:t>
      </w:r>
    </w:p>
    <w:p>
      <w:pPr>
        <w:ind w:firstLine="602" w:firstLineChars="215"/>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为更好地对土地资产进行投资管理，控制投资风险，提高投资效益，广州市净水有限公司（简称净水公司）拟成立土地开发公司。需对土地开发公司成立相关的投资必要性、合法性、投资环境、投资条件、投资内容、投资方案、土地资产租金水平初步预估、投资成本效益等进行分析，研究土地开发公司股权投资项目的可行性。</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r>
        <w:rPr>
          <w:rFonts w:ascii="仿宋_GB2312" w:hAnsi="仿宋_GB2312" w:eastAsia="仿宋_GB2312" w:cs="仿宋_GB2312"/>
          <w:color w:val="000000" w:themeColor="text1"/>
          <w:sz w:val="28"/>
          <w:szCs w:val="28"/>
          <w14:textFill>
            <w14:solidFill>
              <w14:schemeClr w14:val="tx1"/>
            </w14:solidFill>
          </w14:textFill>
        </w:rPr>
        <w:t xml:space="preserve"> </w:t>
      </w:r>
    </w:p>
    <w:p>
      <w:pPr>
        <w:pStyle w:val="25"/>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u w:val="single"/>
        </w:rPr>
        <w:t>报价单位须是中华人民共和国境内的法人或者其他组织，具有独立法人资格，能开具增值税专用发票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p>
    <w:p>
      <w:pPr>
        <w:pStyle w:val="25"/>
        <w:autoSpaceDE w:val="0"/>
        <w:autoSpaceDN w:val="0"/>
        <w:ind w:firstLine="560" w:firstLineChars="0"/>
        <w:jc w:val="left"/>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拟派项目负责人需具备相关专业资质</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中级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工程师</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以上</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资格。</w:t>
      </w:r>
    </w:p>
    <w:p>
      <w:pPr>
        <w:pStyle w:val="25"/>
        <w:autoSpaceDE w:val="0"/>
        <w:autoSpaceDN w:val="0"/>
        <w:ind w:firstLine="560"/>
        <w:jc w:val="left"/>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bookmarkStart w:id="0" w:name="OLE_LINK3"/>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2018年1月1日至今，</w:t>
      </w:r>
      <w:bookmarkEnd w:id="0"/>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最少完成一项可行性研究报告业绩</w:t>
      </w:r>
      <w:r>
        <w:rPr>
          <w:rFonts w:hint="eastAsia" w:ascii="仿宋_GB2312" w:hAnsi="仿宋_GB2312" w:eastAsia="仿宋_GB2312" w:cs="仿宋_GB2312"/>
          <w:sz w:val="28"/>
          <w:szCs w:val="28"/>
          <w:highlight w:val="none"/>
          <w:u w:val="single"/>
        </w:rPr>
        <w:t>（提供合同复印件证明，包括但不限于项目名称、金额及实施内容、合同双方签字盖章、签订日期，并加盖单位公章）。</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七</w:t>
      </w:r>
      <w:r>
        <w:rPr>
          <w:rFonts w:hint="eastAsia" w:ascii="仿宋_GB2312" w:hAnsi="仿宋_GB2312" w:eastAsia="仿宋_GB2312" w:cs="仿宋_GB2312"/>
          <w:sz w:val="28"/>
          <w:szCs w:val="28"/>
          <w:highlight w:val="none"/>
          <w:lang w:val="zh-CN"/>
        </w:rPr>
        <w:t>、现场踏勘(答疑会)时间、地点（</w:t>
      </w:r>
      <w:r>
        <w:rPr>
          <w:rFonts w:hint="eastAsia" w:ascii="仿宋_GB2312" w:hAnsi="仿宋_GB2312" w:eastAsia="仿宋_GB2312" w:cs="仿宋_GB2312"/>
          <w:sz w:val="28"/>
          <w:szCs w:val="28"/>
          <w:lang w:val="zh-CN"/>
        </w:rPr>
        <w:t>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r>
        <w:rPr>
          <w:rFonts w:hint="eastAsia" w:ascii="仿宋_GB2312" w:hAnsi="仿宋_GB2312" w:eastAsia="仿宋_GB2312" w:cs="仿宋_GB2312"/>
          <w:sz w:val="28"/>
          <w:szCs w:val="28"/>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八、询价文件的获取：在2021年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23</w:t>
      </w:r>
      <w:r>
        <w:rPr>
          <w:rFonts w:hint="eastAsia" w:ascii="仿宋" w:hAnsi="仿宋" w:eastAsia="仿宋" w:cs="仿宋_GB2312"/>
          <w:sz w:val="28"/>
          <w:szCs w:val="28"/>
        </w:rPr>
        <w:t>日</w:t>
      </w:r>
      <w:r>
        <w:rPr>
          <w:rFonts w:ascii="仿宋" w:hAnsi="仿宋" w:eastAsia="仿宋" w:cs="仿宋_GB2312"/>
          <w:sz w:val="28"/>
          <w:szCs w:val="28"/>
        </w:rPr>
        <w:t>10时00分前，在广州市净水有限公司门户网站免费下载。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ascii="仿宋" w:hAnsi="仿宋" w:eastAsia="仿宋" w:cs="仿宋_GB2312"/>
          <w:sz w:val="28"/>
          <w:szCs w:val="28"/>
        </w:rPr>
        <w:t>2021年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23</w:t>
      </w:r>
      <w:r>
        <w:rPr>
          <w:rFonts w:hint="eastAsia" w:ascii="仿宋" w:hAnsi="仿宋" w:eastAsia="仿宋" w:cs="仿宋_GB2312"/>
          <w:sz w:val="28"/>
          <w:szCs w:val="28"/>
        </w:rPr>
        <w:t>日</w:t>
      </w:r>
      <w:r>
        <w:rPr>
          <w:rFonts w:ascii="仿宋" w:hAnsi="仿宋" w:eastAsia="仿宋" w:cs="仿宋_GB2312"/>
          <w:sz w:val="28"/>
          <w:szCs w:val="28"/>
        </w:rPr>
        <w:t>9时30分至10时00分；询价响应文件截止时间：2021年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23</w:t>
      </w:r>
      <w:r>
        <w:rPr>
          <w:rFonts w:hint="eastAsia" w:ascii="仿宋" w:hAnsi="仿宋" w:eastAsia="仿宋" w:cs="仿宋_GB2312"/>
          <w:sz w:val="28"/>
          <w:szCs w:val="28"/>
        </w:rPr>
        <w:t>日</w:t>
      </w:r>
      <w:r>
        <w:rPr>
          <w:rFonts w:ascii="仿宋" w:hAnsi="仿宋" w:eastAsia="仿宋" w:cs="仿宋_GB2312"/>
          <w:sz w:val="28"/>
          <w:szCs w:val="28"/>
        </w:rPr>
        <w:t>1</w:t>
      </w:r>
      <w:r>
        <w:rPr>
          <w:rFonts w:hint="eastAsia" w:ascii="仿宋" w:hAnsi="仿宋" w:eastAsia="仿宋" w:cs="仿宋_GB2312"/>
          <w:sz w:val="28"/>
          <w:szCs w:val="28"/>
        </w:rPr>
        <w:t>0时00分。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十、询价响应文件送达地点：广州市天河区临江大道501号广州市净水有限公司。</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十一、评审时间：2021年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23</w:t>
      </w:r>
      <w:r>
        <w:rPr>
          <w:rFonts w:hint="eastAsia" w:ascii="仿宋" w:hAnsi="仿宋" w:eastAsia="仿宋" w:cs="仿宋_GB2312"/>
          <w:sz w:val="28"/>
          <w:szCs w:val="28"/>
        </w:rPr>
        <w:t>日</w:t>
      </w:r>
      <w:r>
        <w:rPr>
          <w:rFonts w:ascii="仿宋" w:hAnsi="仿宋" w:eastAsia="仿宋" w:cs="仿宋_GB2312"/>
          <w:sz w:val="28"/>
          <w:szCs w:val="28"/>
        </w:rPr>
        <w:t>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十二、评审地点：广州市净水有限公司六楼招标办</w:t>
      </w:r>
      <w:r>
        <w:rPr>
          <w:rFonts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联系地址：广州市天河区临江大道</w:t>
      </w:r>
      <w:r>
        <w:rPr>
          <w:rFonts w:ascii="仿宋" w:hAnsi="仿宋" w:eastAsia="仿宋" w:cs="仿宋_GB2312"/>
          <w:sz w:val="28"/>
          <w:szCs w:val="28"/>
        </w:rPr>
        <w:t xml:space="preserve">501号            </w:t>
      </w:r>
    </w:p>
    <w:p>
      <w:pPr>
        <w:ind w:firstLine="560" w:firstLineChars="200"/>
        <w:rPr>
          <w:rFonts w:ascii="仿宋" w:hAnsi="仿宋" w:eastAsia="仿宋" w:cs="仿宋_GB2312"/>
          <w:sz w:val="28"/>
          <w:szCs w:val="28"/>
        </w:rPr>
      </w:pPr>
      <w:r>
        <w:rPr>
          <w:rFonts w:ascii="仿宋" w:hAnsi="仿宋" w:eastAsia="仿宋" w:cs="仿宋_GB2312"/>
          <w:sz w:val="28"/>
          <w:szCs w:val="28"/>
        </w:rPr>
        <w:t xml:space="preserve"> 联系人：</w:t>
      </w:r>
      <w:r>
        <w:rPr>
          <w:rFonts w:hint="eastAsia" w:ascii="仿宋" w:hAnsi="仿宋" w:eastAsia="仿宋" w:cs="仿宋_GB2312"/>
          <w:sz w:val="28"/>
          <w:szCs w:val="28"/>
          <w:lang w:val="en-US" w:eastAsia="zh-CN"/>
        </w:rPr>
        <w:t>黄工</w:t>
      </w:r>
      <w:r>
        <w:rPr>
          <w:rFonts w:ascii="仿宋" w:hAnsi="仿宋" w:eastAsia="仿宋" w:cs="仿宋_GB2312"/>
          <w:sz w:val="28"/>
          <w:szCs w:val="28"/>
        </w:rPr>
        <w:t xml:space="preserve">             联系方式：</w:t>
      </w:r>
      <w:r>
        <w:rPr>
          <w:rFonts w:hint="eastAsia" w:ascii="仿宋" w:hAnsi="仿宋" w:eastAsia="仿宋" w:cs="仿宋_GB2312"/>
          <w:sz w:val="28"/>
          <w:szCs w:val="28"/>
          <w:lang w:val="en-US" w:eastAsia="zh-CN"/>
        </w:rPr>
        <w:t>020-62315524</w:t>
      </w:r>
      <w:r>
        <w:rPr>
          <w:rFonts w:ascii="仿宋" w:hAnsi="仿宋" w:eastAsia="仿宋" w:cs="仿宋_GB2312"/>
          <w:sz w:val="28"/>
          <w:szCs w:val="28"/>
        </w:rPr>
        <w:t xml:space="preserve">   </w:t>
      </w:r>
    </w:p>
    <w:p>
      <w:pPr>
        <w:ind w:firstLine="5460" w:firstLineChars="1950"/>
        <w:rPr>
          <w:rFonts w:ascii="仿宋" w:hAnsi="仿宋" w:eastAsia="仿宋" w:cs="仿宋"/>
          <w:sz w:val="28"/>
          <w:szCs w:val="28"/>
        </w:rPr>
      </w:pPr>
      <w:r>
        <w:rPr>
          <w:rFonts w:hint="eastAsia" w:ascii="仿宋" w:hAnsi="仿宋" w:eastAsia="仿宋" w:cs="仿宋"/>
          <w:sz w:val="28"/>
          <w:szCs w:val="28"/>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
          <w:sz w:val="28"/>
          <w:szCs w:val="28"/>
        </w:rPr>
        <w:t xml:space="preserve">                                </w:t>
      </w:r>
      <w:r>
        <w:rPr>
          <w:rFonts w:ascii="仿宋" w:hAnsi="仿宋" w:eastAsia="仿宋" w:cs="仿宋_GB2312"/>
          <w:sz w:val="28"/>
          <w:szCs w:val="28"/>
        </w:rPr>
        <w:t>2021年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17</w:t>
      </w:r>
      <w:r>
        <w:rPr>
          <w:rFonts w:hint="eastAsia" w:ascii="仿宋" w:hAnsi="仿宋" w:eastAsia="仿宋" w:cs="仿宋_GB2312"/>
          <w:sz w:val="28"/>
          <w:szCs w:val="28"/>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pStyle w:val="8"/>
        <w:adjustRightInd w:val="0"/>
        <w:snapToGrid w:val="0"/>
        <w:spacing w:line="560" w:lineRule="exact"/>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报价单位</w:t>
      </w:r>
      <w:r>
        <w:rPr>
          <w:rFonts w:hint="eastAsia" w:ascii="仿宋_GB2312" w:hAnsi="仿宋_GB2312" w:eastAsia="仿宋_GB2312" w:cs="仿宋_GB2312"/>
          <w:b w:val="0"/>
          <w:bCs/>
          <w:sz w:val="28"/>
          <w:szCs w:val="28"/>
          <w:lang w:val="zh-CN"/>
        </w:rPr>
        <w:t xml:space="preserve">须对本项目为单位的服务进行整体响应，任何只对其中一部分内容进行的响应都被视为无效响应。 </w:t>
      </w:r>
    </w:p>
    <w:p>
      <w:pPr>
        <w:spacing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val="0"/>
          <w:bCs/>
          <w:sz w:val="28"/>
          <w:szCs w:val="28"/>
          <w:lang w:val="en-US" w:eastAsia="zh-CN"/>
        </w:rPr>
        <w:t>询价文件中</w:t>
      </w:r>
      <w:r>
        <w:rPr>
          <w:rFonts w:hint="eastAsia" w:ascii="仿宋_GB2312" w:hAnsi="仿宋_GB2312" w:eastAsia="仿宋_GB2312" w:cs="仿宋_GB2312"/>
          <w:b w:val="0"/>
          <w:bCs/>
          <w:sz w:val="28"/>
          <w:szCs w:val="28"/>
          <w:lang w:val="zh-CN"/>
        </w:rPr>
        <w:t>所有要求均为实质性响应条款，供应商如有任何一条负偏离则导致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lang w:val="zh-CN"/>
        </w:rPr>
        <w:t>无效。</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bookmarkStart w:id="1" w:name="_Hlk83911574"/>
      <w:r>
        <w:rPr>
          <w:rFonts w:hint="eastAsia" w:ascii="仿宋_GB2312" w:hAnsi="仿宋_GB2312" w:eastAsia="仿宋_GB2312" w:cs="仿宋_GB2312"/>
          <w:sz w:val="28"/>
          <w:szCs w:val="28"/>
        </w:rPr>
        <w:t>为更好地对土地资产进行投资管理，控制投资风险，提高投资效益，广州市净水有限公司（简称净水公司）拟成立土地开发公司。需对土地开发公司成立相关的投资必要性、合法性、投资环境、投资条件、投资内容、投资方案、土地资产租金水平初步评估、投资成本效益等进行分析，研究土地开发公司股权投资项目的可行性。</w:t>
      </w:r>
      <w:bookmarkEnd w:id="1"/>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二、项目技术要求</w:t>
      </w:r>
    </w:p>
    <w:p>
      <w:pPr>
        <w:spacing w:line="360" w:lineRule="auto"/>
        <w:ind w:firstLine="560" w:firstLineChars="200"/>
        <w:rPr>
          <w:rFonts w:ascii="仿宋_GB2312" w:hAnsi="仿宋_GB2312" w:eastAsia="仿宋_GB2312" w:cs="仿宋_GB2312"/>
          <w:sz w:val="28"/>
          <w:szCs w:val="28"/>
          <w:u w:val="none"/>
        </w:rPr>
      </w:pPr>
      <w:r>
        <w:rPr>
          <w:rFonts w:ascii="仿宋_GB2312" w:hAnsi="仿宋_GB2312" w:eastAsia="仿宋_GB2312" w:cs="仿宋_GB2312"/>
          <w:sz w:val="28"/>
          <w:szCs w:val="28"/>
          <w:u w:val="none"/>
        </w:rPr>
        <w:t>1.</w:t>
      </w:r>
      <w:r>
        <w:rPr>
          <w:rFonts w:hint="eastAsia" w:ascii="仿宋_GB2312" w:hAnsi="仿宋_GB2312" w:eastAsia="仿宋_GB2312" w:cs="仿宋_GB2312"/>
          <w:sz w:val="28"/>
          <w:szCs w:val="28"/>
          <w:u w:val="none"/>
        </w:rPr>
        <w:t>咨询成果文件上须加盖工程咨询单位公章和咨询工程师（投资）执业专用章。</w:t>
      </w:r>
    </w:p>
    <w:p>
      <w:pPr>
        <w:spacing w:line="360" w:lineRule="auto"/>
        <w:ind w:firstLine="560" w:firstLineChars="200"/>
        <w:rPr>
          <w:rFonts w:ascii="仿宋_GB2312" w:hAnsi="仿宋_GB2312" w:eastAsia="仿宋_GB2312" w:cs="仿宋_GB2312"/>
          <w:sz w:val="28"/>
          <w:szCs w:val="28"/>
          <w:u w:val="none"/>
        </w:rPr>
      </w:pPr>
      <w:r>
        <w:rPr>
          <w:rFonts w:ascii="仿宋_GB2312" w:hAnsi="仿宋_GB2312" w:eastAsia="仿宋_GB2312" w:cs="仿宋_GB2312"/>
          <w:sz w:val="28"/>
          <w:szCs w:val="28"/>
          <w:u w:val="none"/>
        </w:rPr>
        <w:t>2.</w:t>
      </w:r>
      <w:r>
        <w:rPr>
          <w:rFonts w:hint="eastAsia" w:ascii="仿宋_GB2312" w:hAnsi="仿宋_GB2312" w:eastAsia="仿宋_GB2312" w:cs="仿宋_GB2312"/>
          <w:sz w:val="28"/>
          <w:szCs w:val="28"/>
          <w:u w:val="none"/>
        </w:rPr>
        <w:t>工程咨询单位对咨询质量负总责，主持该咨询业务的人员对咨询成果文件质量负主要直接责任，参与人员对其编写的篇章内容负责。</w:t>
      </w:r>
    </w:p>
    <w:p>
      <w:pPr>
        <w:spacing w:line="360" w:lineRule="auto"/>
        <w:ind w:firstLine="560" w:firstLineChars="200"/>
        <w:rPr>
          <w:rFonts w:ascii="仿宋" w:hAnsi="仿宋" w:eastAsia="仿宋" w:cs="仿宋_GB2312"/>
          <w:sz w:val="28"/>
          <w:szCs w:val="28"/>
        </w:rPr>
      </w:pPr>
      <w:r>
        <w:rPr>
          <w:rFonts w:ascii="仿宋_GB2312" w:hAnsi="仿宋_GB2312" w:eastAsia="仿宋_GB2312" w:cs="仿宋_GB2312"/>
          <w:sz w:val="28"/>
          <w:szCs w:val="28"/>
          <w:u w:val="none"/>
        </w:rPr>
        <w:t>3.</w:t>
      </w:r>
      <w:r>
        <w:rPr>
          <w:rFonts w:hint="eastAsia" w:ascii="仿宋_GB2312" w:hAnsi="仿宋_GB2312" w:eastAsia="仿宋_GB2312" w:cs="仿宋_GB2312"/>
          <w:sz w:val="28"/>
          <w:szCs w:val="28"/>
          <w:u w:val="none"/>
        </w:rPr>
        <w:t>实行咨询成果质量终身负责制。</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4.可行性研究报告必须符合《中华人民共和国土地管理法》、《中华人民共和国城市房地产管理法》、《投资项目可行性研究指南》、《建设项目经济评价方法与参数》等有关国家和地方的法律、法规、规章、标准和技术要求。</w:t>
      </w:r>
    </w:p>
    <w:p>
      <w:pPr>
        <w:pStyle w:val="8"/>
        <w:adjustRightInd w:val="0"/>
        <w:snapToGrid w:val="0"/>
        <w:spacing w:line="360" w:lineRule="auto"/>
        <w:ind w:firstLine="560" w:firstLineChars="200"/>
        <w:jc w:val="left"/>
        <w:rPr>
          <w:rFonts w:ascii="仿宋" w:hAnsi="仿宋" w:eastAsia="仿宋" w:cs="仿宋_GB2312"/>
          <w:sz w:val="28"/>
          <w:szCs w:val="28"/>
        </w:rPr>
      </w:pPr>
      <w:r>
        <w:rPr>
          <w:rFonts w:hint="eastAsia" w:ascii="仿宋" w:hAnsi="仿宋" w:eastAsia="仿宋" w:cs="仿宋_GB2312"/>
          <w:sz w:val="28"/>
          <w:szCs w:val="28"/>
        </w:rPr>
        <w:t>5.研究内容、深度必须符合并满足相关主管部门的有关要求。</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4.承包方式：总价包干。</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本合同采用总价包干，工作内容包括完成本合同项下的所有工作。整个项目主要工作内容包括：</w:t>
      </w:r>
    </w:p>
    <w:p>
      <w:pPr>
        <w:spacing w:line="360" w:lineRule="auto"/>
        <w:ind w:firstLine="560" w:firstLineChars="200"/>
        <w:rPr>
          <w:rFonts w:ascii="仿宋_GB2312" w:hAnsi="仿宋_GB2312" w:eastAsia="仿宋_GB2312" w:cs="仿宋_GB2312"/>
          <w:sz w:val="28"/>
          <w:szCs w:val="28"/>
        </w:rPr>
      </w:pPr>
      <w:bookmarkStart w:id="2" w:name="_Toc62667714"/>
      <w:bookmarkStart w:id="3" w:name="_Hlk73001214"/>
      <w:r>
        <w:rPr>
          <w:rFonts w:hint="eastAsia" w:ascii="仿宋_GB2312" w:hAnsi="仿宋_GB2312" w:eastAsia="仿宋_GB2312" w:cs="仿宋_GB2312"/>
          <w:sz w:val="28"/>
          <w:szCs w:val="28"/>
        </w:rPr>
        <w:t>（一）可行性研究报告</w:t>
      </w:r>
    </w:p>
    <w:bookmarkEnd w:id="2"/>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、投资环境分析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（1）宏观社会环境调研：对宏观社会经济发展、产业、交通、资源、规划等条件进行分析和调研；</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（2）土地房地产市场调研：对区域土地、房地产市场供需情况、市场成交情况、价格变动趋势等进行分析调研。</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、项目投资经营资产分析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根据委托方提供的材料，分析可进行投资经营的土地资产，对其面积、权属、用途、未来可经营利用方向等方面进行分析。</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、研究项目的投资必要性分析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从政府领导要求、集团战略规划、企业发展等方面充分论证成立土地开发公司的必要性。</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、项目投资方案分析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分析项目投资规模、投资方式、投资资金来源、融资模式、出资情况等，制定组织架构、人员配置等内容。</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、土地资产租金收益水平预估</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结合土地现状情况、市场案例，由专业土地估价师对土地开发公司初步拟经营土地资产的租金水平进行初步预估，为经营收益测算提供依据支撑。</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、项目投资效益分析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土地可开发公司股权投资方案及投资经营设想，结合土地资产现状条件等，测算项目投资整体实施过程中涉及的各项成本费用及可带来的收益，对营业收入、利润、投资收益率、投资回收期等财务指标进行测算。</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、项目风险与对策分析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根据项目投资方案，披露项目投资过程中可能存在的潜在风险，并提出相关的防范措施，以便企业参考决策。</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、汇编报告及相关展示材料</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根据上述研究成果及其他必要内容，编制形成项目可行性研究报告。</w:t>
      </w:r>
    </w:p>
    <w:bookmarkEnd w:id="3"/>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8"/>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8"/>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pStyle w:val="24"/>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如果报价单位认为询价文件或询价过程或询价结果使其权益受到损害的，可向询价人提出书面质疑。询价人应在规定时间内给予答复。</w:t>
      </w:r>
    </w:p>
    <w:p>
      <w:pPr>
        <w:widowControl/>
        <w:jc w:val="left"/>
        <w:rPr>
          <w:sz w:val="28"/>
          <w:szCs w:val="28"/>
        </w:rPr>
      </w:pPr>
      <w:r>
        <w:rPr>
          <w:sz w:val="28"/>
          <w:szCs w:val="28"/>
        </w:rPr>
        <w:br w:type="page"/>
      </w:r>
    </w:p>
    <w:p>
      <w:pPr>
        <w:pStyle w:val="4"/>
      </w:pPr>
      <w:bookmarkStart w:id="4" w:name="_Toc179632599"/>
      <w:bookmarkStart w:id="5" w:name="_Toc371433002"/>
      <w:bookmarkStart w:id="6" w:name="_Toc144974548"/>
      <w:bookmarkStart w:id="7" w:name="_Toc152042358"/>
      <w:bookmarkStart w:id="8" w:name="_Toc152045581"/>
      <w:bookmarkStart w:id="9" w:name="_Toc247085739"/>
      <w:r>
        <w:rPr>
          <w:rFonts w:hint="eastAsia"/>
        </w:rPr>
        <w:t>附件一报价记录表</w:t>
      </w:r>
      <w:bookmarkEnd w:id="4"/>
      <w:bookmarkEnd w:id="5"/>
      <w:bookmarkEnd w:id="6"/>
      <w:bookmarkEnd w:id="7"/>
      <w:bookmarkEnd w:id="8"/>
      <w:bookmarkEnd w:id="9"/>
    </w:p>
    <w:p>
      <w:pPr>
        <w:spacing w:line="400" w:lineRule="exact"/>
        <w:jc w:val="center"/>
        <w:rPr>
          <w:rFonts w:hint="eastAsia" w:ascii="仿宋" w:hAnsi="仿宋" w:eastAsia="仿宋" w:cs="仿宋_GB2312"/>
          <w:bCs/>
          <w:color w:val="000000"/>
          <w:sz w:val="28"/>
          <w:szCs w:val="28"/>
          <w:u w:val="single"/>
          <w:lang w:eastAsia="zh-CN"/>
        </w:rPr>
      </w:pPr>
      <w:r>
        <w:rPr>
          <w:rFonts w:hint="eastAsia" w:ascii="仿宋" w:hAnsi="仿宋" w:eastAsia="仿宋" w:cs="仿宋_GB2312"/>
          <w:bCs/>
          <w:color w:val="000000"/>
          <w:sz w:val="28"/>
          <w:szCs w:val="28"/>
          <w:u w:val="single"/>
        </w:rPr>
        <w:t>广州市净水有限公司成立土地开发公司项目可行性研究报告</w:t>
      </w:r>
      <w:r>
        <w:rPr>
          <w:rFonts w:hint="eastAsia" w:ascii="仿宋" w:hAnsi="仿宋" w:eastAsia="仿宋" w:cs="仿宋_GB2312"/>
          <w:bCs/>
          <w:color w:val="000000"/>
          <w:sz w:val="28"/>
          <w:szCs w:val="28"/>
          <w:u w:val="single"/>
          <w:lang w:eastAsia="zh-CN"/>
        </w:rPr>
        <w:t>（</w:t>
      </w:r>
      <w:r>
        <w:rPr>
          <w:rFonts w:hint="eastAsia" w:ascii="仿宋" w:hAnsi="仿宋" w:eastAsia="仿宋" w:cs="仿宋_GB2312"/>
          <w:bCs/>
          <w:color w:val="000000"/>
          <w:sz w:val="28"/>
          <w:szCs w:val="28"/>
          <w:u w:val="single"/>
          <w:lang w:val="en-US" w:eastAsia="zh-CN"/>
        </w:rPr>
        <w:t>第二次</w:t>
      </w:r>
      <w:r>
        <w:rPr>
          <w:rFonts w:hint="eastAsia" w:ascii="仿宋" w:hAnsi="仿宋" w:eastAsia="仿宋" w:cs="仿宋_GB2312"/>
          <w:bCs/>
          <w:color w:val="000000"/>
          <w:sz w:val="28"/>
          <w:szCs w:val="28"/>
          <w:u w:val="single"/>
          <w:lang w:eastAsia="zh-CN"/>
        </w:rPr>
        <w:t>）</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210" w:firstLineChars="100"/>
        <w:jc w:val="left"/>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rPr>
      </w:pPr>
      <w:r>
        <w:rPr>
          <w:rFonts w:hint="eastAsia" w:ascii="仿宋" w:hAnsi="仿宋" w:eastAsia="仿宋" w:cs="仿宋_GB2312"/>
          <w:color w:val="000000"/>
        </w:rPr>
        <w:t>经办人：                                      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日期：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rPr>
        <w:t xml:space="preserve"> </w:t>
      </w:r>
      <w:r>
        <w:rPr>
          <w:rFonts w:hint="eastAsia" w:ascii="仿宋" w:hAnsi="仿宋" w:eastAsia="仿宋"/>
          <w:color w:val="000000"/>
          <w:sz w:val="24"/>
        </w:rPr>
        <w:t>广州市净水有限公司成立土地开发公司项目可行性研究报告</w:t>
      </w:r>
      <w:r>
        <w:rPr>
          <w:rFonts w:hint="eastAsia" w:ascii="仿宋" w:hAnsi="仿宋" w:eastAsia="仿宋"/>
          <w:color w:val="000000"/>
          <w:sz w:val="24"/>
          <w:lang w:eastAsia="zh-CN"/>
        </w:rPr>
        <w:t>（</w:t>
      </w:r>
      <w:r>
        <w:rPr>
          <w:rFonts w:hint="eastAsia" w:ascii="仿宋" w:hAnsi="仿宋" w:eastAsia="仿宋"/>
          <w:color w:val="000000"/>
          <w:sz w:val="24"/>
          <w:lang w:val="en-US" w:eastAsia="zh-CN"/>
        </w:rPr>
        <w:t>第二次</w:t>
      </w:r>
      <w:r>
        <w:rPr>
          <w:rFonts w:hint="eastAsia" w:ascii="仿宋" w:hAnsi="仿宋" w:eastAsia="仿宋"/>
          <w:color w:val="000000"/>
          <w:sz w:val="24"/>
          <w:lang w:eastAsia="zh-CN"/>
        </w:rPr>
        <w:t>）</w:t>
      </w:r>
      <w:r>
        <w:rPr>
          <w:rFonts w:hint="eastAsia" w:ascii="仿宋" w:hAnsi="仿宋" w:eastAsia="仿宋"/>
          <w:color w:val="000000"/>
          <w:sz w:val="24"/>
        </w:rPr>
        <w:t xml:space="preserve"> </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eastAsia="宋体" w:cs="宋体"/>
                <w:color w:val="000000"/>
                <w:sz w:val="24"/>
                <w:szCs w:val="24"/>
                <w:lang w:val="en-US" w:eastAsia="zh-CN"/>
              </w:rPr>
              <w:t>响应承诺书</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广州市净水有限公司成立土地开发公司项目可行性研究报告的承包单位，承包内容为询价文件所规定的发包内容，报价为人民币×拾×万×仟×佰元（￥元）。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5"/>
        <w:numPr>
          <w:ilvl w:val="0"/>
          <w:numId w:val="3"/>
        </w:numPr>
      </w:pPr>
      <w:r>
        <w:rPr>
          <w:rFonts w:hint="eastAsia"/>
        </w:rPr>
        <w:t>合同书格式</w:t>
      </w:r>
    </w:p>
    <w:p/>
    <w:p>
      <w:pPr>
        <w:pStyle w:val="4"/>
        <w:jc w:val="center"/>
        <w:rPr>
          <w:rFonts w:ascii="仿宋_GB2312" w:hAnsi="仿宋_GB2312" w:eastAsia="仿宋_GB2312" w:cs="仿宋_GB2312"/>
          <w:sz w:val="28"/>
          <w:szCs w:val="28"/>
        </w:rPr>
      </w:pPr>
      <w:r>
        <w:rPr>
          <w:rFonts w:hint="eastAsia"/>
        </w:rPr>
        <w:t>可行性研究报告编制合同</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p>
    <w:p>
      <w:pPr>
        <w:adjustRightInd w:val="0"/>
        <w:spacing w:line="360" w:lineRule="auto"/>
        <w:ind w:firstLine="228" w:firstLineChars="95"/>
        <w:jc w:val="left"/>
        <w:textAlignment w:val="baseline"/>
        <w:rPr>
          <w:rFonts w:ascii="宋体" w:hAnsi="宋体" w:cs="宋体"/>
          <w:color w:val="000000"/>
          <w:sz w:val="24"/>
          <w:szCs w:val="24"/>
          <w:u w:val="single"/>
        </w:rPr>
      </w:pPr>
    </w:p>
    <w:p>
      <w:pPr>
        <w:pStyle w:val="8"/>
        <w:spacing w:line="360" w:lineRule="auto"/>
        <w:ind w:firstLine="480" w:firstLineChars="200"/>
        <w:rPr>
          <w:rFonts w:hAnsi="宋体" w:cs="宋体"/>
          <w:color w:val="000000"/>
          <w:sz w:val="24"/>
          <w:szCs w:val="24"/>
        </w:rPr>
      </w:pPr>
      <w:r>
        <w:rPr>
          <w:rFonts w:hint="eastAsia" w:asciiTheme="minorEastAsia" w:hAnsiTheme="minorEastAsia" w:cstheme="minorEastAsia"/>
          <w:sz w:val="24"/>
          <w:szCs w:val="24"/>
        </w:rPr>
        <w:t>为更好地对土地资产进行投资管理，控制投资风险，提高投资效益，广州市净水有限公司（简称净水公司）拟成立土地开发公司。需对土地开发公司成立相关的投资必要性、合法性、投资环境、投资条件、投资内容、投资方案、土地资产租金水平初步评估、投资成本效益等进行分析，研究土地开发公司股权投资项目的可行性。故</w:t>
      </w:r>
      <w:r>
        <w:rPr>
          <w:rFonts w:hint="eastAsia" w:hAnsi="宋体" w:cs="宋体"/>
          <w:color w:val="000000"/>
          <w:sz w:val="24"/>
          <w:szCs w:val="24"/>
        </w:rPr>
        <w:t>甲方就</w:t>
      </w:r>
      <w:r>
        <w:rPr>
          <w:rFonts w:hint="eastAsia" w:hAnsi="宋体" w:cs="宋体"/>
          <w:sz w:val="24"/>
          <w:szCs w:val="24"/>
          <w:u w:val="single"/>
        </w:rPr>
        <w:t>广州市净水有限公司成立土地开发公司项目可行性研究报告项目</w:t>
      </w:r>
      <w:r>
        <w:rPr>
          <w:rFonts w:hint="eastAsia" w:hAnsi="宋体" w:cs="宋体"/>
          <w:color w:val="000000"/>
          <w:sz w:val="24"/>
          <w:szCs w:val="24"/>
        </w:rPr>
        <w:t>委托乙方提供相应咨询服务。经双方协商一致，签订本合同。</w:t>
      </w:r>
    </w:p>
    <w:p>
      <w:pPr>
        <w:adjustRightInd w:val="0"/>
        <w:spacing w:line="360" w:lineRule="auto"/>
        <w:jc w:val="left"/>
        <w:textAlignment w:val="baseline"/>
        <w:rPr>
          <w:rFonts w:ascii="宋体" w:hAnsi="宋体" w:cs="宋体"/>
          <w:b/>
          <w:color w:val="000000"/>
          <w:sz w:val="24"/>
          <w:szCs w:val="24"/>
        </w:rPr>
      </w:pPr>
      <w:r>
        <w:rPr>
          <w:rFonts w:hint="eastAsia" w:ascii="宋体" w:hAnsi="宋体" w:cs="宋体"/>
          <w:b/>
          <w:bCs/>
          <w:color w:val="000000"/>
          <w:sz w:val="24"/>
          <w:szCs w:val="24"/>
        </w:rPr>
        <w:t>第一条</w:t>
      </w:r>
      <w:r>
        <w:rPr>
          <w:rFonts w:hint="eastAsia" w:ascii="宋体" w:hAnsi="宋体" w:cs="宋体"/>
          <w:b/>
          <w:color w:val="000000"/>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1.1《中华人民共和国民法典》、《中华人民共和国土地管理法》、《中华人民共和国城市房地产管理法》。</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1.2 国家及地方有关建设工程前期工作管理法规和规章。</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sz w:val="24"/>
          <w:szCs w:val="24"/>
        </w:rPr>
        <w:t>1.3 建设工程批准文件。</w:t>
      </w:r>
    </w:p>
    <w:p>
      <w:pPr>
        <w:pStyle w:val="24"/>
        <w:rPr>
          <w:rFonts w:hAnsi="宋体"/>
        </w:rPr>
      </w:pP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2.1甲方给乙方的委托通知书</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2.2甲方提交的基础资料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2.3 乙方采用的主要技术标准包括但不限于：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《投资项目可行性研究指南》；</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《建设项目经济评价方法与参数》（第三版）；</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《房地产开发项目经济评价方法》（建标﹝2000﹞205号）；</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《城镇土地估价规程》（GB/T18508-2014）；</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《房地产估价规范》（GB/T50291-2015）；</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《城市用地分类与规划建设用地标准》(GB50137-2011)。</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上述规范如有更新的，以最新版本为准。</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3.1合同书</w:t>
      </w:r>
    </w:p>
    <w:p>
      <w:pPr>
        <w:adjustRightInd w:val="0"/>
        <w:spacing w:line="360" w:lineRule="auto"/>
        <w:ind w:firstLine="480" w:firstLineChars="200"/>
        <w:jc w:val="left"/>
        <w:textAlignment w:val="baseline"/>
        <w:rPr>
          <w:rFonts w:ascii="宋体" w:hAnsi="宋体" w:cs="宋体"/>
          <w:color w:val="000000"/>
          <w:sz w:val="24"/>
          <w:szCs w:val="24"/>
          <w:shd w:val="pct10" w:color="auto" w:fill="FFFFFF"/>
        </w:rPr>
      </w:pPr>
      <w:r>
        <w:rPr>
          <w:rFonts w:hint="eastAsia" w:ascii="宋体" w:hAnsi="宋体" w:cs="宋体"/>
          <w:color w:val="000000"/>
          <w:sz w:val="24"/>
          <w:szCs w:val="24"/>
        </w:rPr>
        <w:t>3.2发包通知书</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3.3 甲方的要求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3.4技术规范</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第四条  项目概况</w:t>
      </w:r>
    </w:p>
    <w:p>
      <w:pPr>
        <w:adjustRightInd w:val="0"/>
        <w:spacing w:line="360" w:lineRule="auto"/>
        <w:ind w:left="1" w:firstLine="480" w:firstLineChars="200"/>
        <w:jc w:val="left"/>
        <w:textAlignment w:val="baseline"/>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广州市净水有限公司成立土地开发公司项目可行性研究报告</w:t>
      </w:r>
      <w:r>
        <w:rPr>
          <w:rFonts w:hint="eastAsia" w:ascii="宋体" w:hAnsi="宋体" w:cs="宋体"/>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u w:val="single"/>
        </w:rPr>
      </w:pPr>
      <w:r>
        <w:rPr>
          <w:rFonts w:hint="eastAsia" w:asciiTheme="minorEastAsia" w:hAnsiTheme="minorEastAsia" w:cstheme="minorEastAsia"/>
          <w:sz w:val="24"/>
          <w:szCs w:val="24"/>
        </w:rPr>
        <w:t>项目地点：</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广州市范围。</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工作内容如下：</w:t>
      </w:r>
    </w:p>
    <w:p>
      <w:pPr>
        <w:spacing w:line="360" w:lineRule="auto"/>
        <w:ind w:firstLine="480" w:firstLineChars="200"/>
        <w:rPr>
          <w:rFonts w:ascii="宋体" w:hAnsi="宋体" w:cs="宋体"/>
          <w:sz w:val="24"/>
          <w:szCs w:val="24"/>
        </w:rPr>
      </w:pPr>
      <w:r>
        <w:rPr>
          <w:rFonts w:hint="eastAsia" w:ascii="宋体" w:hAnsi="宋体" w:cs="宋体"/>
          <w:sz w:val="24"/>
          <w:szCs w:val="24"/>
        </w:rPr>
        <w:t>（一）可行性研究报告</w:t>
      </w:r>
    </w:p>
    <w:p>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、投资环境分析</w:t>
      </w:r>
    </w:p>
    <w:p>
      <w:pPr>
        <w:spacing w:line="360" w:lineRule="auto"/>
        <w:ind w:firstLine="480" w:firstLineChars="200"/>
        <w:rPr>
          <w:rFonts w:ascii="宋体" w:hAnsi="宋体" w:cs="宋体"/>
          <w:sz w:val="24"/>
          <w:szCs w:val="24"/>
        </w:rPr>
      </w:pPr>
      <w:r>
        <w:rPr>
          <w:rFonts w:hint="eastAsia" w:ascii="宋体" w:hAnsi="宋体" w:cs="宋体"/>
          <w:sz w:val="24"/>
          <w:szCs w:val="24"/>
        </w:rPr>
        <w:t>（1）宏观社会环境调研：对宏观社会经济发展、产业、交通、资源、规划等条件进行分析和调研；</w:t>
      </w:r>
    </w:p>
    <w:p>
      <w:pPr>
        <w:spacing w:line="360" w:lineRule="auto"/>
        <w:ind w:firstLine="480" w:firstLineChars="200"/>
        <w:rPr>
          <w:rFonts w:ascii="宋体" w:hAnsi="宋体" w:cs="宋体"/>
          <w:sz w:val="24"/>
          <w:szCs w:val="24"/>
        </w:rPr>
      </w:pPr>
      <w:r>
        <w:rPr>
          <w:rFonts w:hint="eastAsia" w:ascii="宋体" w:hAnsi="宋体" w:cs="宋体"/>
          <w:sz w:val="24"/>
          <w:szCs w:val="24"/>
        </w:rPr>
        <w:t>（2）土地房地产市场调研：对区域土地、房地产市场供需情况、市场成交情况、价格变动趋势等进行分析调研。</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、项目投资经营资产分析</w:t>
      </w:r>
    </w:p>
    <w:p>
      <w:pPr>
        <w:spacing w:line="360" w:lineRule="auto"/>
        <w:ind w:firstLine="480" w:firstLineChars="200"/>
        <w:rPr>
          <w:rFonts w:ascii="宋体" w:hAnsi="宋体" w:cs="宋体"/>
          <w:sz w:val="24"/>
          <w:szCs w:val="24"/>
        </w:rPr>
      </w:pPr>
      <w:r>
        <w:rPr>
          <w:rFonts w:hint="eastAsia" w:ascii="宋体" w:hAnsi="宋体" w:cs="宋体"/>
          <w:sz w:val="24"/>
          <w:szCs w:val="24"/>
        </w:rPr>
        <w:t>根据委托方提供的材料，分析可进行投资经营的土地资产，对其面积、权属、用途、未来可经营利用方向等方面进行分析。</w:t>
      </w:r>
    </w:p>
    <w:p>
      <w:pPr>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、研究项目的投资必要性分析</w:t>
      </w:r>
    </w:p>
    <w:p>
      <w:pPr>
        <w:spacing w:line="360" w:lineRule="auto"/>
        <w:ind w:firstLine="480" w:firstLineChars="200"/>
        <w:rPr>
          <w:rFonts w:ascii="宋体" w:hAnsi="宋体" w:cs="宋体"/>
          <w:sz w:val="24"/>
          <w:szCs w:val="24"/>
        </w:rPr>
      </w:pPr>
      <w:r>
        <w:rPr>
          <w:rFonts w:hint="eastAsia" w:ascii="宋体" w:hAnsi="宋体" w:cs="宋体"/>
          <w:sz w:val="24"/>
          <w:szCs w:val="24"/>
        </w:rPr>
        <w:t>从政府领导要求、集团战略规划、企业发展等方面充分论证成立土地开发公司的必要性。</w:t>
      </w:r>
    </w:p>
    <w:p>
      <w:pPr>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、项目投资方案分析</w:t>
      </w:r>
    </w:p>
    <w:p>
      <w:pPr>
        <w:spacing w:line="360" w:lineRule="auto"/>
        <w:ind w:firstLine="480" w:firstLineChars="200"/>
        <w:rPr>
          <w:rFonts w:ascii="宋体" w:hAnsi="宋体" w:cs="宋体"/>
          <w:sz w:val="24"/>
          <w:szCs w:val="24"/>
        </w:rPr>
      </w:pPr>
      <w:r>
        <w:rPr>
          <w:rFonts w:hint="eastAsia" w:ascii="宋体" w:hAnsi="宋体" w:cs="宋体"/>
          <w:sz w:val="24"/>
          <w:szCs w:val="24"/>
        </w:rPr>
        <w:t>分析项目投资规模、投资方式、投资资金来源、融资模式、出资情况等，制定组织架构、人员配置等内容。</w:t>
      </w:r>
    </w:p>
    <w:p>
      <w:pPr>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、土地资产租金收益水平预估</w:t>
      </w:r>
    </w:p>
    <w:p>
      <w:pPr>
        <w:spacing w:line="360" w:lineRule="auto"/>
        <w:ind w:firstLine="480" w:firstLineChars="200"/>
        <w:rPr>
          <w:rFonts w:ascii="宋体" w:hAnsi="宋体" w:cs="宋体"/>
          <w:sz w:val="24"/>
          <w:szCs w:val="24"/>
        </w:rPr>
      </w:pPr>
      <w:r>
        <w:rPr>
          <w:rFonts w:hint="eastAsia" w:ascii="宋体" w:hAnsi="宋体" w:cs="宋体"/>
          <w:sz w:val="24"/>
          <w:szCs w:val="24"/>
        </w:rPr>
        <w:t>结合土地现状情况、市场案例，由专业土地估价师对土地开发公司初步拟经营土地资产的租金水平进行初步预估，为经营收益测算提供依据支撑。</w:t>
      </w:r>
    </w:p>
    <w:p>
      <w:pPr>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、项目投资效益分析</w:t>
      </w:r>
    </w:p>
    <w:p>
      <w:pPr>
        <w:spacing w:line="360" w:lineRule="auto"/>
        <w:ind w:firstLine="480" w:firstLineChars="200"/>
        <w:rPr>
          <w:rFonts w:ascii="宋体" w:hAnsi="宋体" w:cs="宋体"/>
          <w:sz w:val="24"/>
          <w:szCs w:val="24"/>
        </w:rPr>
      </w:pPr>
      <w:r>
        <w:rPr>
          <w:rFonts w:hint="eastAsia" w:ascii="宋体" w:hAnsi="宋体" w:cs="宋体"/>
          <w:sz w:val="24"/>
          <w:szCs w:val="24"/>
        </w:rPr>
        <w:t>根据土地可开发公司股权投资方案及投资经营设想，结合土地资产现状条件等，测算项目投资整体实施过程中涉及的各项成本费用及可带来的收益，对营业收入、利润、投资收益率、投资回收期等财务指标进行测算。</w:t>
      </w:r>
    </w:p>
    <w:p>
      <w:pPr>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、项目风险与对策分析</w:t>
      </w:r>
    </w:p>
    <w:p>
      <w:pPr>
        <w:spacing w:line="360" w:lineRule="auto"/>
        <w:ind w:firstLine="480" w:firstLineChars="200"/>
        <w:rPr>
          <w:rFonts w:ascii="宋体" w:hAnsi="宋体" w:cs="宋体"/>
          <w:sz w:val="24"/>
          <w:szCs w:val="24"/>
        </w:rPr>
      </w:pPr>
      <w:r>
        <w:rPr>
          <w:rFonts w:hint="eastAsia" w:ascii="宋体" w:hAnsi="宋体" w:cs="宋体"/>
          <w:sz w:val="24"/>
          <w:szCs w:val="24"/>
        </w:rPr>
        <w:t>根据项目投资方案，披露项目投资过程中可能存在的潜在风险，并提出相关的防范措施，以便企业参考决策。</w:t>
      </w:r>
    </w:p>
    <w:p>
      <w:pPr>
        <w:spacing w:line="360" w:lineRule="auto"/>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、汇编报告及相关展示材料</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根据上述研究成果及其他必要内容，编制形成项目可行性研究报告。</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第五条 乙方向甲方交付资料及文件</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5.1本合同签订后，乙方应在合同生效之日起</w:t>
      </w:r>
      <w:r>
        <w:rPr>
          <w:rFonts w:ascii="宋体" w:hAnsi="宋体" w:cs="宋体"/>
          <w:sz w:val="24"/>
          <w:szCs w:val="24"/>
        </w:rPr>
        <w:t>5</w:t>
      </w:r>
      <w:r>
        <w:rPr>
          <w:rFonts w:hint="eastAsia" w:ascii="宋体" w:hAnsi="宋体" w:cs="宋体"/>
          <w:sz w:val="24"/>
          <w:szCs w:val="24"/>
        </w:rPr>
        <w:t>个工作日内提交项目报告成果初稿。</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5.2可行性研究报告(最终成果)纸质打印一式八份，电子档一份（未加密且可编辑格式），具体以甲方通知为准。</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w:t>
      </w:r>
      <w:r>
        <w:rPr>
          <w:rFonts w:ascii="宋体" w:hAnsi="宋体" w:cs="宋体"/>
          <w:sz w:val="24"/>
          <w:szCs w:val="24"/>
        </w:rPr>
        <w:t>3</w:t>
      </w:r>
      <w:r>
        <w:rPr>
          <w:rFonts w:hint="eastAsia" w:ascii="宋体" w:hAnsi="宋体" w:cs="宋体"/>
          <w:sz w:val="24"/>
          <w:szCs w:val="24"/>
        </w:rPr>
        <w:t>如有必要提供上述第5.</w:t>
      </w:r>
      <w:r>
        <w:rPr>
          <w:rFonts w:ascii="宋体" w:hAnsi="宋体" w:cs="宋体"/>
          <w:sz w:val="24"/>
          <w:szCs w:val="24"/>
        </w:rPr>
        <w:t>2</w:t>
      </w:r>
      <w:r>
        <w:rPr>
          <w:rFonts w:hint="eastAsia" w:ascii="宋体" w:hAnsi="宋体" w:cs="宋体"/>
          <w:sz w:val="24"/>
          <w:szCs w:val="24"/>
        </w:rPr>
        <w:t>条以外的成果时，超出份数成果的制作成本费由甲方另行支付。成本费具体数额根据当时市场行情由甲方和乙方协商确定。</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5.5乙方应配合甲方开展结算工作并提交结算的相关资料,若乙方在接到甲方通知后逾期超过30天未提交完整的结算资料和结算报告等，甲方有权单方自行结算，由此产生的一切责任由乙方承担。</w:t>
      </w:r>
    </w:p>
    <w:p>
      <w:pPr>
        <w:pStyle w:val="17"/>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第六条 费用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6.1本合同总价包干，暂定金额为人民币XX万元（大写：人民币XXX），含税率。甲、乙双方同意，对属于《广州市财政投资评审管理办法》评审范围的财政性资金投资项目，财政投资评审结果作为该项目价款结算的依据。</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6.2本合同采用总价包干，工作内容包括完成本合同项下的所有工作（包含但不限于报告编制和报审、现状展示视频制作及公示期间相关工作的配合等）。</w:t>
      </w:r>
    </w:p>
    <w:tbl>
      <w:tblPr>
        <w:tblStyle w:val="19"/>
        <w:tblW w:w="4749"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3"/>
        <w:gridCol w:w="1299"/>
        <w:gridCol w:w="3247"/>
        <w:gridCol w:w="37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服务项目</w:t>
            </w:r>
          </w:p>
        </w:tc>
        <w:tc>
          <w:tcPr>
            <w:tcW w:w="714"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项目费用</w:t>
            </w:r>
          </w:p>
        </w:tc>
        <w:tc>
          <w:tcPr>
            <w:tcW w:w="1785"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主要工作内容</w:t>
            </w:r>
          </w:p>
        </w:tc>
        <w:tc>
          <w:tcPr>
            <w:tcW w:w="2087"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pStyle w:val="26"/>
              <w:spacing w:after="240" w:line="360" w:lineRule="exact"/>
              <w:jc w:val="center"/>
              <w:rPr>
                <w:rFonts w:cs="宋体" w:asciiTheme="minorHAnsi" w:hAnsiTheme="minorHAnsi" w:eastAsiaTheme="minorEastAsia"/>
                <w:bCs/>
                <w:color w:val="auto"/>
                <w:kern w:val="2"/>
                <w:szCs w:val="22"/>
              </w:rPr>
            </w:pPr>
            <w:r>
              <w:rPr>
                <w:rFonts w:hint="eastAsia" w:cs="宋体" w:asciiTheme="minorHAnsi" w:hAnsiTheme="minorHAnsi" w:eastAsiaTheme="minorEastAsia"/>
                <w:bCs/>
                <w:color w:val="auto"/>
                <w:kern w:val="2"/>
                <w:szCs w:val="22"/>
              </w:rPr>
              <w:t>可行性研究报告</w:t>
            </w:r>
          </w:p>
        </w:tc>
        <w:tc>
          <w:tcPr>
            <w:tcW w:w="714" w:type="pct"/>
            <w:vAlign w:val="center"/>
          </w:tcPr>
          <w:p>
            <w:pPr>
              <w:tabs>
                <w:tab w:val="left" w:pos="1620"/>
              </w:tabs>
              <w:spacing w:line="360" w:lineRule="exact"/>
              <w:jc w:val="center"/>
              <w:rPr>
                <w:rFonts w:ascii="宋体" w:hAnsi="宋体" w:cs="宋体"/>
                <w:sz w:val="24"/>
              </w:rPr>
            </w:pPr>
            <w:r>
              <w:rPr>
                <w:rFonts w:hint="eastAsia" w:cs="宋体"/>
                <w:bCs/>
                <w:sz w:val="24"/>
              </w:rPr>
              <w:t>万元</w:t>
            </w:r>
          </w:p>
        </w:tc>
        <w:tc>
          <w:tcPr>
            <w:tcW w:w="1785" w:type="pct"/>
            <w:vAlign w:val="center"/>
          </w:tcPr>
          <w:p>
            <w:pPr>
              <w:pStyle w:val="27"/>
              <w:numPr>
                <w:ilvl w:val="0"/>
                <w:numId w:val="4"/>
              </w:numPr>
              <w:spacing w:line="360" w:lineRule="exact"/>
              <w:ind w:firstLineChars="0"/>
              <w:jc w:val="left"/>
              <w:rPr>
                <w:rFonts w:cs="宋体"/>
                <w:bCs/>
                <w:sz w:val="24"/>
              </w:rPr>
            </w:pPr>
            <w:r>
              <w:rPr>
                <w:rFonts w:hint="eastAsia" w:cs="宋体"/>
                <w:bCs/>
                <w:sz w:val="24"/>
              </w:rPr>
              <w:t>投资环境与市场分析</w:t>
            </w:r>
          </w:p>
          <w:p>
            <w:pPr>
              <w:pStyle w:val="27"/>
              <w:numPr>
                <w:ilvl w:val="0"/>
                <w:numId w:val="4"/>
              </w:numPr>
              <w:spacing w:line="360" w:lineRule="exact"/>
              <w:ind w:firstLineChars="0"/>
              <w:jc w:val="left"/>
              <w:rPr>
                <w:rFonts w:cs="宋体"/>
                <w:bCs/>
                <w:sz w:val="24"/>
              </w:rPr>
            </w:pPr>
            <w:r>
              <w:rPr>
                <w:rFonts w:hint="eastAsia" w:cs="宋体"/>
                <w:bCs/>
                <w:sz w:val="24"/>
              </w:rPr>
              <w:t>项目投资经营资产分析</w:t>
            </w:r>
          </w:p>
          <w:p>
            <w:pPr>
              <w:pStyle w:val="27"/>
              <w:numPr>
                <w:ilvl w:val="0"/>
                <w:numId w:val="4"/>
              </w:numPr>
              <w:spacing w:line="360" w:lineRule="exact"/>
              <w:ind w:firstLineChars="0"/>
              <w:jc w:val="left"/>
              <w:rPr>
                <w:rFonts w:cs="宋体"/>
                <w:bCs/>
                <w:sz w:val="24"/>
              </w:rPr>
            </w:pPr>
            <w:r>
              <w:rPr>
                <w:rFonts w:hint="eastAsia" w:cs="宋体"/>
                <w:bCs/>
                <w:sz w:val="24"/>
              </w:rPr>
              <w:t>研究项目的投资必要性分析</w:t>
            </w:r>
          </w:p>
          <w:p>
            <w:pPr>
              <w:pStyle w:val="27"/>
              <w:numPr>
                <w:ilvl w:val="0"/>
                <w:numId w:val="4"/>
              </w:numPr>
              <w:spacing w:line="360" w:lineRule="exact"/>
              <w:ind w:firstLineChars="0"/>
              <w:jc w:val="left"/>
              <w:rPr>
                <w:rFonts w:cs="宋体"/>
                <w:bCs/>
                <w:sz w:val="24"/>
              </w:rPr>
            </w:pPr>
            <w:r>
              <w:rPr>
                <w:rFonts w:hint="eastAsia" w:cs="宋体"/>
                <w:bCs/>
                <w:sz w:val="24"/>
              </w:rPr>
              <w:t>项目投资方案分析综合效益分析</w:t>
            </w:r>
          </w:p>
          <w:p>
            <w:pPr>
              <w:pStyle w:val="27"/>
              <w:numPr>
                <w:ilvl w:val="0"/>
                <w:numId w:val="4"/>
              </w:numPr>
              <w:spacing w:line="360" w:lineRule="exact"/>
              <w:ind w:firstLineChars="0"/>
              <w:jc w:val="left"/>
              <w:rPr>
                <w:rFonts w:ascii="宋体" w:hAnsi="宋体" w:cs="宋体"/>
                <w:sz w:val="24"/>
              </w:rPr>
            </w:pPr>
            <w:r>
              <w:rPr>
                <w:rFonts w:hint="eastAsia" w:cs="宋体"/>
                <w:bCs/>
                <w:sz w:val="24"/>
              </w:rPr>
              <w:t>土地资产租金收益水平预估</w:t>
            </w:r>
          </w:p>
          <w:p>
            <w:pPr>
              <w:pStyle w:val="27"/>
              <w:numPr>
                <w:ilvl w:val="0"/>
                <w:numId w:val="4"/>
              </w:numPr>
              <w:spacing w:line="360" w:lineRule="exact"/>
              <w:ind w:firstLineChars="0"/>
              <w:jc w:val="left"/>
              <w:rPr>
                <w:rFonts w:ascii="宋体" w:hAnsi="宋体" w:cs="宋体"/>
                <w:sz w:val="24"/>
              </w:rPr>
            </w:pPr>
            <w:r>
              <w:rPr>
                <w:rFonts w:hint="eastAsia" w:cs="宋体"/>
                <w:bCs/>
                <w:sz w:val="24"/>
              </w:rPr>
              <w:t>项目投资效益分析</w:t>
            </w:r>
          </w:p>
          <w:p>
            <w:pPr>
              <w:pStyle w:val="27"/>
              <w:numPr>
                <w:ilvl w:val="0"/>
                <w:numId w:val="4"/>
              </w:numPr>
              <w:spacing w:line="360" w:lineRule="exact"/>
              <w:ind w:firstLineChars="0"/>
              <w:jc w:val="left"/>
              <w:rPr>
                <w:rFonts w:ascii="宋体" w:hAnsi="宋体" w:cs="宋体"/>
                <w:sz w:val="24"/>
              </w:rPr>
            </w:pPr>
            <w:r>
              <w:rPr>
                <w:rFonts w:hint="eastAsia" w:ascii="宋体" w:hAnsi="宋体" w:cs="宋体"/>
                <w:sz w:val="24"/>
              </w:rPr>
              <w:t>项目风险与对策分析</w:t>
            </w:r>
          </w:p>
          <w:p>
            <w:pPr>
              <w:pStyle w:val="27"/>
              <w:numPr>
                <w:ilvl w:val="0"/>
                <w:numId w:val="4"/>
              </w:numPr>
              <w:spacing w:line="360" w:lineRule="exact"/>
              <w:ind w:firstLineChars="0"/>
              <w:jc w:val="left"/>
              <w:rPr>
                <w:rFonts w:ascii="宋体" w:hAnsi="宋体" w:cs="宋体"/>
                <w:sz w:val="24"/>
              </w:rPr>
            </w:pPr>
            <w:r>
              <w:rPr>
                <w:rFonts w:hint="eastAsia" w:ascii="宋体" w:hAnsi="宋体" w:cs="宋体"/>
                <w:sz w:val="24"/>
              </w:rPr>
              <w:t>汇编报告及相关展示材料</w:t>
            </w:r>
          </w:p>
        </w:tc>
        <w:tc>
          <w:tcPr>
            <w:tcW w:w="2087" w:type="pct"/>
            <w:vAlign w:val="center"/>
          </w:tcPr>
          <w:p>
            <w:pPr>
              <w:tabs>
                <w:tab w:val="left" w:pos="1620"/>
              </w:tabs>
              <w:spacing w:line="360" w:lineRule="exact"/>
              <w:jc w:val="center"/>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ascii="宋体" w:hAnsi="宋体" w:cs="宋体"/>
                <w:sz w:val="24"/>
              </w:rPr>
            </w:pPr>
            <w:r>
              <w:rPr>
                <w:rFonts w:hint="eastAsia" w:cs="宋体"/>
                <w:bCs/>
                <w:sz w:val="24"/>
              </w:rPr>
              <w:t>总计</w:t>
            </w:r>
          </w:p>
        </w:tc>
        <w:tc>
          <w:tcPr>
            <w:tcW w:w="4586" w:type="pct"/>
            <w:gridSpan w:val="3"/>
            <w:vAlign w:val="center"/>
          </w:tcPr>
          <w:p>
            <w:pPr>
              <w:tabs>
                <w:tab w:val="left" w:pos="1620"/>
              </w:tabs>
              <w:spacing w:line="360" w:lineRule="exact"/>
              <w:jc w:val="center"/>
              <w:rPr>
                <w:rFonts w:ascii="宋体" w:hAnsi="宋体" w:cs="宋体"/>
                <w:sz w:val="24"/>
              </w:rPr>
            </w:pPr>
            <w:r>
              <w:rPr>
                <w:rFonts w:hint="eastAsia" w:ascii="宋体" w:hAnsi="宋体" w:cs="宋体"/>
                <w:sz w:val="24"/>
              </w:rPr>
              <w:t>万元</w:t>
            </w:r>
          </w:p>
        </w:tc>
      </w:tr>
    </w:tbl>
    <w:p>
      <w:pPr>
        <w:pStyle w:val="17"/>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ascii="宋体" w:hAnsi="宋体" w:cs="宋体"/>
          <w:sz w:val="24"/>
          <w:szCs w:val="24"/>
          <w:u w:val="single"/>
        </w:rPr>
      </w:pPr>
      <w:r>
        <w:rPr>
          <w:rFonts w:hint="eastAsia" w:ascii="宋体" w:hAnsi="宋体" w:cs="宋体"/>
          <w:sz w:val="24"/>
          <w:szCs w:val="24"/>
        </w:rPr>
        <w:t>7.1.1 支付办法：本合同生效后，</w:t>
      </w:r>
      <w:r>
        <w:rPr>
          <w:rFonts w:hint="eastAsia" w:ascii="宋体" w:hAnsi="宋体" w:cs="宋体"/>
          <w:sz w:val="24"/>
          <w:szCs w:val="24"/>
          <w:u w:val="single"/>
        </w:rPr>
        <w:t>甲方收到乙方提交的等额增值税发票后，向乙方支付合同费用。</w:t>
      </w:r>
    </w:p>
    <w:p>
      <w:pPr>
        <w:pStyle w:val="24"/>
        <w:ind w:firstLine="480" w:firstLineChars="200"/>
        <w:rPr>
          <w:rFonts w:asciiTheme="minorEastAsia" w:hAnsiTheme="minorEastAsia" w:eastAsiaTheme="minorEastAsia" w:cstheme="minorEastAsia"/>
        </w:rPr>
      </w:pPr>
      <w:r>
        <w:rPr>
          <w:rFonts w:hint="eastAsia" w:hAnsi="宋体"/>
        </w:rPr>
        <w:t xml:space="preserve">7.1.2 </w:t>
      </w:r>
      <w:r>
        <w:rPr>
          <w:rFonts w:hint="eastAsia" w:asciiTheme="minorEastAsia" w:hAnsiTheme="minorEastAsia" w:eastAsiaTheme="minorEastAsia" w:cstheme="minorEastAsia"/>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pStyle w:val="24"/>
        <w:ind w:firstLine="960" w:firstLineChars="400"/>
        <w:rPr>
          <w:rFonts w:hint="eastAsia" w:ascii="宋体" w:hAnsi="宋体" w:cs="宋体" w:eastAsiaTheme="minorEastAsia"/>
          <w:sz w:val="24"/>
          <w:szCs w:val="24"/>
          <w:highlight w:val="red"/>
          <w:lang w:eastAsia="zh-CN"/>
        </w:rPr>
      </w:pPr>
      <w:r>
        <w:rPr>
          <w:rFonts w:hint="eastAsia" w:asciiTheme="minorEastAsia" w:hAnsiTheme="minorEastAsia" w:eastAsiaTheme="minorEastAsia" w:cstheme="minorEastAsia"/>
        </w:rPr>
        <w:t>地址：</w:t>
      </w:r>
    </w:p>
    <w:p>
      <w:pPr>
        <w:adjustRightInd w:val="0"/>
        <w:spacing w:line="360" w:lineRule="auto"/>
        <w:ind w:firstLine="480" w:firstLineChars="200"/>
        <w:jc w:val="left"/>
        <w:textAlignment w:val="baseline"/>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7.</w:t>
      </w:r>
      <w:r>
        <w:rPr>
          <w:rFonts w:hint="eastAsia" w:ascii="宋体" w:hAnsi="宋体" w:cs="宋体"/>
          <w:sz w:val="24"/>
          <w:szCs w:val="24"/>
          <w:highlight w:val="none"/>
          <w:lang w:val="en-US" w:eastAsia="zh-CN"/>
        </w:rPr>
        <w:t>2</w:t>
      </w:r>
      <w:r>
        <w:rPr>
          <w:rFonts w:hint="eastAsia" w:ascii="宋体" w:hAnsi="宋体" w:cs="宋体"/>
          <w:sz w:val="24"/>
          <w:szCs w:val="24"/>
          <w:highlight w:val="none"/>
        </w:rPr>
        <w:t xml:space="preserve"> 乙方应于当月20日前将工程支付申请书一式四份报送给甲方，费用按照以下方式予以支付：</w:t>
      </w:r>
    </w:p>
    <w:p>
      <w:pPr>
        <w:adjustRightInd w:val="0"/>
        <w:spacing w:line="360" w:lineRule="auto"/>
        <w:ind w:firstLine="480" w:firstLineChars="200"/>
        <w:jc w:val="left"/>
        <w:textAlignment w:val="baseline"/>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7.</w:t>
      </w:r>
      <w:r>
        <w:rPr>
          <w:rFonts w:hint="eastAsia" w:ascii="宋体" w:hAnsi="宋体" w:cs="宋体"/>
          <w:sz w:val="24"/>
          <w:szCs w:val="24"/>
          <w:highlight w:val="none"/>
          <w:lang w:val="en-US" w:eastAsia="zh-CN"/>
        </w:rPr>
        <w:t>2</w:t>
      </w:r>
      <w:r>
        <w:rPr>
          <w:rFonts w:hint="eastAsia" w:ascii="宋体" w:hAnsi="宋体" w:cs="宋体"/>
          <w:sz w:val="24"/>
          <w:szCs w:val="24"/>
          <w:highlight w:val="none"/>
        </w:rPr>
        <w:t>.1 乙方在合同签订后20日内提交本合同5.2条所述可行性研究报告（第一次成果）至甲方审议，并取得甲方审议</w:t>
      </w:r>
      <w:r>
        <w:rPr>
          <w:rFonts w:hint="eastAsia" w:ascii="宋体" w:hAnsi="宋体" w:cs="宋体"/>
          <w:sz w:val="24"/>
          <w:szCs w:val="24"/>
          <w:highlight w:val="none"/>
          <w:lang w:val="en-US" w:eastAsia="zh-CN"/>
        </w:rPr>
        <w:t>通过</w:t>
      </w:r>
      <w:r>
        <w:rPr>
          <w:rFonts w:hint="eastAsia" w:ascii="宋体" w:hAnsi="宋体" w:cs="宋体"/>
          <w:sz w:val="24"/>
          <w:szCs w:val="24"/>
          <w:highlight w:val="none"/>
        </w:rPr>
        <w:t>后，</w:t>
      </w:r>
      <w:r>
        <w:rPr>
          <w:rFonts w:hint="eastAsia" w:ascii="宋体" w:hAnsi="宋体" w:cs="宋体"/>
          <w:sz w:val="24"/>
          <w:szCs w:val="24"/>
          <w:highlight w:val="none"/>
          <w:lang w:val="en-US" w:eastAsia="zh-CN"/>
        </w:rPr>
        <w:t>乙方向甲方提出支付申请，</w:t>
      </w:r>
      <w:r>
        <w:rPr>
          <w:rFonts w:hint="eastAsia" w:ascii="宋体" w:hAnsi="宋体" w:cs="宋体"/>
          <w:sz w:val="24"/>
          <w:szCs w:val="24"/>
          <w:highlight w:val="none"/>
        </w:rPr>
        <w:t>甲方向乙方支付至合同暂定金额的</w:t>
      </w:r>
      <w:r>
        <w:rPr>
          <w:rFonts w:hint="eastAsia" w:ascii="宋体" w:hAnsi="宋体" w:cs="宋体"/>
          <w:sz w:val="24"/>
          <w:szCs w:val="24"/>
          <w:highlight w:val="none"/>
          <w:lang w:val="en-US" w:eastAsia="zh-CN"/>
        </w:rPr>
        <w:t>50</w:t>
      </w:r>
      <w:r>
        <w:rPr>
          <w:rFonts w:hint="eastAsia" w:ascii="宋体" w:hAnsi="宋体" w:cs="宋体"/>
          <w:sz w:val="24"/>
          <w:szCs w:val="24"/>
          <w:highlight w:val="none"/>
        </w:rPr>
        <w:t>%。</w:t>
      </w:r>
    </w:p>
    <w:p>
      <w:pPr>
        <w:overflowPunct w:val="0"/>
        <w:adjustRightInd w:val="0"/>
        <w:spacing w:line="360" w:lineRule="auto"/>
        <w:ind w:firstLine="480" w:firstLineChars="200"/>
        <w:jc w:val="left"/>
        <w:textAlignment w:val="baseline"/>
        <w:rPr>
          <w:rFonts w:hint="default" w:ascii="宋体" w:hAnsi="宋体" w:cs="宋体" w:eastAsiaTheme="minorEastAsia"/>
          <w:color w:val="FF0000"/>
          <w:sz w:val="24"/>
          <w:szCs w:val="24"/>
          <w:highlight w:val="yellow"/>
          <w:lang w:val="en-US" w:eastAsia="zh-CN"/>
        </w:rPr>
      </w:pPr>
      <w:r>
        <w:rPr>
          <w:rFonts w:hint="eastAsia" w:ascii="宋体" w:hAnsi="宋体" w:cs="宋体"/>
          <w:sz w:val="24"/>
          <w:szCs w:val="24"/>
          <w:highlight w:val="none"/>
        </w:rPr>
        <w:t>7.</w:t>
      </w:r>
      <w:r>
        <w:rPr>
          <w:rFonts w:hint="eastAsia" w:ascii="宋体" w:hAnsi="宋体" w:cs="宋体"/>
          <w:sz w:val="24"/>
          <w:szCs w:val="24"/>
          <w:highlight w:val="none"/>
          <w:lang w:val="en-US" w:eastAsia="zh-CN"/>
        </w:rPr>
        <w:t>2</w:t>
      </w:r>
      <w:r>
        <w:rPr>
          <w:rFonts w:hint="eastAsia" w:ascii="宋体" w:hAnsi="宋体" w:cs="宋体"/>
          <w:sz w:val="24"/>
          <w:szCs w:val="24"/>
          <w:highlight w:val="none"/>
        </w:rPr>
        <w:t>.2 乙方</w:t>
      </w:r>
      <w:r>
        <w:rPr>
          <w:rFonts w:hint="eastAsia" w:ascii="宋体" w:hAnsi="宋体" w:cs="宋体"/>
          <w:sz w:val="24"/>
          <w:szCs w:val="24"/>
          <w:highlight w:val="none"/>
          <w:lang w:val="en-US" w:eastAsia="zh-CN"/>
        </w:rPr>
        <w:t>配合甲方完成市水投集团关于组建成立此公司的备案手续</w:t>
      </w:r>
      <w:r>
        <w:rPr>
          <w:rFonts w:hint="eastAsia" w:ascii="宋体" w:hAnsi="宋体" w:cs="宋体"/>
          <w:sz w:val="24"/>
          <w:szCs w:val="24"/>
          <w:highlight w:val="none"/>
        </w:rPr>
        <w:t>后，甲方向乙方支付至合同金额的80%（含预付款）。</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w:t>
      </w:r>
      <w:r>
        <w:rPr>
          <w:rFonts w:hint="eastAsia" w:ascii="宋体" w:hAnsi="宋体" w:cs="宋体"/>
          <w:sz w:val="24"/>
          <w:szCs w:val="24"/>
          <w:lang w:val="en-US" w:eastAsia="zh-CN"/>
        </w:rPr>
        <w:t>2</w:t>
      </w:r>
      <w:r>
        <w:rPr>
          <w:rFonts w:hint="eastAsia" w:ascii="宋体" w:hAnsi="宋体" w:cs="宋体"/>
          <w:sz w:val="24"/>
          <w:szCs w:val="24"/>
        </w:rPr>
        <w:t>.3对属于《广州市财政投资评审管理办法》评审范围的财政性资金投资项目，财政投资评审结果作为该项目价款结算的依据，甲方按照评审结果全额支付。如甲方实际支付的费用超过财政投资评审结算价的，乙方应当在财政投资评审结算完毕之日起30日内向甲方退还超支费用。乙方迟延退还的，每逾期一天按超支费用的三倍银行同期储蓄利率向甲方支付利息。</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w:t>
      </w:r>
      <w:r>
        <w:rPr>
          <w:rFonts w:hint="eastAsia" w:ascii="宋体" w:hAnsi="宋体" w:cs="宋体"/>
          <w:sz w:val="24"/>
          <w:szCs w:val="24"/>
          <w:lang w:val="en-US" w:eastAsia="zh-CN"/>
        </w:rPr>
        <w:t>2</w:t>
      </w:r>
      <w:r>
        <w:rPr>
          <w:rFonts w:hint="eastAsia" w:ascii="宋体" w:hAnsi="宋体" w:cs="宋体"/>
          <w:sz w:val="24"/>
          <w:szCs w:val="24"/>
        </w:rPr>
        <w:t>.4</w:t>
      </w:r>
      <w:r>
        <w:rPr>
          <w:rFonts w:hint="eastAsia" w:ascii="宋体" w:hAnsi="宋体"/>
          <w:sz w:val="24"/>
          <w:szCs w:val="24"/>
        </w:rPr>
        <w:t>如合同项目非财政性资金投资项目，待相关部门终审结算后，甲方对该可行性报告无异议后，支付至合同结算价的100%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w:t>
      </w:r>
      <w:r>
        <w:rPr>
          <w:rFonts w:hint="eastAsia" w:ascii="宋体" w:hAnsi="宋体" w:cs="宋体"/>
          <w:sz w:val="24"/>
          <w:szCs w:val="24"/>
          <w:lang w:val="en-US" w:eastAsia="zh-CN"/>
        </w:rPr>
        <w:t>3</w:t>
      </w:r>
      <w:r>
        <w:rPr>
          <w:rFonts w:hint="eastAsia" w:ascii="宋体" w:hAnsi="宋体" w:cs="宋体"/>
          <w:sz w:val="24"/>
          <w:szCs w:val="24"/>
        </w:rPr>
        <w:t>双方委托银行代付代收有关费用。</w:t>
      </w:r>
    </w:p>
    <w:p>
      <w:pPr>
        <w:adjustRightInd w:val="0"/>
        <w:spacing w:line="360" w:lineRule="auto"/>
        <w:ind w:firstLine="480" w:firstLineChars="200"/>
        <w:jc w:val="left"/>
        <w:textAlignment w:val="baseline"/>
        <w:rPr>
          <w:color w:val="FF0000"/>
        </w:rPr>
      </w:pPr>
      <w:r>
        <w:rPr>
          <w:rFonts w:hint="eastAsia" w:ascii="宋体" w:hAnsi="宋体" w:cs="宋体"/>
          <w:sz w:val="24"/>
          <w:szCs w:val="24"/>
        </w:rPr>
        <w:t>7.</w:t>
      </w:r>
      <w:r>
        <w:rPr>
          <w:rFonts w:hint="eastAsia" w:ascii="宋体" w:hAnsi="宋体" w:cs="宋体"/>
          <w:sz w:val="24"/>
          <w:szCs w:val="24"/>
          <w:lang w:val="en-US" w:eastAsia="zh-CN"/>
        </w:rPr>
        <w:t>4</w:t>
      </w:r>
      <w:r>
        <w:rPr>
          <w:rFonts w:hint="eastAsia" w:ascii="宋体" w:hAnsi="宋体" w:cs="宋体"/>
          <w:sz w:val="24"/>
          <w:szCs w:val="24"/>
        </w:rPr>
        <w:t>乙方</w:t>
      </w:r>
      <w:r>
        <w:rPr>
          <w:rFonts w:hint="eastAsia" w:ascii="宋体" w:hAnsi="宋体"/>
          <w:sz w:val="24"/>
          <w:szCs w:val="24"/>
        </w:rPr>
        <w:t>在收取每一笔合同费用前，需向甲方提供等额有效的增值税专用发票。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8.1.1在合同履行期间，已开始编制工作，非乙方原因甲方要求终止或解除合同的，甲方根据乙方已进行的实际工作量按实进行结算，最高支付至合同暂定金额的60%。</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8.1.</w:t>
      </w:r>
      <w:r>
        <w:rPr>
          <w:rFonts w:ascii="宋体" w:hAnsi="宋体" w:cs="宋体"/>
          <w:sz w:val="24"/>
          <w:szCs w:val="24"/>
        </w:rPr>
        <w:t>2</w:t>
      </w:r>
      <w:r>
        <w:rPr>
          <w:rFonts w:hint="eastAsia" w:ascii="宋体" w:hAnsi="宋体" w:cs="宋体"/>
          <w:sz w:val="24"/>
          <w:szCs w:val="24"/>
        </w:rPr>
        <w:t>甲方要求乙方比合同规定时间提前交付编制文件时，需提前通知乙方，且征得乙方同意，不得严重背离合理编制周期。</w:t>
      </w:r>
    </w:p>
    <w:p>
      <w:pPr>
        <w:pStyle w:val="5"/>
        <w:keepNext w:val="0"/>
        <w:keepLines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szCs w:val="24"/>
        </w:rPr>
      </w:pPr>
      <w:r>
        <w:rPr>
          <w:rFonts w:hint="eastAsia" w:ascii="宋体" w:hAnsi="宋体" w:cs="宋体"/>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8.2.2因文件质量问题引起返工，除由乙方继续完善外，并视造成损失大小，减收直至免收编制费。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szCs w:val="24"/>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sz w:val="24"/>
          <w:szCs w:val="24"/>
        </w:rPr>
      </w:pPr>
      <w:r>
        <w:rPr>
          <w:rFonts w:hint="eastAsia" w:ascii="宋体" w:hAnsi="宋体" w:cs="宋体"/>
          <w:sz w:val="24"/>
          <w:szCs w:val="24"/>
        </w:rPr>
        <w:t>8.2.4由于乙方自身原因，延误了按本合同第五条规定的成果交付时间，每延误一天应减收该项目合同价的2‰，逾期超过30天，甲方有权解除合同。由此给甲方造成损失的，乙方应承担赔偿责任。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8.2.6若标准或计划变更，经甲方同意，乙方可顺延期限。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8.2.7合同生效后，非甲方原因乙方要求解除合同的，应赔偿甲方的损失。</w:t>
      </w:r>
    </w:p>
    <w:p>
      <w:pPr>
        <w:pStyle w:val="24"/>
        <w:spacing w:line="360" w:lineRule="auto"/>
        <w:rPr>
          <w:rFonts w:hint="default" w:eastAsia="仿宋_GB2312"/>
          <w:lang w:val="en-US" w:eastAsia="zh-CN"/>
        </w:rPr>
      </w:pPr>
      <w:r>
        <w:rPr>
          <w:rFonts w:hint="eastAsia" w:hAnsi="宋体" w:cs="宋体"/>
          <w:sz w:val="24"/>
          <w:szCs w:val="24"/>
          <w:lang w:val="en-US" w:eastAsia="zh-CN"/>
        </w:rPr>
        <w:t xml:space="preserve">    </w:t>
      </w:r>
      <w:r>
        <w:rPr>
          <w:rFonts w:hint="eastAsia" w:hAnsi="宋体" w:cs="宋体" w:eastAsiaTheme="minorEastAsia"/>
          <w:color w:val="auto"/>
          <w:kern w:val="2"/>
          <w:sz w:val="24"/>
          <w:szCs w:val="24"/>
          <w:lang w:val="en-US" w:eastAsia="zh-CN"/>
        </w:rPr>
        <w:t>8.2.8在合同有效期内，若乙方发生不诚信行为情形的，乙方自愿接受甲方按《广州市净水有限公司经营建设项目参建企业不诚信行为管理办法》处理。</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第九条  知识产权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第十条  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11.1合同生效的条件：合同签订盖章。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11.5本合同正本一式</w:t>
      </w:r>
      <w:r>
        <w:rPr>
          <w:rFonts w:hint="eastAsia" w:ascii="宋体" w:hAnsi="宋体" w:cs="宋体"/>
          <w:sz w:val="24"/>
          <w:szCs w:val="24"/>
          <w:u w:val="single"/>
        </w:rPr>
        <w:t xml:space="preserve"> 贰 </w:t>
      </w:r>
      <w:r>
        <w:rPr>
          <w:rFonts w:hint="eastAsia" w:ascii="宋体" w:hAnsi="宋体" w:cs="宋体"/>
          <w:sz w:val="24"/>
          <w:szCs w:val="24"/>
        </w:rPr>
        <w:t>份，甲方执</w:t>
      </w:r>
      <w:r>
        <w:rPr>
          <w:rFonts w:hint="eastAsia" w:ascii="宋体" w:hAnsi="宋体" w:cs="宋体"/>
          <w:sz w:val="24"/>
          <w:szCs w:val="24"/>
          <w:u w:val="single"/>
        </w:rPr>
        <w:t xml:space="preserve"> 壹 </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份；副本一式</w:t>
      </w:r>
      <w:r>
        <w:rPr>
          <w:rFonts w:hint="eastAsia" w:ascii="宋体" w:hAnsi="宋体" w:cs="宋体"/>
          <w:sz w:val="24"/>
          <w:szCs w:val="24"/>
          <w:u w:val="single"/>
        </w:rPr>
        <w:t>捌</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叁</w:t>
      </w:r>
      <w:r>
        <w:rPr>
          <w:rFonts w:hint="eastAsia" w:ascii="宋体" w:hAnsi="宋体" w:cs="宋体"/>
          <w:sz w:val="24"/>
          <w:szCs w:val="24"/>
        </w:rPr>
        <w:t>份，双方所执合同具同等法律效力。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000000"/>
          <w:sz w:val="24"/>
          <w:szCs w:val="24"/>
        </w:rPr>
      </w:pPr>
      <w:r>
        <w:rPr>
          <w:rFonts w:hint="eastAsia" w:ascii="宋体" w:hAnsi="宋体" w:cs="宋体"/>
          <w:sz w:val="24"/>
          <w:szCs w:val="24"/>
        </w:rPr>
        <w:t>11.8未尽事宜，双方协商一致，</w:t>
      </w:r>
      <w:r>
        <w:rPr>
          <w:rFonts w:hint="eastAsia" w:ascii="宋体" w:hAnsi="宋体" w:cs="宋体"/>
          <w:color w:val="000000"/>
          <w:sz w:val="24"/>
          <w:szCs w:val="24"/>
        </w:rPr>
        <w:t>可签订补充协议，补充协议与本合同具有同等效力。</w:t>
      </w:r>
    </w:p>
    <w:p>
      <w:pPr>
        <w:pStyle w:val="9"/>
        <w:spacing w:line="360" w:lineRule="auto"/>
        <w:ind w:left="465" w:leftChars="50" w:hanging="360" w:hangingChars="150"/>
        <w:jc w:val="center"/>
        <w:rPr>
          <w:rFonts w:ascii="宋体" w:hAnsi="宋体" w:cs="宋体"/>
          <w:color w:val="000000"/>
          <w:sz w:val="24"/>
          <w:szCs w:val="24"/>
        </w:rPr>
      </w:pPr>
      <w:r>
        <w:rPr>
          <w:rFonts w:hint="eastAsia" w:ascii="宋体" w:hAnsi="宋体" w:cs="宋体"/>
          <w:color w:val="000000"/>
          <w:sz w:val="24"/>
          <w:szCs w:val="24"/>
        </w:rPr>
        <w:t>11.9本合同附件是合同不可分割的一部分，具有相同的法律效力，具体附件如下：</w:t>
      </w:r>
    </w:p>
    <w:p>
      <w:pPr>
        <w:pStyle w:val="9"/>
        <w:spacing w:line="360" w:lineRule="auto"/>
        <w:ind w:left="0" w:leftChars="0" w:firstLine="720" w:firstLineChars="300"/>
        <w:rPr>
          <w:rFonts w:ascii="宋体" w:hAnsi="宋体" w:cs="宋体"/>
          <w:b w:val="0"/>
          <w:bCs w:val="0"/>
          <w:color w:val="000000"/>
          <w:sz w:val="24"/>
          <w:szCs w:val="24"/>
        </w:rPr>
      </w:pPr>
      <w:r>
        <w:rPr>
          <w:rFonts w:hint="eastAsia" w:ascii="宋体" w:hAnsi="宋体" w:cs="宋体"/>
          <w:b w:val="0"/>
          <w:bCs w:val="0"/>
          <w:color w:val="000000"/>
          <w:sz w:val="24"/>
          <w:szCs w:val="24"/>
        </w:rPr>
        <w:t>附件1：</w:t>
      </w:r>
      <w:r>
        <w:rPr>
          <w:rFonts w:hint="eastAsia" w:ascii="宋体" w:hAnsi="宋体" w:cs="宋体"/>
          <w:b w:val="0"/>
          <w:bCs w:val="0"/>
          <w:szCs w:val="21"/>
        </w:rPr>
        <w:t>发包通知书</w:t>
      </w:r>
      <w:r>
        <w:rPr>
          <w:rFonts w:hint="eastAsia" w:ascii="宋体" w:hAnsi="宋体" w:cs="宋体"/>
          <w:b w:val="0"/>
          <w:bCs w:val="0"/>
          <w:color w:val="000000"/>
          <w:sz w:val="24"/>
          <w:szCs w:val="24"/>
        </w:rPr>
        <w:t xml:space="preserve"> </w:t>
      </w:r>
    </w:p>
    <w:p>
      <w:pPr>
        <w:pStyle w:val="9"/>
        <w:spacing w:line="360" w:lineRule="auto"/>
        <w:ind w:left="584" w:leftChars="278" w:firstLine="120" w:firstLineChars="50"/>
        <w:rPr>
          <w:rFonts w:hint="eastAsia" w:ascii="宋体" w:hAnsi="宋体" w:cs="宋体"/>
          <w:b w:val="0"/>
          <w:bCs w:val="0"/>
          <w:szCs w:val="21"/>
        </w:rPr>
      </w:pPr>
      <w:r>
        <w:rPr>
          <w:rFonts w:hint="eastAsia" w:ascii="宋体" w:hAnsi="宋体" w:cs="宋体"/>
          <w:b w:val="0"/>
          <w:bCs w:val="0"/>
          <w:color w:val="000000"/>
          <w:sz w:val="24"/>
          <w:szCs w:val="24"/>
        </w:rPr>
        <w:t>附件2：</w:t>
      </w:r>
      <w:r>
        <w:rPr>
          <w:rFonts w:hint="eastAsia" w:ascii="宋体" w:hAnsi="宋体" w:cs="宋体"/>
          <w:b w:val="0"/>
          <w:bCs w:val="0"/>
          <w:szCs w:val="21"/>
        </w:rPr>
        <w:t>廉洁协议</w:t>
      </w:r>
    </w:p>
    <w:p>
      <w:pPr>
        <w:pStyle w:val="9"/>
        <w:spacing w:line="360" w:lineRule="auto"/>
        <w:ind w:left="584" w:leftChars="278" w:firstLine="105" w:firstLineChars="50"/>
        <w:rPr>
          <w:rFonts w:hint="default" w:ascii="宋体" w:hAnsi="宋体" w:cs="宋体" w:eastAsiaTheme="minorEastAsia"/>
          <w:b w:val="0"/>
          <w:bCs w:val="0"/>
          <w:szCs w:val="21"/>
          <w:lang w:val="en-US" w:eastAsia="zh-CN"/>
        </w:rPr>
      </w:pPr>
      <w:r>
        <w:rPr>
          <w:rFonts w:hint="eastAsia" w:ascii="宋体" w:hAnsi="宋体" w:cs="宋体"/>
          <w:b w:val="0"/>
          <w:bCs w:val="0"/>
          <w:szCs w:val="21"/>
          <w:lang w:val="en-US" w:eastAsia="zh-CN"/>
        </w:rPr>
        <w:t>附件3：安全协议书</w:t>
      </w:r>
    </w:p>
    <w:p>
      <w:pPr>
        <w:pStyle w:val="9"/>
        <w:spacing w:line="360" w:lineRule="auto"/>
        <w:ind w:left="584" w:leftChars="278" w:firstLine="105" w:firstLineChars="50"/>
        <w:rPr>
          <w:rFonts w:ascii="宋体" w:hAnsi="宋体" w:cs="宋体"/>
          <w:color w:val="000000"/>
          <w:sz w:val="24"/>
          <w:szCs w:val="24"/>
        </w:rPr>
      </w:pPr>
      <w:r>
        <w:rPr>
          <w:rFonts w:hint="eastAsia" w:ascii="宋体" w:hAnsi="宋体" w:cs="宋体"/>
          <w:b w:val="0"/>
          <w:bCs w:val="0"/>
          <w:szCs w:val="21"/>
          <w:lang w:val="en-US" w:eastAsia="zh-CN"/>
        </w:rPr>
        <w:t>附件4：不诚信行为的情形及相应被暂停参与投标活动的处理标准</w:t>
      </w:r>
    </w:p>
    <w:p>
      <w:pPr>
        <w:pStyle w:val="9"/>
        <w:spacing w:line="360" w:lineRule="auto"/>
        <w:ind w:left="465" w:leftChars="50" w:hanging="360" w:hangingChars="150"/>
        <w:rPr>
          <w:rFonts w:ascii="宋体" w:hAnsi="宋体" w:cs="宋体"/>
          <w:color w:val="000000"/>
          <w:sz w:val="24"/>
          <w:szCs w:val="24"/>
        </w:rPr>
      </w:pPr>
      <w:r>
        <w:rPr>
          <w:rFonts w:hint="eastAsia" w:ascii="宋体" w:hAnsi="宋体" w:cs="宋体"/>
          <w:color w:val="000000"/>
          <w:sz w:val="24"/>
          <w:szCs w:val="24"/>
        </w:rPr>
        <w:t>（以下无正文）</w:t>
      </w:r>
    </w:p>
    <w:p/>
    <w:p/>
    <w:p/>
    <w:p/>
    <w:p/>
    <w:p/>
    <w:p/>
    <w:p/>
    <w:p/>
    <w:p/>
    <w:p/>
    <w:p/>
    <w:p/>
    <w:p/>
    <w:p/>
    <w:p>
      <w:pPr>
        <w:pStyle w:val="24"/>
      </w:pPr>
    </w:p>
    <w:p/>
    <w:p/>
    <w:p/>
    <w:p/>
    <w:p>
      <w:pPr>
        <w:jc w:val="center"/>
      </w:pPr>
    </w:p>
    <w:p/>
    <w:tbl>
      <w:tblPr>
        <w:tblStyle w:val="18"/>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color w:val="000000"/>
                <w:sz w:val="24"/>
                <w:szCs w:val="24"/>
              </w:rPr>
              <w:t>甲方：广州市净水有限公司</w:t>
            </w:r>
          </w:p>
        </w:tc>
        <w:tc>
          <w:tcPr>
            <w:tcW w:w="562" w:type="dxa"/>
            <w:vAlign w:val="center"/>
          </w:tcPr>
          <w:p>
            <w:pPr>
              <w:spacing w:line="360" w:lineRule="auto"/>
              <w:rPr>
                <w:rFonts w:ascii="宋体" w:hAnsi="宋体" w:cs="宋体"/>
                <w:color w:val="000000"/>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color w:val="000000"/>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color w:val="000000"/>
                <w:sz w:val="24"/>
                <w:szCs w:val="24"/>
              </w:rPr>
            </w:pPr>
            <w:r>
              <w:rPr>
                <w:rFonts w:hint="eastAsia" w:ascii="宋体" w:hAnsi="宋体" w:cs="宋体"/>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color w:val="000000"/>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color w:val="000000"/>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签约日期：2021年月日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spacing w:line="360" w:lineRule="auto"/>
        <w:rPr>
          <w:rFonts w:ascii="宋体" w:hAnsi="宋体" w:cs="宋体"/>
          <w:b/>
          <w:bCs/>
          <w:szCs w:val="21"/>
        </w:rPr>
      </w:pPr>
    </w:p>
    <w:p>
      <w:pPr>
        <w:pStyle w:val="24"/>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bookmarkStart w:id="14" w:name="_GoBack"/>
      <w:bookmarkEnd w:id="14"/>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  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9"/>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pStyle w:val="24"/>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ascii="黑体" w:hAnsi="Batang" w:eastAsia="黑体" w:cs="Batang"/>
          <w:bCs/>
          <w:kern w:val="0"/>
          <w:sz w:val="28"/>
          <w:szCs w:val="28"/>
        </w:rPr>
      </w:pPr>
      <w:r>
        <w:rPr>
          <w:rFonts w:hint="eastAsia" w:ascii="宋体" w:hAnsi="宋体" w:cs="宋体"/>
          <w:b/>
          <w:bCs/>
          <w:szCs w:val="21"/>
        </w:rPr>
        <w:t>附件3 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1"/>
          <w:rFonts w:asciiTheme="minorEastAsia" w:hAnsiTheme="minorEastAsia" w:eastAsiaTheme="minorEastAsia"/>
          <w:b w:val="0"/>
          <w:u w:val="single"/>
        </w:rPr>
      </w:pPr>
    </w:p>
    <w:bookmarkEnd w:id="10"/>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sz w:val="24"/>
        </w:rPr>
      </w:pPr>
      <w:r>
        <w:rPr>
          <w:rFonts w:hint="eastAsia" w:asciiTheme="minorEastAsia" w:hAnsiTheme="minorEastAsia"/>
          <w:sz w:val="24"/>
        </w:rPr>
        <w:t>（七）委托的第三方运输单位或个人，违反本协议的，全部责任均由乙方承担。</w:t>
      </w:r>
    </w:p>
    <w:p>
      <w:pPr>
        <w:pStyle w:val="2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pStyle w:val="24"/>
        <w:jc w:val="center"/>
        <w:rPr>
          <w:rFonts w:hint="eastAsia" w:ascii="仿宋_GB2312" w:hAnsi="仿宋_GB2312" w:eastAsia="仿宋_GB2312" w:cs="仿宋_GB2312"/>
          <w:b w:val="0"/>
          <w:bCs/>
          <w:color w:val="auto"/>
          <w:sz w:val="28"/>
          <w:szCs w:val="28"/>
          <w:highlight w:val="none"/>
        </w:rPr>
      </w:pPr>
    </w:p>
    <w:p>
      <w:pPr>
        <w:spacing w:line="360" w:lineRule="auto"/>
        <w:rPr>
          <w:rFonts w:hint="eastAsia" w:ascii="宋体" w:hAnsi="宋体" w:cs="宋体"/>
          <w:b/>
          <w:bCs/>
          <w:sz w:val="24"/>
          <w:szCs w:val="24"/>
        </w:rPr>
      </w:pPr>
      <w:bookmarkStart w:id="11" w:name="_Toc389815339"/>
      <w:bookmarkStart w:id="12" w:name="_Toc387080836"/>
      <w:bookmarkStart w:id="13" w:name="_Toc389815031"/>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ascii="宋体" w:hAnsi="宋体" w:cs="宋体"/>
          <w:b/>
          <w:bCs/>
          <w:sz w:val="24"/>
          <w:szCs w:val="24"/>
        </w:rPr>
      </w:pPr>
      <w:r>
        <w:rPr>
          <w:rFonts w:hint="eastAsia" w:ascii="宋体" w:hAnsi="宋体" w:cs="宋体"/>
          <w:b/>
          <w:bCs/>
          <w:sz w:val="24"/>
          <w:szCs w:val="24"/>
        </w:rPr>
        <w:t>附件</w:t>
      </w:r>
      <w:r>
        <w:rPr>
          <w:rFonts w:hint="eastAsia" w:ascii="宋体" w:hAnsi="宋体" w:cs="宋体"/>
          <w:b/>
          <w:bCs/>
          <w:sz w:val="24"/>
          <w:szCs w:val="24"/>
          <w:lang w:val="en-US" w:eastAsia="zh-CN"/>
        </w:rPr>
        <w:t>4</w:t>
      </w:r>
      <w:r>
        <w:rPr>
          <w:rFonts w:hint="eastAsia" w:ascii="宋体" w:hAnsi="宋体" w:cs="宋体"/>
          <w:b/>
          <w:bCs/>
          <w:sz w:val="24"/>
          <w:szCs w:val="24"/>
        </w:rPr>
        <w:t>：不诚信行为的情形及相应被暂停参与投标活动的处理标准</w:t>
      </w:r>
    </w:p>
    <w:p>
      <w:pPr>
        <w:adjustRightInd w:val="0"/>
        <w:snapToGrid w:val="0"/>
        <w:jc w:val="center"/>
        <w:rPr>
          <w:rFonts w:ascii="方正小标宋简体" w:hAnsi="方正小标宋简体" w:eastAsia="方正小标宋简体" w:cs="方正小标宋简体"/>
          <w:sz w:val="32"/>
          <w:szCs w:val="32"/>
        </w:rPr>
      </w:pP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tabs>
          <w:tab w:val="left" w:pos="4170"/>
        </w:tabs>
        <w:spacing w:line="360" w:lineRule="auto"/>
        <w:rPr>
          <w:rFonts w:ascii="宋体" w:hAnsi="宋体"/>
          <w:sz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spacing w:line="560" w:lineRule="exact"/>
        <w:jc w:val="left"/>
        <w:rPr>
          <w:rFonts w:hint="default" w:ascii="宋体" w:hAnsi="宋体" w:eastAsia="宋体" w:cs="宋体"/>
          <w:bCs/>
          <w:kern w:val="0"/>
          <w:sz w:val="24"/>
          <w:szCs w:val="24"/>
        </w:rPr>
      </w:pPr>
    </w:p>
    <w:p>
      <w:pPr>
        <w:spacing w:line="560" w:lineRule="exact"/>
        <w:jc w:val="both"/>
        <w:rPr>
          <w:rFonts w:ascii="黑体" w:hAnsi="Batang" w:eastAsia="黑体" w:cs="Batang"/>
          <w:bCs/>
          <w:kern w:val="0"/>
          <w:sz w:val="44"/>
          <w:szCs w:val="44"/>
        </w:rPr>
      </w:pPr>
    </w:p>
    <w:p>
      <w:pPr>
        <w:pStyle w:val="24"/>
      </w:pPr>
    </w:p>
    <w:p>
      <w:pPr>
        <w:spacing w:line="560" w:lineRule="exact"/>
        <w:jc w:val="both"/>
        <w:rPr>
          <w:rFonts w:ascii="黑体" w:hAnsi="Batang" w:eastAsia="黑体" w:cs="Batang"/>
          <w:bCs/>
          <w:kern w:val="0"/>
          <w:sz w:val="44"/>
          <w:szCs w:val="44"/>
        </w:rPr>
      </w:pPr>
    </w:p>
    <w:p>
      <w:pPr>
        <w:spacing w:line="560" w:lineRule="exact"/>
        <w:jc w:val="both"/>
        <w:rPr>
          <w:rFonts w:ascii="黑体" w:hAnsi="Batang" w:eastAsia="黑体" w:cs="Batang"/>
          <w:bCs/>
          <w:kern w:val="0"/>
          <w:sz w:val="44"/>
          <w:szCs w:val="44"/>
        </w:rPr>
      </w:pPr>
    </w:p>
    <w:bookmarkEnd w:id="11"/>
    <w:bookmarkEnd w:id="12"/>
    <w:bookmarkEnd w:id="13"/>
    <w:p>
      <w:pPr>
        <w:pStyle w:val="5"/>
        <w:spacing w:line="360" w:lineRule="auto"/>
        <w:jc w:val="center"/>
        <w:rPr>
          <w:rFonts w:hint="eastAsia" w:ascii="仿宋" w:hAnsi="仿宋" w:eastAsia="仿宋" w:cs="仿宋_GB2312"/>
          <w:color w:val="000000" w:themeColor="text1"/>
          <w:sz w:val="21"/>
          <w:szCs w:val="21"/>
          <w14:textFill>
            <w14:solidFill>
              <w14:schemeClr w14:val="tx1"/>
            </w14:solidFill>
          </w14:textFill>
        </w:rPr>
      </w:pPr>
    </w:p>
    <w:p>
      <w:pPr>
        <w:rPr>
          <w:rFonts w:hint="eastAsia"/>
        </w:rPr>
      </w:pPr>
    </w:p>
    <w:p>
      <w:pPr>
        <w:pStyle w:val="5"/>
        <w:spacing w:line="360" w:lineRule="auto"/>
        <w:jc w:val="center"/>
        <w:rPr>
          <w:rFonts w:hint="eastAsia" w:ascii="仿宋" w:hAnsi="仿宋" w:eastAsia="仿宋" w:cs="仿宋_GB2312"/>
          <w:color w:val="000000" w:themeColor="text1"/>
          <w:sz w:val="21"/>
          <w:szCs w:val="21"/>
          <w14:textFill>
            <w14:solidFill>
              <w14:schemeClr w14:val="tx1"/>
            </w14:solidFill>
          </w14:textFill>
        </w:rPr>
      </w:pPr>
    </w:p>
    <w:p>
      <w:pPr>
        <w:pStyle w:val="5"/>
        <w:spacing w:line="360" w:lineRule="auto"/>
        <w:jc w:val="both"/>
        <w:rPr>
          <w:rFonts w:hint="eastAsia" w:ascii="仿宋" w:hAnsi="仿宋" w:eastAsia="仿宋" w:cs="仿宋_GB2312"/>
          <w:color w:val="000000" w:themeColor="text1"/>
          <w14:textFill>
            <w14:solidFill>
              <w14:schemeClr w14:val="tx1"/>
            </w14:solidFill>
          </w14:textFill>
        </w:rPr>
      </w:pPr>
    </w:p>
    <w:p>
      <w:pPr>
        <w:pStyle w:val="5"/>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7"/>
        <w:spacing w:line="360" w:lineRule="auto"/>
        <w:ind w:firstLine="560" w:firstLineChars="200"/>
        <w:rPr>
          <w:rFonts w:hint="eastAsia" w:ascii="仿宋" w:hAnsi="仿宋" w:eastAsia="仿宋" w:cs="仿宋_GB2312"/>
          <w:color w:val="000000" w:themeColor="text1"/>
          <w:sz w:val="28"/>
          <w:szCs w:val="28"/>
          <w:u w:val="single"/>
          <w:lang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项目名称：广州市净水有限公司成立土地开发公司项目可行性研究报告</w:t>
      </w: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lang w:val="en-US" w:eastAsia="zh-CN"/>
          <w14:textFill>
            <w14:solidFill>
              <w14:schemeClr w14:val="tx1"/>
            </w14:solidFill>
          </w14:textFill>
        </w:rPr>
        <w:t>第二次</w:t>
      </w:r>
      <w:r>
        <w:rPr>
          <w:rFonts w:hint="eastAsia" w:ascii="仿宋" w:hAnsi="仿宋" w:eastAsia="仿宋" w:cs="仿宋_GB2312"/>
          <w:color w:val="000000" w:themeColor="text1"/>
          <w:sz w:val="28"/>
          <w:szCs w:val="28"/>
          <w:lang w:eastAsia="zh-CN"/>
          <w14:textFill>
            <w14:solidFill>
              <w14:schemeClr w14:val="tx1"/>
            </w14:solidFill>
          </w14:textFill>
        </w:rPr>
        <w:t>）</w:t>
      </w: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5"/>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           单位：           （盖单位公章）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            年龄：           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                           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sz w:val="28"/>
          <w:szCs w:val="28"/>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sz w:val="24"/>
          <w:szCs w:val="24"/>
        </w:rPr>
        <w:t>身份证复印件：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p>
            <w:pPr>
              <w:pStyle w:val="24"/>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（法人姓名）（法人签字或盖私章）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签发日期：</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有效期限：签发日期起至</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sz w:val="28"/>
          <w:szCs w:val="28"/>
        </w:rPr>
        <w:t>　　</w:t>
      </w:r>
      <w:r>
        <w:rPr>
          <w:rFonts w:hint="eastAsia" w:ascii="仿宋" w:hAnsi="仿宋" w:eastAsia="仿宋" w:cs="仿宋_GB2312"/>
          <w:color w:val="000000"/>
          <w:sz w:val="28"/>
          <w:szCs w:val="28"/>
          <w:lang w:val="en-US" w:eastAsia="zh-CN"/>
        </w:rPr>
        <w:t>联系电话</w:t>
      </w:r>
      <w:r>
        <w:rPr>
          <w:rFonts w:hint="eastAsia" w:ascii="仿宋" w:hAnsi="仿宋" w:eastAsia="仿宋" w:cs="仿宋_GB2312"/>
          <w:color w:val="000000"/>
          <w:sz w:val="28"/>
          <w:szCs w:val="28"/>
        </w:rPr>
        <w:t>：</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w:t>
      </w:r>
      <w:r>
        <w:rPr>
          <w:rFonts w:ascii="仿宋" w:hAnsi="仿宋" w:eastAsia="仿宋" w:cs="仿宋_GB2312"/>
          <w:color w:val="000000" w:themeColor="text1"/>
          <w:sz w:val="24"/>
          <w:szCs w:val="24"/>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6.谈判签字代表为法定代表人，则本表不适用。</w:t>
      </w:r>
    </w:p>
    <w:p>
      <w:pPr>
        <w:pStyle w:val="24"/>
        <w:spacing w:line="480" w:lineRule="exact"/>
        <w:ind w:firstLine="720" w:firstLineChars="300"/>
        <w:rPr>
          <w:rFonts w:ascii="仿宋" w:hAnsi="仿宋" w:eastAsia="仿宋" w:cs="仿宋_GB2312"/>
          <w:color w:val="000000" w:themeColor="text1"/>
          <w:kern w:val="2"/>
          <w14:textFill>
            <w14:solidFill>
              <w14:schemeClr w14:val="tx1"/>
            </w14:solidFill>
          </w14:textFill>
        </w:rPr>
      </w:pPr>
      <w:r>
        <w:rPr>
          <w:rFonts w:ascii="仿宋" w:hAnsi="仿宋" w:eastAsia="仿宋" w:cs="仿宋_GB2312"/>
          <w:color w:val="000000" w:themeColor="text1"/>
          <w:kern w:val="2"/>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hint="eastAsia" w:ascii="宋体" w:hAnsi="宋体" w:eastAsia="宋体" w:cs="Times New Roman"/>
          <w:sz w:val="24"/>
          <w:szCs w:val="24"/>
        </w:rPr>
      </w:pPr>
    </w:p>
    <w:p>
      <w:pPr>
        <w:spacing w:line="440" w:lineRule="exact"/>
        <w:rPr>
          <w:rFonts w:ascii="宋体" w:hAnsi="宋体"/>
          <w:sz w:val="24"/>
          <w:szCs w:val="24"/>
        </w:rPr>
      </w:pPr>
      <w:r>
        <w:rPr>
          <w:rFonts w:hint="eastAsia" w:ascii="宋体" w:hAnsi="宋体" w:eastAsia="宋体" w:cs="Times New Roman"/>
          <w:sz w:val="24"/>
          <w:szCs w:val="24"/>
        </w:rPr>
        <w:t>授权代理人</w:t>
      </w:r>
      <w:r>
        <w:rPr>
          <w:rFonts w:hint="eastAsia" w:ascii="宋体" w:hAnsi="宋体"/>
          <w:sz w:val="24"/>
          <w:szCs w:val="24"/>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sz w:val="24"/>
                <w:szCs w:val="24"/>
              </w:rPr>
            </w:pPr>
          </w:p>
          <w:p>
            <w:pPr>
              <w:spacing w:line="360" w:lineRule="auto"/>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tc>
      </w:tr>
    </w:tbl>
    <w:p>
      <w:pPr>
        <w:spacing w:line="480" w:lineRule="exact"/>
        <w:ind w:firstLine="843" w:firstLineChars="300"/>
        <w:rPr>
          <w:rFonts w:ascii="仿宋" w:hAnsi="仿宋" w:eastAsia="仿宋" w:cs="仿宋_GB2312"/>
          <w:b/>
          <w:color w:val="000000"/>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4"/>
        <w:spacing w:line="480" w:lineRule="exact"/>
        <w:ind w:firstLine="720" w:firstLineChars="300"/>
        <w:rPr>
          <w:rFonts w:ascii="仿宋" w:hAnsi="仿宋" w:eastAsia="仿宋" w:cs="仿宋_GB2312"/>
          <w:color w:val="000000" w:themeColor="text1"/>
          <w:kern w:val="2"/>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5"/>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29"/>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30"/>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0"/>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30"/>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w:t>
      </w:r>
      <w:r>
        <w:rPr>
          <w:rFonts w:hint="eastAsia" w:ascii="仿宋_GB2312" w:hAnsi="仿宋" w:eastAsia="仿宋_GB2312" w:cs="仿宋_GB2312"/>
          <w:color w:val="000000" w:themeColor="text1"/>
          <w:lang w:val="en-US" w:eastAsia="zh-CN"/>
          <w14:textFill>
            <w14:solidFill>
              <w14:schemeClr w14:val="tx1"/>
            </w14:solidFill>
          </w14:textFill>
        </w:rPr>
        <w:t>私</w:t>
      </w:r>
      <w:r>
        <w:rPr>
          <w:rFonts w:hint="eastAsia" w:ascii="仿宋_GB2312" w:hAnsi="仿宋" w:eastAsia="仿宋_GB2312" w:cs="仿宋_GB2312"/>
          <w:color w:val="000000" w:themeColor="text1"/>
          <w14:textFill>
            <w14:solidFill>
              <w14:schemeClr w14:val="tx1"/>
            </w14:solidFill>
          </w14:textFill>
        </w:rPr>
        <w:t>章）：</w:t>
      </w:r>
    </w:p>
    <w:p>
      <w:pPr>
        <w:pStyle w:val="30"/>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30"/>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4"/>
        <w:jc w:val="center"/>
        <w:rPr>
          <w:rFonts w:ascii="仿宋" w:hAnsi="仿宋" w:eastAsia="仿宋" w:cs="仿宋_GB2312"/>
          <w:color w:val="000000" w:themeColor="text1"/>
          <w:sz w:val="28"/>
          <w:szCs w:val="28"/>
          <w14:textFill>
            <w14:solidFill>
              <w14:schemeClr w14:val="tx1"/>
            </w14:solidFill>
          </w14:textFill>
        </w:rPr>
      </w:pPr>
    </w:p>
    <w:p>
      <w:pPr>
        <w:pStyle w:val="24"/>
        <w:jc w:val="both"/>
        <w:rPr>
          <w:rFonts w:ascii="仿宋" w:hAnsi="仿宋" w:eastAsia="仿宋" w:cs="仿宋_GB2312"/>
          <w:color w:val="000000" w:themeColor="text1"/>
          <w:sz w:val="28"/>
          <w:szCs w:val="28"/>
          <w14:textFill>
            <w14:solidFill>
              <w14:schemeClr w14:val="tx1"/>
            </w14:solidFill>
          </w14:textFill>
        </w:rPr>
      </w:pPr>
    </w:p>
    <w:p>
      <w:pPr>
        <w:pStyle w:val="24"/>
        <w:widowControl/>
        <w:snapToGrid w:val="0"/>
        <w:jc w:val="center"/>
        <w:outlineLvl w:val="0"/>
        <w:rPr>
          <w:rFonts w:ascii="仿宋" w:hAnsi="仿宋" w:eastAsia="仿宋" w:cs="仿宋_GB2312"/>
          <w:color w:val="000000" w:themeColor="text1"/>
          <w:sz w:val="28"/>
          <w:szCs w:val="28"/>
          <w14:textFill>
            <w14:solidFill>
              <w14:schemeClr w14:val="tx1"/>
            </w14:solidFill>
          </w14:textFill>
        </w:rPr>
      </w:pPr>
    </w:p>
    <w:p>
      <w:pPr>
        <w:widowControl/>
        <w:snapToGrid w:val="0"/>
        <w:outlineLvl w:val="0"/>
        <w:rPr>
          <w:rFonts w:ascii="仿宋" w:hAnsi="仿宋" w:eastAsia="仿宋" w:cs="仿宋_GB2312"/>
          <w:color w:val="000000" w:themeColor="text1"/>
          <w:kern w:val="0"/>
          <w:sz w:val="28"/>
          <w:szCs w:val="28"/>
          <w14:textFill>
            <w14:solidFill>
              <w14:schemeClr w14:val="tx1"/>
            </w14:solidFill>
          </w14:textFill>
        </w:rPr>
      </w:pPr>
    </w:p>
    <w:p>
      <w:pPr>
        <w:widowControl/>
        <w:snapToGrid w:val="0"/>
        <w:ind w:firstLine="0" w:firstLineChars="0"/>
        <w:outlineLvl w:val="0"/>
        <w:rPr>
          <w:rFonts w:hint="eastAsia" w:ascii="仿宋" w:hAnsi="仿宋" w:eastAsia="仿宋" w:cs="仿宋_GB2312"/>
          <w:color w:val="000000" w:themeColor="text1"/>
          <w:kern w:val="0"/>
          <w:sz w:val="28"/>
          <w:szCs w:val="28"/>
          <w14:textFill>
            <w14:solidFill>
              <w14:schemeClr w14:val="tx1"/>
            </w14:solidFill>
          </w14:textFill>
        </w:rPr>
      </w:pPr>
    </w:p>
    <w:p>
      <w:pPr>
        <w:widowControl/>
        <w:tabs>
          <w:tab w:val="left" w:pos="851"/>
        </w:tabs>
        <w:adjustRightInd w:val="0"/>
        <w:snapToGrid w:val="0"/>
        <w:spacing w:line="384" w:lineRule="auto"/>
        <w:jc w:val="both"/>
        <w:rPr>
          <w:rFonts w:hint="eastAsia" w:ascii="仿宋" w:hAnsi="仿宋" w:eastAsia="仿宋" w:cs="仿宋_GB2312"/>
          <w:b/>
          <w:bCs/>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center"/>
        <w:rPr>
          <w:rFonts w:hint="eastAsia"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lang w:val="en-US" w:eastAsia="zh-CN"/>
          <w14:textFill>
            <w14:solidFill>
              <w14:schemeClr w14:val="tx1"/>
            </w14:solidFill>
          </w14:textFill>
        </w:rPr>
        <w:t>5</w:t>
      </w:r>
      <w:r>
        <w:rPr>
          <w:rFonts w:hint="eastAsia" w:ascii="仿宋" w:hAnsi="仿宋" w:eastAsia="仿宋" w:cs="仿宋_GB2312"/>
          <w:b/>
          <w:bCs/>
          <w:color w:val="000000" w:themeColor="text1"/>
          <w:sz w:val="28"/>
          <w:szCs w:val="28"/>
          <w14:textFill>
            <w14:solidFill>
              <w14:schemeClr w14:val="tx1"/>
            </w14:solidFill>
          </w14:textFill>
        </w:rPr>
        <w:t xml:space="preserve"> 项目单位、人员资格情况</w:t>
      </w:r>
    </w:p>
    <w:p>
      <w:pPr>
        <w:pStyle w:val="17"/>
        <w:ind w:firstLine="578"/>
        <w:jc w:val="center"/>
        <w:rPr>
          <w:rFonts w:hint="eastAsia" w:ascii="仿宋_GB2312" w:hAnsi="仿宋_GB2312" w:eastAsia="仿宋_GB2312" w:cs="仿宋_GB2312"/>
          <w:b/>
          <w:sz w:val="28"/>
          <w:szCs w:val="28"/>
          <w:lang w:val="en-US" w:eastAsia="zh-CN"/>
        </w:rPr>
      </w:pPr>
    </w:p>
    <w:p>
      <w:pPr>
        <w:pStyle w:val="17"/>
        <w:ind w:firstLine="578"/>
        <w:jc w:val="center"/>
        <w:rPr>
          <w:rFonts w:hint="eastAsia" w:ascii="仿宋_GB2312" w:hAnsi="仿宋_GB2312" w:eastAsia="仿宋_GB2312" w:cs="仿宋_GB2312"/>
          <w:b/>
          <w:sz w:val="28"/>
          <w:szCs w:val="28"/>
          <w:lang w:val="en-US" w:eastAsia="zh-CN"/>
        </w:rPr>
      </w:pPr>
    </w:p>
    <w:p>
      <w:pPr>
        <w:pStyle w:val="17"/>
        <w:ind w:firstLine="578"/>
        <w:jc w:val="center"/>
        <w:rPr>
          <w:rFonts w:hint="eastAsia" w:ascii="仿宋_GB2312" w:hAnsi="仿宋_GB2312" w:eastAsia="仿宋_GB2312" w:cs="仿宋_GB2312"/>
          <w:b/>
          <w:sz w:val="28"/>
          <w:szCs w:val="28"/>
          <w:lang w:val="en-US" w:eastAsia="zh-CN"/>
        </w:rPr>
      </w:pPr>
    </w:p>
    <w:p>
      <w:pPr>
        <w:pStyle w:val="17"/>
        <w:ind w:firstLine="0"/>
        <w:jc w:val="both"/>
        <w:rPr>
          <w:rFonts w:hint="eastAsia" w:ascii="仿宋_GB2312" w:hAnsi="仿宋_GB2312" w:eastAsia="仿宋_GB2312" w:cs="仿宋_GB2312"/>
          <w:b/>
          <w:sz w:val="28"/>
          <w:szCs w:val="28"/>
          <w:lang w:val="en-US" w:eastAsia="zh-CN"/>
        </w:rPr>
      </w:pPr>
    </w:p>
    <w:p>
      <w:pPr>
        <w:pStyle w:val="17"/>
        <w:ind w:firstLine="3022" w:firstLineChars="1075"/>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w:t>
      </w:r>
      <w:r>
        <w:rPr>
          <w:rFonts w:hint="eastAsia" w:ascii="仿宋_GB2312" w:hAnsi="仿宋_GB2312" w:eastAsia="仿宋_GB2312" w:cs="仿宋_GB2312"/>
          <w:b/>
          <w:sz w:val="28"/>
          <w:szCs w:val="28"/>
          <w:lang w:val="en-US" w:eastAsia="zh-CN"/>
        </w:rPr>
        <w:t>书</w:t>
      </w:r>
    </w:p>
    <w:p>
      <w:pPr>
        <w:pStyle w:val="24"/>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24"/>
        <w:ind w:firstLine="560" w:firstLineChars="200"/>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w:t>
      </w:r>
    </w:p>
    <w:p>
      <w:pPr>
        <w:pStyle w:val="24"/>
        <w:ind w:firstLine="562"/>
        <w:jc w:val="both"/>
        <w:rPr>
          <w:rFonts w:ascii="仿宋_GB2312" w:hAnsi="仿宋_GB2312" w:cs="仿宋_GB2312"/>
          <w:b w:val="0"/>
          <w:bCs/>
          <w:color w:val="auto"/>
          <w:kern w:val="2"/>
          <w:sz w:val="28"/>
          <w:szCs w:val="28"/>
        </w:rPr>
      </w:pPr>
    </w:p>
    <w:p>
      <w:pPr>
        <w:pStyle w:val="24"/>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24"/>
        <w:jc w:val="center"/>
      </w:pP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posOffset>2922905</wp:posOffset>
              </wp:positionH>
              <wp:positionV relativeFrom="paragraph">
                <wp:posOffset>64770</wp:posOffset>
              </wp:positionV>
              <wp:extent cx="233680" cy="131445"/>
              <wp:effectExtent l="0" t="0" r="13970" b="6350"/>
              <wp:wrapNone/>
              <wp:docPr id="4" name="文本框 3"/>
              <wp:cNvGraphicFramePr/>
              <a:graphic xmlns:a="http://schemas.openxmlformats.org/drawingml/2006/main">
                <a:graphicData uri="http://schemas.microsoft.com/office/word/2010/wordprocessingShape">
                  <wps:wsp>
                    <wps:cNvSpPr txBox="1"/>
                    <wps:spPr>
                      <a:xfrm>
                        <a:off x="0" y="0"/>
                        <a:ext cx="233680" cy="131445"/>
                      </a:xfrm>
                      <a:prstGeom prst="rect">
                        <a:avLst/>
                      </a:prstGeom>
                      <a:noFill/>
                      <a:ln w="6350">
                        <a:noFill/>
                      </a:ln>
                      <a:effectLst/>
                    </wps:spPr>
                    <wps:txbx>
                      <w:txbxContent>
                        <w:p>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left:230.15pt;margin-top:5.1pt;height:10.35pt;width:18.4pt;mso-position-horizontal-relative:margin;z-index:251659264;mso-width-relative:page;mso-height-relative:page;" filled="f" stroked="f" coordsize="21600,21600" o:gfxdata="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ykOE1wAAAAkB&#10;AAAPAAAAAAAAAAEAIAAAACIAAABkcnMvZG93bnJldi54bWxQSwECFAAUAAAACACHTuJA0Hr/sxwC&#10;AAAVBAAADgAAAAAAAAABACAAAAAmAQAAZHJzL2Uyb0RvYy54bWxQSwUGAAAAAAYABgBZAQAAtAUA&#10;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79557E90"/>
    <w:multiLevelType w:val="multilevel"/>
    <w:tmpl w:val="79557E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10"/>
    <w:rsid w:val="00006910"/>
    <w:rsid w:val="000B211C"/>
    <w:rsid w:val="00132635"/>
    <w:rsid w:val="001939F4"/>
    <w:rsid w:val="001958B9"/>
    <w:rsid w:val="001E1526"/>
    <w:rsid w:val="003A36F6"/>
    <w:rsid w:val="003B0B97"/>
    <w:rsid w:val="003C1359"/>
    <w:rsid w:val="00430599"/>
    <w:rsid w:val="00476E37"/>
    <w:rsid w:val="004E1DC5"/>
    <w:rsid w:val="004E5314"/>
    <w:rsid w:val="00500562"/>
    <w:rsid w:val="00521990"/>
    <w:rsid w:val="00543340"/>
    <w:rsid w:val="00547243"/>
    <w:rsid w:val="00563FC9"/>
    <w:rsid w:val="00597FB9"/>
    <w:rsid w:val="006361CA"/>
    <w:rsid w:val="00652002"/>
    <w:rsid w:val="0071784F"/>
    <w:rsid w:val="00717CEE"/>
    <w:rsid w:val="00756045"/>
    <w:rsid w:val="0078220C"/>
    <w:rsid w:val="0079454B"/>
    <w:rsid w:val="007A3E36"/>
    <w:rsid w:val="007A62A2"/>
    <w:rsid w:val="007E610C"/>
    <w:rsid w:val="0087413B"/>
    <w:rsid w:val="00876E17"/>
    <w:rsid w:val="008A2523"/>
    <w:rsid w:val="008A6C24"/>
    <w:rsid w:val="008B6272"/>
    <w:rsid w:val="008B65F7"/>
    <w:rsid w:val="008D1A64"/>
    <w:rsid w:val="008D3FF6"/>
    <w:rsid w:val="008E3BB5"/>
    <w:rsid w:val="008E4DA6"/>
    <w:rsid w:val="008F4203"/>
    <w:rsid w:val="00941160"/>
    <w:rsid w:val="009C1FC8"/>
    <w:rsid w:val="00A428B1"/>
    <w:rsid w:val="00A677D8"/>
    <w:rsid w:val="00AA7B12"/>
    <w:rsid w:val="00AE1896"/>
    <w:rsid w:val="00B515B4"/>
    <w:rsid w:val="00B5702F"/>
    <w:rsid w:val="00BE1AA7"/>
    <w:rsid w:val="00D125FE"/>
    <w:rsid w:val="00D3408C"/>
    <w:rsid w:val="00D50084"/>
    <w:rsid w:val="00D94BBD"/>
    <w:rsid w:val="00DD718F"/>
    <w:rsid w:val="00E45AA5"/>
    <w:rsid w:val="00E5137E"/>
    <w:rsid w:val="00E53373"/>
    <w:rsid w:val="00F35F75"/>
    <w:rsid w:val="00F71BA8"/>
    <w:rsid w:val="00F855C0"/>
    <w:rsid w:val="00F92BEA"/>
    <w:rsid w:val="00FC53B1"/>
    <w:rsid w:val="0161244A"/>
    <w:rsid w:val="01BF11FE"/>
    <w:rsid w:val="03453958"/>
    <w:rsid w:val="03FC7503"/>
    <w:rsid w:val="05971392"/>
    <w:rsid w:val="059B47C4"/>
    <w:rsid w:val="05BD5748"/>
    <w:rsid w:val="06FC0E15"/>
    <w:rsid w:val="071B3437"/>
    <w:rsid w:val="09A74457"/>
    <w:rsid w:val="09E431B5"/>
    <w:rsid w:val="0B8250C3"/>
    <w:rsid w:val="0D4276CF"/>
    <w:rsid w:val="0DFD1346"/>
    <w:rsid w:val="0F796B3B"/>
    <w:rsid w:val="108700D5"/>
    <w:rsid w:val="10FB4027"/>
    <w:rsid w:val="11363EC8"/>
    <w:rsid w:val="11442E96"/>
    <w:rsid w:val="14737393"/>
    <w:rsid w:val="14B20DB0"/>
    <w:rsid w:val="152E3092"/>
    <w:rsid w:val="16501341"/>
    <w:rsid w:val="184D3696"/>
    <w:rsid w:val="18691BFE"/>
    <w:rsid w:val="18E27E20"/>
    <w:rsid w:val="192D55A4"/>
    <w:rsid w:val="19607DA6"/>
    <w:rsid w:val="1ACF79F6"/>
    <w:rsid w:val="1B4931DB"/>
    <w:rsid w:val="1C88655D"/>
    <w:rsid w:val="1E6710AE"/>
    <w:rsid w:val="1F5E0834"/>
    <w:rsid w:val="1FD7435E"/>
    <w:rsid w:val="20A66B60"/>
    <w:rsid w:val="22656D43"/>
    <w:rsid w:val="245651BA"/>
    <w:rsid w:val="254C7A91"/>
    <w:rsid w:val="25873DEC"/>
    <w:rsid w:val="25AB4D7B"/>
    <w:rsid w:val="25C518C5"/>
    <w:rsid w:val="26655AD0"/>
    <w:rsid w:val="26715A65"/>
    <w:rsid w:val="26DC7A53"/>
    <w:rsid w:val="28FC416F"/>
    <w:rsid w:val="29585EA2"/>
    <w:rsid w:val="299A1AD8"/>
    <w:rsid w:val="29F305EA"/>
    <w:rsid w:val="2B072C1B"/>
    <w:rsid w:val="2BA13AD6"/>
    <w:rsid w:val="2CE5475D"/>
    <w:rsid w:val="2E6B3F5A"/>
    <w:rsid w:val="2F1547E7"/>
    <w:rsid w:val="2FD9301B"/>
    <w:rsid w:val="30365ABB"/>
    <w:rsid w:val="30734118"/>
    <w:rsid w:val="31585BED"/>
    <w:rsid w:val="31784766"/>
    <w:rsid w:val="326D60C9"/>
    <w:rsid w:val="329E4190"/>
    <w:rsid w:val="33BA2404"/>
    <w:rsid w:val="35B47DE8"/>
    <w:rsid w:val="37EB533E"/>
    <w:rsid w:val="38B2330A"/>
    <w:rsid w:val="39133A81"/>
    <w:rsid w:val="39C34740"/>
    <w:rsid w:val="3AE6392B"/>
    <w:rsid w:val="3AEB37EE"/>
    <w:rsid w:val="3CAA741F"/>
    <w:rsid w:val="3CD86558"/>
    <w:rsid w:val="3EBD3B56"/>
    <w:rsid w:val="3ED41FB7"/>
    <w:rsid w:val="3ED9608F"/>
    <w:rsid w:val="3FA7723B"/>
    <w:rsid w:val="40AC0E17"/>
    <w:rsid w:val="40B769CA"/>
    <w:rsid w:val="417A6F8F"/>
    <w:rsid w:val="427C73C4"/>
    <w:rsid w:val="429D1F22"/>
    <w:rsid w:val="432464F6"/>
    <w:rsid w:val="435C0539"/>
    <w:rsid w:val="443E137D"/>
    <w:rsid w:val="44E10581"/>
    <w:rsid w:val="45727631"/>
    <w:rsid w:val="46422857"/>
    <w:rsid w:val="47AD53C8"/>
    <w:rsid w:val="489E1476"/>
    <w:rsid w:val="48A81A1E"/>
    <w:rsid w:val="48F77823"/>
    <w:rsid w:val="494B1857"/>
    <w:rsid w:val="49623E87"/>
    <w:rsid w:val="4A400017"/>
    <w:rsid w:val="4A535864"/>
    <w:rsid w:val="4C601F2A"/>
    <w:rsid w:val="4D166C53"/>
    <w:rsid w:val="4DC75BDB"/>
    <w:rsid w:val="4E3F2967"/>
    <w:rsid w:val="4F542968"/>
    <w:rsid w:val="4FB06192"/>
    <w:rsid w:val="4FF429EF"/>
    <w:rsid w:val="502C32C5"/>
    <w:rsid w:val="50730385"/>
    <w:rsid w:val="50800490"/>
    <w:rsid w:val="51570EB9"/>
    <w:rsid w:val="519755DE"/>
    <w:rsid w:val="51D43044"/>
    <w:rsid w:val="51D524AB"/>
    <w:rsid w:val="51F57911"/>
    <w:rsid w:val="52424B0F"/>
    <w:rsid w:val="52A658DD"/>
    <w:rsid w:val="52D47A5C"/>
    <w:rsid w:val="533C4785"/>
    <w:rsid w:val="539875F1"/>
    <w:rsid w:val="54E616B8"/>
    <w:rsid w:val="55217A9E"/>
    <w:rsid w:val="558435EF"/>
    <w:rsid w:val="55E35969"/>
    <w:rsid w:val="56B50241"/>
    <w:rsid w:val="5768319B"/>
    <w:rsid w:val="57D27E66"/>
    <w:rsid w:val="58F139DA"/>
    <w:rsid w:val="591D3AF7"/>
    <w:rsid w:val="5BC92BB2"/>
    <w:rsid w:val="5D0723D8"/>
    <w:rsid w:val="5F9154F8"/>
    <w:rsid w:val="5FAB579F"/>
    <w:rsid w:val="5FCE2104"/>
    <w:rsid w:val="601F5CC7"/>
    <w:rsid w:val="606E6BA4"/>
    <w:rsid w:val="60F37015"/>
    <w:rsid w:val="61830E00"/>
    <w:rsid w:val="62AA2943"/>
    <w:rsid w:val="62E52096"/>
    <w:rsid w:val="63003EEA"/>
    <w:rsid w:val="637829E2"/>
    <w:rsid w:val="6477531B"/>
    <w:rsid w:val="64867873"/>
    <w:rsid w:val="65267F49"/>
    <w:rsid w:val="685A2982"/>
    <w:rsid w:val="685D08DE"/>
    <w:rsid w:val="68FB4D8C"/>
    <w:rsid w:val="6BE9353F"/>
    <w:rsid w:val="6C6B1F22"/>
    <w:rsid w:val="6E6511DD"/>
    <w:rsid w:val="70E840C9"/>
    <w:rsid w:val="710B1B55"/>
    <w:rsid w:val="71945490"/>
    <w:rsid w:val="72554BCD"/>
    <w:rsid w:val="743A702E"/>
    <w:rsid w:val="747D51CB"/>
    <w:rsid w:val="74D3021D"/>
    <w:rsid w:val="75D52A75"/>
    <w:rsid w:val="75F14B2E"/>
    <w:rsid w:val="775C0EA7"/>
    <w:rsid w:val="797821F3"/>
    <w:rsid w:val="7C037DAB"/>
    <w:rsid w:val="7D220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unhideWhenUsed/>
    <w:qFormat/>
    <w:uiPriority w:val="99"/>
    <w:pPr>
      <w:spacing w:after="120" w:line="480" w:lineRule="auto"/>
    </w:pPr>
  </w:style>
  <w:style w:type="paragraph" w:styleId="6">
    <w:name w:val="annotation text"/>
    <w:basedOn w:val="1"/>
    <w:link w:val="31"/>
    <w:qFormat/>
    <w:uiPriority w:val="0"/>
    <w:pPr>
      <w:jc w:val="left"/>
    </w:p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宋体" w:cs="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33"/>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eastAsia="宋体" w:cs="Times New Roman"/>
      <w:szCs w:val="24"/>
    </w:rPr>
  </w:style>
  <w:style w:type="paragraph" w:styleId="1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5">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6">
    <w:name w:val="annotation subject"/>
    <w:basedOn w:val="6"/>
    <w:next w:val="6"/>
    <w:link w:val="32"/>
    <w:qFormat/>
    <w:uiPriority w:val="0"/>
    <w:rPr>
      <w:b/>
      <w:bCs/>
    </w:rPr>
  </w:style>
  <w:style w:type="paragraph" w:styleId="17">
    <w:name w:val="Body Text First Indent"/>
    <w:basedOn w:val="2"/>
    <w:unhideWhenUsed/>
    <w:qFormat/>
    <w:uiPriority w:val="99"/>
    <w:pPr>
      <w:spacing w:after="120"/>
      <w:ind w:firstLine="420"/>
    </w:pPr>
    <w:rPr>
      <w:sz w:val="21"/>
    </w:r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basedOn w:val="20"/>
    <w:qFormat/>
    <w:uiPriority w:val="22"/>
    <w:rPr>
      <w:rFonts w:eastAsia="宋体"/>
      <w:b/>
      <w:bCs/>
      <w:kern w:val="2"/>
      <w:sz w:val="24"/>
      <w:szCs w:val="24"/>
      <w:lang w:val="en-US" w:eastAsia="zh-CN" w:bidi="ar-SA"/>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5">
    <w:name w:val="列出段落1"/>
    <w:basedOn w:val="1"/>
    <w:qFormat/>
    <w:uiPriority w:val="34"/>
    <w:pPr>
      <w:ind w:firstLine="420" w:firstLineChars="200"/>
    </w:pPr>
    <w:rPr>
      <w:rFonts w:ascii="Calibri" w:hAnsi="Calibri" w:eastAsia="宋体" w:cs="Times New Roman"/>
    </w:rPr>
  </w:style>
  <w:style w:type="paragraph" w:customStyle="1" w:styleId="26">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styleId="27">
    <w:name w:val="List Paragraph"/>
    <w:basedOn w:val="1"/>
    <w:qFormat/>
    <w:uiPriority w:val="99"/>
    <w:pPr>
      <w:ind w:firstLine="420" w:firstLineChars="200"/>
    </w:p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character" w:customStyle="1" w:styleId="31">
    <w:name w:val="批注文字 字符"/>
    <w:basedOn w:val="20"/>
    <w:link w:val="6"/>
    <w:qFormat/>
    <w:uiPriority w:val="0"/>
    <w:rPr>
      <w:kern w:val="2"/>
      <w:sz w:val="21"/>
      <w:szCs w:val="22"/>
    </w:rPr>
  </w:style>
  <w:style w:type="character" w:customStyle="1" w:styleId="32">
    <w:name w:val="批注主题 字符"/>
    <w:basedOn w:val="31"/>
    <w:link w:val="16"/>
    <w:qFormat/>
    <w:uiPriority w:val="0"/>
    <w:rPr>
      <w:b/>
      <w:bCs/>
      <w:kern w:val="2"/>
      <w:sz w:val="21"/>
      <w:szCs w:val="22"/>
    </w:rPr>
  </w:style>
  <w:style w:type="character" w:customStyle="1" w:styleId="33">
    <w:name w:val="批注框文本 字符"/>
    <w:basedOn w:val="20"/>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2396</Words>
  <Characters>13663</Characters>
  <Lines>113</Lines>
  <Paragraphs>32</Paragraphs>
  <TotalTime>15</TotalTime>
  <ScaleCrop>false</ScaleCrop>
  <LinksUpToDate>false</LinksUpToDate>
  <CharactersWithSpaces>16027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2021-05-31T00:37:00Z</dcterms:created>
  <dc:creator>Windy1234</dc:creator>
  <cp:lastModifiedBy>林煜韩</cp:lastModifiedBy>
  <cp:lastPrinted>2021-11-09T00:59:00Z</cp:lastPrinted>
  <dcterms:modified xsi:type="dcterms:W3CDTF">2021-11-17T07:14:11Z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EA5A032536B14DB5B781BA1A97C54497</vt:lpwstr>
  </property>
</Properties>
</file>