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bookmarkStart w:id="0" w:name="_Hlk82512634"/>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360" w:lineRule="auto"/>
        <w:jc w:val="left"/>
        <w:rPr>
          <w:rFonts w:ascii="仿宋" w:hAnsi="仿宋" w:eastAsia="仿宋" w:cs="仿宋_GB2312"/>
          <w:b/>
          <w:bCs/>
          <w:sz w:val="28"/>
          <w:szCs w:val="28"/>
        </w:rPr>
      </w:pPr>
    </w:p>
    <w:p>
      <w:pPr>
        <w:tabs>
          <w:tab w:val="left" w:pos="420"/>
          <w:tab w:val="left" w:pos="6660"/>
        </w:tabs>
        <w:spacing w:line="360" w:lineRule="auto"/>
        <w:ind w:firstLine="640" w:firstLineChars="200"/>
        <w:jc w:val="left"/>
        <w:rPr>
          <w:rFonts w:ascii="仿宋" w:hAnsi="仿宋" w:eastAsia="仿宋" w:cs="仿宋_GB2312"/>
          <w:b/>
          <w:bCs/>
          <w:sz w:val="32"/>
          <w:szCs w:val="32"/>
        </w:rPr>
      </w:pP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XJ-20211110-3</w:t>
      </w:r>
      <w:r>
        <w:rPr>
          <w:sz w:val="32"/>
          <w:szCs w:val="32"/>
        </w:rPr>
        <w:t xml:space="preserve"> </w:t>
      </w:r>
      <w:r>
        <w:rPr>
          <w:sz w:val="32"/>
          <w:szCs w:val="32"/>
        </w:rPr>
        <w:fldChar w:fldCharType="begin"/>
      </w:r>
      <w:r>
        <w:rPr>
          <w:sz w:val="32"/>
          <w:szCs w:val="32"/>
        </w:rPr>
        <w:instrText xml:space="preserve"> DOCVARIABLE  采购编号  \* MERGEFORMAT </w:instrText>
      </w:r>
      <w:r>
        <w:rPr>
          <w:sz w:val="32"/>
          <w:szCs w:val="32"/>
        </w:rPr>
        <w:fldChar w:fldCharType="end"/>
      </w:r>
    </w:p>
    <w:p>
      <w:pPr>
        <w:tabs>
          <w:tab w:val="left" w:pos="420"/>
          <w:tab w:val="left" w:pos="6660"/>
        </w:tabs>
        <w:spacing w:line="360" w:lineRule="auto"/>
        <w:ind w:left="2230" w:leftChars="300" w:hanging="1600" w:hangingChars="500"/>
        <w:jc w:val="left"/>
        <w:rPr>
          <w:rFonts w:hint="eastAsia" w:ascii="仿宋" w:hAnsi="仿宋" w:eastAsia="仿宋" w:cs="仿宋_GB2312"/>
          <w:b/>
          <w:bCs/>
          <w:sz w:val="32"/>
          <w:szCs w:val="32"/>
          <w:lang w:eastAsia="zh-CN"/>
        </w:rPr>
      </w:pPr>
      <w:r>
        <w:rPr>
          <w:rFonts w:hint="eastAsia" w:ascii="仿宋" w:hAnsi="仿宋" w:eastAsia="仿宋" w:cs="仿宋_GB2312"/>
          <w:b/>
          <w:bCs/>
          <w:sz w:val="32"/>
          <w:szCs w:val="32"/>
        </w:rPr>
        <w:t>项目名称：</w:t>
      </w:r>
      <w:r>
        <w:rPr>
          <w:rFonts w:hint="eastAsia" w:ascii="仿宋" w:hAnsi="仿宋" w:eastAsia="仿宋" w:cs="仿宋_GB2312"/>
          <w:b/>
          <w:bCs/>
          <w:sz w:val="32"/>
          <w:szCs w:val="32"/>
          <w:lang w:val="en-US" w:eastAsia="zh-CN"/>
        </w:rPr>
        <w:t>广州市净水有限公司</w:t>
      </w:r>
      <w:r>
        <w:rPr>
          <w:rFonts w:hint="eastAsia" w:ascii="仿宋" w:hAnsi="仿宋" w:eastAsia="仿宋" w:cs="仿宋_GB2312"/>
          <w:b/>
          <w:bCs/>
          <w:sz w:val="32"/>
          <w:szCs w:val="32"/>
        </w:rPr>
        <w:t>京溪分公司2021年紫外消毒系统大修</w:t>
      </w:r>
      <w:r>
        <w:rPr>
          <w:rFonts w:hint="eastAsia" w:ascii="仿宋" w:hAnsi="仿宋" w:eastAsia="仿宋" w:cs="仿宋_GB2312"/>
          <w:b/>
          <w:bCs/>
          <w:sz w:val="32"/>
          <w:szCs w:val="32"/>
          <w:lang w:val="en-US" w:eastAsia="zh-CN"/>
        </w:rPr>
        <w:t>项目</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lang w:val="en-US" w:eastAsia="zh-CN"/>
        </w:rPr>
        <w:t>第二次</w:t>
      </w:r>
      <w:r>
        <w:rPr>
          <w:rFonts w:hint="eastAsia" w:ascii="仿宋" w:hAnsi="仿宋" w:eastAsia="仿宋" w:cs="仿宋_GB2312"/>
          <w:b/>
          <w:bCs/>
          <w:sz w:val="32"/>
          <w:szCs w:val="32"/>
          <w:lang w:eastAsia="zh-CN"/>
        </w:rPr>
        <w:t>）</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bCs/>
          <w:sz w:val="28"/>
        </w:rPr>
        <w:sectPr>
          <w:headerReference r:id="rId3" w:type="default"/>
          <w:footerReference r:id="rId4" w:type="default"/>
          <w:footerReference r:id="rId5" w:type="even"/>
          <w:type w:val="continuous"/>
          <w:pgSz w:w="11906" w:h="16838"/>
          <w:pgMar w:top="1134" w:right="1134" w:bottom="1134" w:left="1701" w:header="851" w:footer="992" w:gutter="0"/>
          <w:pgNumType w:start="1"/>
          <w:cols w:space="720" w:num="1"/>
          <w:docGrid w:type="linesAndChars" w:linePitch="312" w:charSpace="0"/>
        </w:sectPr>
      </w:pPr>
      <w:r>
        <w:rPr>
          <w:rFonts w:hint="eastAsia" w:ascii="仿宋" w:hAnsi="仿宋" w:eastAsia="仿宋" w:cs="仿宋_GB2312"/>
          <w:b/>
          <w:bCs/>
          <w:sz w:val="28"/>
        </w:rPr>
        <w:t>发布日期：</w:t>
      </w:r>
      <w:r>
        <w:rPr>
          <w:rFonts w:hint="eastAsia" w:ascii="仿宋" w:hAnsi="仿宋" w:eastAsia="仿宋" w:cs="仿宋_GB2312"/>
          <w:b/>
          <w:bCs/>
          <w:sz w:val="28"/>
          <w:lang w:val="en-US" w:eastAsia="zh-CN"/>
        </w:rPr>
        <w:t>2021</w:t>
      </w:r>
      <w:r>
        <w:rPr>
          <w:rFonts w:hint="eastAsia" w:ascii="仿宋" w:hAnsi="仿宋" w:eastAsia="仿宋" w:cs="仿宋_GB2312"/>
          <w:b/>
          <w:bCs/>
          <w:sz w:val="28"/>
        </w:rPr>
        <w:t>年</w:t>
      </w:r>
      <w:r>
        <w:rPr>
          <w:rFonts w:hint="eastAsia" w:ascii="仿宋" w:hAnsi="仿宋" w:eastAsia="仿宋" w:cs="仿宋_GB2312"/>
          <w:b/>
          <w:bCs/>
          <w:sz w:val="28"/>
          <w:lang w:val="en-US" w:eastAsia="zh-CN"/>
        </w:rPr>
        <w:t>11</w:t>
      </w:r>
      <w:r>
        <w:rPr>
          <w:rFonts w:hint="eastAsia" w:ascii="仿宋" w:hAnsi="仿宋" w:eastAsia="仿宋" w:cs="仿宋_GB2312"/>
          <w:b/>
          <w:bCs/>
          <w:sz w:val="28"/>
        </w:rPr>
        <w:t>月</w:t>
      </w:r>
      <w:r>
        <w:rPr>
          <w:rFonts w:hint="eastAsia" w:ascii="仿宋" w:hAnsi="仿宋" w:eastAsia="仿宋" w:cs="仿宋_GB2312"/>
          <w:b/>
          <w:bCs/>
          <w:sz w:val="28"/>
          <w:lang w:val="en-US" w:eastAsia="zh-CN"/>
        </w:rPr>
        <w:t>10</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7"/>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keepNext w:val="0"/>
        <w:keepLines w:val="0"/>
        <w:pageBreakBefore w:val="0"/>
        <w:kinsoku/>
        <w:wordWrap/>
        <w:overflowPunct/>
        <w:topLinePunct w:val="0"/>
        <w:bidi w:val="0"/>
        <w:spacing w:line="5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各报价单位:</w:t>
      </w:r>
    </w:p>
    <w:p>
      <w:pPr>
        <w:keepNext w:val="0"/>
        <w:keepLines w:val="0"/>
        <w:pageBreakBefore w:val="0"/>
        <w:kinsoku/>
        <w:wordWrap/>
        <w:overflowPunct/>
        <w:topLinePunct w:val="0"/>
        <w:bidi w:val="0"/>
        <w:spacing w:line="52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sz w:val="28"/>
          <w:szCs w:val="28"/>
          <w:u w:val="single"/>
          <w:lang w:eastAsia="zh-CN"/>
        </w:rPr>
        <w:t>京溪分公司2021年紫外消毒系统大修项目（第二次）</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的报价单位参加。</w:t>
      </w:r>
    </w:p>
    <w:p>
      <w:pPr>
        <w:keepNext w:val="0"/>
        <w:keepLines w:val="0"/>
        <w:pageBreakBefore w:val="0"/>
        <w:kinsoku/>
        <w:wordWrap/>
        <w:overflowPunct/>
        <w:topLinePunct w:val="0"/>
        <w:autoSpaceDE w:val="0"/>
        <w:autoSpaceDN w:val="0"/>
        <w:bidi w:val="0"/>
        <w:spacing w:line="52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sz w:val="28"/>
          <w:szCs w:val="28"/>
        </w:rPr>
        <w:t>自筹资金</w:t>
      </w:r>
    </w:p>
    <w:p>
      <w:pPr>
        <w:keepNext w:val="0"/>
        <w:keepLines w:val="0"/>
        <w:pageBreakBefore w:val="0"/>
        <w:kinsoku/>
        <w:wordWrap/>
        <w:overflowPunct/>
        <w:topLinePunct w:val="0"/>
        <w:autoSpaceDE w:val="0"/>
        <w:autoSpaceDN w:val="0"/>
        <w:bidi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_GB2312" w:hAnsi="仿宋_GB2312" w:eastAsia="仿宋_GB2312" w:cs="仿宋_GB2312"/>
          <w:sz w:val="28"/>
          <w:szCs w:val="28"/>
          <w:lang w:val="en-US" w:eastAsia="zh-CN"/>
        </w:rPr>
        <w:t>XJ-20211110-3</w:t>
      </w:r>
      <w:r>
        <w:rPr>
          <w:rFonts w:ascii="仿宋_GB2312" w:hAnsi="仿宋_GB2312" w:eastAsia="仿宋_GB2312" w:cs="仿宋_GB2312"/>
          <w:sz w:val="28"/>
          <w:szCs w:val="28"/>
        </w:rPr>
        <w:t xml:space="preserve"> </w:t>
      </w:r>
    </w:p>
    <w:p>
      <w:pPr>
        <w:keepNext w:val="0"/>
        <w:keepLines w:val="0"/>
        <w:pageBreakBefore w:val="0"/>
        <w:kinsoku/>
        <w:wordWrap/>
        <w:overflowPunct/>
        <w:topLinePunct w:val="0"/>
        <w:autoSpaceDE w:val="0"/>
        <w:autoSpaceDN w:val="0"/>
        <w:bidi w:val="0"/>
        <w:spacing w:line="520" w:lineRule="exact"/>
        <w:ind w:firstLine="560" w:firstLineChars="200"/>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lang w:val="en-US" w:eastAsia="zh-CN"/>
        </w:rPr>
        <w:t>广州市净水有限公司</w:t>
      </w:r>
      <w:r>
        <w:rPr>
          <w:rFonts w:hint="eastAsia" w:ascii="仿宋_GB2312" w:hAnsi="仿宋_GB2312" w:eastAsia="仿宋_GB2312" w:cs="仿宋_GB2312"/>
          <w:sz w:val="28"/>
          <w:szCs w:val="28"/>
          <w:u w:val="single"/>
          <w:lang w:eastAsia="zh-CN"/>
        </w:rPr>
        <w:t>京溪分公司2021年紫外消毒系统大修项目（第二次）</w:t>
      </w:r>
    </w:p>
    <w:p>
      <w:pPr>
        <w:keepNext w:val="0"/>
        <w:keepLines w:val="0"/>
        <w:pageBreakBefore w:val="0"/>
        <w:kinsoku/>
        <w:wordWrap/>
        <w:overflowPunct/>
        <w:topLinePunct w:val="0"/>
        <w:autoSpaceDE w:val="0"/>
        <w:autoSpaceDN w:val="0"/>
        <w:bidi w:val="0"/>
        <w:spacing w:line="52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四、最高</w:t>
      </w:r>
      <w:r>
        <w:rPr>
          <w:rFonts w:hint="eastAsia" w:ascii="仿宋_GB2312" w:hAnsi="仿宋_GB2312" w:eastAsia="仿宋_GB2312" w:cs="仿宋_GB2312"/>
          <w:sz w:val="28"/>
          <w:szCs w:val="28"/>
        </w:rPr>
        <w:t>总</w:t>
      </w:r>
      <w:r>
        <w:rPr>
          <w:rFonts w:hint="eastAsia" w:ascii="仿宋_GB2312" w:hAnsi="仿宋_GB2312" w:eastAsia="仿宋_GB2312" w:cs="仿宋_GB2312"/>
          <w:sz w:val="28"/>
          <w:szCs w:val="28"/>
          <w:lang w:val="zh-CN"/>
        </w:rPr>
        <w:t>限价：</w:t>
      </w:r>
      <w:r>
        <w:rPr>
          <w:rFonts w:ascii="仿宋_GB2312" w:hAnsi="仿宋_GB2312" w:eastAsia="仿宋_GB2312" w:cs="仿宋_GB2312"/>
          <w:sz w:val="28"/>
          <w:szCs w:val="28"/>
          <w:u w:val="single"/>
        </w:rPr>
        <w:t>70.0677</w:t>
      </w:r>
      <w:r>
        <w:rPr>
          <w:rFonts w:hint="eastAsia" w:ascii="仿宋_GB2312" w:hAnsi="仿宋_GB2312" w:eastAsia="仿宋_GB2312" w:cs="仿宋_GB2312"/>
          <w:sz w:val="28"/>
          <w:szCs w:val="28"/>
        </w:rPr>
        <w:t>万元人民币</w:t>
      </w:r>
    </w:p>
    <w:p>
      <w:pPr>
        <w:keepNext w:val="0"/>
        <w:keepLines w:val="0"/>
        <w:pageBreakBefore w:val="0"/>
        <w:kinsoku/>
        <w:wordWrap/>
        <w:overflowPunct/>
        <w:topLinePunct w:val="0"/>
        <w:autoSpaceDE w:val="0"/>
        <w:autoSpaceDN w:val="0"/>
        <w:bidi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w:t>
      </w:r>
    </w:p>
    <w:p>
      <w:pPr>
        <w:keepNext w:val="0"/>
        <w:keepLines w:val="0"/>
        <w:pageBreakBefore w:val="0"/>
        <w:kinsoku/>
        <w:wordWrap/>
        <w:overflowPunct/>
        <w:topLinePunct w:val="0"/>
        <w:autoSpaceDE w:val="0"/>
        <w:autoSpaceDN w:val="0"/>
        <w:bidi w:val="0"/>
        <w:spacing w:line="520" w:lineRule="exact"/>
        <w:ind w:firstLine="420" w:firstLineChars="200"/>
        <w:rPr>
          <w:rFonts w:ascii="仿宋_GB2312" w:hAnsi="仿宋_GB2312" w:eastAsia="仿宋_GB2312" w:cs="仿宋_GB2312"/>
          <w:sz w:val="28"/>
          <w:szCs w:val="28"/>
          <w:lang w:val="zh-CN"/>
        </w:rPr>
      </w:pPr>
      <w:r>
        <w:rPr>
          <w:rFonts w:hint="eastAsia"/>
        </w:rPr>
        <w:t xml:space="preserve"> </w:t>
      </w:r>
      <w:r>
        <w:rPr>
          <w:rFonts w:hint="eastAsia" w:ascii="仿宋_GB2312" w:hAnsi="仿宋_GB2312" w:eastAsia="仿宋_GB2312" w:cs="仿宋_GB2312"/>
          <w:sz w:val="28"/>
          <w:szCs w:val="28"/>
          <w:lang w:val="zh-CN"/>
        </w:rPr>
        <w:t>京溪分公司有</w:t>
      </w:r>
      <w:r>
        <w:rPr>
          <w:rFonts w:ascii="仿宋_GB2312" w:hAnsi="仿宋_GB2312" w:eastAsia="仿宋_GB2312" w:cs="仿宋_GB2312"/>
          <w:sz w:val="28"/>
          <w:szCs w:val="28"/>
          <w:lang w:val="zh-CN"/>
        </w:rPr>
        <w:t>5</w:t>
      </w:r>
      <w:r>
        <w:rPr>
          <w:rFonts w:hint="eastAsia" w:ascii="仿宋_GB2312" w:hAnsi="仿宋_GB2312" w:eastAsia="仿宋_GB2312" w:cs="仿宋_GB2312"/>
          <w:sz w:val="28"/>
          <w:szCs w:val="28"/>
          <w:lang w:val="zh-CN"/>
        </w:rPr>
        <w:t>台管道式紫外消毒装置（4赛莱默</w:t>
      </w:r>
      <w:r>
        <w:rPr>
          <w:rFonts w:ascii="仿宋_GB2312" w:hAnsi="仿宋_GB2312" w:eastAsia="仿宋_GB2312" w:cs="仿宋_GB2312"/>
          <w:sz w:val="28"/>
          <w:szCs w:val="28"/>
          <w:lang w:val="zh-CN"/>
        </w:rPr>
        <w:t>WEDECO LBX1000</w:t>
      </w:r>
      <w:r>
        <w:rPr>
          <w:rFonts w:hint="eastAsia" w:ascii="仿宋_GB2312" w:hAnsi="仿宋_GB2312" w:eastAsia="仿宋_GB2312" w:cs="仿宋_GB2312"/>
          <w:sz w:val="28"/>
          <w:szCs w:val="28"/>
          <w:lang w:val="zh-CN"/>
        </w:rPr>
        <w:t>和1台赛莱默</w:t>
      </w:r>
      <w:r>
        <w:rPr>
          <w:rFonts w:ascii="仿宋_GB2312" w:hAnsi="仿宋_GB2312" w:eastAsia="仿宋_GB2312" w:cs="仿宋_GB2312"/>
          <w:sz w:val="28"/>
          <w:szCs w:val="28"/>
          <w:lang w:val="zh-CN"/>
        </w:rPr>
        <w:t>WEDECO LBX1000</w:t>
      </w:r>
      <w:r>
        <w:rPr>
          <w:rFonts w:hint="eastAsia" w:ascii="仿宋_GB2312" w:hAnsi="仿宋_GB2312" w:eastAsia="仿宋_GB2312" w:cs="仿宋_GB2312"/>
          <w:sz w:val="28"/>
          <w:szCs w:val="28"/>
          <w:lang w:val="zh-CN"/>
        </w:rPr>
        <w:t>e），因使用时间已到大修的年限，需要对装置进行大修，大修内容主要包括：清洗所有的石英套管并更换损坏的石英套管、更换所有紫外灯管、清洗环清洗、更换损坏的镇流器等工作。</w:t>
      </w:r>
    </w:p>
    <w:p>
      <w:pPr>
        <w:pStyle w:val="28"/>
        <w:keepNext w:val="0"/>
        <w:keepLines w:val="0"/>
        <w:pageBreakBefore w:val="0"/>
        <w:kinsoku/>
        <w:wordWrap/>
        <w:overflowPunct/>
        <w:topLinePunct w:val="0"/>
        <w:bidi w:val="0"/>
        <w:spacing w:line="520" w:lineRule="exact"/>
        <w:rPr>
          <w:rFonts w:ascii="仿宋_GB2312"/>
          <w:sz w:val="28"/>
          <w:szCs w:val="28"/>
          <w:lang w:val="zh-CN"/>
        </w:rPr>
      </w:pPr>
      <w:r>
        <w:rPr>
          <w:rFonts w:hint="eastAsia"/>
          <w:lang w:val="zh-CN"/>
        </w:rPr>
        <w:t xml:space="preserve"> </w:t>
      </w:r>
      <w:r>
        <w:rPr>
          <w:lang w:val="zh-CN"/>
        </w:rPr>
        <w:t xml:space="preserve">   1.</w:t>
      </w:r>
      <w:r>
        <w:rPr>
          <w:rFonts w:hint="eastAsia" w:ascii="仿宋_GB2312"/>
          <w:sz w:val="28"/>
          <w:szCs w:val="28"/>
          <w:lang w:val="zh-CN"/>
        </w:rPr>
        <w:t>备件清单</w:t>
      </w:r>
    </w:p>
    <w:tbl>
      <w:tblPr>
        <w:tblStyle w:val="21"/>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9"/>
        <w:gridCol w:w="4589"/>
        <w:gridCol w:w="694"/>
        <w:gridCol w:w="690"/>
        <w:gridCol w:w="2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589"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序号</w:t>
            </w:r>
          </w:p>
        </w:tc>
        <w:tc>
          <w:tcPr>
            <w:tcW w:w="4589"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产品技术参数描述</w:t>
            </w:r>
          </w:p>
        </w:tc>
        <w:tc>
          <w:tcPr>
            <w:tcW w:w="694"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数量</w:t>
            </w:r>
          </w:p>
        </w:tc>
        <w:tc>
          <w:tcPr>
            <w:tcW w:w="690"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单位</w:t>
            </w:r>
          </w:p>
        </w:tc>
        <w:tc>
          <w:tcPr>
            <w:tcW w:w="288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589"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一</w:t>
            </w:r>
          </w:p>
        </w:tc>
        <w:tc>
          <w:tcPr>
            <w:tcW w:w="4589"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现有Xylem WEDECO</w:t>
            </w:r>
          </w:p>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VA106697 LBX1000</w:t>
            </w:r>
          </w:p>
        </w:tc>
        <w:tc>
          <w:tcPr>
            <w:tcW w:w="694" w:type="dxa"/>
            <w:shd w:val="clear" w:color="auto" w:fill="auto"/>
            <w:noWrap/>
            <w:tcMar>
              <w:top w:w="15" w:type="dxa"/>
              <w:left w:w="15" w:type="dxa"/>
              <w:right w:w="15" w:type="dxa"/>
            </w:tcMar>
            <w:vAlign w:val="bottom"/>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4</w:t>
            </w:r>
          </w:p>
        </w:tc>
        <w:tc>
          <w:tcPr>
            <w:tcW w:w="690" w:type="dxa"/>
            <w:shd w:val="clear" w:color="FFFFFF" w:fill="FFFFFF"/>
            <w:noWrap/>
            <w:tcMar>
              <w:top w:w="15" w:type="dxa"/>
              <w:left w:w="15" w:type="dxa"/>
              <w:right w:w="15" w:type="dxa"/>
            </w:tcMar>
            <w:vAlign w:val="center"/>
          </w:tcPr>
          <w:p>
            <w:pPr>
              <w:keepNext w:val="0"/>
              <w:keepLines w:val="0"/>
              <w:pageBreakBefore w:val="0"/>
              <w:kinsoku/>
              <w:wordWrap/>
              <w:overflowPunct/>
              <w:topLinePunct w:val="0"/>
              <w:bidi w:val="0"/>
              <w:spacing w:line="520" w:lineRule="exact"/>
              <w:jc w:val="center"/>
              <w:rPr>
                <w:rFonts w:ascii="仿宋_GB2312" w:hAnsi="宋体" w:eastAsia="仿宋_GB2312" w:cs="宋体"/>
                <w:sz w:val="24"/>
              </w:rPr>
            </w:pPr>
            <w:r>
              <w:rPr>
                <w:rFonts w:hint="eastAsia" w:ascii="仿宋_GB2312" w:hAnsi="宋体" w:eastAsia="仿宋_GB2312" w:cs="宋体"/>
                <w:sz w:val="24"/>
              </w:rPr>
              <w:t>台</w:t>
            </w:r>
          </w:p>
        </w:tc>
        <w:tc>
          <w:tcPr>
            <w:tcW w:w="2887" w:type="dxa"/>
            <w:shd w:val="clear" w:color="FFFFFF" w:fill="FFFFFF"/>
            <w:noWrap/>
            <w:tcMar>
              <w:top w:w="15" w:type="dxa"/>
              <w:left w:w="15" w:type="dxa"/>
              <w:right w:w="15" w:type="dxa"/>
            </w:tcMar>
            <w:vAlign w:val="center"/>
          </w:tcPr>
          <w:p>
            <w:pPr>
              <w:keepNext w:val="0"/>
              <w:keepLines w:val="0"/>
              <w:pageBreakBefore w:val="0"/>
              <w:kinsoku/>
              <w:wordWrap/>
              <w:overflowPunct/>
              <w:topLinePunct w:val="0"/>
              <w:bidi w:val="0"/>
              <w:spacing w:line="520" w:lineRule="exact"/>
              <w:rPr>
                <w:rFonts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8" w:hRule="atLeast"/>
          <w:jc w:val="center"/>
        </w:trPr>
        <w:tc>
          <w:tcPr>
            <w:tcW w:w="589"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1</w:t>
            </w:r>
          </w:p>
        </w:tc>
        <w:tc>
          <w:tcPr>
            <w:tcW w:w="4589"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紫外灯管（低压高强灯管，功率：2</w:t>
            </w:r>
            <w:r>
              <w:rPr>
                <w:rFonts w:ascii="仿宋_GB2312" w:hAnsi="宋体" w:eastAsia="仿宋_GB2312" w:cs="宋体"/>
                <w:sz w:val="24"/>
              </w:rPr>
              <w:t>90</w:t>
            </w:r>
            <w:r>
              <w:rPr>
                <w:rFonts w:hint="eastAsia" w:ascii="仿宋_GB2312" w:hAnsi="宋体" w:eastAsia="仿宋_GB2312" w:cs="宋体"/>
                <w:sz w:val="24"/>
              </w:rPr>
              <w:t>W，UV-C输出功率（254nm）：1</w:t>
            </w:r>
            <w:r>
              <w:rPr>
                <w:rFonts w:ascii="仿宋_GB2312" w:hAnsi="宋体" w:eastAsia="仿宋_GB2312" w:cs="宋体"/>
                <w:sz w:val="24"/>
              </w:rPr>
              <w:t>04</w:t>
            </w:r>
            <w:r>
              <w:rPr>
                <w:rFonts w:hint="eastAsia" w:ascii="仿宋_GB2312" w:hAnsi="宋体" w:eastAsia="仿宋_GB2312" w:cs="宋体"/>
                <w:sz w:val="24"/>
              </w:rPr>
              <w:t>W，UV-C输出调节范围：50%-100%）</w:t>
            </w:r>
          </w:p>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（型号为：6103408 WEDECO</w:t>
            </w:r>
          </w:p>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ECORAY UV-Lamp ECORAY ELR30-1）</w:t>
            </w:r>
          </w:p>
        </w:tc>
        <w:tc>
          <w:tcPr>
            <w:tcW w:w="694"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160</w:t>
            </w:r>
          </w:p>
        </w:tc>
        <w:tc>
          <w:tcPr>
            <w:tcW w:w="690"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根</w:t>
            </w:r>
          </w:p>
        </w:tc>
        <w:tc>
          <w:tcPr>
            <w:tcW w:w="288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hint="eastAsia" w:ascii="仿宋_GB2312" w:hAnsi="宋体" w:eastAsia="仿宋_GB2312" w:cs="宋体"/>
                <w:sz w:val="24"/>
                <w:lang w:eastAsia="zh-CN"/>
              </w:rPr>
            </w:pPr>
            <w:r>
              <w:rPr>
                <w:rFonts w:hint="eastAsia" w:ascii="仿宋_GB2312" w:hAnsi="宋体" w:eastAsia="仿宋_GB2312" w:cs="宋体"/>
                <w:sz w:val="24"/>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589"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2</w:t>
            </w:r>
          </w:p>
        </w:tc>
        <w:tc>
          <w:tcPr>
            <w:tcW w:w="4589"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镇流板</w:t>
            </w:r>
          </w:p>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（型号为：Ballast TDS 55 ）</w:t>
            </w:r>
          </w:p>
        </w:tc>
        <w:tc>
          <w:tcPr>
            <w:tcW w:w="694"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10</w:t>
            </w:r>
          </w:p>
        </w:tc>
        <w:tc>
          <w:tcPr>
            <w:tcW w:w="690"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个</w:t>
            </w:r>
          </w:p>
        </w:tc>
        <w:tc>
          <w:tcPr>
            <w:tcW w:w="288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hint="eastAsia" w:ascii="仿宋_GB2312" w:hAnsi="宋体" w:eastAsia="仿宋_GB2312" w:cs="宋体"/>
                <w:sz w:val="24"/>
                <w:lang w:eastAsia="zh-CN"/>
              </w:rPr>
            </w:pPr>
            <w:r>
              <w:rPr>
                <w:rFonts w:hint="eastAsia" w:ascii="仿宋_GB2312" w:hAnsi="宋体" w:eastAsia="仿宋_GB2312" w:cs="宋体"/>
                <w:sz w:val="24"/>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89"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3</w:t>
            </w:r>
          </w:p>
        </w:tc>
        <w:tc>
          <w:tcPr>
            <w:tcW w:w="4589"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石英套管模块</w:t>
            </w:r>
          </w:p>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（参数为：Quartz Module 48*2*1537）</w:t>
            </w:r>
          </w:p>
        </w:tc>
        <w:tc>
          <w:tcPr>
            <w:tcW w:w="694"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10</w:t>
            </w:r>
          </w:p>
        </w:tc>
        <w:tc>
          <w:tcPr>
            <w:tcW w:w="690"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套</w:t>
            </w:r>
          </w:p>
        </w:tc>
        <w:tc>
          <w:tcPr>
            <w:tcW w:w="288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hint="eastAsia" w:ascii="仿宋_GB2312" w:hAnsi="宋体" w:eastAsia="仿宋_GB2312" w:cs="宋体"/>
                <w:sz w:val="24"/>
                <w:lang w:eastAsia="zh-CN"/>
              </w:rPr>
            </w:pPr>
            <w:r>
              <w:rPr>
                <w:rFonts w:hint="eastAsia" w:ascii="仿宋_GB2312" w:hAnsi="宋体" w:eastAsia="仿宋_GB2312" w:cs="宋体"/>
                <w:sz w:val="24"/>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589"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二</w:t>
            </w:r>
          </w:p>
        </w:tc>
        <w:tc>
          <w:tcPr>
            <w:tcW w:w="4589"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现有Xylem WEDECO</w:t>
            </w:r>
          </w:p>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 xml:space="preserve">MVA162272 LBX1000e </w:t>
            </w:r>
          </w:p>
        </w:tc>
        <w:tc>
          <w:tcPr>
            <w:tcW w:w="694" w:type="dxa"/>
            <w:shd w:val="clear" w:color="FFFFFF" w:fill="FFFFFF"/>
            <w:tcMar>
              <w:top w:w="15" w:type="dxa"/>
              <w:left w:w="15" w:type="dxa"/>
              <w:right w:w="15" w:type="dxa"/>
            </w:tcMar>
            <w:vAlign w:val="center"/>
          </w:tcPr>
          <w:p>
            <w:pPr>
              <w:keepNext w:val="0"/>
              <w:keepLines w:val="0"/>
              <w:pageBreakBefore w:val="0"/>
              <w:kinsoku/>
              <w:wordWrap/>
              <w:overflowPunct/>
              <w:topLinePunct w:val="0"/>
              <w:bidi w:val="0"/>
              <w:spacing w:line="520" w:lineRule="exact"/>
              <w:jc w:val="center"/>
              <w:rPr>
                <w:rFonts w:ascii="仿宋_GB2312" w:hAnsi="宋体" w:eastAsia="仿宋_GB2312" w:cs="宋体"/>
                <w:sz w:val="24"/>
              </w:rPr>
            </w:pPr>
            <w:r>
              <w:rPr>
                <w:rFonts w:hint="eastAsia" w:ascii="仿宋_GB2312" w:hAnsi="宋体" w:eastAsia="仿宋_GB2312" w:cs="宋体"/>
                <w:sz w:val="24"/>
              </w:rPr>
              <w:t>1</w:t>
            </w:r>
          </w:p>
        </w:tc>
        <w:tc>
          <w:tcPr>
            <w:tcW w:w="690" w:type="dxa"/>
            <w:shd w:val="clear" w:color="FFFFFF" w:fill="FFFFFF"/>
            <w:tcMar>
              <w:top w:w="15" w:type="dxa"/>
              <w:left w:w="15" w:type="dxa"/>
              <w:right w:w="15" w:type="dxa"/>
            </w:tcMar>
            <w:vAlign w:val="center"/>
          </w:tcPr>
          <w:p>
            <w:pPr>
              <w:keepNext w:val="0"/>
              <w:keepLines w:val="0"/>
              <w:pageBreakBefore w:val="0"/>
              <w:kinsoku/>
              <w:wordWrap/>
              <w:overflowPunct/>
              <w:topLinePunct w:val="0"/>
              <w:bidi w:val="0"/>
              <w:spacing w:line="520" w:lineRule="exact"/>
              <w:jc w:val="center"/>
              <w:rPr>
                <w:rFonts w:ascii="仿宋_GB2312" w:hAnsi="宋体" w:eastAsia="仿宋_GB2312" w:cs="宋体"/>
                <w:sz w:val="24"/>
              </w:rPr>
            </w:pPr>
            <w:r>
              <w:rPr>
                <w:rFonts w:hint="eastAsia" w:ascii="仿宋_GB2312" w:hAnsi="宋体" w:eastAsia="仿宋_GB2312" w:cs="宋体"/>
                <w:sz w:val="24"/>
              </w:rPr>
              <w:t>台</w:t>
            </w:r>
          </w:p>
        </w:tc>
        <w:tc>
          <w:tcPr>
            <w:tcW w:w="2887" w:type="dxa"/>
            <w:shd w:val="clear" w:color="auto" w:fill="auto"/>
            <w:noWrap/>
            <w:tcMar>
              <w:top w:w="15" w:type="dxa"/>
              <w:left w:w="15" w:type="dxa"/>
              <w:right w:w="15" w:type="dxa"/>
            </w:tcMar>
            <w:vAlign w:val="center"/>
          </w:tcPr>
          <w:p>
            <w:pPr>
              <w:keepNext w:val="0"/>
              <w:keepLines w:val="0"/>
              <w:pageBreakBefore w:val="0"/>
              <w:kinsoku/>
              <w:wordWrap/>
              <w:overflowPunct/>
              <w:topLinePunct w:val="0"/>
              <w:bidi w:val="0"/>
              <w:spacing w:line="520" w:lineRule="exact"/>
              <w:jc w:val="right"/>
              <w:rPr>
                <w:rFonts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0" w:hRule="atLeast"/>
          <w:jc w:val="center"/>
        </w:trPr>
        <w:tc>
          <w:tcPr>
            <w:tcW w:w="589"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1</w:t>
            </w:r>
          </w:p>
        </w:tc>
        <w:tc>
          <w:tcPr>
            <w:tcW w:w="4589"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紫外灯管（低压高强灯管，功率：2</w:t>
            </w:r>
            <w:r>
              <w:rPr>
                <w:rFonts w:ascii="仿宋_GB2312" w:hAnsi="宋体" w:eastAsia="仿宋_GB2312" w:cs="宋体"/>
                <w:sz w:val="24"/>
              </w:rPr>
              <w:t>90</w:t>
            </w:r>
            <w:r>
              <w:rPr>
                <w:rFonts w:hint="eastAsia" w:ascii="仿宋_GB2312" w:hAnsi="宋体" w:eastAsia="仿宋_GB2312" w:cs="宋体"/>
                <w:sz w:val="24"/>
              </w:rPr>
              <w:t>W，UV-C输出功率（254nm）：1</w:t>
            </w:r>
            <w:r>
              <w:rPr>
                <w:rFonts w:ascii="仿宋_GB2312" w:hAnsi="宋体" w:eastAsia="仿宋_GB2312" w:cs="宋体"/>
                <w:sz w:val="24"/>
              </w:rPr>
              <w:t>04</w:t>
            </w:r>
            <w:r>
              <w:rPr>
                <w:rFonts w:hint="eastAsia" w:ascii="仿宋_GB2312" w:hAnsi="宋体" w:eastAsia="仿宋_GB2312" w:cs="宋体"/>
                <w:sz w:val="24"/>
              </w:rPr>
              <w:t>W，UV-C输出调节范围：50%-100%）</w:t>
            </w:r>
          </w:p>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（型号为：6103408 WEDECO</w:t>
            </w:r>
          </w:p>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ECORAY UV-Lamp ECORAY ELR30-1）</w:t>
            </w:r>
          </w:p>
        </w:tc>
        <w:tc>
          <w:tcPr>
            <w:tcW w:w="694"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40</w:t>
            </w:r>
          </w:p>
        </w:tc>
        <w:tc>
          <w:tcPr>
            <w:tcW w:w="690"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根</w:t>
            </w:r>
          </w:p>
        </w:tc>
        <w:tc>
          <w:tcPr>
            <w:tcW w:w="2887"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hint="eastAsia" w:ascii="仿宋_GB2312" w:hAnsi="宋体" w:eastAsia="仿宋_GB2312" w:cs="宋体"/>
                <w:sz w:val="24"/>
                <w:lang w:eastAsia="zh-CN"/>
              </w:rPr>
            </w:pPr>
            <w:r>
              <w:rPr>
                <w:rFonts w:hint="eastAsia" w:ascii="仿宋_GB2312" w:hAnsi="宋体" w:eastAsia="仿宋_GB2312" w:cs="宋体"/>
                <w:sz w:val="24"/>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89"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2</w:t>
            </w:r>
          </w:p>
        </w:tc>
        <w:tc>
          <w:tcPr>
            <w:tcW w:w="4589"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镇流板</w:t>
            </w:r>
          </w:p>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 xml:space="preserve">（型号为：Ballast ECORAY TDS 30 C1 dual） </w:t>
            </w:r>
          </w:p>
        </w:tc>
        <w:tc>
          <w:tcPr>
            <w:tcW w:w="694"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5</w:t>
            </w:r>
          </w:p>
        </w:tc>
        <w:tc>
          <w:tcPr>
            <w:tcW w:w="690"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个</w:t>
            </w:r>
          </w:p>
        </w:tc>
        <w:tc>
          <w:tcPr>
            <w:tcW w:w="2887"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hint="eastAsia" w:ascii="仿宋_GB2312" w:hAnsi="宋体" w:eastAsia="仿宋_GB2312" w:cs="宋体"/>
                <w:sz w:val="24"/>
                <w:lang w:eastAsia="zh-CN"/>
              </w:rPr>
            </w:pPr>
            <w:r>
              <w:rPr>
                <w:rFonts w:hint="eastAsia" w:ascii="仿宋_GB2312" w:hAnsi="宋体" w:eastAsia="仿宋_GB2312" w:cs="宋体"/>
                <w:sz w:val="24"/>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589"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3</w:t>
            </w:r>
          </w:p>
        </w:tc>
        <w:tc>
          <w:tcPr>
            <w:tcW w:w="4589"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石英套管模块</w:t>
            </w:r>
          </w:p>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（参数为：Quartz Module 48*2*1537 ）</w:t>
            </w:r>
          </w:p>
        </w:tc>
        <w:tc>
          <w:tcPr>
            <w:tcW w:w="694"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5</w:t>
            </w:r>
          </w:p>
        </w:tc>
        <w:tc>
          <w:tcPr>
            <w:tcW w:w="690"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个</w:t>
            </w:r>
          </w:p>
        </w:tc>
        <w:tc>
          <w:tcPr>
            <w:tcW w:w="2887"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hint="eastAsia" w:ascii="仿宋_GB2312" w:hAnsi="宋体" w:eastAsia="仿宋_GB2312" w:cs="宋体"/>
                <w:sz w:val="24"/>
                <w:lang w:eastAsia="zh-CN"/>
              </w:rPr>
            </w:pPr>
            <w:r>
              <w:rPr>
                <w:rFonts w:hint="eastAsia" w:ascii="仿宋_GB2312" w:hAnsi="宋体" w:eastAsia="仿宋_GB2312" w:cs="宋体"/>
                <w:sz w:val="24"/>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589"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4</w:t>
            </w:r>
          </w:p>
        </w:tc>
        <w:tc>
          <w:tcPr>
            <w:tcW w:w="4589"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 xml:space="preserve">灯头 </w:t>
            </w:r>
            <w:r>
              <w:rPr>
                <w:rFonts w:ascii="仿宋_GB2312" w:hAnsi="宋体" w:eastAsia="仿宋_GB2312" w:cs="宋体"/>
                <w:sz w:val="24"/>
              </w:rPr>
              <w:t>(</w:t>
            </w:r>
            <w:r>
              <w:rPr>
                <w:rFonts w:hint="eastAsia" w:ascii="仿宋_GB2312" w:hAnsi="宋体" w:eastAsia="仿宋_GB2312" w:cs="宋体"/>
                <w:sz w:val="24"/>
              </w:rPr>
              <w:t>参数为：</w:t>
            </w:r>
            <w:r>
              <w:rPr>
                <w:rFonts w:ascii="仿宋_GB2312" w:hAnsi="宋体" w:eastAsia="仿宋_GB2312" w:cs="宋体"/>
                <w:sz w:val="24"/>
              </w:rPr>
              <w:t>PIN 10)</w:t>
            </w:r>
          </w:p>
        </w:tc>
        <w:tc>
          <w:tcPr>
            <w:tcW w:w="694"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10</w:t>
            </w:r>
          </w:p>
        </w:tc>
        <w:tc>
          <w:tcPr>
            <w:tcW w:w="690"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个</w:t>
            </w:r>
          </w:p>
        </w:tc>
        <w:tc>
          <w:tcPr>
            <w:tcW w:w="2887"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hint="eastAsia" w:ascii="仿宋_GB2312" w:hAnsi="宋体" w:eastAsia="仿宋_GB2312" w:cs="宋体"/>
                <w:sz w:val="24"/>
                <w:lang w:eastAsia="zh-CN"/>
              </w:rPr>
            </w:pPr>
            <w:r>
              <w:rPr>
                <w:rFonts w:hint="eastAsia" w:ascii="仿宋_GB2312" w:hAnsi="宋体" w:eastAsia="仿宋_GB2312" w:cs="宋体"/>
                <w:sz w:val="24"/>
                <w:lang w:eastAsia="zh-CN"/>
              </w:rPr>
              <w:t>与原厂产品相匹配且满足技术要求</w:t>
            </w:r>
          </w:p>
        </w:tc>
      </w:tr>
    </w:tbl>
    <w:p>
      <w:pPr>
        <w:pStyle w:val="28"/>
        <w:keepNext w:val="0"/>
        <w:keepLines w:val="0"/>
        <w:pageBreakBefore w:val="0"/>
        <w:kinsoku/>
        <w:wordWrap/>
        <w:overflowPunct/>
        <w:topLinePunct w:val="0"/>
        <w:bidi w:val="0"/>
        <w:spacing w:line="520" w:lineRule="exact"/>
        <w:rPr>
          <w:rFonts w:ascii="仿宋_GB2312" w:hAnsiTheme="minorEastAsia"/>
          <w:sz w:val="28"/>
          <w:szCs w:val="28"/>
        </w:rPr>
      </w:pPr>
      <w:r>
        <w:rPr>
          <w:rFonts w:ascii="仿宋_GB2312"/>
        </w:rPr>
        <w:t>2.</w:t>
      </w:r>
      <w:r>
        <w:rPr>
          <w:rFonts w:hint="eastAsia" w:ascii="仿宋_GB2312" w:hAnsiTheme="minorEastAsia"/>
          <w:sz w:val="28"/>
          <w:szCs w:val="28"/>
        </w:rPr>
        <w:t>维修服务内容清单</w:t>
      </w:r>
    </w:p>
    <w:tbl>
      <w:tblPr>
        <w:tblStyle w:val="21"/>
        <w:tblW w:w="5078" w:type="pct"/>
        <w:jc w:val="center"/>
        <w:tblLayout w:type="autofit"/>
        <w:tblCellMar>
          <w:top w:w="0" w:type="dxa"/>
          <w:left w:w="108" w:type="dxa"/>
          <w:bottom w:w="0" w:type="dxa"/>
          <w:right w:w="108" w:type="dxa"/>
        </w:tblCellMar>
      </w:tblPr>
      <w:tblGrid>
        <w:gridCol w:w="726"/>
        <w:gridCol w:w="8706"/>
      </w:tblGrid>
      <w:tr>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jc w:val="center"/>
              <w:rPr>
                <w:rFonts w:ascii="仿宋_GB2312" w:hAnsi="宋体" w:eastAsia="仿宋_GB2312" w:cs="宋体"/>
                <w:b/>
                <w:bCs/>
                <w:sz w:val="24"/>
                <w:szCs w:val="20"/>
              </w:rPr>
            </w:pPr>
            <w:r>
              <w:rPr>
                <w:rFonts w:hint="eastAsia" w:ascii="仿宋_GB2312" w:hAnsi="宋体" w:eastAsia="仿宋_GB2312" w:cs="宋体"/>
                <w:b/>
                <w:bCs/>
                <w:sz w:val="24"/>
                <w:szCs w:val="20"/>
              </w:rPr>
              <w:t>序号</w:t>
            </w:r>
          </w:p>
        </w:tc>
        <w:tc>
          <w:tcPr>
            <w:tcW w:w="4615" w:type="pct"/>
            <w:tcBorders>
              <w:top w:val="single" w:color="auto" w:sz="4" w:space="0"/>
              <w:left w:val="nil"/>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ind w:firstLine="480" w:firstLineChars="200"/>
              <w:jc w:val="center"/>
              <w:rPr>
                <w:rFonts w:ascii="仿宋_GB2312" w:hAnsi="宋体" w:eastAsia="仿宋_GB2312" w:cs="宋体"/>
                <w:b/>
                <w:bCs/>
                <w:sz w:val="24"/>
                <w:szCs w:val="20"/>
              </w:rPr>
            </w:pPr>
            <w:r>
              <w:rPr>
                <w:rFonts w:hint="eastAsia" w:ascii="仿宋_GB2312" w:hAnsi="宋体" w:eastAsia="仿宋_GB2312" w:cs="宋体"/>
                <w:b/>
                <w:bCs/>
                <w:sz w:val="24"/>
                <w:szCs w:val="20"/>
              </w:rPr>
              <w:t>每台紫外消毒系统检测维修服务内容</w:t>
            </w:r>
          </w:p>
        </w:tc>
      </w:tr>
      <w:tr>
        <w:tblPrEx>
          <w:tblCellMar>
            <w:top w:w="0" w:type="dxa"/>
            <w:left w:w="108" w:type="dxa"/>
            <w:bottom w:w="0" w:type="dxa"/>
            <w:right w:w="108" w:type="dxa"/>
          </w:tblCellMar>
        </w:tblPrEx>
        <w:trPr>
          <w:jc w:val="center"/>
        </w:trPr>
        <w:tc>
          <w:tcPr>
            <w:tcW w:w="385" w:type="pct"/>
            <w:tcBorders>
              <w:top w:val="nil"/>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 xml:space="preserve">  1</w:t>
            </w:r>
          </w:p>
        </w:tc>
        <w:tc>
          <w:tcPr>
            <w:tcW w:w="4615" w:type="pct"/>
            <w:tcBorders>
              <w:top w:val="nil"/>
              <w:left w:val="nil"/>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设备解体，清洗。</w:t>
            </w:r>
          </w:p>
        </w:tc>
      </w:tr>
      <w:tr>
        <w:tblPrEx>
          <w:tblCellMar>
            <w:top w:w="0" w:type="dxa"/>
            <w:left w:w="108" w:type="dxa"/>
            <w:bottom w:w="0" w:type="dxa"/>
            <w:right w:w="108" w:type="dxa"/>
          </w:tblCellMar>
        </w:tblPrEx>
        <w:trPr>
          <w:jc w:val="center"/>
        </w:trPr>
        <w:tc>
          <w:tcPr>
            <w:tcW w:w="385" w:type="pct"/>
            <w:tcBorders>
              <w:top w:val="nil"/>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sz w:val="24"/>
                <w:szCs w:val="20"/>
              </w:rPr>
            </w:pPr>
            <w:r>
              <w:rPr>
                <w:rFonts w:hint="eastAsia" w:ascii="仿宋_GB2312" w:hAnsi="宋体" w:eastAsia="仿宋_GB2312" w:cs="宋体"/>
                <w:sz w:val="24"/>
                <w:szCs w:val="20"/>
              </w:rPr>
              <w:t>2</w:t>
            </w:r>
          </w:p>
        </w:tc>
        <w:tc>
          <w:tcPr>
            <w:tcW w:w="4615" w:type="pct"/>
            <w:tcBorders>
              <w:top w:val="nil"/>
              <w:left w:val="nil"/>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清洗环检查：检查其清洗环的磨损状况，进行清洗并根据其磨损及腐蚀程度进行修复或更换，确保内部完整，无缺陷。</w:t>
            </w:r>
          </w:p>
        </w:tc>
      </w:tr>
      <w:tr>
        <w:tblPrEx>
          <w:tblCellMar>
            <w:top w:w="0" w:type="dxa"/>
            <w:left w:w="108" w:type="dxa"/>
            <w:bottom w:w="0" w:type="dxa"/>
            <w:right w:w="108" w:type="dxa"/>
          </w:tblCellMar>
        </w:tblPrEx>
        <w:trPr>
          <w:jc w:val="center"/>
        </w:trPr>
        <w:tc>
          <w:tcPr>
            <w:tcW w:w="385" w:type="pct"/>
            <w:tcBorders>
              <w:top w:val="nil"/>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sz w:val="24"/>
                <w:szCs w:val="20"/>
              </w:rPr>
            </w:pPr>
            <w:r>
              <w:rPr>
                <w:rFonts w:hint="eastAsia" w:ascii="仿宋_GB2312" w:hAnsi="宋体" w:eastAsia="仿宋_GB2312" w:cs="宋体"/>
                <w:sz w:val="24"/>
                <w:szCs w:val="20"/>
              </w:rPr>
              <w:t>3</w:t>
            </w:r>
          </w:p>
        </w:tc>
        <w:tc>
          <w:tcPr>
            <w:tcW w:w="4615" w:type="pct"/>
            <w:tcBorders>
              <w:top w:val="nil"/>
              <w:left w:val="nil"/>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紫外灯管更换：进行更换。</w:t>
            </w:r>
          </w:p>
        </w:tc>
      </w:tr>
      <w:tr>
        <w:tblPrEx>
          <w:tblCellMar>
            <w:top w:w="0" w:type="dxa"/>
            <w:left w:w="108" w:type="dxa"/>
            <w:bottom w:w="0" w:type="dxa"/>
            <w:right w:w="108" w:type="dxa"/>
          </w:tblCellMar>
        </w:tblPrEx>
        <w:trPr>
          <w:trHeight w:val="704" w:hRule="atLeast"/>
          <w:jc w:val="center"/>
        </w:trPr>
        <w:tc>
          <w:tcPr>
            <w:tcW w:w="385" w:type="pct"/>
            <w:tcBorders>
              <w:top w:val="nil"/>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sz w:val="24"/>
                <w:szCs w:val="20"/>
              </w:rPr>
            </w:pPr>
            <w:r>
              <w:rPr>
                <w:rFonts w:hint="eastAsia" w:ascii="仿宋_GB2312" w:hAnsi="宋体" w:eastAsia="仿宋_GB2312" w:cs="宋体"/>
                <w:sz w:val="24"/>
                <w:szCs w:val="20"/>
              </w:rPr>
              <w:t>4</w:t>
            </w:r>
          </w:p>
        </w:tc>
        <w:tc>
          <w:tcPr>
            <w:tcW w:w="4615" w:type="pct"/>
            <w:tcBorders>
              <w:top w:val="nil"/>
              <w:left w:val="nil"/>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石英套管检查：检查套管有无破裂，以及清洁状况；采用酸洗方法进行浸泡清洗并根据具体的检查情况进行更换。</w:t>
            </w:r>
          </w:p>
        </w:tc>
      </w:tr>
      <w:tr>
        <w:tblPrEx>
          <w:tblCellMar>
            <w:top w:w="0" w:type="dxa"/>
            <w:left w:w="108" w:type="dxa"/>
            <w:bottom w:w="0" w:type="dxa"/>
            <w:right w:w="108" w:type="dxa"/>
          </w:tblCellMar>
        </w:tblPrEx>
        <w:trPr>
          <w:trHeight w:val="477" w:hRule="atLeast"/>
          <w:jc w:val="center"/>
        </w:trPr>
        <w:tc>
          <w:tcPr>
            <w:tcW w:w="385" w:type="pct"/>
            <w:tcBorders>
              <w:top w:val="nil"/>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sz w:val="24"/>
                <w:szCs w:val="20"/>
              </w:rPr>
            </w:pPr>
            <w:r>
              <w:rPr>
                <w:rFonts w:hint="eastAsia" w:ascii="仿宋_GB2312" w:hAnsi="宋体" w:eastAsia="仿宋_GB2312" w:cs="宋体"/>
                <w:sz w:val="24"/>
                <w:szCs w:val="20"/>
              </w:rPr>
              <w:t>5</w:t>
            </w:r>
          </w:p>
        </w:tc>
        <w:tc>
          <w:tcPr>
            <w:tcW w:w="4615" w:type="pct"/>
            <w:tcBorders>
              <w:top w:val="nil"/>
              <w:left w:val="nil"/>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紫外探头检测：检查紫外探头，强度是否准确，根据具体的检查情况进行更换。</w:t>
            </w:r>
          </w:p>
        </w:tc>
      </w:tr>
      <w:tr>
        <w:tblPrEx>
          <w:tblCellMar>
            <w:top w:w="0" w:type="dxa"/>
            <w:left w:w="108" w:type="dxa"/>
            <w:bottom w:w="0" w:type="dxa"/>
            <w:right w:w="108" w:type="dxa"/>
          </w:tblCellMar>
        </w:tblPrEx>
        <w:trPr>
          <w:jc w:val="center"/>
        </w:trPr>
        <w:tc>
          <w:tcPr>
            <w:tcW w:w="385" w:type="pct"/>
            <w:tcBorders>
              <w:top w:val="nil"/>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sz w:val="24"/>
                <w:szCs w:val="20"/>
              </w:rPr>
            </w:pPr>
            <w:r>
              <w:rPr>
                <w:rFonts w:hint="eastAsia" w:ascii="仿宋_GB2312" w:hAnsi="宋体" w:eastAsia="仿宋_GB2312" w:cs="宋体"/>
                <w:sz w:val="24"/>
                <w:szCs w:val="20"/>
              </w:rPr>
              <w:t>6</w:t>
            </w:r>
          </w:p>
        </w:tc>
        <w:tc>
          <w:tcPr>
            <w:tcW w:w="4615" w:type="pct"/>
            <w:tcBorders>
              <w:top w:val="nil"/>
              <w:left w:val="nil"/>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检查所有的灯管电缆：检查有无破裂，根据使用情况进行维修及更换。</w:t>
            </w:r>
          </w:p>
        </w:tc>
      </w:tr>
      <w:tr>
        <w:tblPrEx>
          <w:tblCellMar>
            <w:top w:w="0" w:type="dxa"/>
            <w:left w:w="108" w:type="dxa"/>
            <w:bottom w:w="0" w:type="dxa"/>
            <w:right w:w="108" w:type="dxa"/>
          </w:tblCellMar>
        </w:tblPrEx>
        <w:trPr>
          <w:jc w:val="center"/>
        </w:trPr>
        <w:tc>
          <w:tcPr>
            <w:tcW w:w="385" w:type="pct"/>
            <w:tcBorders>
              <w:top w:val="nil"/>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sz w:val="24"/>
                <w:szCs w:val="20"/>
              </w:rPr>
            </w:pPr>
            <w:r>
              <w:rPr>
                <w:rFonts w:hint="eastAsia" w:ascii="仿宋_GB2312" w:hAnsi="宋体" w:eastAsia="仿宋_GB2312" w:cs="宋体"/>
                <w:sz w:val="24"/>
                <w:szCs w:val="20"/>
              </w:rPr>
              <w:t>7</w:t>
            </w:r>
          </w:p>
        </w:tc>
        <w:tc>
          <w:tcPr>
            <w:tcW w:w="4615" w:type="pct"/>
            <w:tcBorders>
              <w:top w:val="nil"/>
              <w:left w:val="nil"/>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检查所有紧固件，根据使用工况，调整或更换。</w:t>
            </w:r>
          </w:p>
        </w:tc>
      </w:tr>
      <w:tr>
        <w:tblPrEx>
          <w:tblCellMar>
            <w:top w:w="0" w:type="dxa"/>
            <w:left w:w="108" w:type="dxa"/>
            <w:bottom w:w="0" w:type="dxa"/>
            <w:right w:w="108" w:type="dxa"/>
          </w:tblCellMar>
        </w:tblPrEx>
        <w:trPr>
          <w:jc w:val="center"/>
        </w:trPr>
        <w:tc>
          <w:tcPr>
            <w:tcW w:w="385" w:type="pct"/>
            <w:tcBorders>
              <w:top w:val="nil"/>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sz w:val="24"/>
                <w:szCs w:val="20"/>
              </w:rPr>
            </w:pPr>
            <w:r>
              <w:rPr>
                <w:rFonts w:hint="eastAsia" w:ascii="仿宋_GB2312" w:hAnsi="宋体" w:eastAsia="仿宋_GB2312" w:cs="宋体"/>
                <w:sz w:val="24"/>
                <w:szCs w:val="20"/>
              </w:rPr>
              <w:t>8</w:t>
            </w:r>
          </w:p>
        </w:tc>
        <w:tc>
          <w:tcPr>
            <w:tcW w:w="4615" w:type="pct"/>
            <w:tcBorders>
              <w:top w:val="nil"/>
              <w:left w:val="nil"/>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检查所有的过滤网及控制柜排气扇，根据情况进行清洁及更换。</w:t>
            </w:r>
          </w:p>
        </w:tc>
      </w:tr>
      <w:tr>
        <w:tblPrEx>
          <w:tblCellMar>
            <w:top w:w="0" w:type="dxa"/>
            <w:left w:w="108" w:type="dxa"/>
            <w:bottom w:w="0" w:type="dxa"/>
            <w:right w:w="108" w:type="dxa"/>
          </w:tblCellMar>
        </w:tblPrEx>
        <w:trPr>
          <w:jc w:val="center"/>
        </w:trPr>
        <w:tc>
          <w:tcPr>
            <w:tcW w:w="385" w:type="pct"/>
            <w:tcBorders>
              <w:top w:val="nil"/>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sz w:val="24"/>
                <w:szCs w:val="20"/>
              </w:rPr>
            </w:pPr>
            <w:r>
              <w:rPr>
                <w:rFonts w:hint="eastAsia" w:ascii="仿宋_GB2312" w:hAnsi="宋体" w:eastAsia="仿宋_GB2312" w:cs="宋体"/>
                <w:sz w:val="24"/>
                <w:szCs w:val="20"/>
              </w:rPr>
              <w:t>9</w:t>
            </w:r>
          </w:p>
        </w:tc>
        <w:tc>
          <w:tcPr>
            <w:tcW w:w="4615" w:type="pct"/>
            <w:tcBorders>
              <w:top w:val="nil"/>
              <w:left w:val="nil"/>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检查所有镇流器：外观是否破损，调节范围是否正常，根据具体的检查情况进行更换。</w:t>
            </w:r>
          </w:p>
        </w:tc>
      </w:tr>
      <w:tr>
        <w:tblPrEx>
          <w:tblCellMar>
            <w:top w:w="0" w:type="dxa"/>
            <w:left w:w="108" w:type="dxa"/>
            <w:bottom w:w="0" w:type="dxa"/>
            <w:right w:w="108" w:type="dxa"/>
          </w:tblCellMar>
        </w:tblPrEx>
        <w:trPr>
          <w:jc w:val="center"/>
        </w:trPr>
        <w:tc>
          <w:tcPr>
            <w:tcW w:w="385" w:type="pct"/>
            <w:tcBorders>
              <w:top w:val="nil"/>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sz w:val="24"/>
                <w:szCs w:val="20"/>
              </w:rPr>
            </w:pPr>
            <w:r>
              <w:rPr>
                <w:rFonts w:hint="eastAsia" w:ascii="仿宋_GB2312" w:hAnsi="宋体" w:eastAsia="仿宋_GB2312" w:cs="宋体"/>
                <w:sz w:val="24"/>
                <w:szCs w:val="20"/>
              </w:rPr>
              <w:t>10</w:t>
            </w:r>
          </w:p>
        </w:tc>
        <w:tc>
          <w:tcPr>
            <w:tcW w:w="4615" w:type="pct"/>
            <w:tcBorders>
              <w:top w:val="nil"/>
              <w:left w:val="nil"/>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检查灯头：检查灯头是否破损，根据具体的检查情况进行更换。</w:t>
            </w:r>
          </w:p>
        </w:tc>
      </w:tr>
      <w:tr>
        <w:tblPrEx>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sz w:val="24"/>
                <w:szCs w:val="20"/>
              </w:rPr>
            </w:pPr>
            <w:r>
              <w:rPr>
                <w:rFonts w:hint="eastAsia" w:ascii="仿宋_GB2312" w:hAnsi="宋体" w:eastAsia="仿宋_GB2312" w:cs="宋体"/>
                <w:sz w:val="24"/>
                <w:szCs w:val="20"/>
              </w:rPr>
              <w:t>11</w:t>
            </w:r>
          </w:p>
        </w:tc>
        <w:tc>
          <w:tcPr>
            <w:tcW w:w="4615" w:type="pc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重新装配。</w:t>
            </w:r>
          </w:p>
        </w:tc>
      </w:tr>
      <w:tr>
        <w:tblPrEx>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 xml:space="preserve">  12</w:t>
            </w:r>
          </w:p>
        </w:tc>
        <w:tc>
          <w:tcPr>
            <w:tcW w:w="4615" w:type="pc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现场调试。</w:t>
            </w:r>
          </w:p>
        </w:tc>
      </w:tr>
      <w:tr>
        <w:tblPrEx>
          <w:tblCellMar>
            <w:top w:w="0" w:type="dxa"/>
            <w:left w:w="108" w:type="dxa"/>
            <w:bottom w:w="0" w:type="dxa"/>
            <w:right w:w="108" w:type="dxa"/>
          </w:tblCellMar>
        </w:tblPrEx>
        <w:trPr>
          <w:jc w:val="center"/>
        </w:trPr>
        <w:tc>
          <w:tcPr>
            <w:tcW w:w="385" w:type="pc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sz w:val="24"/>
                <w:szCs w:val="20"/>
              </w:rPr>
            </w:pPr>
            <w:r>
              <w:rPr>
                <w:rFonts w:hint="eastAsia" w:ascii="仿宋_GB2312" w:hAnsi="宋体" w:eastAsia="仿宋_GB2312" w:cs="宋体"/>
                <w:sz w:val="24"/>
                <w:szCs w:val="20"/>
              </w:rPr>
              <w:t>1</w:t>
            </w:r>
            <w:r>
              <w:rPr>
                <w:rFonts w:ascii="仿宋_GB2312" w:hAnsi="宋体" w:eastAsia="仿宋_GB2312" w:cs="宋体"/>
                <w:sz w:val="24"/>
                <w:szCs w:val="20"/>
              </w:rPr>
              <w:t>3</w:t>
            </w:r>
          </w:p>
        </w:tc>
        <w:tc>
          <w:tcPr>
            <w:tcW w:w="4615" w:type="pc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清理现场所有工程废料，其中涉及的危险废料，必须合法合理地进行危废处理，提供相关危废处理处置联单。</w:t>
            </w:r>
          </w:p>
        </w:tc>
      </w:tr>
    </w:tbl>
    <w:p>
      <w:pPr>
        <w:pStyle w:val="28"/>
        <w:keepNext w:val="0"/>
        <w:keepLines w:val="0"/>
        <w:pageBreakBefore w:val="0"/>
        <w:kinsoku/>
        <w:wordWrap/>
        <w:overflowPunct/>
        <w:topLinePunct w:val="0"/>
        <w:bidi w:val="0"/>
        <w:spacing w:line="520" w:lineRule="exact"/>
      </w:pPr>
    </w:p>
    <w:p>
      <w:pPr>
        <w:keepNext w:val="0"/>
        <w:keepLines w:val="0"/>
        <w:pageBreakBefore w:val="0"/>
        <w:kinsoku/>
        <w:wordWrap/>
        <w:overflowPunct/>
        <w:topLinePunct w:val="0"/>
        <w:bidi w:val="0"/>
        <w:spacing w:line="52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六</w:t>
      </w:r>
      <w:r>
        <w:rPr>
          <w:rFonts w:hint="eastAsia" w:ascii="仿宋_GB2312" w:hAnsi="仿宋_GB2312" w:eastAsia="仿宋_GB2312" w:cs="仿宋_GB2312"/>
          <w:sz w:val="28"/>
          <w:szCs w:val="28"/>
        </w:rPr>
        <w:t>、报价单位资格要求：</w:t>
      </w:r>
    </w:p>
    <w:p>
      <w:pPr>
        <w:keepNext w:val="0"/>
        <w:keepLines w:val="0"/>
        <w:pageBreakBefore w:val="0"/>
        <w:kinsoku/>
        <w:wordWrap/>
        <w:overflowPunct/>
        <w:topLinePunct w:val="0"/>
        <w:bidi w:val="0"/>
        <w:spacing w:line="52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1.报价单位须是中华人民共和国境内的法人或者其他组织，具有独立法人资格，</w:t>
      </w:r>
      <w:r>
        <w:rPr>
          <w:rFonts w:hint="eastAsia" w:ascii="仿宋" w:hAnsi="仿宋" w:eastAsia="仿宋" w:cs="仿宋"/>
          <w:color w:val="000000"/>
          <w:sz w:val="28"/>
          <w:szCs w:val="28"/>
          <w:highlight w:val="none"/>
          <w:u w:val="single"/>
          <w:lang w:val="zh-CN"/>
        </w:rPr>
        <w:t>持有工商行政管理部门核发的营业执照，</w:t>
      </w:r>
      <w:r>
        <w:rPr>
          <w:rFonts w:hint="eastAsia" w:ascii="仿宋" w:hAnsi="仿宋" w:eastAsia="仿宋" w:cs="仿宋"/>
          <w:color w:val="000000"/>
          <w:sz w:val="28"/>
          <w:szCs w:val="28"/>
          <w:highlight w:val="none"/>
          <w:u w:val="single"/>
          <w:lang w:val="en-US" w:eastAsia="zh-CN"/>
        </w:rPr>
        <w:t>且</w:t>
      </w:r>
      <w:r>
        <w:rPr>
          <w:rFonts w:hint="eastAsia" w:ascii="仿宋_GB2312" w:hAnsi="仿宋_GB2312" w:eastAsia="仿宋_GB2312" w:cs="仿宋_GB2312"/>
          <w:sz w:val="28"/>
          <w:szCs w:val="28"/>
          <w:u w:val="single"/>
        </w:rPr>
        <w:t>能开具增值税专用发票。</w:t>
      </w:r>
    </w:p>
    <w:p>
      <w:pPr>
        <w:keepNext w:val="0"/>
        <w:keepLines w:val="0"/>
        <w:pageBreakBefore w:val="0"/>
        <w:kinsoku/>
        <w:wordWrap/>
        <w:overflowPunct/>
        <w:topLinePunct w:val="0"/>
        <w:bidi w:val="0"/>
        <w:spacing w:line="520" w:lineRule="exact"/>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u w:val="single"/>
        </w:rPr>
        <w:t>2.业绩要求：2018年1月1日至今，</w:t>
      </w:r>
      <w:r>
        <w:rPr>
          <w:rFonts w:hint="eastAsia" w:ascii="仿宋" w:hAnsi="仿宋" w:eastAsia="仿宋" w:cs="仿宋"/>
          <w:color w:val="000000"/>
          <w:sz w:val="28"/>
          <w:szCs w:val="28"/>
          <w:highlight w:val="none"/>
          <w:u w:val="single"/>
          <w:lang w:val="en-US" w:eastAsia="zh-CN"/>
        </w:rPr>
        <w:t>拟报价紫外线消毒系统授权品牌最少</w:t>
      </w:r>
      <w:r>
        <w:rPr>
          <w:rFonts w:hint="eastAsia" w:ascii="仿宋" w:hAnsi="仿宋" w:eastAsia="仿宋" w:cs="仿宋"/>
          <w:color w:val="000000"/>
          <w:sz w:val="28"/>
          <w:szCs w:val="28"/>
          <w:highlight w:val="none"/>
          <w:u w:val="single"/>
        </w:rPr>
        <w:t>具有</w:t>
      </w:r>
      <w:r>
        <w:rPr>
          <w:rFonts w:hint="eastAsia" w:ascii="仿宋" w:hAnsi="仿宋" w:eastAsia="仿宋" w:cs="仿宋"/>
          <w:color w:val="000000"/>
          <w:sz w:val="28"/>
          <w:szCs w:val="28"/>
          <w:highlight w:val="none"/>
          <w:u w:val="single"/>
          <w:lang w:val="en-US" w:eastAsia="zh-CN"/>
        </w:rPr>
        <w:t>一项</w:t>
      </w:r>
      <w:r>
        <w:rPr>
          <w:rFonts w:hint="eastAsia" w:ascii="仿宋_GB2312" w:hAnsi="仿宋_GB2312" w:eastAsia="仿宋_GB2312" w:cs="仿宋_GB2312"/>
          <w:sz w:val="28"/>
          <w:szCs w:val="28"/>
          <w:u w:val="single"/>
          <w:lang w:val="en-US" w:eastAsia="zh-CN"/>
        </w:rPr>
        <w:t>日处理量5</w:t>
      </w:r>
      <w:r>
        <w:rPr>
          <w:rFonts w:hint="eastAsia" w:ascii="仿宋_GB2312" w:hAnsi="仿宋_GB2312" w:eastAsia="仿宋_GB2312" w:cs="仿宋_GB2312"/>
          <w:sz w:val="28"/>
          <w:szCs w:val="28"/>
          <w:u w:val="single"/>
        </w:rPr>
        <w:t>万吨</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或</w:t>
      </w:r>
      <w:r>
        <w:rPr>
          <w:rFonts w:hint="eastAsia" w:ascii="仿宋_GB2312" w:hAnsi="仿宋_GB2312" w:eastAsia="仿宋_GB2312" w:cs="仿宋_GB2312"/>
          <w:sz w:val="28"/>
          <w:szCs w:val="28"/>
          <w:u w:val="single"/>
        </w:rPr>
        <w:t>以上</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rPr>
        <w:t>污水处理厂</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净水厂</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rPr>
        <w:t>供货业</w:t>
      </w:r>
      <w:r>
        <w:rPr>
          <w:rFonts w:hint="eastAsia" w:ascii="仿宋_GB2312" w:hAnsi="仿宋_GB2312" w:eastAsia="仿宋_GB2312" w:cs="仿宋_GB2312"/>
          <w:sz w:val="28"/>
          <w:szCs w:val="28"/>
          <w:highlight w:val="none"/>
          <w:u w:val="single"/>
        </w:rPr>
        <w:t>绩</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提供合同复印件、验收报告原件</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使用评价</w:t>
      </w:r>
      <w:r>
        <w:rPr>
          <w:rFonts w:hint="eastAsia" w:ascii="仿宋_GB2312" w:hAnsi="仿宋_GB2312" w:eastAsia="仿宋_GB2312" w:cs="仿宋_GB2312"/>
          <w:sz w:val="28"/>
          <w:szCs w:val="28"/>
          <w:highlight w:val="none"/>
          <w:u w:val="single"/>
        </w:rPr>
        <w:t>（附有效联系人和联系电话）证明，包括但不限于项目名称、金额及实施内容、合同双方签字盖章、签订日期，并加盖单位公章</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w:t>
      </w:r>
    </w:p>
    <w:p>
      <w:pPr>
        <w:keepNext w:val="0"/>
        <w:keepLines w:val="0"/>
        <w:pageBreakBefore w:val="0"/>
        <w:kinsoku/>
        <w:wordWrap/>
        <w:overflowPunct/>
        <w:topLinePunct w:val="0"/>
        <w:bidi w:val="0"/>
        <w:spacing w:line="520" w:lineRule="exact"/>
        <w:ind w:firstLine="560" w:firstLineChars="200"/>
        <w:rPr>
          <w:rFonts w:ascii="仿宋_GB2312" w:hAnsi="仿宋_GB2312" w:eastAsia="仿宋_GB2312" w:cs="仿宋_GB2312"/>
          <w:sz w:val="28"/>
          <w:szCs w:val="28"/>
          <w:highlight w:val="none"/>
          <w:u w:val="single"/>
        </w:rPr>
      </w:pPr>
      <w:r>
        <w:rPr>
          <w:rFonts w:ascii="仿宋_GB2312" w:hAnsi="仿宋_GB2312" w:eastAsia="仿宋_GB2312" w:cs="仿宋_GB2312"/>
          <w:sz w:val="28"/>
          <w:szCs w:val="28"/>
          <w:highlight w:val="none"/>
          <w:u w:val="single"/>
        </w:rPr>
        <w:t>3</w:t>
      </w:r>
      <w:r>
        <w:rPr>
          <w:rFonts w:hint="eastAsia" w:ascii="仿宋_GB2312" w:hAnsi="仿宋_GB2312" w:eastAsia="仿宋_GB2312" w:cs="仿宋_GB2312"/>
          <w:sz w:val="28"/>
          <w:szCs w:val="28"/>
          <w:highlight w:val="none"/>
          <w:u w:val="single"/>
        </w:rPr>
        <w:t>.报价人应取得紫外线灯管制造商针对本项目的授权函,制造商盖公章确认(制造商除外);除制造商以外其他报价人应当书面承诺所提供报价货物/设备均为制造商全新原装产品。</w:t>
      </w:r>
    </w:p>
    <w:p>
      <w:pPr>
        <w:keepNext w:val="0"/>
        <w:keepLines w:val="0"/>
        <w:pageBreakBefore w:val="0"/>
        <w:numPr>
          <w:ilvl w:val="0"/>
          <w:numId w:val="1"/>
        </w:numPr>
        <w:kinsoku/>
        <w:wordWrap/>
        <w:overflowPunct/>
        <w:topLinePunct w:val="0"/>
        <w:autoSpaceDE w:val="0"/>
        <w:autoSpaceDN w:val="0"/>
        <w:bidi w:val="0"/>
        <w:spacing w:line="520" w:lineRule="exact"/>
        <w:ind w:firstLine="560" w:firstLineChars="200"/>
        <w:rPr>
          <w:rFonts w:hint="eastAsia" w:ascii="仿宋_GB2312" w:hAnsi="仿宋_GB2312" w:eastAsia="仿宋_GB2312" w:cs="仿宋_GB2312"/>
          <w:sz w:val="28"/>
          <w:szCs w:val="28"/>
          <w:u w:val="none"/>
          <w:lang w:val="zh-CN" w:eastAsia="zh-CN"/>
        </w:rPr>
      </w:pPr>
      <w:r>
        <w:rPr>
          <w:rFonts w:hint="eastAsia" w:ascii="仿宋_GB2312" w:hAnsi="仿宋_GB2312" w:eastAsia="仿宋_GB2312" w:cs="仿宋_GB2312"/>
          <w:sz w:val="28"/>
          <w:szCs w:val="28"/>
          <w:highlight w:val="none"/>
          <w:u w:val="none"/>
          <w:lang w:val="zh-CN"/>
        </w:rPr>
        <w:t>现场踏勘(答疑会)时间、地点（也可由报价人自行踏勘现场）：</w:t>
      </w:r>
      <w:r>
        <w:rPr>
          <w:rFonts w:hint="eastAsia" w:ascii="仿宋_GB2312" w:hAnsi="仿宋_GB2312" w:eastAsia="仿宋_GB2312" w:cs="仿宋_GB2312"/>
          <w:bCs/>
          <w:sz w:val="28"/>
          <w:szCs w:val="28"/>
          <w:u w:val="none"/>
          <w:lang w:val="en-US" w:eastAsia="zh-CN"/>
        </w:rPr>
        <w:t>/</w:t>
      </w:r>
    </w:p>
    <w:p>
      <w:pPr>
        <w:autoSpaceDE w:val="0"/>
        <w:autoSpaceDN w:val="0"/>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八、询价文件的获取：在2021年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zh-CN"/>
        </w:rPr>
        <w:t>分前，在广州市净水有限公司门户网站免费下载。</w:t>
      </w:r>
    </w:p>
    <w:p>
      <w:pPr>
        <w:autoSpaceDE w:val="0"/>
        <w:autoSpaceDN w:val="0"/>
        <w:ind w:firstLine="560" w:firstLineChars="200"/>
        <w:rPr>
          <w:rFonts w:ascii="仿宋_GB2312" w:hAnsi="仿宋_GB2312" w:cs="仿宋_GB2312"/>
          <w:color w:val="auto"/>
          <w:kern w:val="2"/>
          <w:sz w:val="28"/>
          <w:szCs w:val="28"/>
        </w:rPr>
      </w:pPr>
      <w:r>
        <w:rPr>
          <w:rFonts w:hint="eastAsia" w:ascii="仿宋_GB2312" w:hAnsi="仿宋_GB2312" w:eastAsia="仿宋_GB2312" w:cs="仿宋_GB2312"/>
          <w:sz w:val="28"/>
          <w:szCs w:val="28"/>
          <w:lang w:val="zh-CN"/>
        </w:rPr>
        <w:t>九、询价响应文件递交时间：2021年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lang w:val="zh-CN"/>
        </w:rPr>
        <w:t>分至</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zh-CN"/>
        </w:rPr>
        <w:t>分；询价响应文件递交截止时间：2021年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zh-CN"/>
        </w:rPr>
        <w:t>分。</w:t>
      </w:r>
      <w:r>
        <w:rPr>
          <w:rFonts w:hint="eastAsia" w:ascii="仿宋_GB2312" w:hAnsi="仿宋_GB2312" w:eastAsia="仿宋_GB2312" w:cs="仿宋_GB2312"/>
          <w:color w:val="000000"/>
          <w:sz w:val="28"/>
          <w:szCs w:val="28"/>
        </w:rPr>
        <w:t>递交响应文件时须提供授权委托人身份证原件备查。</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十、询价响应文件送达地点：</w:t>
      </w:r>
      <w:r>
        <w:rPr>
          <w:rFonts w:hint="eastAsia" w:ascii="仿宋_GB2312" w:hAnsi="仿宋_GB2312" w:eastAsia="仿宋_GB2312" w:cs="仿宋_GB2312"/>
          <w:color w:val="000000"/>
          <w:sz w:val="28"/>
          <w:szCs w:val="28"/>
          <w:lang w:val="zh-CN"/>
        </w:rPr>
        <w:t>广州市天河区临江大道501号广州市净水有限公司。（</w:t>
      </w:r>
      <w:r>
        <w:rPr>
          <w:rFonts w:hint="eastAsia" w:ascii="仿宋_GB2312" w:hAnsi="仿宋_GB2312" w:eastAsia="仿宋_GB2312" w:cs="仿宋_GB2312"/>
          <w:color w:val="000000"/>
          <w:sz w:val="28"/>
          <w:szCs w:val="28"/>
        </w:rPr>
        <w:t>注：基于疫情防控形势，授权委托人须通过“广州净水公司”微信公众号（提前或现场）预约，填写访客预约信息（包括：1.行程14天内未有中高风险区域记录的行程截图；2.穗康码为绿码</w:t>
      </w:r>
      <w:r>
        <w:rPr>
          <w:rFonts w:hint="eastAsia" w:ascii="仿宋_GB2312" w:hAnsi="仿宋_GB2312" w:eastAsia="仿宋_GB2312" w:cs="仿宋_GB2312"/>
          <w:color w:val="000000"/>
          <w:sz w:val="28"/>
          <w:szCs w:val="28"/>
          <w:lang w:val="en-US" w:eastAsia="zh-CN"/>
        </w:rPr>
        <w:t>的</w:t>
      </w:r>
      <w:r>
        <w:rPr>
          <w:rFonts w:hint="eastAsia" w:ascii="仿宋_GB2312" w:hAnsi="仿宋_GB2312" w:eastAsia="仿宋_GB2312" w:cs="仿宋_GB2312"/>
          <w:color w:val="000000"/>
          <w:sz w:val="28"/>
          <w:szCs w:val="28"/>
        </w:rPr>
        <w:t>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sz w:val="28"/>
          <w:szCs w:val="28"/>
          <w:lang w:val="zh-CN"/>
        </w:rPr>
        <w:t xml:space="preserve">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十一、评审时间：</w:t>
      </w:r>
      <w:r>
        <w:rPr>
          <w:rFonts w:hint="eastAsia" w:ascii="仿宋_GB2312" w:hAnsi="仿宋_GB2312" w:eastAsia="仿宋_GB2312" w:cs="仿宋_GB2312"/>
          <w:sz w:val="28"/>
          <w:szCs w:val="28"/>
        </w:rPr>
        <w:t>2021</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zh-CN"/>
        </w:rPr>
        <w:t>分</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十二、评审地点：广州市净水有限公司</w:t>
      </w:r>
      <w:r>
        <w:rPr>
          <w:rFonts w:hint="eastAsia" w:ascii="仿宋_GB2312" w:hAnsi="仿宋_GB2312" w:eastAsia="仿宋_GB2312" w:cs="仿宋_GB2312"/>
          <w:sz w:val="28"/>
          <w:szCs w:val="28"/>
        </w:rPr>
        <w:t>六楼</w:t>
      </w:r>
      <w:r>
        <w:rPr>
          <w:rFonts w:hint="eastAsia" w:ascii="仿宋_GB2312" w:hAnsi="仿宋_GB2312" w:eastAsia="仿宋_GB2312" w:cs="仿宋_GB2312"/>
          <w:sz w:val="28"/>
          <w:szCs w:val="28"/>
          <w:lang w:val="zh-CN"/>
        </w:rPr>
        <w:t xml:space="preserve">招标办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十三、询价人的联系方式</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询价人：广州市净水有限公司</w:t>
      </w:r>
    </w:p>
    <w:p>
      <w:pPr>
        <w:keepNext w:val="0"/>
        <w:keepLines w:val="0"/>
        <w:pageBreakBefore w:val="0"/>
        <w:kinsoku/>
        <w:wordWrap/>
        <w:overflowPunct/>
        <w:topLinePunct w:val="0"/>
        <w:autoSpaceDE w:val="0"/>
        <w:autoSpaceDN w:val="0"/>
        <w:bidi w:val="0"/>
        <w:spacing w:line="520" w:lineRule="exact"/>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联系地址：广州市天河区临江大道501号            </w:t>
      </w:r>
    </w:p>
    <w:p>
      <w:pPr>
        <w:keepNext w:val="0"/>
        <w:keepLines w:val="0"/>
        <w:pageBreakBefore w:val="0"/>
        <w:kinsoku/>
        <w:wordWrap/>
        <w:overflowPunct/>
        <w:topLinePunct w:val="0"/>
        <w:autoSpaceDE w:val="0"/>
        <w:autoSpaceDN w:val="0"/>
        <w:bidi w:val="0"/>
        <w:spacing w:line="520" w:lineRule="exact"/>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联系人：黄工             联系方式：020-62315524  </w:t>
      </w:r>
    </w:p>
    <w:p>
      <w:pPr>
        <w:keepNext w:val="0"/>
        <w:keepLines w:val="0"/>
        <w:pageBreakBefore w:val="0"/>
        <w:kinsoku/>
        <w:wordWrap/>
        <w:overflowPunct/>
        <w:topLinePunct w:val="0"/>
        <w:autoSpaceDE w:val="0"/>
        <w:autoSpaceDN w:val="0"/>
        <w:bidi w:val="0"/>
        <w:spacing w:line="520" w:lineRule="exact"/>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   </w:t>
      </w:r>
      <w:r>
        <w:rPr>
          <w:rFonts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zh-CN"/>
        </w:rPr>
        <w:t xml:space="preserve"> </w:t>
      </w:r>
      <w:r>
        <w:rPr>
          <w:rFonts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zh-CN"/>
        </w:rPr>
        <w:t xml:space="preserve"> </w:t>
      </w:r>
    </w:p>
    <w:p>
      <w:pPr>
        <w:keepNext w:val="0"/>
        <w:keepLines w:val="0"/>
        <w:pageBreakBefore w:val="0"/>
        <w:kinsoku/>
        <w:wordWrap/>
        <w:overflowPunct/>
        <w:topLinePunct w:val="0"/>
        <w:autoSpaceDE w:val="0"/>
        <w:autoSpaceDN w:val="0"/>
        <w:bidi w:val="0"/>
        <w:spacing w:line="520" w:lineRule="exact"/>
        <w:ind w:firstLine="6440" w:firstLineChars="23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广州市净水有限公司</w:t>
      </w:r>
    </w:p>
    <w:p>
      <w:pPr>
        <w:keepNext w:val="0"/>
        <w:keepLines w:val="0"/>
        <w:pageBreakBefore w:val="0"/>
        <w:kinsoku/>
        <w:wordWrap/>
        <w:overflowPunct/>
        <w:topLinePunct w:val="0"/>
        <w:autoSpaceDE w:val="0"/>
        <w:autoSpaceDN w:val="0"/>
        <w:bidi w:val="0"/>
        <w:spacing w:line="520" w:lineRule="exact"/>
        <w:ind w:firstLine="560" w:firstLineChars="200"/>
        <w:rPr>
          <w:rFonts w:ascii="仿宋_GB2312" w:hAnsi="仿宋_GB2312" w:eastAsia="仿宋_GB2312" w:cs="仿宋_GB2312"/>
          <w:sz w:val="28"/>
          <w:szCs w:val="28"/>
          <w:lang w:val="zh-CN"/>
        </w:rPr>
        <w:sectPr>
          <w:footerReference r:id="rId6" w:type="default"/>
          <w:type w:val="continuous"/>
          <w:pgSz w:w="11906" w:h="16838"/>
          <w:pgMar w:top="1134" w:right="1134" w:bottom="1134" w:left="1701" w:header="851" w:footer="992" w:gutter="0"/>
          <w:pgNumType w:start="1"/>
          <w:cols w:space="720" w:num="1"/>
          <w:docGrid w:type="linesAndChars" w:linePitch="312" w:charSpace="0"/>
        </w:sectPr>
      </w:pPr>
      <w:r>
        <w:rPr>
          <w:rFonts w:hint="eastAsia" w:ascii="仿宋_GB2312" w:hAnsi="仿宋_GB2312" w:eastAsia="仿宋_GB2312" w:cs="仿宋_GB2312"/>
          <w:sz w:val="28"/>
          <w:szCs w:val="28"/>
          <w:lang w:val="zh-CN"/>
        </w:rPr>
        <w:t xml:space="preserve">          </w:t>
      </w:r>
      <w:r>
        <w:rPr>
          <w:rFonts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zh-CN"/>
        </w:rPr>
        <w:t>日</w:t>
      </w:r>
    </w:p>
    <w:p>
      <w:pPr>
        <w:pStyle w:val="12"/>
        <w:adjustRightInd w:val="0"/>
        <w:snapToGrid w:val="0"/>
        <w:spacing w:line="560" w:lineRule="exact"/>
        <w:jc w:val="center"/>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12"/>
        <w:adjustRightInd w:val="0"/>
        <w:snapToGrid w:val="0"/>
        <w:spacing w:line="560" w:lineRule="exact"/>
        <w:ind w:firstLine="562" w:firstLineChars="200"/>
        <w:rPr>
          <w:rFonts w:hint="eastAsia" w:ascii="仿宋_GB2312" w:hAnsi="仿宋_GB2312" w:eastAsia="仿宋_GB2312" w:cs="仿宋_GB2312"/>
          <w:b/>
          <w:sz w:val="28"/>
          <w:szCs w:val="28"/>
          <w:lang w:val="en-US" w:eastAsia="zh-CN"/>
        </w:rPr>
      </w:pPr>
    </w:p>
    <w:p>
      <w:pPr>
        <w:pStyle w:val="12"/>
        <w:adjustRightInd w:val="0"/>
        <w:snapToGrid w:val="0"/>
        <w:spacing w:line="560" w:lineRule="exact"/>
        <w:ind w:firstLine="560" w:firstLineChars="200"/>
        <w:rPr>
          <w:rFonts w:hint="eastAsia" w:ascii="仿宋_GB2312" w:hAnsi="仿宋_GB2312" w:eastAsia="仿宋_GB2312" w:cs="仿宋_GB2312"/>
          <w:b w:val="0"/>
          <w:bCs/>
          <w:sz w:val="28"/>
          <w:szCs w:val="28"/>
          <w:lang w:val="zh-CN"/>
        </w:rPr>
      </w:pPr>
      <w:r>
        <w:rPr>
          <w:rFonts w:hint="eastAsia" w:ascii="仿宋_GB2312" w:hAnsi="仿宋_GB2312" w:eastAsia="仿宋_GB2312" w:cs="仿宋_GB2312"/>
          <w:b w:val="0"/>
          <w:bCs/>
          <w:sz w:val="28"/>
          <w:szCs w:val="28"/>
          <w:lang w:val="en-US" w:eastAsia="zh-CN"/>
        </w:rPr>
        <w:t>报价单位</w:t>
      </w:r>
      <w:r>
        <w:rPr>
          <w:rFonts w:hint="eastAsia" w:ascii="仿宋_GB2312" w:hAnsi="仿宋_GB2312" w:eastAsia="仿宋_GB2312" w:cs="仿宋_GB2312"/>
          <w:b w:val="0"/>
          <w:bCs/>
          <w:sz w:val="28"/>
          <w:szCs w:val="28"/>
          <w:lang w:val="zh-CN"/>
        </w:rPr>
        <w:t xml:space="preserve">须对本项目为单位的服务进行整体响应，任何只对其中一部分内容进行的响应都被视为无效响应。 </w:t>
      </w:r>
    </w:p>
    <w:p>
      <w:pPr>
        <w:pStyle w:val="12"/>
        <w:adjustRightInd w:val="0"/>
        <w:snapToGrid w:val="0"/>
        <w:spacing w:line="560" w:lineRule="exact"/>
        <w:ind w:firstLine="560" w:firstLineChars="200"/>
        <w:rPr>
          <w:rFonts w:hint="eastAsia" w:ascii="仿宋_GB2312" w:hAnsi="仿宋_GB2312" w:eastAsia="仿宋_GB2312" w:cs="仿宋_GB2312"/>
          <w:b/>
          <w:sz w:val="28"/>
          <w:szCs w:val="28"/>
          <w:lang w:val="zh-CN"/>
        </w:rPr>
      </w:pPr>
      <w:r>
        <w:rPr>
          <w:rFonts w:hint="eastAsia" w:ascii="仿宋_GB2312" w:hAnsi="仿宋_GB2312" w:eastAsia="仿宋_GB2312" w:cs="仿宋_GB2312"/>
          <w:b w:val="0"/>
          <w:bCs/>
          <w:sz w:val="28"/>
          <w:szCs w:val="28"/>
          <w:lang w:val="en-US" w:eastAsia="zh-CN"/>
        </w:rPr>
        <w:t>询价文件中</w:t>
      </w:r>
      <w:r>
        <w:rPr>
          <w:rFonts w:hint="eastAsia" w:ascii="仿宋_GB2312" w:hAnsi="仿宋_GB2312" w:eastAsia="仿宋_GB2312" w:cs="仿宋_GB2312"/>
          <w:b w:val="0"/>
          <w:bCs/>
          <w:sz w:val="28"/>
          <w:szCs w:val="28"/>
          <w:lang w:val="zh-CN"/>
        </w:rPr>
        <w:t>所有要求均为实质性响应条款，供应商如有任何一条负偏离则导致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lang w:val="zh-CN"/>
        </w:rPr>
        <w:t>无效。</w:t>
      </w:r>
    </w:p>
    <w:p>
      <w:pPr>
        <w:pStyle w:val="12"/>
        <w:keepNext w:val="0"/>
        <w:keepLines w:val="0"/>
        <w:pageBreakBefore w:val="0"/>
        <w:numPr>
          <w:ilvl w:val="0"/>
          <w:numId w:val="2"/>
        </w:numPr>
        <w:kinsoku/>
        <w:wordWrap/>
        <w:overflowPunct/>
        <w:topLinePunct w:val="0"/>
        <w:bidi w:val="0"/>
        <w:adjustRightInd w:val="0"/>
        <w:snapToGrid w:val="0"/>
        <w:spacing w:line="520" w:lineRule="exact"/>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项目情况介绍</w:t>
      </w:r>
    </w:p>
    <w:p>
      <w:pPr>
        <w:keepNext w:val="0"/>
        <w:keepLines w:val="0"/>
        <w:pageBreakBefore w:val="0"/>
        <w:kinsoku/>
        <w:wordWrap/>
        <w:overflowPunct/>
        <w:topLinePunct w:val="0"/>
        <w:autoSpaceDE w:val="0"/>
        <w:autoSpaceDN w:val="0"/>
        <w:bidi w:val="0"/>
        <w:spacing w:line="520" w:lineRule="exact"/>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京溪分公司采用MBR工艺，设计处理规模为10万m3/d，设有5台管道式紫外消毒装置（4台赛莱默WEDECO LBX1000和1台赛莱默WEDECO LBX1000e，每台处理量达到2.5万m³/d,峰值达到2.8万m³/d），因使用时间已到大修的年限，需要对装置进行大修，大修内容主要包括：清洗所有的石英套管并更换损坏的石英套管、更换所有紫外灯管、清洗环清洗、更换损坏的镇流器等工作。</w:t>
      </w:r>
    </w:p>
    <w:p>
      <w:pPr>
        <w:pStyle w:val="12"/>
        <w:keepNext w:val="0"/>
        <w:keepLines w:val="0"/>
        <w:pageBreakBefore w:val="0"/>
        <w:numPr>
          <w:ilvl w:val="0"/>
          <w:numId w:val="3"/>
        </w:numPr>
        <w:kinsoku/>
        <w:wordWrap/>
        <w:overflowPunct/>
        <w:topLinePunct w:val="0"/>
        <w:bidi w:val="0"/>
        <w:adjustRightInd w:val="0"/>
        <w:snapToGrid w:val="0"/>
        <w:spacing w:line="520" w:lineRule="exact"/>
        <w:rPr>
          <w:rFonts w:hint="eastAsia" w:ascii="仿宋_GB2312" w:hAnsi="仿宋_GB2312" w:eastAsia="仿宋_GB2312" w:cs="仿宋_GB2312"/>
          <w:sz w:val="28"/>
          <w:szCs w:val="28"/>
          <w:lang w:val="zh-CN"/>
        </w:rPr>
      </w:pPr>
      <w:r>
        <w:rPr>
          <w:rFonts w:hint="eastAsia" w:ascii="仿宋_GB2312" w:hAnsi="仿宋_GB2312" w:eastAsia="仿宋_GB2312" w:cs="仿宋_GB2312"/>
          <w:b/>
          <w:sz w:val="28"/>
          <w:szCs w:val="28"/>
          <w:lang w:val="zh-CN"/>
        </w:rPr>
        <w:t>项目技术要求</w:t>
      </w:r>
    </w:p>
    <w:p>
      <w:pPr>
        <w:keepNext w:val="0"/>
        <w:keepLines w:val="0"/>
        <w:pageBreakBefore w:val="0"/>
        <w:kinsoku/>
        <w:wordWrap/>
        <w:overflowPunct/>
        <w:topLinePunct w:val="0"/>
        <w:bidi w:val="0"/>
        <w:spacing w:line="520" w:lineRule="exact"/>
        <w:ind w:firstLine="280" w:firstLineChars="100"/>
        <w:rPr>
          <w:rFonts w:hint="eastAsia" w:ascii="仿宋_GB2312" w:hAnsi="仿宋" w:eastAsia="仿宋_GB2312"/>
          <w:bCs/>
          <w:sz w:val="28"/>
          <w:szCs w:val="28"/>
        </w:rPr>
      </w:pPr>
      <w:r>
        <w:rPr>
          <w:rFonts w:hint="eastAsia" w:ascii="仿宋_GB2312" w:hAnsi="仿宋" w:eastAsia="仿宋_GB2312"/>
          <w:bCs/>
          <w:sz w:val="28"/>
          <w:szCs w:val="28"/>
          <w:lang w:eastAsia="zh-CN"/>
        </w:rPr>
        <w:t>（</w:t>
      </w:r>
      <w:r>
        <w:rPr>
          <w:rFonts w:hint="eastAsia" w:ascii="仿宋_GB2312" w:hAnsi="仿宋" w:eastAsia="仿宋_GB2312"/>
          <w:bCs/>
          <w:sz w:val="28"/>
          <w:szCs w:val="28"/>
          <w:lang w:val="en-US" w:eastAsia="zh-CN"/>
        </w:rPr>
        <w:t>一</w:t>
      </w:r>
      <w:r>
        <w:rPr>
          <w:rFonts w:hint="eastAsia" w:ascii="仿宋_GB2312" w:hAnsi="仿宋" w:eastAsia="仿宋_GB2312"/>
          <w:bCs/>
          <w:sz w:val="28"/>
          <w:szCs w:val="28"/>
          <w:lang w:eastAsia="zh-CN"/>
        </w:rPr>
        <w:t>）</w:t>
      </w:r>
      <w:r>
        <w:rPr>
          <w:rFonts w:hint="eastAsia" w:ascii="仿宋_GB2312" w:hAnsi="仿宋" w:eastAsia="仿宋_GB2312"/>
          <w:bCs/>
          <w:sz w:val="28"/>
          <w:szCs w:val="28"/>
        </w:rPr>
        <w:t>紫外消毒系统（维修保养后必须保证达到的）总体效果要求:</w:t>
      </w:r>
    </w:p>
    <w:p>
      <w:pPr>
        <w:keepNext w:val="0"/>
        <w:keepLines w:val="0"/>
        <w:pageBreakBefore w:val="0"/>
        <w:widowControl/>
        <w:kinsoku/>
        <w:wordWrap/>
        <w:overflowPunct/>
        <w:topLinePunct w:val="0"/>
        <w:bidi w:val="0"/>
        <w:snapToGrid w:val="0"/>
        <w:spacing w:line="52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sz w:val="28"/>
          <w:szCs w:val="28"/>
        </w:rPr>
        <w:t>本次拟采购的所有灯管需与现有设备能够正常匹配使用，且在每台消毒装置峰值处理量为2.8万m³/d、紫外系统进水SS≤</w:t>
      </w:r>
      <w:r>
        <w:rPr>
          <w:rFonts w:hint="eastAsia" w:ascii="仿宋_GB2312" w:hAnsi="仿宋" w:eastAsia="仿宋_GB2312"/>
          <w:sz w:val="28"/>
          <w:szCs w:val="28"/>
          <w:lang w:val="en-US" w:eastAsia="zh-CN"/>
        </w:rPr>
        <w:t>10</w:t>
      </w:r>
      <w:r>
        <w:rPr>
          <w:rFonts w:hint="eastAsia" w:ascii="仿宋_GB2312" w:hAnsi="仿宋" w:eastAsia="仿宋_GB2312"/>
          <w:sz w:val="28"/>
          <w:szCs w:val="28"/>
        </w:rPr>
        <w:t>mg/L时，能够满足分公司出水处理工艺要求（即出水水质国家一级A类标准），确保出水粪大肠菌群达标（即连续运行7天出水瞬时水样，测得出现粪大肠菌群均≤500个/L）。</w:t>
      </w:r>
    </w:p>
    <w:p>
      <w:pPr>
        <w:keepNext w:val="0"/>
        <w:keepLines w:val="0"/>
        <w:pageBreakBefore w:val="0"/>
        <w:kinsoku/>
        <w:wordWrap/>
        <w:overflowPunct/>
        <w:topLinePunct w:val="0"/>
        <w:bidi w:val="0"/>
        <w:spacing w:line="520" w:lineRule="exact"/>
        <w:ind w:firstLine="560" w:firstLineChars="200"/>
        <w:rPr>
          <w:rFonts w:hint="eastAsia" w:ascii="仿宋_GB2312" w:hAnsi="仿宋" w:eastAsia="仿宋_GB2312"/>
          <w:bCs/>
          <w:sz w:val="28"/>
          <w:szCs w:val="28"/>
        </w:rPr>
      </w:pPr>
      <w:r>
        <w:rPr>
          <w:rFonts w:hint="eastAsia" w:ascii="仿宋_GB2312" w:hAnsi="仿宋" w:eastAsia="仿宋_GB2312"/>
          <w:bCs/>
          <w:sz w:val="28"/>
          <w:szCs w:val="28"/>
          <w:lang w:eastAsia="zh-CN"/>
        </w:rPr>
        <w:t>（</w:t>
      </w:r>
      <w:r>
        <w:rPr>
          <w:rFonts w:hint="eastAsia" w:ascii="仿宋_GB2312" w:hAnsi="仿宋" w:eastAsia="仿宋_GB2312"/>
          <w:bCs/>
          <w:sz w:val="28"/>
          <w:szCs w:val="28"/>
          <w:lang w:val="en-US" w:eastAsia="zh-CN"/>
        </w:rPr>
        <w:t>二</w:t>
      </w:r>
      <w:r>
        <w:rPr>
          <w:rFonts w:hint="eastAsia" w:ascii="仿宋_GB2312" w:hAnsi="仿宋" w:eastAsia="仿宋_GB2312"/>
          <w:bCs/>
          <w:sz w:val="28"/>
          <w:szCs w:val="28"/>
          <w:lang w:eastAsia="zh-CN"/>
        </w:rPr>
        <w:t>）</w:t>
      </w:r>
      <w:r>
        <w:rPr>
          <w:rFonts w:hint="eastAsia" w:ascii="仿宋_GB2312" w:hAnsi="仿宋" w:eastAsia="仿宋_GB2312"/>
          <w:bCs/>
          <w:sz w:val="28"/>
          <w:szCs w:val="28"/>
        </w:rPr>
        <w:t>紫外灯管</w:t>
      </w:r>
    </w:p>
    <w:p>
      <w:pPr>
        <w:keepNext w:val="0"/>
        <w:keepLines w:val="0"/>
        <w:pageBreakBefore w:val="0"/>
        <w:kinsoku/>
        <w:wordWrap/>
        <w:overflowPunct/>
        <w:topLinePunct w:val="0"/>
        <w:autoSpaceDE w:val="0"/>
        <w:autoSpaceDN w:val="0"/>
        <w:bidi w:val="0"/>
        <w:spacing w:line="520" w:lineRule="exact"/>
        <w:ind w:firstLine="560" w:firstLineChars="200"/>
        <w:rPr>
          <w:rFonts w:hint="eastAsia" w:ascii="仿宋_GB2312" w:hAnsi="仿宋_GB2312" w:eastAsia="仿宋_GB2312" w:cs="仿宋_GB2312"/>
          <w:sz w:val="28"/>
          <w:szCs w:val="28"/>
          <w:lang w:val="zh-CN"/>
        </w:rPr>
      </w:pPr>
      <w:r>
        <w:rPr>
          <w:rFonts w:hint="eastAsia" w:ascii="仿宋_GB2312" w:hAnsi="仿宋" w:eastAsia="仿宋_GB2312"/>
          <w:sz w:val="28"/>
          <w:szCs w:val="28"/>
        </w:rPr>
        <w:t>系统型号：</w:t>
      </w:r>
      <w:r>
        <w:rPr>
          <w:rFonts w:hint="eastAsia" w:ascii="仿宋_GB2312" w:hAnsi="仿宋" w:eastAsia="仿宋_GB2312"/>
          <w:color w:val="000000"/>
          <w:sz w:val="28"/>
          <w:szCs w:val="28"/>
        </w:rPr>
        <w:t>VA106697 LBX1000、</w:t>
      </w:r>
      <w:r>
        <w:rPr>
          <w:rFonts w:hint="eastAsia" w:ascii="仿宋_GB2312" w:hAnsi="仿宋" w:eastAsia="仿宋_GB2312"/>
          <w:color w:val="000000" w:themeColor="text1"/>
          <w:sz w:val="28"/>
          <w:szCs w:val="28"/>
          <w14:textFill>
            <w14:solidFill>
              <w14:schemeClr w14:val="tx1"/>
            </w14:solidFill>
          </w14:textFill>
        </w:rPr>
        <w:t>MVA162272 LBX1000e</w:t>
      </w:r>
    </w:p>
    <w:p>
      <w:pPr>
        <w:keepNext w:val="0"/>
        <w:keepLines w:val="0"/>
        <w:pageBreakBefore w:val="0"/>
        <w:kinsoku/>
        <w:wordWrap/>
        <w:overflowPunct/>
        <w:topLinePunct w:val="0"/>
        <w:bidi w:val="0"/>
        <w:spacing w:line="5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灯管长度：1520mm</w:t>
      </w:r>
    </w:p>
    <w:p>
      <w:pPr>
        <w:keepNext w:val="0"/>
        <w:keepLines w:val="0"/>
        <w:pageBreakBefore w:val="0"/>
        <w:kinsoku/>
        <w:wordWrap/>
        <w:overflowPunct/>
        <w:topLinePunct w:val="0"/>
        <w:bidi w:val="0"/>
        <w:spacing w:line="5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灯管寿命：≥12000小时</w:t>
      </w:r>
    </w:p>
    <w:p>
      <w:pPr>
        <w:keepNext w:val="0"/>
        <w:keepLines w:val="0"/>
        <w:pageBreakBefore w:val="0"/>
        <w:kinsoku/>
        <w:wordWrap/>
        <w:overflowPunct/>
        <w:topLinePunct w:val="0"/>
        <w:bidi w:val="0"/>
        <w:spacing w:line="5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灯管老化系数：≥83%</w:t>
      </w:r>
    </w:p>
    <w:p>
      <w:pPr>
        <w:keepNext w:val="0"/>
        <w:keepLines w:val="0"/>
        <w:pageBreakBefore w:val="0"/>
        <w:kinsoku/>
        <w:wordWrap/>
        <w:overflowPunct/>
        <w:topLinePunct w:val="0"/>
        <w:bidi w:val="0"/>
        <w:spacing w:line="5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灯管电光转化效率：≥33%</w:t>
      </w:r>
    </w:p>
    <w:p>
      <w:pPr>
        <w:keepNext w:val="0"/>
        <w:keepLines w:val="0"/>
        <w:pageBreakBefore w:val="0"/>
        <w:kinsoku/>
        <w:wordWrap/>
        <w:overflowPunct/>
        <w:topLinePunct w:val="0"/>
        <w:bidi w:val="0"/>
        <w:spacing w:line="5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悬浮含量TSS：最大值20mg/L</w:t>
      </w:r>
    </w:p>
    <w:p>
      <w:pPr>
        <w:keepNext w:val="0"/>
        <w:keepLines w:val="0"/>
        <w:pageBreakBefore w:val="0"/>
        <w:kinsoku/>
        <w:wordWrap/>
        <w:overflowPunct/>
        <w:topLinePunct w:val="0"/>
        <w:bidi w:val="0"/>
        <w:spacing w:line="5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杀菌指标：粪大肠菌群数≤500个/L</w:t>
      </w:r>
    </w:p>
    <w:p>
      <w:pPr>
        <w:spacing w:line="520" w:lineRule="exact"/>
        <w:ind w:firstLine="560" w:firstLineChars="200"/>
        <w:rPr>
          <w:rFonts w:hint="eastAsia"/>
        </w:rPr>
      </w:pPr>
      <w:r>
        <w:rPr>
          <w:rFonts w:hint="eastAsia" w:ascii="仿宋_GB2312" w:hAnsi="仿宋" w:eastAsia="仿宋_GB2312"/>
          <w:sz w:val="28"/>
          <w:szCs w:val="28"/>
        </w:rPr>
        <w:t>污水温度变化范围：2～35℃</w:t>
      </w:r>
    </w:p>
    <w:p>
      <w:pPr>
        <w:pStyle w:val="10"/>
        <w:keepNext w:val="0"/>
        <w:keepLines w:val="0"/>
        <w:pageBreakBefore w:val="0"/>
        <w:tabs>
          <w:tab w:val="left" w:pos="720"/>
        </w:tabs>
        <w:kinsoku/>
        <w:wordWrap/>
        <w:overflowPunct/>
        <w:topLinePunct w:val="0"/>
        <w:bidi w:val="0"/>
        <w:adjustRightInd w:val="0"/>
        <w:snapToGrid w:val="0"/>
        <w:spacing w:after="0" w:line="5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（1）紫外灯管质保寿命为≥12000小时。</w:t>
      </w:r>
    </w:p>
    <w:p>
      <w:pPr>
        <w:pStyle w:val="10"/>
        <w:keepNext w:val="0"/>
        <w:keepLines w:val="0"/>
        <w:pageBreakBefore w:val="0"/>
        <w:tabs>
          <w:tab w:val="left" w:pos="720"/>
        </w:tabs>
        <w:kinsoku/>
        <w:wordWrap/>
        <w:overflowPunct/>
        <w:topLinePunct w:val="0"/>
        <w:bidi w:val="0"/>
        <w:adjustRightInd w:val="0"/>
        <w:snapToGrid w:val="0"/>
        <w:spacing w:after="0" w:line="5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（2）紫外灯管内的汞合金为固态，灯管为产生零臭氧类灯管，电路连接部分只在灯管一端。</w:t>
      </w:r>
    </w:p>
    <w:p>
      <w:pPr>
        <w:pStyle w:val="10"/>
        <w:keepNext w:val="0"/>
        <w:keepLines w:val="0"/>
        <w:pageBreakBefore w:val="0"/>
        <w:tabs>
          <w:tab w:val="left" w:pos="720"/>
        </w:tabs>
        <w:kinsoku/>
        <w:wordWrap/>
        <w:overflowPunct/>
        <w:topLinePunct w:val="0"/>
        <w:bidi w:val="0"/>
        <w:adjustRightInd w:val="0"/>
        <w:snapToGrid w:val="0"/>
        <w:spacing w:after="0" w:line="5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（3）灯管灯丝采用防震设计。</w:t>
      </w:r>
    </w:p>
    <w:p>
      <w:pPr>
        <w:pStyle w:val="10"/>
        <w:keepNext w:val="0"/>
        <w:keepLines w:val="0"/>
        <w:pageBreakBefore w:val="0"/>
        <w:tabs>
          <w:tab w:val="left" w:pos="720"/>
        </w:tabs>
        <w:kinsoku/>
        <w:wordWrap/>
        <w:overflowPunct/>
        <w:topLinePunct w:val="0"/>
        <w:bidi w:val="0"/>
        <w:adjustRightInd w:val="0"/>
        <w:snapToGrid w:val="0"/>
        <w:spacing w:after="0" w:line="5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（4）灯管必须由可变功输出电子镇流器操作控制，灯管紫外能输出应在50-100%间可调。</w:t>
      </w:r>
    </w:p>
    <w:p>
      <w:pPr>
        <w:pStyle w:val="10"/>
        <w:keepNext w:val="0"/>
        <w:keepLines w:val="0"/>
        <w:pageBreakBefore w:val="0"/>
        <w:tabs>
          <w:tab w:val="left" w:pos="720"/>
        </w:tabs>
        <w:kinsoku/>
        <w:wordWrap/>
        <w:overflowPunct/>
        <w:topLinePunct w:val="0"/>
        <w:bidi w:val="0"/>
        <w:adjustRightInd w:val="0"/>
        <w:snapToGrid w:val="0"/>
        <w:spacing w:after="0" w:line="5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（5）灯管布置要求灯管排列方向与水流方向一致呈水平排列，且保证所有灯管互相平行和间距一致，灯管轴向与水流方向垂直的布局不予采用。</w:t>
      </w:r>
    </w:p>
    <w:p>
      <w:pPr>
        <w:pStyle w:val="10"/>
        <w:keepNext w:val="0"/>
        <w:keepLines w:val="0"/>
        <w:pageBreakBefore w:val="0"/>
        <w:tabs>
          <w:tab w:val="left" w:pos="720"/>
        </w:tabs>
        <w:kinsoku/>
        <w:wordWrap/>
        <w:overflowPunct/>
        <w:topLinePunct w:val="0"/>
        <w:bidi w:val="0"/>
        <w:adjustRightInd w:val="0"/>
        <w:snapToGrid w:val="0"/>
        <w:spacing w:after="0" w:line="5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（6）低压高强灯管的直流电阻必须≥50欧姆。</w:t>
      </w:r>
    </w:p>
    <w:p>
      <w:pPr>
        <w:pStyle w:val="10"/>
        <w:keepNext w:val="0"/>
        <w:keepLines w:val="0"/>
        <w:pageBreakBefore w:val="0"/>
        <w:tabs>
          <w:tab w:val="left" w:pos="720"/>
        </w:tabs>
        <w:kinsoku/>
        <w:wordWrap/>
        <w:overflowPunct/>
        <w:topLinePunct w:val="0"/>
        <w:bidi w:val="0"/>
        <w:adjustRightInd w:val="0"/>
        <w:snapToGrid w:val="0"/>
        <w:spacing w:after="0" w:line="52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（7）低压高强灯管在新灯管运行100小时磨合期后254nm紫外能量输出功率不得低于104W，在254nm波长处的综合电光转化效率（包括镇流器及其他附属电器设备耗电）不小于36%。</w:t>
      </w:r>
    </w:p>
    <w:p>
      <w:pPr>
        <w:pStyle w:val="10"/>
        <w:keepNext w:val="0"/>
        <w:keepLines w:val="0"/>
        <w:pageBreakBefore w:val="0"/>
        <w:tabs>
          <w:tab w:val="left" w:pos="720"/>
        </w:tabs>
        <w:kinsoku/>
        <w:wordWrap/>
        <w:overflowPunct/>
        <w:topLinePunct w:val="0"/>
        <w:bidi w:val="0"/>
        <w:adjustRightInd w:val="0"/>
        <w:snapToGrid w:val="0"/>
        <w:spacing w:after="0" w:line="52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w:t>
      </w:r>
      <w:r>
        <w:rPr>
          <w:rFonts w:hint="eastAsia" w:ascii="仿宋_GB2312" w:hAnsi="仿宋" w:eastAsia="仿宋_GB2312"/>
          <w:sz w:val="28"/>
          <w:szCs w:val="28"/>
          <w:lang w:val="en-US" w:eastAsia="zh-CN"/>
        </w:rPr>
        <w:t>三</w:t>
      </w:r>
      <w:r>
        <w:rPr>
          <w:rFonts w:hint="eastAsia" w:ascii="仿宋_GB2312" w:hAnsi="仿宋" w:eastAsia="仿宋_GB2312"/>
          <w:sz w:val="28"/>
          <w:szCs w:val="28"/>
          <w:lang w:eastAsia="zh-CN"/>
        </w:rPr>
        <w:t>）石英套管：</w:t>
      </w:r>
    </w:p>
    <w:p>
      <w:pPr>
        <w:pStyle w:val="10"/>
        <w:keepNext w:val="0"/>
        <w:keepLines w:val="0"/>
        <w:pageBreakBefore w:val="0"/>
        <w:tabs>
          <w:tab w:val="left" w:pos="720"/>
        </w:tabs>
        <w:kinsoku/>
        <w:wordWrap/>
        <w:overflowPunct/>
        <w:topLinePunct w:val="0"/>
        <w:bidi w:val="0"/>
        <w:adjustRightInd w:val="0"/>
        <w:snapToGrid w:val="0"/>
        <w:spacing w:after="0" w:line="52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（1）石英套管紫外透光率≥9</w:t>
      </w:r>
      <w:r>
        <w:rPr>
          <w:rFonts w:hint="eastAsia" w:ascii="仿宋_GB2312" w:hAnsi="仿宋" w:eastAsia="仿宋_GB2312"/>
          <w:sz w:val="28"/>
          <w:szCs w:val="28"/>
          <w:lang w:val="en-US" w:eastAsia="zh-CN"/>
        </w:rPr>
        <w:t>0</w:t>
      </w:r>
      <w:r>
        <w:rPr>
          <w:rFonts w:hint="eastAsia" w:ascii="仿宋_GB2312" w:hAnsi="仿宋" w:eastAsia="仿宋_GB2312"/>
          <w:sz w:val="28"/>
          <w:szCs w:val="28"/>
          <w:lang w:eastAsia="zh-CN"/>
        </w:rPr>
        <w:t>%；</w:t>
      </w:r>
    </w:p>
    <w:p>
      <w:pPr>
        <w:pStyle w:val="10"/>
        <w:keepNext w:val="0"/>
        <w:keepLines w:val="0"/>
        <w:pageBreakBefore w:val="0"/>
        <w:tabs>
          <w:tab w:val="left" w:pos="720"/>
        </w:tabs>
        <w:kinsoku/>
        <w:wordWrap/>
        <w:overflowPunct/>
        <w:topLinePunct w:val="0"/>
        <w:bidi w:val="0"/>
        <w:adjustRightInd w:val="0"/>
        <w:snapToGrid w:val="0"/>
        <w:spacing w:after="0" w:line="52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（2）石英套管开口端将由防腐套管螺帽、钢套和紧压式O型圈组成密封。</w:t>
      </w:r>
    </w:p>
    <w:p>
      <w:pPr>
        <w:pStyle w:val="10"/>
        <w:keepNext w:val="0"/>
        <w:keepLines w:val="0"/>
        <w:pageBreakBefore w:val="0"/>
        <w:tabs>
          <w:tab w:val="left" w:pos="720"/>
        </w:tabs>
        <w:kinsoku/>
        <w:wordWrap/>
        <w:overflowPunct/>
        <w:topLinePunct w:val="0"/>
        <w:bidi w:val="0"/>
        <w:adjustRightInd w:val="0"/>
        <w:snapToGrid w:val="0"/>
        <w:spacing w:after="0" w:line="52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w:t>
      </w:r>
      <w:r>
        <w:rPr>
          <w:rFonts w:hint="eastAsia" w:ascii="仿宋_GB2312" w:hAnsi="仿宋" w:eastAsia="仿宋_GB2312"/>
          <w:sz w:val="28"/>
          <w:szCs w:val="28"/>
          <w:lang w:val="en-US" w:eastAsia="zh-CN"/>
        </w:rPr>
        <w:t>四</w:t>
      </w:r>
      <w:r>
        <w:rPr>
          <w:rFonts w:hint="eastAsia" w:ascii="仿宋_GB2312" w:hAnsi="仿宋" w:eastAsia="仿宋_GB2312"/>
          <w:sz w:val="28"/>
          <w:szCs w:val="28"/>
          <w:lang w:eastAsia="zh-CN"/>
        </w:rPr>
        <w:t>）清洗装置：</w:t>
      </w:r>
    </w:p>
    <w:p>
      <w:pPr>
        <w:pStyle w:val="10"/>
        <w:keepNext w:val="0"/>
        <w:keepLines w:val="0"/>
        <w:pageBreakBefore w:val="0"/>
        <w:tabs>
          <w:tab w:val="left" w:pos="720"/>
        </w:tabs>
        <w:kinsoku/>
        <w:wordWrap/>
        <w:overflowPunct/>
        <w:topLinePunct w:val="0"/>
        <w:bidi w:val="0"/>
        <w:adjustRightInd w:val="0"/>
        <w:snapToGrid w:val="0"/>
        <w:spacing w:after="0" w:line="52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（1）必须设置在线的机械自动清洗装置，可采用电机驱动或者气动驱动，清洗过程中应保证系统继续消毒；</w:t>
      </w:r>
    </w:p>
    <w:p>
      <w:pPr>
        <w:pStyle w:val="10"/>
        <w:keepNext w:val="0"/>
        <w:keepLines w:val="0"/>
        <w:pageBreakBefore w:val="0"/>
        <w:tabs>
          <w:tab w:val="left" w:pos="720"/>
        </w:tabs>
        <w:kinsoku/>
        <w:wordWrap/>
        <w:overflowPunct/>
        <w:topLinePunct w:val="0"/>
        <w:bidi w:val="0"/>
        <w:adjustRightInd w:val="0"/>
        <w:snapToGrid w:val="0"/>
        <w:spacing w:after="0" w:line="52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（2）清洗环寿命≥2年。</w:t>
      </w:r>
    </w:p>
    <w:p>
      <w:pPr>
        <w:pStyle w:val="10"/>
        <w:keepNext w:val="0"/>
        <w:keepLines w:val="0"/>
        <w:pageBreakBefore w:val="0"/>
        <w:tabs>
          <w:tab w:val="left" w:pos="720"/>
        </w:tabs>
        <w:kinsoku/>
        <w:wordWrap/>
        <w:overflowPunct/>
        <w:topLinePunct w:val="0"/>
        <w:bidi w:val="0"/>
        <w:adjustRightInd w:val="0"/>
        <w:snapToGrid w:val="0"/>
        <w:spacing w:after="0" w:line="52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w:t>
      </w:r>
      <w:r>
        <w:rPr>
          <w:rFonts w:hint="eastAsia" w:ascii="仿宋_GB2312" w:hAnsi="仿宋" w:eastAsia="仿宋_GB2312"/>
          <w:sz w:val="28"/>
          <w:szCs w:val="28"/>
          <w:lang w:val="en-US" w:eastAsia="zh-CN"/>
        </w:rPr>
        <w:t>五</w:t>
      </w:r>
      <w:r>
        <w:rPr>
          <w:rFonts w:hint="eastAsia" w:ascii="仿宋_GB2312" w:hAnsi="仿宋" w:eastAsia="仿宋_GB2312"/>
          <w:sz w:val="28"/>
          <w:szCs w:val="28"/>
          <w:lang w:eastAsia="zh-CN"/>
        </w:rPr>
        <w:t>）现场的系统控制中心提供友好人机界面，紫外线监控系统显示屏和信息键盘采用完整的触摸屏操作界面，能够显示系统的工艺流程、设备运行状况，实现工艺参数设定以及运行安全报警（设置低水位保护、清洗故障报警、灯管故障报警等）。现场控制中心输出设备工况及主要参数信号开关量或模拟量通过profibus-dp协议传输至污水厂中控室（紫外线消毒系统需要实现设备的自动运行、报警、自保护、远程监控等功能。</w:t>
      </w:r>
    </w:p>
    <w:p>
      <w:pPr>
        <w:pStyle w:val="10"/>
        <w:keepNext w:val="0"/>
        <w:keepLines w:val="0"/>
        <w:pageBreakBefore w:val="0"/>
        <w:tabs>
          <w:tab w:val="left" w:pos="720"/>
        </w:tabs>
        <w:kinsoku/>
        <w:wordWrap/>
        <w:overflowPunct/>
        <w:topLinePunct w:val="0"/>
        <w:bidi w:val="0"/>
        <w:adjustRightInd w:val="0"/>
        <w:snapToGrid w:val="0"/>
        <w:spacing w:after="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主要材料使用要求</w:t>
      </w:r>
    </w:p>
    <w:p>
      <w:pPr>
        <w:pStyle w:val="10"/>
        <w:keepNext w:val="0"/>
        <w:keepLines w:val="0"/>
        <w:pageBreakBefore w:val="0"/>
        <w:tabs>
          <w:tab w:val="left" w:pos="720"/>
        </w:tabs>
        <w:kinsoku/>
        <w:wordWrap/>
        <w:overflowPunct/>
        <w:topLinePunct w:val="0"/>
        <w:bidi w:val="0"/>
        <w:adjustRightInd w:val="0"/>
        <w:snapToGrid w:val="0"/>
        <w:spacing w:after="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紫外灯管应与原厂灯管（型号为：6103408 </w:t>
      </w:r>
      <w:r>
        <w:rPr>
          <w:rFonts w:hint="eastAsia" w:ascii="仿宋" w:hAnsi="仿宋" w:eastAsia="仿宋"/>
          <w:sz w:val="28"/>
          <w:szCs w:val="28"/>
        </w:rPr>
        <w:t>WEDECO</w:t>
      </w:r>
      <w:r>
        <w:rPr>
          <w:rFonts w:hint="eastAsia" w:ascii="仿宋_GB2312" w:hAnsi="仿宋_GB2312" w:eastAsia="仿宋_GB2312" w:cs="仿宋_GB2312"/>
          <w:sz w:val="28"/>
          <w:szCs w:val="28"/>
        </w:rPr>
        <w:t xml:space="preserve"> ECORAY UV-Lamp ECORAY ELR30-1）同等质量标准，与原设备相匹配；</w:t>
      </w:r>
    </w:p>
    <w:p>
      <w:pPr>
        <w:pStyle w:val="10"/>
        <w:keepNext w:val="0"/>
        <w:keepLines w:val="0"/>
        <w:pageBreakBefore w:val="0"/>
        <w:tabs>
          <w:tab w:val="left" w:pos="720"/>
        </w:tabs>
        <w:kinsoku/>
        <w:wordWrap/>
        <w:overflowPunct/>
        <w:topLinePunct w:val="0"/>
        <w:bidi w:val="0"/>
        <w:adjustRightInd w:val="0"/>
        <w:snapToGrid w:val="0"/>
        <w:spacing w:after="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镇流板、石英套管模块应</w:t>
      </w:r>
      <w:r>
        <w:rPr>
          <w:rFonts w:hint="eastAsia" w:ascii="仿宋_GB2312" w:hAnsi="仿宋_GB2312" w:eastAsia="仿宋_GB2312" w:cs="仿宋_GB2312"/>
          <w:sz w:val="28"/>
          <w:szCs w:val="28"/>
          <w:lang w:eastAsia="zh-CN"/>
        </w:rPr>
        <w:t>与原厂产品相匹配且满足技术要求</w:t>
      </w:r>
      <w:r>
        <w:rPr>
          <w:rFonts w:hint="eastAsia" w:ascii="仿宋_GB2312" w:hAnsi="仿宋_GB2312" w:eastAsia="仿宋_GB2312" w:cs="仿宋_GB2312"/>
          <w:sz w:val="28"/>
          <w:szCs w:val="28"/>
        </w:rPr>
        <w:t>；</w:t>
      </w:r>
    </w:p>
    <w:p>
      <w:pPr>
        <w:pStyle w:val="10"/>
        <w:keepNext w:val="0"/>
        <w:keepLines w:val="0"/>
        <w:pageBreakBefore w:val="0"/>
        <w:tabs>
          <w:tab w:val="left" w:pos="720"/>
        </w:tabs>
        <w:kinsoku/>
        <w:wordWrap/>
        <w:overflowPunct/>
        <w:topLinePunct w:val="0"/>
        <w:bidi w:val="0"/>
        <w:adjustRightInd w:val="0"/>
        <w:snapToGrid w:val="0"/>
        <w:spacing w:after="0"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所更换的所有备品材料均应与原设备相匹配且满足技术要求。</w:t>
      </w:r>
    </w:p>
    <w:p>
      <w:pPr>
        <w:keepNext w:val="0"/>
        <w:keepLines w:val="0"/>
        <w:pageBreakBefore w:val="0"/>
        <w:kinsoku/>
        <w:wordWrap/>
        <w:overflowPunct/>
        <w:topLinePunct w:val="0"/>
        <w:autoSpaceDE w:val="0"/>
        <w:autoSpaceDN w:val="0"/>
        <w:bidi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第1台紫外消毒装置验收条件及检测方法：</w:t>
      </w:r>
    </w:p>
    <w:p>
      <w:pPr>
        <w:keepNext w:val="0"/>
        <w:keepLines w:val="0"/>
        <w:pageBreakBefore w:val="0"/>
        <w:kinsoku/>
        <w:wordWrap/>
        <w:overflowPunct/>
        <w:topLinePunct w:val="0"/>
        <w:bidi w:val="0"/>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当第1台紫外消毒装置大修完毕，并正式投入运行后，进行连续运行</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天出水瞬时水样考核，将水样送至</w:t>
      </w:r>
      <w:r>
        <w:rPr>
          <w:rFonts w:hint="eastAsia" w:ascii="仿宋_GB2312" w:hAnsi="仿宋_GB2312" w:eastAsia="仿宋_GB2312" w:cs="仿宋_GB2312"/>
          <w:sz w:val="28"/>
          <w:szCs w:val="28"/>
          <w:lang w:val="en-US" w:eastAsia="zh-CN"/>
        </w:rPr>
        <w:t>京溪分公司</w:t>
      </w:r>
      <w:r>
        <w:rPr>
          <w:rFonts w:hint="eastAsia" w:ascii="仿宋_GB2312" w:hAnsi="仿宋_GB2312" w:eastAsia="仿宋_GB2312" w:cs="仿宋_GB2312"/>
          <w:sz w:val="28"/>
          <w:szCs w:val="28"/>
        </w:rPr>
        <w:t>化验室检测。若测得每天的粪大肠菌群均</w:t>
      </w:r>
      <w:r>
        <w:rPr>
          <w:rFonts w:ascii="仿宋" w:hAnsi="仿宋" w:eastAsia="仿宋"/>
          <w:color w:val="000000" w:themeColor="text1"/>
          <w:sz w:val="28"/>
          <w:szCs w:val="28"/>
          <w14:textFill>
            <w14:solidFill>
              <w14:schemeClr w14:val="tx1"/>
            </w14:solidFill>
          </w14:textFill>
        </w:rPr>
        <w:t>≤</w:t>
      </w:r>
      <w:r>
        <w:rPr>
          <w:rFonts w:ascii="仿宋_GB2312" w:hAnsi="仿宋_GB2312" w:eastAsia="仿宋_GB2312" w:cs="仿宋_GB2312"/>
          <w:sz w:val="28"/>
          <w:szCs w:val="28"/>
        </w:rPr>
        <w:t>500</w:t>
      </w:r>
      <w:r>
        <w:rPr>
          <w:rFonts w:hint="eastAsia" w:ascii="仿宋_GB2312" w:hAnsi="仿宋_GB2312" w:eastAsia="仿宋_GB2312" w:cs="仿宋_GB2312"/>
          <w:sz w:val="28"/>
          <w:szCs w:val="28"/>
        </w:rPr>
        <w:t>个/</w:t>
      </w:r>
      <w:r>
        <w:rPr>
          <w:rFonts w:ascii="仿宋_GB2312" w:hAnsi="仿宋_GB2312" w:eastAsia="仿宋_GB2312" w:cs="仿宋_GB2312"/>
          <w:sz w:val="28"/>
          <w:szCs w:val="28"/>
        </w:rPr>
        <w:t>L</w:t>
      </w:r>
      <w:r>
        <w:rPr>
          <w:rFonts w:hint="eastAsia" w:ascii="仿宋_GB2312" w:hAnsi="仿宋_GB2312" w:eastAsia="仿宋_GB2312" w:cs="仿宋_GB2312"/>
          <w:sz w:val="28"/>
          <w:szCs w:val="28"/>
        </w:rPr>
        <w:t>，则继续进行剩下4台紫外消毒装置的大修；若测得粪大肠菌群</w:t>
      </w:r>
      <w:r>
        <w:rPr>
          <w:rFonts w:hint="eastAsia" w:ascii="仿宋" w:hAnsi="仿宋" w:eastAsia="仿宋"/>
          <w:color w:val="000000" w:themeColor="text1"/>
          <w:sz w:val="28"/>
          <w:szCs w:val="28"/>
          <w:lang w:val="en-US" w:eastAsia="zh-CN"/>
          <w14:textFill>
            <w14:solidFill>
              <w14:schemeClr w14:val="tx1"/>
            </w14:solidFill>
          </w14:textFill>
        </w:rPr>
        <w:t>大于</w:t>
      </w:r>
      <w:r>
        <w:rPr>
          <w:rFonts w:ascii="仿宋_GB2312" w:hAnsi="仿宋_GB2312" w:eastAsia="仿宋_GB2312" w:cs="仿宋_GB2312"/>
          <w:sz w:val="28"/>
          <w:szCs w:val="28"/>
        </w:rPr>
        <w:t>500</w:t>
      </w:r>
      <w:r>
        <w:rPr>
          <w:rFonts w:hint="eastAsia" w:ascii="仿宋_GB2312" w:hAnsi="仿宋_GB2312" w:eastAsia="仿宋_GB2312" w:cs="仿宋_GB2312"/>
          <w:sz w:val="28"/>
          <w:szCs w:val="28"/>
        </w:rPr>
        <w:t>个/</w:t>
      </w:r>
      <w:r>
        <w:rPr>
          <w:rFonts w:ascii="仿宋_GB2312" w:hAnsi="仿宋_GB2312" w:eastAsia="仿宋_GB2312" w:cs="仿宋_GB2312"/>
          <w:sz w:val="28"/>
          <w:szCs w:val="28"/>
        </w:rPr>
        <w:t>L</w:t>
      </w:r>
      <w:r>
        <w:rPr>
          <w:rFonts w:hint="eastAsia" w:ascii="仿宋_GB2312" w:hAnsi="仿宋_GB2312" w:eastAsia="仿宋_GB2312" w:cs="仿宋_GB2312"/>
          <w:sz w:val="28"/>
          <w:szCs w:val="28"/>
        </w:rPr>
        <w:t>，则重新进行第2次连续运行</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天出水瞬时水样考核，若测得每天的粪大肠菌群均</w:t>
      </w:r>
      <w:r>
        <w:rPr>
          <w:rFonts w:ascii="仿宋" w:hAnsi="仿宋" w:eastAsia="仿宋"/>
          <w:color w:val="000000" w:themeColor="text1"/>
          <w:sz w:val="28"/>
          <w:szCs w:val="28"/>
          <w14:textFill>
            <w14:solidFill>
              <w14:schemeClr w14:val="tx1"/>
            </w14:solidFill>
          </w14:textFill>
        </w:rPr>
        <w:t>≤</w:t>
      </w:r>
      <w:r>
        <w:rPr>
          <w:rFonts w:ascii="仿宋_GB2312" w:hAnsi="仿宋_GB2312" w:eastAsia="仿宋_GB2312" w:cs="仿宋_GB2312"/>
          <w:sz w:val="28"/>
          <w:szCs w:val="28"/>
        </w:rPr>
        <w:t>500</w:t>
      </w:r>
      <w:r>
        <w:rPr>
          <w:rFonts w:hint="eastAsia" w:ascii="仿宋_GB2312" w:hAnsi="仿宋_GB2312" w:eastAsia="仿宋_GB2312" w:cs="仿宋_GB2312"/>
          <w:sz w:val="28"/>
          <w:szCs w:val="28"/>
        </w:rPr>
        <w:t>个/</w:t>
      </w:r>
      <w:r>
        <w:rPr>
          <w:rFonts w:ascii="仿宋_GB2312" w:hAnsi="仿宋_GB2312" w:eastAsia="仿宋_GB2312" w:cs="仿宋_GB2312"/>
          <w:sz w:val="28"/>
          <w:szCs w:val="28"/>
        </w:rPr>
        <w:t>L</w:t>
      </w:r>
      <w:r>
        <w:rPr>
          <w:rFonts w:hint="eastAsia" w:ascii="仿宋_GB2312" w:hAnsi="仿宋_GB2312" w:eastAsia="仿宋_GB2312" w:cs="仿宋_GB2312"/>
          <w:sz w:val="28"/>
          <w:szCs w:val="28"/>
        </w:rPr>
        <w:t>，则继续进行剩下</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台紫外消毒装置的大修；若测得粪大肠菌群</w:t>
      </w:r>
      <w:r>
        <w:rPr>
          <w:rFonts w:hint="eastAsia" w:ascii="仿宋_GB2312" w:hAnsi="仿宋_GB2312" w:eastAsia="仿宋_GB2312" w:cs="仿宋_GB2312"/>
          <w:sz w:val="28"/>
          <w:szCs w:val="28"/>
          <w:lang w:val="en-US" w:eastAsia="zh-CN"/>
        </w:rPr>
        <w:t>大于</w:t>
      </w:r>
      <w:r>
        <w:rPr>
          <w:rFonts w:hint="eastAsia" w:ascii="仿宋_GB2312" w:hAnsi="仿宋_GB2312" w:eastAsia="仿宋_GB2312" w:cs="仿宋_GB2312"/>
          <w:sz w:val="28"/>
          <w:szCs w:val="28"/>
        </w:rPr>
        <w:t>5</w:t>
      </w:r>
      <w:r>
        <w:rPr>
          <w:rFonts w:ascii="仿宋_GB2312" w:hAnsi="仿宋_GB2312" w:eastAsia="仿宋_GB2312" w:cs="仿宋_GB2312"/>
          <w:sz w:val="28"/>
          <w:szCs w:val="28"/>
        </w:rPr>
        <w:t>00</w:t>
      </w:r>
      <w:r>
        <w:rPr>
          <w:rFonts w:hint="eastAsia" w:ascii="仿宋_GB2312" w:hAnsi="仿宋_GB2312" w:eastAsia="仿宋_GB2312" w:cs="仿宋_GB2312"/>
          <w:sz w:val="28"/>
          <w:szCs w:val="28"/>
        </w:rPr>
        <w:t>个/</w:t>
      </w:r>
      <w:r>
        <w:rPr>
          <w:rFonts w:ascii="仿宋_GB2312" w:hAnsi="仿宋_GB2312" w:eastAsia="仿宋_GB2312" w:cs="仿宋_GB2312"/>
          <w:sz w:val="28"/>
          <w:szCs w:val="28"/>
        </w:rPr>
        <w:t>L</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询价人</w:t>
      </w:r>
      <w:r>
        <w:rPr>
          <w:rFonts w:hint="eastAsia" w:ascii="仿宋_GB2312" w:hAnsi="仿宋_GB2312" w:eastAsia="仿宋_GB2312" w:cs="仿宋_GB2312"/>
          <w:sz w:val="28"/>
          <w:szCs w:val="28"/>
        </w:rPr>
        <w:t>有权要求退货并中止合同，并扣除履约保证金作为违约金，</w:t>
      </w:r>
      <w:r>
        <w:rPr>
          <w:rFonts w:hint="eastAsia" w:ascii="仿宋_GB2312" w:hAnsi="仿宋_GB2312" w:eastAsia="仿宋_GB2312" w:cs="仿宋_GB2312"/>
          <w:sz w:val="28"/>
          <w:szCs w:val="28"/>
          <w:lang w:eastAsia="zh-CN"/>
        </w:rPr>
        <w:t>报价人</w:t>
      </w:r>
      <w:r>
        <w:rPr>
          <w:rFonts w:hint="eastAsia" w:ascii="仿宋_GB2312" w:hAnsi="仿宋_GB2312" w:eastAsia="仿宋_GB2312" w:cs="仿宋_GB2312"/>
          <w:sz w:val="28"/>
          <w:szCs w:val="28"/>
        </w:rPr>
        <w:t>承担所造成的一切损失。</w:t>
      </w:r>
    </w:p>
    <w:p>
      <w:pPr>
        <w:pStyle w:val="28"/>
        <w:keepNext w:val="0"/>
        <w:keepLines w:val="0"/>
        <w:pageBreakBefore w:val="0"/>
        <w:kinsoku/>
        <w:wordWrap/>
        <w:overflowPunct/>
        <w:topLinePunct w:val="0"/>
        <w:bidi w:val="0"/>
        <w:spacing w:line="520" w:lineRule="exact"/>
        <w:ind w:firstLine="560" w:firstLineChars="200"/>
        <w:rPr>
          <w:rFonts w:ascii="仿宋_GB2312" w:hAnsi="仿宋_GB2312" w:cs="仿宋_GB2312"/>
          <w:color w:val="auto"/>
          <w:kern w:val="2"/>
          <w:sz w:val="28"/>
          <w:szCs w:val="28"/>
        </w:rPr>
      </w:pPr>
      <w:r>
        <w:rPr>
          <w:rFonts w:hint="eastAsia" w:ascii="仿宋_GB2312" w:hAnsi="仿宋_GB2312" w:cs="仿宋_GB2312"/>
          <w:color w:val="auto"/>
          <w:kern w:val="2"/>
          <w:sz w:val="28"/>
          <w:szCs w:val="28"/>
          <w:lang w:eastAsia="zh-CN"/>
        </w:rPr>
        <w:t>（</w:t>
      </w:r>
      <w:r>
        <w:rPr>
          <w:rFonts w:hint="eastAsia" w:ascii="仿宋_GB2312" w:hAnsi="仿宋_GB2312" w:cs="仿宋_GB2312"/>
          <w:color w:val="auto"/>
          <w:kern w:val="2"/>
          <w:sz w:val="28"/>
          <w:szCs w:val="28"/>
          <w:lang w:val="en-US" w:eastAsia="zh-CN"/>
        </w:rPr>
        <w:t>2</w:t>
      </w:r>
      <w:r>
        <w:rPr>
          <w:rFonts w:hint="eastAsia" w:ascii="仿宋_GB2312" w:hAnsi="仿宋_GB2312" w:cs="仿宋_GB2312"/>
          <w:color w:val="auto"/>
          <w:kern w:val="2"/>
          <w:sz w:val="28"/>
          <w:szCs w:val="28"/>
          <w:lang w:eastAsia="zh-CN"/>
        </w:rPr>
        <w:t>）</w:t>
      </w:r>
      <w:r>
        <w:rPr>
          <w:rFonts w:hint="eastAsia" w:ascii="仿宋_GB2312" w:hAnsi="仿宋_GB2312" w:cs="仿宋_GB2312"/>
          <w:color w:val="auto"/>
          <w:kern w:val="2"/>
          <w:sz w:val="28"/>
          <w:szCs w:val="28"/>
        </w:rPr>
        <w:t>检测方法：水样由京溪分公司化验室进行检测。检测依据：采用国标检测法检测（H</w:t>
      </w:r>
      <w:r>
        <w:rPr>
          <w:rFonts w:ascii="仿宋_GB2312" w:hAnsi="仿宋_GB2312" w:cs="仿宋_GB2312"/>
          <w:color w:val="auto"/>
          <w:kern w:val="2"/>
          <w:sz w:val="28"/>
          <w:szCs w:val="28"/>
        </w:rPr>
        <w:t xml:space="preserve">J 347.1-2018 </w:t>
      </w:r>
      <w:r>
        <w:rPr>
          <w:rFonts w:hint="eastAsia" w:ascii="仿宋_GB2312" w:hAnsi="仿宋_GB2312" w:cs="仿宋_GB2312"/>
          <w:color w:val="auto"/>
          <w:kern w:val="2"/>
          <w:sz w:val="28"/>
          <w:szCs w:val="28"/>
        </w:rPr>
        <w:t>水质粪大肠菌群的测定滤膜法）。考核数据以京溪分公司化验室检测值为准。</w:t>
      </w:r>
    </w:p>
    <w:p>
      <w:pPr>
        <w:keepNext w:val="0"/>
        <w:keepLines w:val="0"/>
        <w:pageBreakBefore w:val="0"/>
        <w:kinsoku/>
        <w:wordWrap/>
        <w:overflowPunct/>
        <w:topLinePunct w:val="0"/>
        <w:bidi w:val="0"/>
        <w:spacing w:line="520" w:lineRule="exact"/>
        <w:ind w:left="90" w:leftChars="43"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发包人有权委托我国相关具有检验资质的部门、单位、机构针对维修后设备的精度、性能进行检验。其检验结果将作为验收标准的组成部分之一。</w:t>
      </w:r>
    </w:p>
    <w:p>
      <w:pPr>
        <w:pStyle w:val="28"/>
        <w:keepNext w:val="0"/>
        <w:keepLines w:val="0"/>
        <w:pageBreakBefore w:val="0"/>
        <w:kinsoku/>
        <w:wordWrap/>
        <w:overflowPunct/>
        <w:topLinePunct w:val="0"/>
        <w:bidi w:val="0"/>
        <w:spacing w:line="520" w:lineRule="exact"/>
        <w:rPr>
          <w:rFonts w:ascii="仿宋_GB2312" w:hAnsi="仿宋_GB2312" w:cs="仿宋_GB2312"/>
          <w:b/>
          <w:bCs/>
          <w:color w:val="auto"/>
          <w:kern w:val="2"/>
          <w:sz w:val="28"/>
          <w:szCs w:val="28"/>
        </w:rPr>
      </w:pPr>
      <w:r>
        <w:rPr>
          <w:rFonts w:hint="eastAsia" w:ascii="仿宋_GB2312" w:hAnsi="仿宋_GB2312" w:cs="仿宋_GB2312"/>
          <w:b/>
          <w:bCs/>
          <w:color w:val="auto"/>
          <w:kern w:val="2"/>
          <w:sz w:val="28"/>
          <w:szCs w:val="28"/>
        </w:rPr>
        <w:t>三、项目内容：</w:t>
      </w:r>
      <w:r>
        <w:rPr>
          <w:rFonts w:ascii="仿宋_GB2312" w:hAnsi="仿宋_GB2312" w:cs="仿宋_GB2312"/>
          <w:b/>
          <w:bCs/>
          <w:color w:val="auto"/>
          <w:kern w:val="2"/>
          <w:sz w:val="28"/>
          <w:szCs w:val="28"/>
        </w:rPr>
        <w:t xml:space="preserve"> </w:t>
      </w:r>
    </w:p>
    <w:p>
      <w:pPr>
        <w:pStyle w:val="28"/>
        <w:keepNext w:val="0"/>
        <w:keepLines w:val="0"/>
        <w:pageBreakBefore w:val="0"/>
        <w:kinsoku/>
        <w:wordWrap/>
        <w:overflowPunct/>
        <w:topLinePunct w:val="0"/>
        <w:bidi w:val="0"/>
        <w:spacing w:line="520" w:lineRule="exact"/>
        <w:ind w:firstLine="570"/>
        <w:rPr>
          <w:rFonts w:ascii="仿宋_GB2312" w:hAnsi="仿宋_GB2312" w:cs="仿宋_GB2312"/>
          <w:color w:val="auto"/>
          <w:kern w:val="2"/>
          <w:sz w:val="28"/>
          <w:szCs w:val="28"/>
        </w:rPr>
      </w:pPr>
      <w:r>
        <w:rPr>
          <w:rFonts w:hint="eastAsia" w:ascii="仿宋_GB2312" w:hAnsi="仿宋_GB2312" w:cs="仿宋_GB2312"/>
          <w:color w:val="auto"/>
          <w:kern w:val="2"/>
          <w:sz w:val="28"/>
          <w:szCs w:val="28"/>
        </w:rPr>
        <w:t>本项目服务内容：以包工包料固定总价包干的方式对5台紫外线消毒装置（4台赛莱默</w:t>
      </w:r>
      <w:r>
        <w:rPr>
          <w:rFonts w:ascii="仿宋_GB2312" w:hAnsi="仿宋_GB2312" w:cs="仿宋_GB2312"/>
          <w:color w:val="auto"/>
          <w:kern w:val="2"/>
          <w:sz w:val="28"/>
          <w:szCs w:val="28"/>
        </w:rPr>
        <w:t>WEDECO LBX1000</w:t>
      </w:r>
      <w:r>
        <w:rPr>
          <w:rFonts w:hint="eastAsia" w:ascii="仿宋_GB2312" w:hAnsi="仿宋_GB2312" w:cs="仿宋_GB2312"/>
          <w:color w:val="auto"/>
          <w:kern w:val="2"/>
          <w:sz w:val="28"/>
          <w:szCs w:val="28"/>
        </w:rPr>
        <w:t>和1台赛莱默</w:t>
      </w:r>
      <w:r>
        <w:rPr>
          <w:rFonts w:ascii="仿宋_GB2312" w:hAnsi="仿宋_GB2312" w:cs="仿宋_GB2312"/>
          <w:color w:val="auto"/>
          <w:kern w:val="2"/>
          <w:sz w:val="28"/>
          <w:szCs w:val="28"/>
        </w:rPr>
        <w:t>WEDECO LBX1000</w:t>
      </w:r>
      <w:r>
        <w:rPr>
          <w:rFonts w:hint="eastAsia" w:ascii="仿宋_GB2312" w:hAnsi="仿宋_GB2312" w:cs="仿宋_GB2312"/>
          <w:color w:val="auto"/>
          <w:kern w:val="2"/>
          <w:sz w:val="28"/>
          <w:szCs w:val="28"/>
        </w:rPr>
        <w:t>e）进行检查、维修（含拆、装）、更换灯管等零部件、调试等，直至紫外线消毒装置的消毒效果恢复至设计要求。</w:t>
      </w:r>
    </w:p>
    <w:p>
      <w:pPr>
        <w:pStyle w:val="28"/>
        <w:keepNext w:val="0"/>
        <w:keepLines w:val="0"/>
        <w:pageBreakBefore w:val="0"/>
        <w:kinsoku/>
        <w:wordWrap/>
        <w:overflowPunct/>
        <w:topLinePunct w:val="0"/>
        <w:bidi w:val="0"/>
        <w:spacing w:line="520" w:lineRule="exact"/>
        <w:ind w:firstLine="281" w:firstLineChars="100"/>
        <w:rPr>
          <w:rFonts w:ascii="仿宋_GB2312" w:hAnsiTheme="minorEastAsia"/>
          <w:b/>
          <w:bCs/>
          <w:sz w:val="28"/>
          <w:szCs w:val="28"/>
        </w:rPr>
      </w:pPr>
      <w:r>
        <w:rPr>
          <w:rFonts w:hint="eastAsia" w:ascii="仿宋_GB2312" w:hAnsiTheme="minorEastAsia"/>
          <w:b/>
          <w:bCs/>
          <w:sz w:val="28"/>
          <w:szCs w:val="28"/>
        </w:rPr>
        <w:t>项目维修服务内容清单：</w:t>
      </w:r>
    </w:p>
    <w:tbl>
      <w:tblPr>
        <w:tblStyle w:val="21"/>
        <w:tblW w:w="5078" w:type="pct"/>
        <w:tblInd w:w="-147" w:type="dxa"/>
        <w:tblLayout w:type="autofit"/>
        <w:tblCellMar>
          <w:top w:w="0" w:type="dxa"/>
          <w:left w:w="108" w:type="dxa"/>
          <w:bottom w:w="0" w:type="dxa"/>
          <w:right w:w="108" w:type="dxa"/>
        </w:tblCellMar>
      </w:tblPr>
      <w:tblGrid>
        <w:gridCol w:w="749"/>
        <w:gridCol w:w="8979"/>
      </w:tblGrid>
      <w:tr>
        <w:tblPrEx>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jc w:val="center"/>
              <w:rPr>
                <w:rFonts w:ascii="仿宋_GB2312" w:hAnsi="宋体" w:eastAsia="仿宋_GB2312" w:cs="宋体"/>
                <w:b/>
                <w:bCs/>
                <w:sz w:val="24"/>
                <w:szCs w:val="20"/>
              </w:rPr>
            </w:pPr>
            <w:r>
              <w:rPr>
                <w:rFonts w:hint="eastAsia" w:ascii="仿宋_GB2312" w:hAnsi="宋体" w:eastAsia="仿宋_GB2312" w:cs="宋体"/>
                <w:b/>
                <w:bCs/>
                <w:sz w:val="24"/>
                <w:szCs w:val="20"/>
              </w:rPr>
              <w:t>序号</w:t>
            </w:r>
          </w:p>
        </w:tc>
        <w:tc>
          <w:tcPr>
            <w:tcW w:w="4615" w:type="pct"/>
            <w:tcBorders>
              <w:top w:val="single" w:color="auto" w:sz="4" w:space="0"/>
              <w:left w:val="nil"/>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ind w:firstLine="482" w:firstLineChars="200"/>
              <w:jc w:val="center"/>
              <w:rPr>
                <w:rFonts w:ascii="仿宋_GB2312" w:hAnsi="宋体" w:eastAsia="仿宋_GB2312" w:cs="宋体"/>
                <w:b/>
                <w:bCs/>
                <w:sz w:val="24"/>
                <w:szCs w:val="20"/>
              </w:rPr>
            </w:pPr>
            <w:r>
              <w:rPr>
                <w:rFonts w:hint="eastAsia" w:ascii="仿宋_GB2312" w:hAnsi="宋体" w:eastAsia="仿宋_GB2312" w:cs="宋体"/>
                <w:b/>
                <w:bCs/>
                <w:sz w:val="24"/>
                <w:szCs w:val="20"/>
              </w:rPr>
              <w:t>每台紫外消毒系统检测维修服务内容</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 xml:space="preserve">  1</w:t>
            </w:r>
          </w:p>
        </w:tc>
        <w:tc>
          <w:tcPr>
            <w:tcW w:w="4615" w:type="pct"/>
            <w:tcBorders>
              <w:top w:val="nil"/>
              <w:left w:val="nil"/>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设备解体，清洗。</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sz w:val="24"/>
                <w:szCs w:val="20"/>
              </w:rPr>
            </w:pPr>
            <w:r>
              <w:rPr>
                <w:rFonts w:hint="eastAsia" w:ascii="仿宋_GB2312" w:hAnsi="宋体" w:eastAsia="仿宋_GB2312" w:cs="宋体"/>
                <w:sz w:val="24"/>
                <w:szCs w:val="20"/>
              </w:rPr>
              <w:t>2</w:t>
            </w:r>
          </w:p>
        </w:tc>
        <w:tc>
          <w:tcPr>
            <w:tcW w:w="4615" w:type="pct"/>
            <w:tcBorders>
              <w:top w:val="nil"/>
              <w:left w:val="nil"/>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清洗环检查：检查其清洗环的磨损状况，进行清洗并根据其磨损及腐蚀程度进行修复或更换，确保内部完整，无缺陷。</w:t>
            </w:r>
          </w:p>
        </w:tc>
      </w:tr>
      <w:tr>
        <w:tblPrEx>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sz w:val="24"/>
                <w:szCs w:val="20"/>
              </w:rPr>
            </w:pPr>
            <w:r>
              <w:rPr>
                <w:rFonts w:hint="eastAsia" w:ascii="仿宋_GB2312" w:hAnsi="宋体" w:eastAsia="仿宋_GB2312" w:cs="宋体"/>
                <w:sz w:val="24"/>
                <w:szCs w:val="20"/>
              </w:rPr>
              <w:t>3</w:t>
            </w:r>
          </w:p>
        </w:tc>
        <w:tc>
          <w:tcPr>
            <w:tcW w:w="4615" w:type="pc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紫外灯管更换：进行更换。</w:t>
            </w:r>
          </w:p>
        </w:tc>
      </w:tr>
      <w:tr>
        <w:tblPrEx>
          <w:tblCellMar>
            <w:top w:w="0" w:type="dxa"/>
            <w:left w:w="108" w:type="dxa"/>
            <w:bottom w:w="0" w:type="dxa"/>
            <w:right w:w="108" w:type="dxa"/>
          </w:tblCellMar>
        </w:tblPrEx>
        <w:trPr>
          <w:trHeight w:val="704" w:hRule="atLeast"/>
        </w:trPr>
        <w:tc>
          <w:tcPr>
            <w:tcW w:w="385" w:type="pc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sz w:val="24"/>
                <w:szCs w:val="20"/>
              </w:rPr>
            </w:pPr>
            <w:r>
              <w:rPr>
                <w:rFonts w:hint="eastAsia" w:ascii="仿宋_GB2312" w:hAnsi="宋体" w:eastAsia="仿宋_GB2312" w:cs="宋体"/>
                <w:sz w:val="24"/>
                <w:szCs w:val="20"/>
              </w:rPr>
              <w:t>4</w:t>
            </w:r>
          </w:p>
        </w:tc>
        <w:tc>
          <w:tcPr>
            <w:tcW w:w="4615" w:type="pc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石英套管检查：检查套管有无破裂，以及清洁状况；采用酸洗方法进行浸泡清洗并根据具体的检查情况进行更换。</w:t>
            </w:r>
          </w:p>
        </w:tc>
      </w:tr>
      <w:tr>
        <w:tblPrEx>
          <w:tblCellMar>
            <w:top w:w="0" w:type="dxa"/>
            <w:left w:w="108" w:type="dxa"/>
            <w:bottom w:w="0" w:type="dxa"/>
            <w:right w:w="108" w:type="dxa"/>
          </w:tblCellMar>
        </w:tblPrEx>
        <w:trPr>
          <w:trHeight w:val="477" w:hRule="atLeast"/>
        </w:trPr>
        <w:tc>
          <w:tcPr>
            <w:tcW w:w="385" w:type="pc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sz w:val="24"/>
                <w:szCs w:val="20"/>
              </w:rPr>
            </w:pPr>
            <w:r>
              <w:rPr>
                <w:rFonts w:hint="eastAsia" w:ascii="仿宋_GB2312" w:hAnsi="宋体" w:eastAsia="仿宋_GB2312" w:cs="宋体"/>
                <w:sz w:val="24"/>
                <w:szCs w:val="20"/>
              </w:rPr>
              <w:t>5</w:t>
            </w:r>
          </w:p>
        </w:tc>
        <w:tc>
          <w:tcPr>
            <w:tcW w:w="4615" w:type="pct"/>
            <w:tcBorders>
              <w:top w:val="single" w:color="auto" w:sz="4" w:space="0"/>
              <w:left w:val="nil"/>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紫外探头检测：检查紫外探头，强度是否准确，根据具体的检查情况进行更换。</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sz w:val="24"/>
                <w:szCs w:val="20"/>
              </w:rPr>
            </w:pPr>
            <w:r>
              <w:rPr>
                <w:rFonts w:hint="eastAsia" w:ascii="仿宋_GB2312" w:hAnsi="宋体" w:eastAsia="仿宋_GB2312" w:cs="宋体"/>
                <w:sz w:val="24"/>
                <w:szCs w:val="20"/>
              </w:rPr>
              <w:t>6</w:t>
            </w:r>
          </w:p>
        </w:tc>
        <w:tc>
          <w:tcPr>
            <w:tcW w:w="4615" w:type="pct"/>
            <w:tcBorders>
              <w:top w:val="nil"/>
              <w:left w:val="nil"/>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检查所有的灯管电缆：检查有无破裂，根据使用情况进行维修及更换。</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sz w:val="24"/>
                <w:szCs w:val="20"/>
              </w:rPr>
            </w:pPr>
            <w:r>
              <w:rPr>
                <w:rFonts w:hint="eastAsia" w:ascii="仿宋_GB2312" w:hAnsi="宋体" w:eastAsia="仿宋_GB2312" w:cs="宋体"/>
                <w:sz w:val="24"/>
                <w:szCs w:val="20"/>
              </w:rPr>
              <w:t>7</w:t>
            </w:r>
          </w:p>
        </w:tc>
        <w:tc>
          <w:tcPr>
            <w:tcW w:w="4615" w:type="pct"/>
            <w:tcBorders>
              <w:top w:val="nil"/>
              <w:left w:val="nil"/>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检查所有紧固件，根据使用工况，调整或更换。</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sz w:val="24"/>
                <w:szCs w:val="20"/>
              </w:rPr>
            </w:pPr>
            <w:r>
              <w:rPr>
                <w:rFonts w:hint="eastAsia" w:ascii="仿宋_GB2312" w:hAnsi="宋体" w:eastAsia="仿宋_GB2312" w:cs="宋体"/>
                <w:sz w:val="24"/>
                <w:szCs w:val="20"/>
              </w:rPr>
              <w:t>8</w:t>
            </w:r>
          </w:p>
        </w:tc>
        <w:tc>
          <w:tcPr>
            <w:tcW w:w="4615" w:type="pct"/>
            <w:tcBorders>
              <w:top w:val="nil"/>
              <w:left w:val="nil"/>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检查所有的过滤网及控制柜排气扇，根据情况进行清洁及更换。</w:t>
            </w:r>
          </w:p>
        </w:tc>
      </w:tr>
      <w:tr>
        <w:tblPrEx>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sz w:val="24"/>
                <w:szCs w:val="20"/>
              </w:rPr>
            </w:pPr>
            <w:r>
              <w:rPr>
                <w:rFonts w:hint="eastAsia" w:ascii="仿宋_GB2312" w:hAnsi="宋体" w:eastAsia="仿宋_GB2312" w:cs="宋体"/>
                <w:sz w:val="24"/>
                <w:szCs w:val="20"/>
              </w:rPr>
              <w:t>9</w:t>
            </w:r>
          </w:p>
        </w:tc>
        <w:tc>
          <w:tcPr>
            <w:tcW w:w="4615" w:type="pc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检查所有镇流器：外观是否破损，调节范围是否正常，根据具体的检查情况进行更换。</w:t>
            </w:r>
          </w:p>
        </w:tc>
      </w:tr>
      <w:tr>
        <w:tblPrEx>
          <w:tblCellMar>
            <w:top w:w="0" w:type="dxa"/>
            <w:left w:w="108" w:type="dxa"/>
            <w:bottom w:w="0" w:type="dxa"/>
            <w:right w:w="108" w:type="dxa"/>
          </w:tblCellMar>
        </w:tblPrEx>
        <w:trPr>
          <w:trHeight w:val="533" w:hRule="atLeast"/>
        </w:trPr>
        <w:tc>
          <w:tcPr>
            <w:tcW w:w="385" w:type="pc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sz w:val="24"/>
                <w:szCs w:val="20"/>
              </w:rPr>
            </w:pPr>
            <w:r>
              <w:rPr>
                <w:rFonts w:hint="eastAsia" w:ascii="仿宋_GB2312" w:hAnsi="宋体" w:eastAsia="仿宋_GB2312" w:cs="宋体"/>
                <w:sz w:val="24"/>
                <w:szCs w:val="20"/>
              </w:rPr>
              <w:t>10</w:t>
            </w:r>
          </w:p>
        </w:tc>
        <w:tc>
          <w:tcPr>
            <w:tcW w:w="4615" w:type="pc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检查灯头：检查灯头是否破损，根据具体的检查情况进行更换。</w:t>
            </w:r>
          </w:p>
        </w:tc>
      </w:tr>
      <w:tr>
        <w:tblPrEx>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sz w:val="24"/>
                <w:szCs w:val="20"/>
              </w:rPr>
            </w:pPr>
            <w:r>
              <w:rPr>
                <w:rFonts w:hint="eastAsia" w:ascii="仿宋_GB2312" w:hAnsi="宋体" w:eastAsia="仿宋_GB2312" w:cs="宋体"/>
                <w:sz w:val="24"/>
                <w:szCs w:val="20"/>
              </w:rPr>
              <w:t>11</w:t>
            </w:r>
          </w:p>
        </w:tc>
        <w:tc>
          <w:tcPr>
            <w:tcW w:w="4615" w:type="pc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重新装配。</w:t>
            </w:r>
          </w:p>
        </w:tc>
      </w:tr>
      <w:tr>
        <w:tblPrEx>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 xml:space="preserve">  12</w:t>
            </w:r>
          </w:p>
        </w:tc>
        <w:tc>
          <w:tcPr>
            <w:tcW w:w="4615" w:type="pct"/>
            <w:tcBorders>
              <w:top w:val="single" w:color="auto" w:sz="4" w:space="0"/>
              <w:left w:val="nil"/>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现场调试。</w:t>
            </w:r>
          </w:p>
        </w:tc>
      </w:tr>
      <w:tr>
        <w:tblPrEx>
          <w:tblCellMar>
            <w:top w:w="0" w:type="dxa"/>
            <w:left w:w="108" w:type="dxa"/>
            <w:bottom w:w="0" w:type="dxa"/>
            <w:right w:w="108" w:type="dxa"/>
          </w:tblCellMar>
        </w:tblPrEx>
        <w:tc>
          <w:tcPr>
            <w:tcW w:w="385" w:type="pct"/>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ind w:firstLine="240" w:firstLineChars="100"/>
              <w:rPr>
                <w:rFonts w:ascii="仿宋_GB2312" w:hAnsi="宋体" w:eastAsia="仿宋_GB2312" w:cs="宋体"/>
                <w:sz w:val="24"/>
                <w:szCs w:val="20"/>
              </w:rPr>
            </w:pPr>
            <w:r>
              <w:rPr>
                <w:rFonts w:hint="eastAsia" w:ascii="仿宋_GB2312" w:hAnsi="宋体" w:eastAsia="仿宋_GB2312" w:cs="宋体"/>
                <w:sz w:val="24"/>
                <w:szCs w:val="20"/>
              </w:rPr>
              <w:t>1</w:t>
            </w:r>
            <w:r>
              <w:rPr>
                <w:rFonts w:ascii="仿宋_GB2312" w:hAnsi="宋体" w:eastAsia="仿宋_GB2312" w:cs="宋体"/>
                <w:sz w:val="24"/>
                <w:szCs w:val="20"/>
              </w:rPr>
              <w:t>3</w:t>
            </w:r>
          </w:p>
        </w:tc>
        <w:tc>
          <w:tcPr>
            <w:tcW w:w="4615" w:type="pct"/>
            <w:tcBorders>
              <w:top w:val="single" w:color="auto" w:sz="4" w:space="0"/>
              <w:left w:val="nil"/>
              <w:bottom w:val="single" w:color="auto" w:sz="4" w:space="0"/>
              <w:right w:val="single" w:color="auto" w:sz="4" w:space="0"/>
            </w:tcBorders>
            <w:vAlign w:val="center"/>
          </w:tcPr>
          <w:p>
            <w:pPr>
              <w:pStyle w:val="10"/>
              <w:keepNext w:val="0"/>
              <w:keepLines w:val="0"/>
              <w:pageBreakBefore w:val="0"/>
              <w:tabs>
                <w:tab w:val="left" w:pos="720"/>
              </w:tabs>
              <w:kinsoku/>
              <w:wordWrap/>
              <w:overflowPunct/>
              <w:topLinePunct w:val="0"/>
              <w:bidi w:val="0"/>
              <w:adjustRightInd w:val="0"/>
              <w:snapToGrid w:val="0"/>
              <w:spacing w:after="0" w:line="520" w:lineRule="exact"/>
              <w:rPr>
                <w:rFonts w:ascii="仿宋_GB2312" w:hAnsi="宋体" w:eastAsia="仿宋_GB2312" w:cs="宋体"/>
                <w:sz w:val="24"/>
                <w:szCs w:val="20"/>
              </w:rPr>
            </w:pPr>
            <w:r>
              <w:rPr>
                <w:rFonts w:hint="eastAsia" w:ascii="仿宋_GB2312" w:hAnsi="宋体" w:eastAsia="仿宋_GB2312" w:cs="宋体"/>
                <w:sz w:val="24"/>
                <w:szCs w:val="20"/>
              </w:rPr>
              <w:t>清理现场所有工程废料，其中涉及的危险废料，必须合法合理地进行危废处理，提供相关危废处理处置联单。</w:t>
            </w:r>
          </w:p>
        </w:tc>
      </w:tr>
    </w:tbl>
    <w:p>
      <w:pPr>
        <w:keepNext w:val="0"/>
        <w:keepLines w:val="0"/>
        <w:pageBreakBefore w:val="0"/>
        <w:kinsoku/>
        <w:wordWrap/>
        <w:overflowPunct/>
        <w:topLinePunct w:val="0"/>
        <w:autoSpaceDE w:val="0"/>
        <w:autoSpaceDN w:val="0"/>
        <w:bidi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（二）根据招标现场运营部门的日常巡检情况，紫外线消毒系统的下属零部件均需更换，以恢复紫外线消毒系统的正常功能，</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在签订合同后应对紫外线消毒系统进行检查并将检查结果报</w:t>
      </w:r>
      <w:r>
        <w:rPr>
          <w:rFonts w:hint="eastAsia" w:ascii="仿宋_GB2312" w:hAnsi="仿宋_GB2312" w:eastAsia="仿宋_GB2312" w:cs="仿宋_GB2312"/>
          <w:sz w:val="28"/>
          <w:szCs w:val="28"/>
          <w:lang w:eastAsia="zh-CN"/>
        </w:rPr>
        <w:t>询价人</w:t>
      </w:r>
      <w:r>
        <w:rPr>
          <w:rFonts w:hint="eastAsia" w:ascii="仿宋_GB2312" w:hAnsi="仿宋_GB2312" w:eastAsia="仿宋_GB2312" w:cs="仿宋_GB2312"/>
          <w:sz w:val="28"/>
          <w:szCs w:val="28"/>
        </w:rPr>
        <w:t>审核，</w:t>
      </w:r>
      <w:r>
        <w:rPr>
          <w:rFonts w:hint="eastAsia" w:ascii="仿宋_GB2312" w:hAnsi="仿宋_GB2312" w:eastAsia="仿宋_GB2312" w:cs="仿宋_GB2312"/>
          <w:sz w:val="28"/>
          <w:szCs w:val="28"/>
          <w:lang w:eastAsia="zh-CN"/>
        </w:rPr>
        <w:t>询价人</w:t>
      </w:r>
      <w:r>
        <w:rPr>
          <w:rFonts w:hint="eastAsia" w:ascii="仿宋_GB2312" w:hAnsi="仿宋_GB2312" w:eastAsia="仿宋_GB2312" w:cs="仿宋_GB2312"/>
          <w:sz w:val="28"/>
          <w:szCs w:val="28"/>
        </w:rPr>
        <w:t>有权对检查结果提出修正意见，</w:t>
      </w:r>
      <w:r>
        <w:rPr>
          <w:rFonts w:hint="eastAsia" w:ascii="仿宋_GB2312" w:hAnsi="仿宋_GB2312" w:eastAsia="仿宋_GB2312" w:cs="仿宋_GB2312"/>
          <w:sz w:val="28"/>
          <w:szCs w:val="28"/>
          <w:lang w:eastAsia="zh-CN"/>
        </w:rPr>
        <w:t>询价人</w:t>
      </w:r>
      <w:r>
        <w:rPr>
          <w:rFonts w:hint="eastAsia" w:ascii="仿宋_GB2312" w:hAnsi="仿宋_GB2312" w:eastAsia="仿宋_GB2312" w:cs="仿宋_GB2312"/>
          <w:sz w:val="28"/>
          <w:szCs w:val="28"/>
        </w:rPr>
        <w:t>对检查结果进行书面确认并最终确定需要更换的零部件清单（即《供货清单》）。在大修保养过程中，发现</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未定购需要更换的零部件，</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须以总价包干的方式对需要更换的零部件进行更换，如不更换，在质保期内出现设备紫外线消毒系统不能正常运行，影响消毒效果，造成损失由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承担。</w:t>
      </w:r>
      <w:r>
        <w:rPr>
          <w:rFonts w:hint="eastAsia" w:ascii="仿宋_GB2312" w:hAnsi="仿宋_GB2312" w:eastAsia="仿宋_GB2312" w:cs="仿宋_GB2312"/>
          <w:sz w:val="28"/>
          <w:szCs w:val="28"/>
          <w:lang w:eastAsia="zh-CN"/>
        </w:rPr>
        <w:t>报价人</w:t>
      </w:r>
      <w:r>
        <w:rPr>
          <w:rFonts w:hint="eastAsia" w:ascii="仿宋_GB2312" w:hAnsi="仿宋_GB2312" w:eastAsia="仿宋_GB2312" w:cs="仿宋_GB2312"/>
          <w:sz w:val="28"/>
          <w:szCs w:val="28"/>
        </w:rPr>
        <w:t>负责更换全新的零部件，所有零部件必须符合原来使用的型号规格的技术参数（原来零部件品牌均为WEDECO）：</w:t>
      </w:r>
    </w:p>
    <w:p>
      <w:pPr>
        <w:pStyle w:val="28"/>
        <w:keepNext w:val="0"/>
        <w:keepLines w:val="0"/>
        <w:pageBreakBefore w:val="0"/>
        <w:kinsoku/>
        <w:wordWrap/>
        <w:overflowPunct/>
        <w:topLinePunct w:val="0"/>
        <w:bidi w:val="0"/>
        <w:spacing w:line="520" w:lineRule="exact"/>
        <w:ind w:firstLine="562" w:firstLineChars="200"/>
        <w:rPr>
          <w:rFonts w:ascii="仿宋_GB2312"/>
          <w:b/>
          <w:bCs/>
          <w:sz w:val="28"/>
          <w:szCs w:val="28"/>
          <w:lang w:val="zh-CN"/>
        </w:rPr>
      </w:pPr>
      <w:r>
        <w:rPr>
          <w:rFonts w:hint="eastAsia" w:ascii="仿宋_GB2312"/>
          <w:b/>
          <w:bCs/>
          <w:sz w:val="28"/>
          <w:szCs w:val="28"/>
          <w:lang w:val="zh-CN"/>
        </w:rPr>
        <w:t>项目备件清单</w:t>
      </w:r>
    </w:p>
    <w:tbl>
      <w:tblPr>
        <w:tblStyle w:val="21"/>
        <w:tblW w:w="9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9"/>
        <w:gridCol w:w="4632"/>
        <w:gridCol w:w="694"/>
        <w:gridCol w:w="690"/>
        <w:gridCol w:w="2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689"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序号</w:t>
            </w:r>
          </w:p>
        </w:tc>
        <w:tc>
          <w:tcPr>
            <w:tcW w:w="4632"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产品技术参数描述</w:t>
            </w:r>
          </w:p>
        </w:tc>
        <w:tc>
          <w:tcPr>
            <w:tcW w:w="694"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数量</w:t>
            </w:r>
          </w:p>
        </w:tc>
        <w:tc>
          <w:tcPr>
            <w:tcW w:w="690"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单位</w:t>
            </w:r>
          </w:p>
        </w:tc>
        <w:tc>
          <w:tcPr>
            <w:tcW w:w="288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689"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一</w:t>
            </w:r>
          </w:p>
        </w:tc>
        <w:tc>
          <w:tcPr>
            <w:tcW w:w="8903" w:type="dxa"/>
            <w:gridSpan w:val="4"/>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highlight w:val="none"/>
              </w:rPr>
              <w:t>现有Xylem WEDECO</w:t>
            </w:r>
            <w:r>
              <w:rPr>
                <w:rFonts w:hint="eastAsia" w:ascii="仿宋_GB2312" w:hAnsi="宋体" w:eastAsia="仿宋_GB2312" w:cs="宋体"/>
                <w:sz w:val="24"/>
                <w:highlight w:val="none"/>
                <w:lang w:val="en-US" w:eastAsia="zh-CN"/>
              </w:rPr>
              <w:t xml:space="preserve">  </w:t>
            </w:r>
            <w:r>
              <w:rPr>
                <w:rFonts w:hint="eastAsia" w:ascii="仿宋_GB2312" w:hAnsi="宋体" w:eastAsia="仿宋_GB2312" w:cs="宋体"/>
                <w:sz w:val="24"/>
                <w:highlight w:val="none"/>
              </w:rPr>
              <w:t>VA106697 LBX1000</w:t>
            </w:r>
            <w:r>
              <w:rPr>
                <w:rFonts w:hint="eastAsia" w:ascii="仿宋_GB2312" w:hAnsi="宋体" w:eastAsia="仿宋_GB2312" w:cs="宋体"/>
                <w:sz w:val="24"/>
                <w:highlight w:val="none"/>
                <w:lang w:val="en-US" w:eastAsia="zh-CN"/>
              </w:rPr>
              <w:t xml:space="preserve">  </w:t>
            </w:r>
            <w:r>
              <w:rPr>
                <w:rFonts w:hint="eastAsia" w:ascii="仿宋_GB2312" w:hAnsi="宋体" w:eastAsia="仿宋_GB2312" w:cs="宋体"/>
                <w:sz w:val="24"/>
                <w:highlight w:val="none"/>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8" w:hRule="atLeast"/>
          <w:jc w:val="center"/>
        </w:trPr>
        <w:tc>
          <w:tcPr>
            <w:tcW w:w="689"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1</w:t>
            </w:r>
          </w:p>
        </w:tc>
        <w:tc>
          <w:tcPr>
            <w:tcW w:w="4632"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紫外灯管（低压高强灯管，功率：2</w:t>
            </w:r>
            <w:r>
              <w:rPr>
                <w:rFonts w:ascii="仿宋_GB2312" w:hAnsi="宋体" w:eastAsia="仿宋_GB2312" w:cs="宋体"/>
                <w:sz w:val="24"/>
              </w:rPr>
              <w:t>90</w:t>
            </w:r>
            <w:r>
              <w:rPr>
                <w:rFonts w:hint="eastAsia" w:ascii="仿宋_GB2312" w:hAnsi="宋体" w:eastAsia="仿宋_GB2312" w:cs="宋体"/>
                <w:sz w:val="24"/>
              </w:rPr>
              <w:t>W，UV-C输出功率（254nm）：1</w:t>
            </w:r>
            <w:r>
              <w:rPr>
                <w:rFonts w:ascii="仿宋_GB2312" w:hAnsi="宋体" w:eastAsia="仿宋_GB2312" w:cs="宋体"/>
                <w:sz w:val="24"/>
              </w:rPr>
              <w:t>04</w:t>
            </w:r>
            <w:r>
              <w:rPr>
                <w:rFonts w:hint="eastAsia" w:ascii="仿宋_GB2312" w:hAnsi="宋体" w:eastAsia="仿宋_GB2312" w:cs="宋体"/>
                <w:sz w:val="24"/>
              </w:rPr>
              <w:t>W，UV-C输出调节范围：50%-100%）</w:t>
            </w:r>
          </w:p>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（型号为：6103408 WEDECO</w:t>
            </w:r>
          </w:p>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ECORAY UV-Lamp ECORAY ELR30-1）</w:t>
            </w:r>
          </w:p>
        </w:tc>
        <w:tc>
          <w:tcPr>
            <w:tcW w:w="694"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160</w:t>
            </w:r>
          </w:p>
        </w:tc>
        <w:tc>
          <w:tcPr>
            <w:tcW w:w="690"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根</w:t>
            </w:r>
          </w:p>
        </w:tc>
        <w:tc>
          <w:tcPr>
            <w:tcW w:w="288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hint="eastAsia" w:ascii="仿宋_GB2312" w:hAnsi="宋体" w:eastAsia="仿宋_GB2312" w:cs="宋体"/>
                <w:sz w:val="24"/>
                <w:lang w:eastAsia="zh-CN"/>
              </w:rPr>
            </w:pPr>
            <w:r>
              <w:rPr>
                <w:rFonts w:hint="eastAsia" w:ascii="仿宋_GB2312" w:hAnsi="宋体" w:eastAsia="仿宋_GB2312" w:cs="宋体"/>
                <w:sz w:val="24"/>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689"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2</w:t>
            </w:r>
          </w:p>
        </w:tc>
        <w:tc>
          <w:tcPr>
            <w:tcW w:w="4632"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镇流板</w:t>
            </w:r>
          </w:p>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（型号为：Ballast TDS 55 ）</w:t>
            </w:r>
          </w:p>
        </w:tc>
        <w:tc>
          <w:tcPr>
            <w:tcW w:w="694"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10</w:t>
            </w:r>
          </w:p>
        </w:tc>
        <w:tc>
          <w:tcPr>
            <w:tcW w:w="690"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个</w:t>
            </w:r>
          </w:p>
        </w:tc>
        <w:tc>
          <w:tcPr>
            <w:tcW w:w="288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hint="eastAsia" w:ascii="仿宋_GB2312" w:hAnsi="宋体" w:eastAsia="仿宋_GB2312" w:cs="宋体"/>
                <w:sz w:val="24"/>
                <w:lang w:eastAsia="zh-CN"/>
              </w:rPr>
            </w:pPr>
            <w:r>
              <w:rPr>
                <w:rFonts w:hint="eastAsia" w:ascii="仿宋_GB2312" w:hAnsi="宋体" w:eastAsia="仿宋_GB2312" w:cs="宋体"/>
                <w:sz w:val="24"/>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689"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3</w:t>
            </w:r>
          </w:p>
        </w:tc>
        <w:tc>
          <w:tcPr>
            <w:tcW w:w="4632"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石英套管模块</w:t>
            </w:r>
          </w:p>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（参数为：Quartz Module 48*2*1537）</w:t>
            </w:r>
          </w:p>
        </w:tc>
        <w:tc>
          <w:tcPr>
            <w:tcW w:w="694"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10</w:t>
            </w:r>
          </w:p>
        </w:tc>
        <w:tc>
          <w:tcPr>
            <w:tcW w:w="690"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套</w:t>
            </w:r>
          </w:p>
        </w:tc>
        <w:tc>
          <w:tcPr>
            <w:tcW w:w="2887"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hint="eastAsia" w:ascii="仿宋_GB2312" w:hAnsi="宋体" w:eastAsia="仿宋_GB2312" w:cs="宋体"/>
                <w:sz w:val="24"/>
                <w:lang w:eastAsia="zh-CN"/>
              </w:rPr>
            </w:pPr>
            <w:r>
              <w:rPr>
                <w:rFonts w:hint="eastAsia" w:ascii="仿宋_GB2312" w:hAnsi="宋体" w:eastAsia="仿宋_GB2312" w:cs="宋体"/>
                <w:sz w:val="24"/>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689"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二</w:t>
            </w:r>
          </w:p>
        </w:tc>
        <w:tc>
          <w:tcPr>
            <w:tcW w:w="8903" w:type="dxa"/>
            <w:gridSpan w:val="4"/>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rPr>
                <w:rFonts w:ascii="仿宋_GB2312" w:hAnsi="宋体" w:eastAsia="仿宋_GB2312" w:cs="宋体"/>
                <w:sz w:val="24"/>
                <w:highlight w:val="none"/>
              </w:rPr>
            </w:pPr>
            <w:r>
              <w:rPr>
                <w:rFonts w:hint="eastAsia" w:ascii="仿宋_GB2312" w:hAnsi="宋体" w:eastAsia="仿宋_GB2312" w:cs="宋体"/>
                <w:sz w:val="24"/>
                <w:highlight w:val="none"/>
              </w:rPr>
              <w:t>现有Xylem WEDECO</w:t>
            </w:r>
            <w:r>
              <w:rPr>
                <w:rFonts w:hint="eastAsia" w:ascii="仿宋_GB2312" w:hAnsi="宋体" w:eastAsia="仿宋_GB2312" w:cs="宋体"/>
                <w:sz w:val="24"/>
                <w:highlight w:val="none"/>
                <w:lang w:val="en-US" w:eastAsia="zh-CN"/>
              </w:rPr>
              <w:t xml:space="preserve">  </w:t>
            </w:r>
            <w:r>
              <w:rPr>
                <w:rFonts w:hint="eastAsia" w:ascii="仿宋_GB2312" w:hAnsi="宋体" w:eastAsia="仿宋_GB2312" w:cs="宋体"/>
                <w:sz w:val="24"/>
                <w:highlight w:val="none"/>
              </w:rPr>
              <w:t xml:space="preserve">MVA162272 LBX1000e </w:t>
            </w:r>
            <w:r>
              <w:rPr>
                <w:rFonts w:hint="eastAsia" w:ascii="仿宋_GB2312" w:hAnsi="宋体" w:eastAsia="仿宋_GB2312" w:cs="宋体"/>
                <w:sz w:val="24"/>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0" w:hRule="atLeast"/>
          <w:jc w:val="center"/>
        </w:trPr>
        <w:tc>
          <w:tcPr>
            <w:tcW w:w="689"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1</w:t>
            </w:r>
          </w:p>
        </w:tc>
        <w:tc>
          <w:tcPr>
            <w:tcW w:w="4632"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紫外灯管（低压高强灯管，功率：2</w:t>
            </w:r>
            <w:r>
              <w:rPr>
                <w:rFonts w:ascii="仿宋_GB2312" w:hAnsi="宋体" w:eastAsia="仿宋_GB2312" w:cs="宋体"/>
                <w:sz w:val="24"/>
              </w:rPr>
              <w:t>90</w:t>
            </w:r>
            <w:r>
              <w:rPr>
                <w:rFonts w:hint="eastAsia" w:ascii="仿宋_GB2312" w:hAnsi="宋体" w:eastAsia="仿宋_GB2312" w:cs="宋体"/>
                <w:sz w:val="24"/>
              </w:rPr>
              <w:t>W，UV-C输出功率（254nm）：1</w:t>
            </w:r>
            <w:r>
              <w:rPr>
                <w:rFonts w:ascii="仿宋_GB2312" w:hAnsi="宋体" w:eastAsia="仿宋_GB2312" w:cs="宋体"/>
                <w:sz w:val="24"/>
              </w:rPr>
              <w:t>04</w:t>
            </w:r>
            <w:r>
              <w:rPr>
                <w:rFonts w:hint="eastAsia" w:ascii="仿宋_GB2312" w:hAnsi="宋体" w:eastAsia="仿宋_GB2312" w:cs="宋体"/>
                <w:sz w:val="24"/>
              </w:rPr>
              <w:t>W，UV-C输出调节范围：50%-100%）</w:t>
            </w:r>
          </w:p>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（型号为：6103408 WEDECO</w:t>
            </w:r>
          </w:p>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ECORAY UV-Lamp ECORAY ELR30-1）</w:t>
            </w:r>
          </w:p>
        </w:tc>
        <w:tc>
          <w:tcPr>
            <w:tcW w:w="694"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40</w:t>
            </w:r>
          </w:p>
        </w:tc>
        <w:tc>
          <w:tcPr>
            <w:tcW w:w="690"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根</w:t>
            </w:r>
          </w:p>
        </w:tc>
        <w:tc>
          <w:tcPr>
            <w:tcW w:w="2887"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hint="eastAsia" w:ascii="仿宋_GB2312" w:hAnsi="宋体" w:eastAsia="仿宋_GB2312" w:cs="宋体"/>
                <w:sz w:val="24"/>
                <w:lang w:eastAsia="zh-CN"/>
              </w:rPr>
            </w:pPr>
            <w:r>
              <w:rPr>
                <w:rFonts w:hint="eastAsia" w:ascii="仿宋_GB2312" w:hAnsi="宋体" w:eastAsia="仿宋_GB2312" w:cs="宋体"/>
                <w:sz w:val="24"/>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689"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2</w:t>
            </w:r>
          </w:p>
        </w:tc>
        <w:tc>
          <w:tcPr>
            <w:tcW w:w="4632"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镇流板</w:t>
            </w:r>
          </w:p>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 xml:space="preserve">（型号为：Ballast ECORAY TDS 30 C1 dual） </w:t>
            </w:r>
          </w:p>
        </w:tc>
        <w:tc>
          <w:tcPr>
            <w:tcW w:w="694"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5</w:t>
            </w:r>
          </w:p>
        </w:tc>
        <w:tc>
          <w:tcPr>
            <w:tcW w:w="690"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个</w:t>
            </w:r>
          </w:p>
        </w:tc>
        <w:tc>
          <w:tcPr>
            <w:tcW w:w="2887"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hint="eastAsia" w:ascii="仿宋_GB2312" w:hAnsi="宋体" w:eastAsia="仿宋_GB2312" w:cs="宋体"/>
                <w:sz w:val="24"/>
                <w:lang w:eastAsia="zh-CN"/>
              </w:rPr>
            </w:pPr>
            <w:r>
              <w:rPr>
                <w:rFonts w:hint="eastAsia" w:ascii="仿宋_GB2312" w:hAnsi="宋体" w:eastAsia="仿宋_GB2312" w:cs="宋体"/>
                <w:sz w:val="24"/>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689"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3</w:t>
            </w:r>
          </w:p>
        </w:tc>
        <w:tc>
          <w:tcPr>
            <w:tcW w:w="4632"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石英套管模块</w:t>
            </w:r>
          </w:p>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（参数为：Quartz Module 48*2*1537 ）</w:t>
            </w:r>
          </w:p>
        </w:tc>
        <w:tc>
          <w:tcPr>
            <w:tcW w:w="694"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5</w:t>
            </w:r>
          </w:p>
        </w:tc>
        <w:tc>
          <w:tcPr>
            <w:tcW w:w="690"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个</w:t>
            </w:r>
          </w:p>
        </w:tc>
        <w:tc>
          <w:tcPr>
            <w:tcW w:w="2887"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hint="eastAsia" w:ascii="仿宋_GB2312" w:hAnsi="宋体" w:eastAsia="仿宋_GB2312" w:cs="宋体"/>
                <w:sz w:val="24"/>
                <w:lang w:eastAsia="zh-CN"/>
              </w:rPr>
            </w:pPr>
            <w:r>
              <w:rPr>
                <w:rFonts w:hint="eastAsia" w:ascii="仿宋_GB2312" w:hAnsi="宋体" w:eastAsia="仿宋_GB2312" w:cs="宋体"/>
                <w:sz w:val="24"/>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689"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4</w:t>
            </w:r>
          </w:p>
        </w:tc>
        <w:tc>
          <w:tcPr>
            <w:tcW w:w="4632" w:type="dxa"/>
            <w:shd w:val="clear" w:color="FFFFFF" w:fill="FFFFFF"/>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ascii="仿宋_GB2312" w:hAnsi="宋体" w:eastAsia="仿宋_GB2312" w:cs="宋体"/>
                <w:sz w:val="24"/>
              </w:rPr>
            </w:pPr>
            <w:r>
              <w:rPr>
                <w:rFonts w:hint="eastAsia" w:ascii="仿宋_GB2312" w:hAnsi="宋体" w:eastAsia="仿宋_GB2312" w:cs="宋体"/>
                <w:sz w:val="24"/>
              </w:rPr>
              <w:t xml:space="preserve">灯头 </w:t>
            </w:r>
            <w:r>
              <w:rPr>
                <w:rFonts w:ascii="仿宋_GB2312" w:hAnsi="宋体" w:eastAsia="仿宋_GB2312" w:cs="宋体"/>
                <w:sz w:val="24"/>
              </w:rPr>
              <w:t>(</w:t>
            </w:r>
            <w:r>
              <w:rPr>
                <w:rFonts w:hint="eastAsia" w:ascii="仿宋_GB2312" w:hAnsi="宋体" w:eastAsia="仿宋_GB2312" w:cs="宋体"/>
                <w:sz w:val="24"/>
              </w:rPr>
              <w:t>参数为：</w:t>
            </w:r>
            <w:r>
              <w:rPr>
                <w:rFonts w:ascii="仿宋_GB2312" w:hAnsi="宋体" w:eastAsia="仿宋_GB2312" w:cs="宋体"/>
                <w:sz w:val="24"/>
              </w:rPr>
              <w:t>PIN 10)</w:t>
            </w:r>
          </w:p>
        </w:tc>
        <w:tc>
          <w:tcPr>
            <w:tcW w:w="694"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10</w:t>
            </w:r>
          </w:p>
        </w:tc>
        <w:tc>
          <w:tcPr>
            <w:tcW w:w="690"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center"/>
              <w:textAlignment w:val="center"/>
              <w:rPr>
                <w:rFonts w:ascii="仿宋_GB2312" w:hAnsi="宋体" w:eastAsia="仿宋_GB2312" w:cs="宋体"/>
                <w:sz w:val="24"/>
              </w:rPr>
            </w:pPr>
            <w:r>
              <w:rPr>
                <w:rFonts w:hint="eastAsia" w:ascii="仿宋_GB2312" w:hAnsi="宋体" w:eastAsia="仿宋_GB2312" w:cs="宋体"/>
                <w:sz w:val="24"/>
              </w:rPr>
              <w:t>个</w:t>
            </w:r>
          </w:p>
        </w:tc>
        <w:tc>
          <w:tcPr>
            <w:tcW w:w="2887" w:type="dxa"/>
            <w:shd w:val="clear" w:color="FFFFFF" w:fill="FFFFFF"/>
            <w:noWrap/>
            <w:tcMar>
              <w:top w:w="15" w:type="dxa"/>
              <w:left w:w="15" w:type="dxa"/>
              <w:right w:w="15" w:type="dxa"/>
            </w:tcMar>
            <w:vAlign w:val="center"/>
          </w:tcPr>
          <w:p>
            <w:pPr>
              <w:keepNext w:val="0"/>
              <w:keepLines w:val="0"/>
              <w:pageBreakBefore w:val="0"/>
              <w:widowControl/>
              <w:kinsoku/>
              <w:wordWrap/>
              <w:overflowPunct/>
              <w:topLinePunct w:val="0"/>
              <w:bidi w:val="0"/>
              <w:spacing w:line="520" w:lineRule="exact"/>
              <w:jc w:val="left"/>
              <w:textAlignment w:val="center"/>
              <w:rPr>
                <w:rFonts w:hint="eastAsia" w:ascii="仿宋_GB2312" w:hAnsi="宋体" w:eastAsia="仿宋_GB2312" w:cs="宋体"/>
                <w:sz w:val="24"/>
                <w:lang w:eastAsia="zh-CN"/>
              </w:rPr>
            </w:pPr>
            <w:r>
              <w:rPr>
                <w:rFonts w:hint="eastAsia" w:ascii="仿宋_GB2312" w:hAnsi="宋体" w:eastAsia="仿宋_GB2312" w:cs="宋体"/>
                <w:sz w:val="24"/>
                <w:lang w:eastAsia="zh-CN"/>
              </w:rPr>
              <w:t>与原厂产品相匹配且满足技术要求</w:t>
            </w:r>
          </w:p>
        </w:tc>
      </w:tr>
    </w:tbl>
    <w:p>
      <w:pPr>
        <w:keepNext w:val="0"/>
        <w:keepLines w:val="0"/>
        <w:pageBreakBefore w:val="0"/>
        <w:kinsoku/>
        <w:wordWrap/>
        <w:overflowPunct/>
        <w:topLinePunct w:val="0"/>
        <w:autoSpaceDE w:val="0"/>
        <w:autoSpaceDN w:val="0"/>
        <w:bidi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（三）如果因零部件自身原因（兼容性、尺寸等问题）造成无法安装或者安装后设备的性能下降的，</w:t>
      </w:r>
      <w:r>
        <w:rPr>
          <w:rFonts w:hint="eastAsia" w:ascii="仿宋_GB2312" w:hAnsi="仿宋_GB2312" w:eastAsia="仿宋_GB2312" w:cs="仿宋_GB2312"/>
          <w:sz w:val="28"/>
          <w:szCs w:val="28"/>
          <w:lang w:eastAsia="zh-CN"/>
        </w:rPr>
        <w:t>报价人</w:t>
      </w:r>
      <w:r>
        <w:rPr>
          <w:rFonts w:hint="eastAsia" w:ascii="仿宋_GB2312" w:hAnsi="仿宋_GB2312" w:eastAsia="仿宋_GB2312" w:cs="仿宋_GB2312"/>
          <w:sz w:val="28"/>
          <w:szCs w:val="28"/>
        </w:rPr>
        <w:t>负责一周内免费更换。</w:t>
      </w:r>
    </w:p>
    <w:p>
      <w:pPr>
        <w:keepNext w:val="0"/>
        <w:keepLines w:val="0"/>
        <w:pageBreakBefore w:val="0"/>
        <w:kinsoku/>
        <w:wordWrap/>
        <w:overflowPunct/>
        <w:topLinePunct w:val="0"/>
        <w:autoSpaceDE w:val="0"/>
        <w:autoSpaceDN w:val="0"/>
        <w:bidi w:val="0"/>
        <w:spacing w:line="52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四、项目技术要求</w:t>
      </w:r>
    </w:p>
    <w:p>
      <w:pPr>
        <w:keepNext w:val="0"/>
        <w:keepLines w:val="0"/>
        <w:pageBreakBefore w:val="0"/>
        <w:kinsoku/>
        <w:wordWrap/>
        <w:overflowPunct/>
        <w:topLinePunct w:val="0"/>
        <w:autoSpaceDE w:val="0"/>
        <w:autoSpaceDN w:val="0"/>
        <w:bidi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eastAsia="zh-CN"/>
        </w:rPr>
        <w:t>报价人</w:t>
      </w:r>
      <w:r>
        <w:rPr>
          <w:rFonts w:hint="eastAsia" w:ascii="仿宋_GB2312" w:hAnsi="仿宋_GB2312" w:eastAsia="仿宋_GB2312" w:cs="仿宋_GB2312"/>
          <w:sz w:val="28"/>
          <w:szCs w:val="28"/>
        </w:rPr>
        <w:t>必须具备维修设备所用的必要机器设备。对设备的拆卸及安装调试必须满足产品技术说明书和相关技术规范要求。</w:t>
      </w:r>
    </w:p>
    <w:p>
      <w:pPr>
        <w:keepNext w:val="0"/>
        <w:keepLines w:val="0"/>
        <w:pageBreakBefore w:val="0"/>
        <w:kinsoku/>
        <w:wordWrap/>
        <w:overflowPunct/>
        <w:topLinePunct w:val="0"/>
        <w:autoSpaceDE w:val="0"/>
        <w:autoSpaceDN w:val="0"/>
        <w:bidi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在对紫外消毒系统进行的检查后，根据检查结果更换老化的零部件并经</w:t>
      </w:r>
      <w:r>
        <w:rPr>
          <w:rFonts w:hint="eastAsia" w:ascii="仿宋_GB2312" w:hAnsi="仿宋_GB2312" w:eastAsia="仿宋_GB2312" w:cs="仿宋_GB2312"/>
          <w:sz w:val="28"/>
          <w:szCs w:val="28"/>
          <w:lang w:eastAsia="zh-CN"/>
        </w:rPr>
        <w:t>询价人</w:t>
      </w:r>
      <w:r>
        <w:rPr>
          <w:rFonts w:hint="eastAsia" w:ascii="仿宋_GB2312" w:hAnsi="仿宋_GB2312" w:eastAsia="仿宋_GB2312" w:cs="仿宋_GB2312"/>
          <w:sz w:val="28"/>
          <w:szCs w:val="28"/>
        </w:rPr>
        <w:t>书面确认后生效，</w:t>
      </w:r>
      <w:r>
        <w:rPr>
          <w:rFonts w:hint="eastAsia" w:ascii="仿宋_GB2312" w:hAnsi="仿宋_GB2312" w:eastAsia="仿宋_GB2312" w:cs="仿宋_GB2312"/>
          <w:sz w:val="28"/>
          <w:szCs w:val="28"/>
          <w:lang w:eastAsia="zh-CN"/>
        </w:rPr>
        <w:t>询价人</w:t>
      </w:r>
      <w:r>
        <w:rPr>
          <w:rFonts w:hint="eastAsia" w:ascii="仿宋_GB2312" w:hAnsi="仿宋_GB2312" w:eastAsia="仿宋_GB2312" w:cs="仿宋_GB2312"/>
          <w:sz w:val="28"/>
          <w:szCs w:val="28"/>
        </w:rPr>
        <w:t>有权对检查结果提出修正意见，</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必须接受修正意见，因</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失误，在大修保养过程中，发现</w:t>
      </w:r>
      <w:r>
        <w:rPr>
          <w:rFonts w:hint="eastAsia" w:ascii="仿宋_GB2312" w:hAnsi="仿宋_GB2312" w:eastAsia="仿宋_GB2312" w:cs="仿宋_GB2312"/>
          <w:sz w:val="28"/>
          <w:szCs w:val="28"/>
          <w:lang w:eastAsia="zh-CN"/>
        </w:rPr>
        <w:t>询价人</w:t>
      </w:r>
      <w:r>
        <w:rPr>
          <w:rFonts w:hint="eastAsia" w:ascii="仿宋_GB2312" w:hAnsi="仿宋_GB2312" w:eastAsia="仿宋_GB2312" w:cs="仿宋_GB2312"/>
          <w:sz w:val="28"/>
          <w:szCs w:val="28"/>
        </w:rPr>
        <w:t>未定购的需要更换的零部件，</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须以总价包干的方式对需要更换的零部件进行更换，如不更换，在质保期内出现设备紫外消毒系统不能正常运行，影响消毒效果，造成损失由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承担。备件清单中所列需更换的零配件必须</w:t>
      </w:r>
      <w:r>
        <w:rPr>
          <w:rFonts w:hint="eastAsia" w:ascii="仿宋_GB2312" w:hAnsi="仿宋_GB2312" w:eastAsia="仿宋_GB2312" w:cs="仿宋_GB2312"/>
          <w:sz w:val="28"/>
          <w:szCs w:val="28"/>
          <w:highlight w:val="none"/>
          <w:lang w:val="en-US" w:eastAsia="zh-CN"/>
        </w:rPr>
        <w:t>与原厂产品相匹配且满足技术需求</w:t>
      </w:r>
      <w:r>
        <w:rPr>
          <w:rFonts w:hint="eastAsia" w:ascii="仿宋_GB2312" w:hAnsi="仿宋_GB2312" w:eastAsia="仿宋_GB2312" w:cs="仿宋_GB2312"/>
          <w:sz w:val="28"/>
          <w:szCs w:val="28"/>
          <w:highlight w:val="none"/>
        </w:rPr>
        <w:t>。</w:t>
      </w:r>
    </w:p>
    <w:p>
      <w:pPr>
        <w:keepNext w:val="0"/>
        <w:keepLines w:val="0"/>
        <w:pageBreakBefore w:val="0"/>
        <w:kinsoku/>
        <w:wordWrap/>
        <w:overflowPunct/>
        <w:topLinePunct w:val="0"/>
        <w:autoSpaceDE w:val="0"/>
        <w:autoSpaceDN w:val="0"/>
        <w:bidi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（三）工作所需的工具和劳保安全用品由</w:t>
      </w:r>
      <w:r>
        <w:rPr>
          <w:rFonts w:hint="eastAsia" w:ascii="仿宋_GB2312" w:hAnsi="仿宋_GB2312" w:eastAsia="仿宋_GB2312" w:cs="仿宋_GB2312"/>
          <w:sz w:val="28"/>
          <w:szCs w:val="28"/>
          <w:lang w:eastAsia="zh-CN"/>
        </w:rPr>
        <w:t>报价人</w:t>
      </w:r>
      <w:r>
        <w:rPr>
          <w:rFonts w:hint="eastAsia" w:ascii="仿宋_GB2312" w:hAnsi="仿宋_GB2312" w:eastAsia="仿宋_GB2312" w:cs="仿宋_GB2312"/>
          <w:sz w:val="28"/>
          <w:szCs w:val="28"/>
        </w:rPr>
        <w:t>自行解决。</w:t>
      </w:r>
      <w:r>
        <w:rPr>
          <w:rFonts w:hint="eastAsia" w:ascii="仿宋_GB2312" w:hAnsi="仿宋_GB2312" w:eastAsia="仿宋_GB2312" w:cs="仿宋_GB2312"/>
          <w:sz w:val="28"/>
          <w:szCs w:val="28"/>
          <w:lang w:eastAsia="zh-CN"/>
        </w:rPr>
        <w:t>报价人</w:t>
      </w:r>
      <w:r>
        <w:rPr>
          <w:rFonts w:hint="eastAsia" w:ascii="仿宋_GB2312" w:hAnsi="仿宋_GB2312" w:eastAsia="仿宋_GB2312" w:cs="仿宋_GB2312"/>
          <w:sz w:val="28"/>
          <w:szCs w:val="28"/>
        </w:rPr>
        <w:t>提供的备件必须经</w:t>
      </w:r>
      <w:r>
        <w:rPr>
          <w:rFonts w:hint="eastAsia" w:ascii="仿宋_GB2312" w:hAnsi="仿宋_GB2312" w:eastAsia="仿宋_GB2312" w:cs="仿宋_GB2312"/>
          <w:sz w:val="28"/>
          <w:szCs w:val="28"/>
          <w:lang w:eastAsia="zh-CN"/>
        </w:rPr>
        <w:t>询价人</w:t>
      </w:r>
      <w:r>
        <w:rPr>
          <w:rFonts w:hint="eastAsia" w:ascii="仿宋_GB2312" w:hAnsi="仿宋_GB2312" w:eastAsia="仿宋_GB2312" w:cs="仿宋_GB2312"/>
          <w:sz w:val="28"/>
          <w:szCs w:val="28"/>
        </w:rPr>
        <w:t>认可和验收后方可安装。维修安装过程中出现新更换备件的损坏，由</w:t>
      </w:r>
      <w:r>
        <w:rPr>
          <w:rFonts w:hint="eastAsia" w:ascii="仿宋_GB2312" w:hAnsi="仿宋_GB2312" w:eastAsia="仿宋_GB2312" w:cs="仿宋_GB2312"/>
          <w:sz w:val="28"/>
          <w:szCs w:val="28"/>
          <w:lang w:eastAsia="zh-CN"/>
        </w:rPr>
        <w:t>承包人</w:t>
      </w:r>
      <w:r>
        <w:rPr>
          <w:rFonts w:hint="eastAsia" w:ascii="仿宋_GB2312" w:hAnsi="仿宋_GB2312" w:eastAsia="仿宋_GB2312" w:cs="仿宋_GB2312"/>
          <w:sz w:val="28"/>
          <w:szCs w:val="28"/>
        </w:rPr>
        <w:t>负责赔偿。如质保期内新更换的备件损坏，如非使用方的原因，由维修方负责赔偿。</w:t>
      </w:r>
    </w:p>
    <w:p>
      <w:pPr>
        <w:keepNext w:val="0"/>
        <w:keepLines w:val="0"/>
        <w:pageBreakBefore w:val="0"/>
        <w:kinsoku/>
        <w:wordWrap/>
        <w:overflowPunct/>
        <w:topLinePunct w:val="0"/>
        <w:autoSpaceDE w:val="0"/>
        <w:autoSpaceDN w:val="0"/>
        <w:bidi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（四）检查维修完成之后，</w:t>
      </w:r>
      <w:r>
        <w:rPr>
          <w:rFonts w:hint="eastAsia" w:ascii="仿宋_GB2312" w:hAnsi="仿宋_GB2312" w:eastAsia="仿宋_GB2312" w:cs="仿宋_GB2312"/>
          <w:sz w:val="28"/>
          <w:szCs w:val="28"/>
          <w:lang w:eastAsia="zh-CN"/>
        </w:rPr>
        <w:t>报价人</w:t>
      </w:r>
      <w:r>
        <w:rPr>
          <w:rFonts w:hint="eastAsia" w:ascii="仿宋_GB2312" w:hAnsi="仿宋_GB2312" w:eastAsia="仿宋_GB2312" w:cs="仿宋_GB2312"/>
          <w:sz w:val="28"/>
          <w:szCs w:val="28"/>
        </w:rPr>
        <w:t>必须提供维修验收测试报告。调试合格，无故障试运行五天内（系统成功投入运行），且满足分公司出水处理工艺要求，出水粪大肠菌群达标（即测得出现粪大肠菌群均≤500个/L），出具正式的维修报告，维修报告双方签字代表签署后维修完成。</w:t>
      </w:r>
    </w:p>
    <w:p>
      <w:pPr>
        <w:keepNext w:val="0"/>
        <w:keepLines w:val="0"/>
        <w:pageBreakBefore w:val="0"/>
        <w:kinsoku/>
        <w:wordWrap/>
        <w:overflowPunct/>
        <w:topLinePunct w:val="0"/>
        <w:autoSpaceDE w:val="0"/>
        <w:autoSpaceDN w:val="0"/>
        <w:bidi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（五）质保期为自验收合格之日起紫外灯管质保寿命为12000小时，其他零配件</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年。在质保期内出现故障，</w:t>
      </w:r>
      <w:r>
        <w:rPr>
          <w:rFonts w:hint="eastAsia" w:ascii="仿宋_GB2312" w:hAnsi="仿宋_GB2312" w:eastAsia="仿宋_GB2312" w:cs="仿宋_GB2312"/>
          <w:sz w:val="28"/>
          <w:szCs w:val="28"/>
          <w:lang w:val="en-US" w:eastAsia="zh-CN"/>
        </w:rPr>
        <w:t>中选</w:t>
      </w:r>
      <w:r>
        <w:rPr>
          <w:rFonts w:hint="eastAsia" w:ascii="仿宋_GB2312" w:hAnsi="仿宋_GB2312" w:eastAsia="仿宋_GB2312" w:cs="仿宋_GB2312"/>
          <w:sz w:val="28"/>
          <w:szCs w:val="28"/>
        </w:rPr>
        <w:t>人必须二十四小时内响应，进场维修。</w:t>
      </w:r>
    </w:p>
    <w:p>
      <w:pPr>
        <w:keepNext w:val="0"/>
        <w:keepLines w:val="0"/>
        <w:pageBreakBefore w:val="0"/>
        <w:kinsoku/>
        <w:wordWrap/>
        <w:overflowPunct/>
        <w:topLinePunct w:val="0"/>
        <w:autoSpaceDE w:val="0"/>
        <w:autoSpaceDN w:val="0"/>
        <w:bidi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（六）合同工期：</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w:t>
      </w:r>
    </w:p>
    <w:p>
      <w:pPr>
        <w:keepNext w:val="0"/>
        <w:keepLines w:val="0"/>
        <w:pageBreakBefore w:val="0"/>
        <w:kinsoku/>
        <w:wordWrap/>
        <w:overflowPunct/>
        <w:topLinePunct w:val="0"/>
        <w:autoSpaceDE w:val="0"/>
        <w:autoSpaceDN w:val="0"/>
        <w:bidi w:val="0"/>
        <w:spacing w:line="520" w:lineRule="exact"/>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（七）付款方式：</w:t>
      </w:r>
      <w:r>
        <w:rPr>
          <w:rFonts w:hint="eastAsia" w:ascii="仿宋_GB2312" w:hAnsi="仿宋_GB2312" w:eastAsia="仿宋_GB2312" w:cs="仿宋_GB2312"/>
          <w:sz w:val="28"/>
          <w:szCs w:val="28"/>
          <w:lang w:val="zh-CN"/>
        </w:rPr>
        <w:t>按合同范本</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val="0"/>
        <w:autoSpaceDN w:val="0"/>
        <w:bidi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（八）总包及分包规定：不允许分包、转包。</w:t>
      </w:r>
    </w:p>
    <w:p>
      <w:pPr>
        <w:keepNext w:val="0"/>
        <w:keepLines w:val="0"/>
        <w:pageBreakBefore w:val="0"/>
        <w:tabs>
          <w:tab w:val="center" w:pos="5156"/>
        </w:tabs>
        <w:kinsoku/>
        <w:wordWrap/>
        <w:overflowPunct/>
        <w:topLinePunct w:val="0"/>
        <w:autoSpaceDE w:val="0"/>
        <w:autoSpaceDN w:val="0"/>
        <w:bidi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（九）承包方式：包工、包料、包工期、包质量、包安全、包文明施工。综合单价包干。</w:t>
      </w:r>
    </w:p>
    <w:p>
      <w:pPr>
        <w:pStyle w:val="12"/>
        <w:adjustRightInd w:val="0"/>
        <w:snapToGrid w:val="0"/>
        <w:spacing w:line="300" w:lineRule="auto"/>
        <w:rPr>
          <w:rFonts w:ascii="仿宋_GB2312" w:hAnsi="仿宋_GB2312" w:eastAsia="仿宋_GB2312" w:cs="仿宋_GB2312"/>
          <w:b/>
          <w:sz w:val="28"/>
          <w:szCs w:val="28"/>
          <w:lang w:val="zh-CN"/>
        </w:rPr>
      </w:pPr>
    </w:p>
    <w:p>
      <w:pPr>
        <w:pStyle w:val="12"/>
        <w:adjustRightInd w:val="0"/>
        <w:snapToGrid w:val="0"/>
        <w:spacing w:line="300" w:lineRule="auto"/>
        <w:rPr>
          <w:rFonts w:ascii="仿宋_GB2312" w:hAnsi="仿宋_GB2312" w:eastAsia="仿宋_GB2312" w:cs="仿宋_GB2312"/>
          <w:b/>
          <w:sz w:val="28"/>
          <w:szCs w:val="28"/>
          <w:lang w:val="zh-CN"/>
        </w:rPr>
      </w:pPr>
    </w:p>
    <w:p>
      <w:pPr>
        <w:pStyle w:val="12"/>
        <w:adjustRightInd w:val="0"/>
        <w:snapToGrid w:val="0"/>
        <w:spacing w:line="300" w:lineRule="auto"/>
        <w:rPr>
          <w:rFonts w:ascii="仿宋_GB2312" w:hAnsi="仿宋_GB2312" w:eastAsia="仿宋_GB2312" w:cs="仿宋_GB2312"/>
          <w:b/>
          <w:sz w:val="28"/>
          <w:szCs w:val="28"/>
          <w:lang w:val="zh-CN"/>
        </w:rPr>
      </w:pPr>
    </w:p>
    <w:p>
      <w:pPr>
        <w:pStyle w:val="12"/>
        <w:adjustRightInd w:val="0"/>
        <w:snapToGrid w:val="0"/>
        <w:spacing w:line="300" w:lineRule="auto"/>
        <w:rPr>
          <w:rFonts w:ascii="仿宋_GB2312" w:hAnsi="仿宋_GB2312" w:eastAsia="仿宋_GB2312" w:cs="仿宋_GB2312"/>
          <w:b/>
          <w:sz w:val="28"/>
          <w:szCs w:val="28"/>
          <w:lang w:val="zh-CN"/>
        </w:rPr>
      </w:pPr>
    </w:p>
    <w:p>
      <w:pPr>
        <w:pStyle w:val="12"/>
        <w:adjustRightInd w:val="0"/>
        <w:snapToGrid w:val="0"/>
        <w:spacing w:line="300" w:lineRule="auto"/>
        <w:rPr>
          <w:rFonts w:ascii="仿宋_GB2312" w:hAnsi="仿宋_GB2312" w:eastAsia="仿宋_GB2312" w:cs="仿宋_GB2312"/>
          <w:b/>
          <w:sz w:val="28"/>
          <w:szCs w:val="28"/>
          <w:lang w:val="zh-CN"/>
        </w:rPr>
      </w:pPr>
    </w:p>
    <w:p>
      <w:pPr>
        <w:pStyle w:val="12"/>
        <w:numPr>
          <w:ilvl w:val="0"/>
          <w:numId w:val="4"/>
        </w:numPr>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报价须知</w:t>
      </w:r>
    </w:p>
    <w:p>
      <w:pPr>
        <w:pStyle w:val="12"/>
        <w:adjustRightInd w:val="0"/>
        <w:snapToGrid w:val="0"/>
        <w:spacing w:line="300" w:lineRule="auto"/>
        <w:rPr>
          <w:rFonts w:ascii="仿宋_GB2312" w:eastAsia="仿宋_GB2312" w:cs="仿宋_GB2312"/>
          <w:b/>
          <w:color w:val="000000"/>
          <w:sz w:val="28"/>
          <w:szCs w:val="28"/>
        </w:rPr>
      </w:pPr>
      <w:r>
        <w:rPr>
          <w:rFonts w:hint="eastAsia" w:ascii="仿宋_GB2312" w:eastAsia="仿宋_GB2312" w:cs="仿宋_GB2312"/>
          <w:b/>
          <w:color w:val="000000"/>
          <w:sz w:val="28"/>
          <w:szCs w:val="28"/>
        </w:rPr>
        <w:t>一、概念释义</w:t>
      </w:r>
    </w:p>
    <w:p>
      <w:pPr>
        <w:pStyle w:val="12"/>
        <w:adjustRightInd w:val="0"/>
        <w:snapToGrid w:val="0"/>
        <w:spacing w:line="300" w:lineRule="auto"/>
        <w:ind w:left="560" w:hanging="560" w:hangingChars="200"/>
        <w:rPr>
          <w:rFonts w:ascii="仿宋_GB2312" w:eastAsia="仿宋_GB2312" w:cs="仿宋_GB2312"/>
          <w:color w:val="000000"/>
          <w:sz w:val="28"/>
          <w:szCs w:val="28"/>
        </w:rPr>
      </w:pPr>
      <w:r>
        <w:rPr>
          <w:rFonts w:hint="eastAsia" w:ascii="仿宋_GB2312" w:eastAsia="仿宋_GB2312" w:cs="仿宋_GB2312"/>
          <w:color w:val="000000"/>
          <w:sz w:val="28"/>
          <w:szCs w:val="28"/>
        </w:rPr>
        <w:t>1.“询价人”是指：</w:t>
      </w:r>
      <w:r>
        <w:rPr>
          <w:rFonts w:hint="eastAsia" w:ascii="仿宋_GB2312" w:eastAsia="仿宋_GB2312" w:cs="仿宋_GB2312"/>
          <w:color w:val="000000"/>
          <w:sz w:val="28"/>
          <w:szCs w:val="28"/>
          <w:u w:val="single"/>
        </w:rPr>
        <w:t>广州市净水有限公司</w:t>
      </w:r>
      <w:r>
        <w:rPr>
          <w:rFonts w:hint="eastAsia" w:ascii="仿宋_GB2312" w:eastAsia="仿宋_GB2312" w:cs="仿宋_GB2312"/>
          <w:color w:val="000000"/>
          <w:sz w:val="28"/>
          <w:szCs w:val="28"/>
        </w:rPr>
        <w:t>。</w:t>
      </w:r>
    </w:p>
    <w:p>
      <w:pPr>
        <w:pStyle w:val="12"/>
        <w:tabs>
          <w:tab w:val="left" w:pos="360"/>
        </w:tabs>
        <w:adjustRightInd w:val="0"/>
        <w:snapToGrid w:val="0"/>
        <w:spacing w:line="300" w:lineRule="auto"/>
        <w:ind w:left="560" w:hanging="560" w:hangingChars="200"/>
        <w:rPr>
          <w:rFonts w:ascii="仿宋_GB2312" w:eastAsia="仿宋_GB2312" w:cs="仿宋_GB2312"/>
          <w:color w:val="000000"/>
          <w:kern w:val="0"/>
          <w:sz w:val="28"/>
          <w:szCs w:val="28"/>
        </w:rPr>
      </w:pPr>
      <w:r>
        <w:rPr>
          <w:rFonts w:hint="eastAsia" w:ascii="仿宋_GB2312" w:eastAsia="仿宋_GB2312" w:cs="仿宋_GB2312"/>
          <w:color w:val="000000"/>
          <w:sz w:val="28"/>
          <w:szCs w:val="28"/>
        </w:rPr>
        <w:t>2.合格的报价单位:</w:t>
      </w:r>
      <w:r>
        <w:rPr>
          <w:rFonts w:hint="eastAsia" w:ascii="仿宋_GB2312" w:eastAsia="仿宋_GB2312" w:cs="仿宋_GB2312"/>
          <w:color w:val="000000"/>
          <w:kern w:val="0"/>
          <w:sz w:val="28"/>
          <w:szCs w:val="28"/>
        </w:rPr>
        <w:t>符合询价文件规定资格</w:t>
      </w:r>
      <w:r>
        <w:rPr>
          <w:rFonts w:hint="eastAsia" w:ascii="仿宋_GB2312" w:eastAsia="仿宋_GB2312" w:cs="仿宋_GB2312"/>
          <w:color w:val="000000"/>
          <w:sz w:val="28"/>
          <w:szCs w:val="28"/>
          <w:lang w:val="zh-CN"/>
        </w:rPr>
        <w:t>要求</w:t>
      </w:r>
      <w:r>
        <w:rPr>
          <w:rFonts w:hint="eastAsia" w:ascii="仿宋_GB2312" w:eastAsia="仿宋_GB2312" w:cs="仿宋_GB2312"/>
          <w:color w:val="000000"/>
          <w:kern w:val="0"/>
          <w:sz w:val="28"/>
          <w:szCs w:val="28"/>
        </w:rPr>
        <w:t>的报价单位。</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3.“承包人”是指经法定程序确认并授以合同的报价单位。</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4. 合格的工程：满足国家相关法律、法规、规章等规定，并符合本项目相关质量要求、安全文明施工要求的工程。</w:t>
      </w:r>
    </w:p>
    <w:p>
      <w:pPr>
        <w:pStyle w:val="12"/>
        <w:adjustRightInd w:val="0"/>
        <w:snapToGrid w:val="0"/>
        <w:spacing w:line="300" w:lineRule="auto"/>
        <w:ind w:left="420" w:hanging="420"/>
        <w:rPr>
          <w:rFonts w:ascii="仿宋_GB2312" w:eastAsia="仿宋_GB2312" w:cs="仿宋_GB2312"/>
          <w:b/>
          <w:color w:val="000000"/>
          <w:sz w:val="28"/>
          <w:szCs w:val="28"/>
        </w:rPr>
      </w:pPr>
      <w:r>
        <w:rPr>
          <w:rFonts w:hint="eastAsia" w:ascii="仿宋_GB2312" w:eastAsia="仿宋_GB2312" w:cs="仿宋_GB2312"/>
          <w:b/>
          <w:color w:val="000000"/>
          <w:sz w:val="28"/>
          <w:szCs w:val="28"/>
        </w:rPr>
        <w:t>二、询价文件</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5．适用范围:本询价文件适用于本报价邀请中所述项目的询价。</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6. 询价文件的构成</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6.1询价文件包括但不限于下列文件:</w:t>
      </w:r>
    </w:p>
    <w:p>
      <w:pPr>
        <w:pStyle w:val="12"/>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1)报价邀请函</w:t>
      </w:r>
    </w:p>
    <w:p>
      <w:pPr>
        <w:pStyle w:val="12"/>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2) 项目内容</w:t>
      </w:r>
    </w:p>
    <w:p>
      <w:pPr>
        <w:pStyle w:val="12"/>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3) 报价单位须知</w:t>
      </w:r>
    </w:p>
    <w:p>
      <w:pPr>
        <w:pStyle w:val="12"/>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4) 合同书格式</w:t>
      </w:r>
    </w:p>
    <w:p>
      <w:pPr>
        <w:pStyle w:val="12"/>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5) 询价响应文件格式</w:t>
      </w:r>
    </w:p>
    <w:p>
      <w:pPr>
        <w:pStyle w:val="12"/>
        <w:adjustRightInd w:val="0"/>
        <w:snapToGrid w:val="0"/>
        <w:spacing w:line="300" w:lineRule="auto"/>
        <w:ind w:firstLine="360"/>
        <w:rPr>
          <w:rFonts w:ascii="仿宋_GB2312" w:eastAsia="仿宋_GB2312" w:cs="仿宋_GB2312"/>
          <w:color w:val="000000"/>
          <w:sz w:val="28"/>
          <w:szCs w:val="28"/>
        </w:rPr>
      </w:pPr>
      <w:r>
        <w:rPr>
          <w:rFonts w:hint="eastAsia" w:ascii="仿宋_GB2312" w:eastAsia="仿宋_GB2312" w:cs="仿宋_GB2312"/>
          <w:color w:val="000000"/>
          <w:sz w:val="28"/>
          <w:szCs w:val="28"/>
        </w:rPr>
        <w:t>6) 在询价过程中由询价人发出的修正和补充文件等</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7. 询价文件的澄清或修改</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7.2任何要求对询价文件进行澄清的报价单位，均应以书面形式通知询价人。询价人对其收到的书面的对询价文件的澄清要求均以书面形式</w:t>
      </w:r>
      <w:r>
        <w:rPr>
          <w:rFonts w:hint="eastAsia" w:ascii="仿宋" w:eastAsia="仿宋" w:cs="仿宋_GB2312"/>
          <w:color w:val="000000"/>
          <w:sz w:val="28"/>
          <w:szCs w:val="28"/>
        </w:rPr>
        <w:t>予以答复</w:t>
      </w:r>
      <w:r>
        <w:rPr>
          <w:rFonts w:hint="eastAsia" w:ascii="仿宋_GB2312" w:eastAsia="仿宋_GB2312" w:cs="仿宋_GB2312"/>
          <w:color w:val="000000"/>
          <w:sz w:val="28"/>
          <w:szCs w:val="28"/>
        </w:rPr>
        <w:t>或以净水公司门户网站公告的形式发布，（答复中不包括问题的来源）。报价单位在收到上述答复后，应立即向询价人回函确认，该答复作为询价文件的一部分，对报价单位有约束力。</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７.3询价文件的修改或澄清将以书面形式通知所有购买询价文件的报价单位或以净水公司门户网站公告的形式发布，并对其具有约束力。报价单位在收到上述通知后，应立即向询价人回函确认。</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7.4询价人可以视询价具体情况，延长递交询价响应文件截止时间，并将变更时间以书面形式通知所有询价文件收受人或以净水公司门户网站公告的形式发布。</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7.5 书面形式包括但不限于以纸质、电子邮件、门户网站信息公告等形式。</w:t>
      </w:r>
    </w:p>
    <w:p>
      <w:pPr>
        <w:pStyle w:val="12"/>
        <w:adjustRightInd w:val="0"/>
        <w:snapToGrid w:val="0"/>
        <w:spacing w:line="300" w:lineRule="auto"/>
        <w:rPr>
          <w:rFonts w:ascii="仿宋_GB2312" w:eastAsia="仿宋_GB2312" w:cs="仿宋_GB2312"/>
          <w:b/>
          <w:color w:val="000000"/>
          <w:sz w:val="28"/>
          <w:szCs w:val="28"/>
        </w:rPr>
      </w:pPr>
      <w:r>
        <w:rPr>
          <w:rFonts w:hint="eastAsia" w:ascii="仿宋_GB2312" w:eastAsia="仿宋_GB2312" w:cs="仿宋_GB2312"/>
          <w:b/>
          <w:color w:val="000000"/>
          <w:sz w:val="28"/>
          <w:szCs w:val="28"/>
        </w:rPr>
        <w:t>三、询价响应文件的编制和数量</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8．询价响应费用</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8.1 报价单位应承担所有与准备和参加询价响应有关的费用。不论询价的结果如何，询价人均无义务和责任承担这些费用。</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9．报价的语言及计量</w:t>
      </w:r>
    </w:p>
    <w:p>
      <w:pPr>
        <w:pStyle w:val="12"/>
        <w:adjustRightInd w:val="0"/>
        <w:snapToGrid w:val="0"/>
        <w:spacing w:line="300" w:lineRule="auto"/>
        <w:ind w:left="360" w:hanging="360"/>
        <w:rPr>
          <w:rFonts w:ascii="仿宋_GB2312" w:eastAsia="仿宋_GB2312" w:cs="仿宋_GB2312"/>
          <w:color w:val="000000"/>
          <w:sz w:val="28"/>
          <w:szCs w:val="28"/>
        </w:rPr>
      </w:pPr>
      <w:r>
        <w:rPr>
          <w:rFonts w:hint="eastAsia" w:ascii="仿宋_GB2312" w:eastAsia="仿宋_GB2312" w:cs="仿宋_GB2312"/>
          <w:color w:val="000000"/>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ascii="仿宋_GB2312" w:eastAsia="仿宋_GB2312" w:cs="仿宋_GB2312"/>
          <w:color w:val="000000"/>
          <w:sz w:val="28"/>
          <w:szCs w:val="28"/>
        </w:rPr>
      </w:pPr>
      <w:r>
        <w:rPr>
          <w:rFonts w:hint="eastAsia" w:ascii="仿宋_GB2312" w:eastAsia="仿宋_GB2312" w:cs="仿宋_GB2312"/>
          <w:color w:val="000000"/>
          <w:sz w:val="28"/>
          <w:szCs w:val="28"/>
        </w:rPr>
        <w:t>9.2除非询价文件中另有规定，报价单位在询价响应文件中及其与询价人的所有往来文件中的计量单位均应采用中华人民共和国法定计量单位。</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10．询价响应文件的构成</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10.1报价单位编制的询价响应文件应包括但不少于本询价文件第四章《询价响应文件格式》的所有内容。</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11. 询价响应文件编制</w:t>
      </w:r>
    </w:p>
    <w:p>
      <w:pPr>
        <w:spacing w:line="300" w:lineRule="auto"/>
        <w:ind w:left="630" w:hanging="630" w:hangingChars="225"/>
        <w:rPr>
          <w:rFonts w:ascii="仿宋_GB2312" w:eastAsia="仿宋_GB2312" w:cs="仿宋_GB2312"/>
          <w:color w:val="000000"/>
          <w:sz w:val="28"/>
          <w:szCs w:val="28"/>
        </w:rPr>
      </w:pPr>
      <w:r>
        <w:rPr>
          <w:rFonts w:hint="eastAsia" w:ascii="仿宋_GB2312" w:eastAsia="仿宋_GB2312" w:cs="仿宋_GB2312"/>
          <w:color w:val="000000"/>
          <w:sz w:val="28"/>
          <w:szCs w:val="28"/>
        </w:rPr>
        <w:t>11.1报价单位应按响应文件格式编制询价响应文件。</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11.3如果因为报价单位询价响应文件填报的内容不详，或没有提供询价文件中所要求的全部资料及数据，由此造成的后果，其责任由报价单位承担。</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12. 报价</w:t>
      </w:r>
    </w:p>
    <w:p>
      <w:pPr>
        <w:autoSpaceDE w:val="0"/>
        <w:autoSpaceDN w:val="0"/>
        <w:adjustRightInd w:val="0"/>
        <w:snapToGrid w:val="0"/>
        <w:spacing w:line="300" w:lineRule="auto"/>
        <w:ind w:left="560" w:right="-148" w:hanging="560" w:hangingChars="200"/>
        <w:rPr>
          <w:rFonts w:ascii="仿宋_GB2312" w:eastAsia="仿宋_GB2312" w:cs="仿宋_GB2312"/>
          <w:color w:val="000000"/>
          <w:sz w:val="28"/>
          <w:szCs w:val="28"/>
        </w:rPr>
      </w:pPr>
      <w:r>
        <w:rPr>
          <w:rFonts w:hint="eastAsia" w:ascii="仿宋_GB2312" w:eastAsia="仿宋_GB2312"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eastAsia="仿宋_GB2312" w:cs="仿宋_GB2312"/>
          <w:color w:val="000000"/>
          <w:sz w:val="28"/>
          <w:szCs w:val="28"/>
        </w:rPr>
      </w:pPr>
      <w:r>
        <w:rPr>
          <w:rFonts w:hint="eastAsia" w:ascii="仿宋_GB2312" w:eastAsia="仿宋_GB2312"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12.3任何有选择性报价的报价，将被视为无效报价。</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12.4报价人不得存在以下情形之一：</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（1）与询价人存在利害关系且可能影响询价公正性；</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（2）法定代表人或单位负责人为同一个人或者存在控股、管理关系的不同单位,同时参加同一项目或同一子项目；</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（3）为本询价项目提供过设计、编制技术规范和其他文件的咨询服务；</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（4）被依法暂停或者取消投标资格；</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（5）被责令停产停业、暂扣或者吊销许可证、暂扣或者吊销执照；</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（6）进入清算程序，或被宣告破产，或其他丧失履约能力的情形；</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（7）在参加本项目前3年内在存在重大违法记录；</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（8）被“全国企业信用信息公示系统”（网址：http://www.gsxt.gov.cn/）列入经营异常名录和严重违法企业名单；</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（9）被《信用中国》网站（www.creditchina.gov.cn）公示存在不良信用记录；</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 xml:space="preserve">（10）本项目截止时间前的半年中，在询价人组织的招标、询价活动中有被查实提供虚假材料的。 </w:t>
      </w:r>
    </w:p>
    <w:p>
      <w:pPr>
        <w:pStyle w:val="12"/>
        <w:adjustRightInd w:val="0"/>
        <w:snapToGrid w:val="0"/>
        <w:spacing w:line="300" w:lineRule="auto"/>
        <w:ind w:left="562" w:leftChars="1" w:hanging="560" w:hangingChars="200"/>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13. 不接受联合体报价。</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14. 报价单位资格证明文件</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14.1报价单位应按询价文件的要求，提交证明其有资格参加询价和成交后有履行合同能力的文件，并作为其询价响应文件的组成部分，内容详见询价文件第四章《询价响应文件格式》中的“资格证明文件”。</w:t>
      </w:r>
    </w:p>
    <w:p>
      <w:pPr>
        <w:pStyle w:val="12"/>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14.2资格证明文件必须真实有效，复印件必须加盖单位印章。</w:t>
      </w:r>
    </w:p>
    <w:p>
      <w:pPr>
        <w:pStyle w:val="12"/>
        <w:adjustRightInd w:val="0"/>
        <w:snapToGrid w:val="0"/>
        <w:spacing w:line="300" w:lineRule="auto"/>
        <w:rPr>
          <w:rFonts w:ascii="仿宋_GB2312" w:eastAsia="仿宋_GB2312" w:cs="仿宋_GB2312"/>
          <w:color w:val="000000"/>
          <w:sz w:val="28"/>
          <w:szCs w:val="28"/>
        </w:rPr>
      </w:pPr>
      <w:r>
        <w:rPr>
          <w:rFonts w:hint="eastAsia" w:ascii="仿宋_GB2312" w:eastAsia="仿宋_GB2312" w:cs="仿宋_GB2312"/>
          <w:color w:val="000000"/>
          <w:sz w:val="28"/>
          <w:szCs w:val="28"/>
        </w:rPr>
        <w:t>15. 报价有效期</w:t>
      </w:r>
    </w:p>
    <w:p>
      <w:pPr>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15.1询价响应文件应在</w:t>
      </w:r>
      <w:r>
        <w:rPr>
          <w:rFonts w:hint="eastAsia" w:ascii="仿宋" w:eastAsia="仿宋" w:cs="仿宋_GB2312"/>
          <w:color w:val="000000"/>
          <w:sz w:val="28"/>
          <w:szCs w:val="28"/>
        </w:rPr>
        <w:t>递交响应文件截止时间</w:t>
      </w:r>
      <w:r>
        <w:rPr>
          <w:rFonts w:hint="eastAsia" w:ascii="仿宋_GB2312" w:eastAsia="仿宋_GB2312" w:cs="仿宋_GB2312"/>
          <w:color w:val="000000"/>
          <w:sz w:val="28"/>
          <w:szCs w:val="28"/>
        </w:rPr>
        <w:t>起</w:t>
      </w:r>
      <w:r>
        <w:rPr>
          <w:rFonts w:hint="eastAsia" w:ascii="仿宋_GB2312" w:eastAsia="仿宋_GB2312" w:cs="仿宋_GB2312"/>
          <w:color w:val="000000"/>
          <w:sz w:val="28"/>
          <w:szCs w:val="28"/>
          <w:u w:val="single"/>
        </w:rPr>
        <w:t>90</w:t>
      </w:r>
      <w:r>
        <w:rPr>
          <w:rFonts w:hint="eastAsia" w:ascii="仿宋_GB2312" w:eastAsia="仿宋_GB2312"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_GB2312" w:eastAsia="仿宋_GB2312" w:cs="仿宋_GB2312"/>
          <w:color w:val="000000"/>
          <w:sz w:val="28"/>
          <w:szCs w:val="28"/>
        </w:rPr>
      </w:pPr>
      <w:r>
        <w:rPr>
          <w:rFonts w:hint="eastAsia" w:ascii="仿宋_GB2312" w:eastAsia="仿宋_GB2312" w:cs="仿宋_GB2312"/>
          <w:color w:val="000000"/>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eastAsia="仿宋_GB2312" w:cs="仿宋_GB2312"/>
          <w:color w:val="000000"/>
          <w:sz w:val="28"/>
          <w:szCs w:val="28"/>
        </w:rPr>
      </w:pPr>
      <w:r>
        <w:rPr>
          <w:rFonts w:hint="eastAsia" w:ascii="仿宋_GB2312" w:eastAsia="仿宋_GB2312" w:cs="仿宋_GB2312"/>
          <w:color w:val="000000"/>
          <w:sz w:val="28"/>
          <w:szCs w:val="28"/>
        </w:rPr>
        <w:t>16. 询价响应文件的数量和签署</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16.1 报价单位应编制询价响应文件一式</w:t>
      </w:r>
      <w:r>
        <w:rPr>
          <w:rFonts w:hint="eastAsia" w:ascii="仿宋_GB2312" w:eastAsia="仿宋_GB2312" w:cs="仿宋_GB2312"/>
          <w:color w:val="000000"/>
          <w:kern w:val="0"/>
          <w:sz w:val="28"/>
          <w:szCs w:val="28"/>
          <w:u w:val="single"/>
        </w:rPr>
        <w:t>2</w:t>
      </w:r>
      <w:r>
        <w:rPr>
          <w:rFonts w:hint="eastAsia" w:ascii="仿宋_GB2312" w:eastAsia="仿宋_GB2312" w:cs="仿宋_GB2312"/>
          <w:color w:val="000000"/>
          <w:kern w:val="0"/>
          <w:sz w:val="28"/>
          <w:szCs w:val="28"/>
        </w:rPr>
        <w:t>份，其中正本一份和副本</w:t>
      </w:r>
      <w:r>
        <w:rPr>
          <w:rFonts w:hint="eastAsia" w:ascii="仿宋_GB2312" w:eastAsia="仿宋_GB2312" w:cs="仿宋_GB2312"/>
          <w:color w:val="000000"/>
          <w:kern w:val="0"/>
          <w:sz w:val="28"/>
          <w:szCs w:val="28"/>
          <w:u w:val="single"/>
        </w:rPr>
        <w:t>各一</w:t>
      </w:r>
      <w:r>
        <w:rPr>
          <w:rFonts w:hint="eastAsia" w:ascii="仿宋_GB2312" w:eastAsia="仿宋_GB2312"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16.3 询价响应文件中的任何重要的插字、涂改和增删，必须由法定代表人或经其正式授权的代表在旁边签字或盖私章才有效。</w:t>
      </w:r>
    </w:p>
    <w:p>
      <w:pPr>
        <w:pStyle w:val="12"/>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eastAsia="仿宋_GB2312" w:cs="仿宋_GB2312"/>
          <w:b/>
          <w:color w:val="000000"/>
          <w:sz w:val="28"/>
          <w:szCs w:val="28"/>
        </w:rPr>
      </w:pPr>
      <w:r>
        <w:rPr>
          <w:rFonts w:hint="eastAsia" w:ascii="仿宋_GB2312" w:eastAsia="仿宋_GB2312" w:cs="仿宋_GB2312"/>
          <w:b/>
          <w:color w:val="000000"/>
          <w:sz w:val="28"/>
          <w:szCs w:val="28"/>
        </w:rPr>
        <w:t>四、询价响应文件的递交</w:t>
      </w:r>
    </w:p>
    <w:p>
      <w:pPr>
        <w:autoSpaceDE w:val="0"/>
        <w:autoSpaceDN w:val="0"/>
        <w:adjustRightInd w:val="0"/>
        <w:snapToGrid w:val="0"/>
        <w:spacing w:line="300" w:lineRule="auto"/>
        <w:ind w:left="560" w:right="32" w:hanging="560" w:hangingChars="200"/>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17. 询价响应文件的密封和标记</w:t>
      </w:r>
    </w:p>
    <w:p>
      <w:pPr>
        <w:pStyle w:val="12"/>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17.1报价单位应将询价响应文件正本和副本用单独的信封密封，注明“正本”或“副本”字样。</w:t>
      </w:r>
    </w:p>
    <w:p>
      <w:pPr>
        <w:pStyle w:val="12"/>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17.2每一密封信封均应：</w:t>
      </w:r>
    </w:p>
    <w:p>
      <w:pPr>
        <w:pStyle w:val="12"/>
        <w:adjustRightInd w:val="0"/>
        <w:snapToGrid w:val="0"/>
        <w:spacing w:line="300" w:lineRule="auto"/>
        <w:ind w:left="1439" w:leftChars="343" w:hanging="719" w:hangingChars="257"/>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（1）标明项目编号、项目名称，并注明“正本”或“副本”字样；</w:t>
      </w:r>
    </w:p>
    <w:p>
      <w:pPr>
        <w:pStyle w:val="12"/>
        <w:adjustRightInd w:val="0"/>
        <w:snapToGrid w:val="0"/>
        <w:spacing w:line="300" w:lineRule="auto"/>
        <w:ind w:left="1439" w:leftChars="343" w:hanging="719" w:hangingChars="257"/>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（2）注明“于（递交询价响应文件截止时间）之前不准启封”的字样。</w:t>
      </w:r>
    </w:p>
    <w:p>
      <w:pPr>
        <w:pStyle w:val="12"/>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17.3如果信封未按本须知第17.1条和第17.2条要求密封的，询价人对误投或过早启封概不负责。</w:t>
      </w:r>
    </w:p>
    <w:p>
      <w:pPr>
        <w:pStyle w:val="12"/>
        <w:adjustRightInd w:val="0"/>
        <w:snapToGrid w:val="0"/>
        <w:spacing w:line="300"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eastAsia="仿宋_GB2312" w:cs="仿宋_GB2312"/>
          <w:color w:val="000000"/>
          <w:sz w:val="28"/>
          <w:szCs w:val="28"/>
        </w:rPr>
      </w:pPr>
      <w:r>
        <w:rPr>
          <w:rFonts w:hint="eastAsia" w:ascii="仿宋_GB2312" w:eastAsia="仿宋_GB2312" w:cs="仿宋_GB2312"/>
          <w:color w:val="000000"/>
          <w:sz w:val="28"/>
          <w:szCs w:val="28"/>
        </w:rPr>
        <w:t>18. 询价响应文件递交截止时间</w:t>
      </w:r>
    </w:p>
    <w:p>
      <w:pPr>
        <w:pStyle w:val="12"/>
        <w:adjustRightInd w:val="0"/>
        <w:snapToGrid w:val="0"/>
        <w:spacing w:line="264"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18.1询价人在《报价邀请函》中规定的地点和递交询价响应文件截止时间之前接收询价响应文件，超过截止时点后的询价响应文件将被拒绝。</w:t>
      </w:r>
    </w:p>
    <w:p>
      <w:pPr>
        <w:pStyle w:val="12"/>
        <w:adjustRightInd w:val="0"/>
        <w:snapToGrid w:val="0"/>
        <w:spacing w:line="264"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2"/>
        <w:adjustRightInd w:val="0"/>
        <w:snapToGrid w:val="0"/>
        <w:spacing w:line="264" w:lineRule="auto"/>
        <w:ind w:right="32"/>
        <w:rPr>
          <w:rFonts w:ascii="仿宋_GB2312" w:eastAsia="仿宋_GB2312" w:cs="仿宋_GB2312"/>
          <w:color w:val="000000"/>
          <w:sz w:val="28"/>
          <w:szCs w:val="28"/>
        </w:rPr>
      </w:pPr>
      <w:r>
        <w:rPr>
          <w:rFonts w:hint="eastAsia" w:ascii="仿宋_GB2312" w:eastAsia="仿宋_GB2312" w:cs="仿宋_GB2312"/>
          <w:color w:val="000000"/>
          <w:sz w:val="28"/>
          <w:szCs w:val="28"/>
        </w:rPr>
        <w:t>19. 询价响应文件的修改和撤回</w:t>
      </w:r>
    </w:p>
    <w:p>
      <w:pPr>
        <w:pStyle w:val="12"/>
        <w:adjustRightInd w:val="0"/>
        <w:snapToGrid w:val="0"/>
        <w:spacing w:line="264" w:lineRule="auto"/>
        <w:ind w:left="630"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264" w:lineRule="auto"/>
        <w:ind w:left="700" w:right="32" w:hanging="700" w:hangingChars="250"/>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19.2 报价单位在递交询价响应文件后，可以撤回其报价，但报价单位必须在规定的询价响应文件递交截止时间前以书面形式告知</w:t>
      </w:r>
      <w:r>
        <w:rPr>
          <w:rFonts w:hint="eastAsia" w:ascii="仿宋_GB2312" w:eastAsia="仿宋_GB2312" w:cs="仿宋_GB2312"/>
          <w:color w:val="000000"/>
          <w:sz w:val="28"/>
          <w:szCs w:val="28"/>
          <w:u w:val="single"/>
        </w:rPr>
        <w:t>（询价人）</w:t>
      </w:r>
      <w:r>
        <w:rPr>
          <w:rFonts w:hint="eastAsia" w:ascii="仿宋_GB2312" w:eastAsia="仿宋_GB2312" w:cs="仿宋_GB2312"/>
          <w:color w:val="000000"/>
          <w:kern w:val="0"/>
          <w:sz w:val="28"/>
          <w:szCs w:val="28"/>
        </w:rPr>
        <w:t>。从询价响应文件递交截止时间至报价单位承诺的报价有效期内，报价单位不得撤回其报价。</w:t>
      </w:r>
    </w:p>
    <w:p>
      <w:pPr>
        <w:pStyle w:val="12"/>
        <w:adjustRightInd w:val="0"/>
        <w:snapToGrid w:val="0"/>
        <w:spacing w:line="264" w:lineRule="auto"/>
        <w:ind w:left="420" w:right="32" w:hanging="420"/>
        <w:rPr>
          <w:rFonts w:ascii="仿宋_GB2312" w:eastAsia="仿宋_GB2312" w:cs="仿宋_GB2312"/>
          <w:color w:val="000000"/>
          <w:sz w:val="28"/>
          <w:szCs w:val="28"/>
        </w:rPr>
      </w:pPr>
      <w:r>
        <w:rPr>
          <w:rFonts w:hint="eastAsia" w:ascii="仿宋_GB2312" w:eastAsia="仿宋_GB2312" w:cs="仿宋_GB2312"/>
          <w:color w:val="000000"/>
          <w:sz w:val="28"/>
          <w:szCs w:val="28"/>
        </w:rPr>
        <w:t>19.3 报价单位所提交的询价响应文件在询价结束后，无论成交与否都不退还。</w:t>
      </w:r>
    </w:p>
    <w:p>
      <w:pPr>
        <w:pStyle w:val="12"/>
        <w:adjustRightInd w:val="0"/>
        <w:snapToGrid w:val="0"/>
        <w:spacing w:line="264" w:lineRule="auto"/>
        <w:rPr>
          <w:rFonts w:ascii="仿宋_GB2312" w:eastAsia="仿宋_GB2312" w:cs="仿宋_GB2312"/>
          <w:b/>
          <w:color w:val="000000"/>
          <w:sz w:val="28"/>
          <w:szCs w:val="28"/>
        </w:rPr>
      </w:pPr>
      <w:r>
        <w:rPr>
          <w:rFonts w:hint="eastAsia" w:ascii="仿宋_GB2312" w:eastAsia="仿宋_GB2312" w:cs="仿宋_GB2312"/>
          <w:b/>
          <w:color w:val="000000"/>
          <w:sz w:val="28"/>
          <w:szCs w:val="28"/>
        </w:rPr>
        <w:t>五、评审</w:t>
      </w:r>
    </w:p>
    <w:p>
      <w:pPr>
        <w:pStyle w:val="12"/>
        <w:adjustRightInd w:val="0"/>
        <w:snapToGrid w:val="0"/>
        <w:spacing w:line="264" w:lineRule="auto"/>
        <w:rPr>
          <w:rFonts w:ascii="仿宋_GB2312" w:eastAsia="仿宋_GB2312" w:cs="仿宋_GB2312"/>
          <w:color w:val="000000"/>
          <w:sz w:val="28"/>
          <w:szCs w:val="28"/>
        </w:rPr>
      </w:pPr>
      <w:r>
        <w:rPr>
          <w:rFonts w:hint="eastAsia" w:ascii="仿宋_GB2312" w:eastAsia="仿宋_GB2312" w:cs="仿宋_GB2312"/>
          <w:color w:val="000000"/>
          <w:sz w:val="28"/>
          <w:szCs w:val="28"/>
        </w:rPr>
        <w:t>20. 询价小组</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sz w:val="28"/>
          <w:szCs w:val="28"/>
        </w:rPr>
        <w:t xml:space="preserve">20.1 </w:t>
      </w:r>
      <w:r>
        <w:rPr>
          <w:rFonts w:hint="eastAsia" w:ascii="仿宋_GB2312" w:eastAsia="仿宋_GB2312" w:cs="仿宋_GB2312"/>
          <w:color w:val="000000"/>
          <w:kern w:val="0"/>
          <w:sz w:val="28"/>
          <w:szCs w:val="28"/>
        </w:rPr>
        <w:t>评审由</w:t>
      </w:r>
      <w:r>
        <w:rPr>
          <w:rFonts w:hint="eastAsia" w:ascii="仿宋_GB2312" w:eastAsia="仿宋_GB2312" w:cs="仿宋_GB2312"/>
          <w:color w:val="000000"/>
          <w:sz w:val="28"/>
          <w:szCs w:val="28"/>
          <w:u w:val="single"/>
        </w:rPr>
        <w:t>询价人</w:t>
      </w:r>
      <w:r>
        <w:rPr>
          <w:rFonts w:hint="eastAsia" w:ascii="仿宋_GB2312" w:eastAsia="仿宋_GB2312" w:cs="仿宋_GB2312"/>
          <w:color w:val="000000"/>
          <w:kern w:val="0"/>
          <w:sz w:val="28"/>
          <w:szCs w:val="28"/>
        </w:rPr>
        <w:t>组建的询价小组负责。</w:t>
      </w:r>
    </w:p>
    <w:p>
      <w:pPr>
        <w:tabs>
          <w:tab w:val="left" w:pos="360"/>
        </w:tabs>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20.2询价小组在评审过程中出现意见不一致时，遵循少数服从多数原则。</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20.3询价小组依法根据询价文件的规定对询价响应文件进行评审,并据此推荐成交候选人。</w:t>
      </w:r>
    </w:p>
    <w:p>
      <w:pPr>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20.4拆封询价响应文件时，出现下列情形之一的，不参与评审：</w:t>
      </w:r>
    </w:p>
    <w:p>
      <w:pPr>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（1）响应文件没密封完整的，或封面未注明报价单位名称、项目名称、日期等项目信息的；</w:t>
      </w:r>
    </w:p>
    <w:p>
      <w:pPr>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（2）响应文件中的法定代表人或授权代理人与报价响应文件登记表的信息不一致的。</w:t>
      </w:r>
    </w:p>
    <w:p>
      <w:pPr>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（3）不同报价单位响应文件中存在两处以上异常一致的情形。</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21.资格性、符合性评审</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21.1参加询价的报价单位经自行报名产生。由询价小组对参加询价的报价单位进行资格性、符合性评审。</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264" w:lineRule="auto"/>
        <w:ind w:left="630" w:right="32" w:hanging="630" w:hangingChars="225"/>
        <w:rPr>
          <w:rFonts w:ascii="仿宋" w:eastAsia="仿宋" w:cs="仿宋_GB2312"/>
          <w:bCs/>
          <w:color w:val="000000"/>
          <w:kern w:val="0"/>
          <w:sz w:val="28"/>
          <w:szCs w:val="28"/>
        </w:rPr>
      </w:pPr>
      <w:r>
        <w:rPr>
          <w:rFonts w:hint="eastAsia" w:ascii="仿宋_GB2312" w:eastAsia="仿宋_GB2312" w:cs="仿宋_GB2312"/>
          <w:color w:val="000000"/>
          <w:kern w:val="0"/>
          <w:sz w:val="28"/>
          <w:szCs w:val="28"/>
        </w:rPr>
        <w:t>21.4 询</w:t>
      </w:r>
      <w:r>
        <w:rPr>
          <w:rFonts w:hint="eastAsia" w:ascii="仿宋_GB2312" w:eastAsia="仿宋_GB2312" w:cs="仿宋_GB2312"/>
          <w:bCs/>
          <w:color w:val="000000"/>
          <w:kern w:val="0"/>
          <w:sz w:val="28"/>
          <w:szCs w:val="28"/>
        </w:rPr>
        <w:t>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22.报价的评审</w:t>
      </w:r>
    </w:p>
    <w:p>
      <w:pPr>
        <w:autoSpaceDE w:val="0"/>
        <w:autoSpaceDN w:val="0"/>
        <w:adjustRightInd w:val="0"/>
        <w:snapToGrid w:val="0"/>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22.1询价小组将详细分析、核对每一份报价表，看其是否有计算上或累加上的算术误差，并加以修正。修正误差的原则如下：</w:t>
      </w:r>
    </w:p>
    <w:p>
      <w:pPr>
        <w:autoSpaceDE w:val="0"/>
        <w:autoSpaceDN w:val="0"/>
        <w:adjustRightInd w:val="0"/>
        <w:snapToGrid w:val="0"/>
        <w:spacing w:line="264" w:lineRule="auto"/>
        <w:ind w:right="32" w:firstLine="280" w:firstLineChars="100"/>
        <w:rPr>
          <w:rFonts w:ascii="仿宋_GB2312" w:eastAsia="仿宋_GB2312" w:cs="仿宋_GB2312"/>
          <w:color w:val="000000"/>
          <w:kern w:val="0"/>
          <w:sz w:val="28"/>
          <w:szCs w:val="28"/>
        </w:rPr>
      </w:pPr>
      <w:r>
        <w:rPr>
          <w:rFonts w:ascii="仿宋_GB2312" w:eastAsia="仿宋_GB2312" w:cs="仿宋_GB2312"/>
          <w:color w:val="000000"/>
          <w:kern w:val="0"/>
          <w:sz w:val="28"/>
          <w:szCs w:val="28"/>
        </w:rPr>
        <w:t>a</w:t>
      </w:r>
      <w:r>
        <w:rPr>
          <w:rFonts w:hint="eastAsia" w:ascii="仿宋_GB2312" w:eastAsia="仿宋_GB2312" w:cs="仿宋_GB2312"/>
          <w:color w:val="000000"/>
          <w:kern w:val="0"/>
          <w:sz w:val="28"/>
          <w:szCs w:val="28"/>
        </w:rPr>
        <w:t>)大写金额与小写金额不一致的，以大写金额为准；</w:t>
      </w:r>
    </w:p>
    <w:p>
      <w:pPr>
        <w:autoSpaceDE w:val="0"/>
        <w:autoSpaceDN w:val="0"/>
        <w:adjustRightInd w:val="0"/>
        <w:snapToGrid w:val="0"/>
        <w:spacing w:line="264" w:lineRule="auto"/>
        <w:ind w:right="32" w:firstLine="280" w:firstLineChars="100"/>
        <w:rPr>
          <w:rFonts w:ascii="仿宋_GB2312" w:eastAsia="仿宋_GB2312" w:cs="仿宋_GB2312"/>
          <w:color w:val="000000"/>
          <w:kern w:val="0"/>
          <w:sz w:val="28"/>
          <w:szCs w:val="28"/>
        </w:rPr>
      </w:pPr>
      <w:r>
        <w:rPr>
          <w:rFonts w:ascii="仿宋_GB2312" w:eastAsia="仿宋_GB2312" w:cs="仿宋_GB2312"/>
          <w:color w:val="000000"/>
          <w:kern w:val="0"/>
          <w:sz w:val="28"/>
          <w:szCs w:val="28"/>
        </w:rPr>
        <w:t>b)</w:t>
      </w:r>
      <w:r>
        <w:rPr>
          <w:rFonts w:hint="eastAsia" w:ascii="仿宋_GB2312" w:eastAsia="仿宋_GB2312" w:cs="仿宋_GB2312"/>
          <w:color w:val="000000"/>
          <w:kern w:val="0"/>
          <w:sz w:val="28"/>
          <w:szCs w:val="28"/>
        </w:rPr>
        <w:t>总价金额与按单价汇总金额不一致的，以单价为准，修正总价（单价小数点明显错位的除外）；</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64"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22.3超过最高限价的报价将被拒绝。</w:t>
      </w:r>
    </w:p>
    <w:p>
      <w:pPr>
        <w:spacing w:line="360" w:lineRule="auto"/>
        <w:rPr>
          <w:rFonts w:ascii="仿宋_GB2312" w:eastAsia="仿宋_GB2312" w:cs="仿宋_GB2312"/>
          <w:b/>
          <w:color w:val="000000"/>
          <w:sz w:val="28"/>
          <w:szCs w:val="28"/>
        </w:rPr>
      </w:pPr>
      <w:r>
        <w:rPr>
          <w:rFonts w:hint="eastAsia" w:ascii="仿宋_GB2312" w:eastAsia="仿宋_GB2312" w:cs="仿宋_GB2312"/>
          <w:b/>
          <w:color w:val="000000"/>
          <w:sz w:val="28"/>
          <w:szCs w:val="28"/>
        </w:rPr>
        <w:t>六、确定承包人</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23.确定承包人原则</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eastAsia="仿宋_GB2312" w:cs="仿宋_GB2312"/>
          <w:color w:val="000000"/>
          <w:kern w:val="0"/>
          <w:sz w:val="28"/>
          <w:szCs w:val="28"/>
        </w:rPr>
      </w:pPr>
      <w:r>
        <w:rPr>
          <w:rFonts w:hint="eastAsia" w:ascii="仿宋_GB2312" w:eastAsia="仿宋_GB2312" w:cs="仿宋_GB2312"/>
          <w:color w:val="000000"/>
          <w:sz w:val="28"/>
          <w:szCs w:val="28"/>
        </w:rPr>
        <w:t>23.2承包人确定后，询价人</w:t>
      </w:r>
      <w:r>
        <w:rPr>
          <w:rFonts w:hint="eastAsia" w:ascii="仿宋_GB2312" w:eastAsia="仿宋_GB2312" w:cs="仿宋_GB2312"/>
          <w:color w:val="000000"/>
          <w:kern w:val="0"/>
          <w:sz w:val="28"/>
          <w:szCs w:val="28"/>
        </w:rPr>
        <w:t>向承包人发出《发包通知书》，</w:t>
      </w:r>
      <w:r>
        <w:rPr>
          <w:rFonts w:hint="eastAsia" w:ascii="仿宋_GB2312" w:eastAsia="仿宋_GB2312" w:cs="仿宋_GB2312"/>
          <w:color w:val="000000"/>
          <w:sz w:val="28"/>
          <w:szCs w:val="28"/>
        </w:rPr>
        <w:t>对承包人和询价人具有同等法律效力</w:t>
      </w:r>
      <w:r>
        <w:rPr>
          <w:rFonts w:hint="eastAsia" w:ascii="仿宋_GB2312" w:eastAsia="仿宋_GB2312" w:cs="仿宋_GB2312"/>
          <w:color w:val="000000"/>
          <w:kern w:val="0"/>
          <w:sz w:val="28"/>
          <w:szCs w:val="28"/>
        </w:rPr>
        <w:t>。</w:t>
      </w:r>
    </w:p>
    <w:p>
      <w:pPr>
        <w:pStyle w:val="12"/>
        <w:adjustRightInd w:val="0"/>
        <w:snapToGrid w:val="0"/>
        <w:spacing w:line="300" w:lineRule="auto"/>
        <w:rPr>
          <w:rFonts w:ascii="仿宋_GB2312" w:eastAsia="仿宋_GB2312" w:cs="仿宋_GB2312"/>
          <w:b/>
          <w:color w:val="000000"/>
          <w:sz w:val="28"/>
          <w:szCs w:val="28"/>
        </w:rPr>
      </w:pPr>
      <w:r>
        <w:rPr>
          <w:rFonts w:hint="eastAsia" w:ascii="仿宋_GB2312" w:eastAsia="仿宋_GB2312" w:cs="仿宋_GB2312"/>
          <w:b/>
          <w:color w:val="000000"/>
          <w:sz w:val="28"/>
          <w:szCs w:val="28"/>
        </w:rPr>
        <w:t>七、合同的订立和履行</w:t>
      </w:r>
    </w:p>
    <w:p>
      <w:pPr>
        <w:autoSpaceDE w:val="0"/>
        <w:autoSpaceDN w:val="0"/>
        <w:adjustRightInd w:val="0"/>
        <w:snapToGrid w:val="0"/>
        <w:spacing w:line="300" w:lineRule="auto"/>
        <w:ind w:right="32"/>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24.合同的订立</w:t>
      </w:r>
    </w:p>
    <w:p>
      <w:pPr>
        <w:autoSpaceDE w:val="0"/>
        <w:autoSpaceDN w:val="0"/>
        <w:adjustRightInd w:val="0"/>
        <w:snapToGrid w:val="0"/>
        <w:spacing w:line="300" w:lineRule="auto"/>
        <w:ind w:right="32"/>
        <w:rPr>
          <w:rFonts w:ascii="仿宋" w:eastAsia="仿宋" w:cs="仿宋_GB2312"/>
          <w:color w:val="000000"/>
          <w:sz w:val="28"/>
          <w:szCs w:val="28"/>
        </w:rPr>
      </w:pPr>
      <w:r>
        <w:rPr>
          <w:rFonts w:hint="eastAsia" w:ascii="仿宋_GB2312" w:eastAsia="仿宋_GB2312" w:cs="仿宋_GB2312"/>
          <w:color w:val="000000"/>
          <w:kern w:val="0"/>
          <w:sz w:val="28"/>
          <w:szCs w:val="28"/>
        </w:rPr>
        <w:t>24.1 询价人与成交、承包人自《发包通知书》发出之日起三十日内，按询价文件要求和承包人询价响应文件承诺签订承包合同，但</w:t>
      </w:r>
      <w:r>
        <w:rPr>
          <w:rFonts w:hint="eastAsia" w:ascii="仿宋_GB2312" w:eastAsia="仿宋_GB2312" w:cs="仿宋_GB2312"/>
          <w:color w:val="000000"/>
          <w:sz w:val="28"/>
          <w:szCs w:val="28"/>
        </w:rPr>
        <w:t>不得超出询价文件和承包人询价响应文件的范围、也不得再行订立背离合同实质性内容的其他协议。</w:t>
      </w:r>
      <w:r>
        <w:rPr>
          <w:rFonts w:hint="eastAsia" w:ascii="仿宋_GB2312" w:eastAsia="仿宋_GB2312" w:cs="仿宋_GB2312"/>
          <w:color w:val="000000"/>
          <w:kern w:val="0"/>
          <w:sz w:val="28"/>
          <w:szCs w:val="28"/>
        </w:rPr>
        <w:t>因承包人原因导致未按规定时限签订合同的，发包人有权视为其自动放弃该项目</w:t>
      </w:r>
      <w:r>
        <w:rPr>
          <w:rFonts w:hint="eastAsia" w:ascii="仿宋_GB2312" w:eastAsia="仿宋_GB2312" w:cs="仿宋_GB2312"/>
          <w:color w:val="000000"/>
          <w:kern w:val="0"/>
          <w:sz w:val="28"/>
          <w:szCs w:val="28"/>
          <w:lang w:val="en-US" w:eastAsia="zh-CN"/>
        </w:rPr>
        <w:t>承包资格</w:t>
      </w:r>
      <w:r>
        <w:rPr>
          <w:rFonts w:hint="eastAsia" w:ascii="仿宋_GB2312" w:eastAsia="仿宋_GB2312" w:cs="仿宋_GB2312"/>
          <w:color w:val="000000"/>
          <w:kern w:val="0"/>
          <w:sz w:val="28"/>
          <w:szCs w:val="28"/>
        </w:rPr>
        <w:t>。</w:t>
      </w:r>
    </w:p>
    <w:p>
      <w:pPr>
        <w:adjustRightInd w:val="0"/>
        <w:snapToGrid w:val="0"/>
        <w:spacing w:line="300" w:lineRule="auto"/>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25.合同的履行</w:t>
      </w:r>
    </w:p>
    <w:p>
      <w:pPr>
        <w:autoSpaceDE w:val="0"/>
        <w:autoSpaceDN w:val="0"/>
        <w:adjustRightInd w:val="0"/>
        <w:snapToGrid w:val="0"/>
        <w:spacing w:line="300" w:lineRule="auto"/>
        <w:ind w:left="700" w:right="32" w:hanging="700" w:hangingChars="250"/>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25.2承包人因不可抗力或者自身原因不能履行承包合同的，询价人</w:t>
      </w:r>
      <w:r>
        <w:rPr>
          <w:rFonts w:hint="eastAsia" w:ascii="仿宋_GB2312" w:eastAsia="仿宋_GB2312" w:cs="仿宋_GB2312"/>
          <w:color w:val="000000"/>
          <w:sz w:val="28"/>
          <w:szCs w:val="28"/>
        </w:rPr>
        <w:t>可以与排位在承包人之后第一位的成交候选报价单位签订承包</w:t>
      </w:r>
      <w:r>
        <w:rPr>
          <w:rFonts w:hint="eastAsia" w:ascii="仿宋_GB2312" w:eastAsia="仿宋_GB2312" w:cs="仿宋_GB2312"/>
          <w:color w:val="000000"/>
          <w:kern w:val="0"/>
          <w:sz w:val="28"/>
          <w:szCs w:val="28"/>
        </w:rPr>
        <w:t>合同，以此类推。</w:t>
      </w:r>
    </w:p>
    <w:p>
      <w:pPr>
        <w:autoSpaceDE w:val="0"/>
        <w:autoSpaceDN w:val="0"/>
        <w:adjustRightInd w:val="0"/>
        <w:snapToGrid w:val="0"/>
        <w:spacing w:line="300" w:lineRule="auto"/>
        <w:ind w:left="420" w:right="32" w:hanging="420"/>
        <w:rPr>
          <w:rFonts w:ascii="仿宋_GB2312" w:eastAsia="仿宋_GB2312" w:cs="仿宋_GB2312"/>
          <w:b/>
          <w:color w:val="000000"/>
          <w:kern w:val="0"/>
          <w:sz w:val="28"/>
          <w:szCs w:val="28"/>
        </w:rPr>
      </w:pPr>
      <w:r>
        <w:rPr>
          <w:rFonts w:hint="eastAsia" w:ascii="仿宋_GB2312" w:eastAsia="仿宋_GB2312" w:cs="仿宋_GB2312"/>
          <w:b/>
          <w:color w:val="000000"/>
          <w:kern w:val="0"/>
          <w:sz w:val="28"/>
          <w:szCs w:val="28"/>
        </w:rPr>
        <w:t>八、质疑</w:t>
      </w:r>
    </w:p>
    <w:p>
      <w:pPr>
        <w:autoSpaceDE w:val="0"/>
        <w:autoSpaceDN w:val="0"/>
        <w:adjustRightInd w:val="0"/>
        <w:snapToGrid w:val="0"/>
        <w:spacing w:line="300" w:lineRule="auto"/>
        <w:ind w:left="420" w:right="32" w:hanging="420"/>
        <w:rPr>
          <w:rFonts w:ascii="仿宋" w:eastAsia="仿宋" w:cs="仿宋"/>
          <w:color w:val="000000"/>
          <w:sz w:val="36"/>
          <w:szCs w:val="36"/>
        </w:rPr>
      </w:pPr>
      <w:r>
        <w:rPr>
          <w:rFonts w:hint="eastAsia" w:ascii="仿宋_GB2312" w:eastAsia="仿宋_GB2312" w:cs="仿宋_GB2312"/>
          <w:color w:val="000000"/>
          <w:sz w:val="28"/>
          <w:szCs w:val="28"/>
        </w:rPr>
        <w:t>26.如果报价人认为询价文件或询价过程或询价结果使其权益受到损害的，可向询价人提出书面质疑。询价人应在规定时间内给与答复。</w:t>
      </w:r>
    </w:p>
    <w:p/>
    <w:p>
      <w:pPr>
        <w:pStyle w:val="12"/>
        <w:adjustRightInd w:val="0"/>
        <w:snapToGrid w:val="0"/>
        <w:spacing w:line="300" w:lineRule="auto"/>
        <w:jc w:val="center"/>
        <w:rPr>
          <w:rFonts w:ascii="仿宋_GB2312" w:hAnsi="仿宋_GB2312" w:eastAsia="仿宋_GB2312" w:cs="仿宋_GB2312"/>
          <w:b/>
          <w:sz w:val="28"/>
          <w:szCs w:val="28"/>
        </w:rPr>
      </w:pPr>
    </w:p>
    <w:p>
      <w:pPr>
        <w:pStyle w:val="12"/>
        <w:adjustRightInd w:val="0"/>
        <w:snapToGrid w:val="0"/>
        <w:spacing w:line="300" w:lineRule="auto"/>
        <w:jc w:val="center"/>
        <w:rPr>
          <w:rFonts w:ascii="仿宋_GB2312" w:hAnsi="仿宋_GB2312" w:eastAsia="仿宋_GB2312" w:cs="仿宋_GB2312"/>
          <w:b/>
          <w:sz w:val="28"/>
          <w:szCs w:val="28"/>
        </w:rPr>
      </w:pPr>
    </w:p>
    <w:p>
      <w:pPr>
        <w:pStyle w:val="12"/>
        <w:adjustRightInd w:val="0"/>
        <w:snapToGrid w:val="0"/>
        <w:spacing w:line="300" w:lineRule="auto"/>
        <w:jc w:val="center"/>
        <w:rPr>
          <w:rFonts w:ascii="仿宋_GB2312" w:hAnsi="仿宋_GB2312" w:eastAsia="仿宋_GB2312" w:cs="仿宋_GB2312"/>
          <w:b/>
          <w:sz w:val="28"/>
          <w:szCs w:val="28"/>
        </w:rPr>
      </w:pPr>
    </w:p>
    <w:p>
      <w:pPr>
        <w:pStyle w:val="12"/>
        <w:adjustRightInd w:val="0"/>
        <w:snapToGrid w:val="0"/>
        <w:spacing w:line="300" w:lineRule="auto"/>
        <w:jc w:val="center"/>
        <w:rPr>
          <w:rFonts w:ascii="仿宋_GB2312" w:hAnsi="仿宋_GB2312" w:eastAsia="仿宋_GB2312" w:cs="仿宋_GB2312"/>
          <w:b/>
          <w:sz w:val="28"/>
          <w:szCs w:val="28"/>
        </w:rPr>
      </w:pPr>
    </w:p>
    <w:p>
      <w:pPr>
        <w:pStyle w:val="12"/>
        <w:adjustRightInd w:val="0"/>
        <w:snapToGrid w:val="0"/>
        <w:spacing w:line="300" w:lineRule="auto"/>
        <w:jc w:val="center"/>
        <w:rPr>
          <w:rFonts w:ascii="仿宋_GB2312" w:hAnsi="仿宋_GB2312" w:eastAsia="仿宋_GB2312" w:cs="仿宋_GB2312"/>
          <w:b/>
          <w:sz w:val="28"/>
          <w:szCs w:val="28"/>
        </w:rPr>
      </w:pPr>
    </w:p>
    <w:p>
      <w:pPr>
        <w:pStyle w:val="12"/>
        <w:adjustRightInd w:val="0"/>
        <w:snapToGrid w:val="0"/>
        <w:spacing w:line="300" w:lineRule="auto"/>
        <w:jc w:val="center"/>
        <w:rPr>
          <w:rFonts w:ascii="仿宋_GB2312" w:hAnsi="仿宋_GB2312" w:eastAsia="仿宋_GB2312" w:cs="仿宋_GB2312"/>
          <w:b/>
          <w:sz w:val="28"/>
          <w:szCs w:val="28"/>
        </w:rPr>
      </w:pPr>
    </w:p>
    <w:p>
      <w:pPr>
        <w:pStyle w:val="12"/>
        <w:adjustRightInd w:val="0"/>
        <w:snapToGrid w:val="0"/>
        <w:spacing w:line="300" w:lineRule="auto"/>
        <w:jc w:val="center"/>
        <w:rPr>
          <w:rFonts w:ascii="仿宋_GB2312" w:hAnsi="仿宋_GB2312" w:eastAsia="仿宋_GB2312" w:cs="仿宋_GB2312"/>
          <w:b/>
          <w:sz w:val="28"/>
          <w:szCs w:val="28"/>
        </w:rPr>
      </w:pPr>
    </w:p>
    <w:p>
      <w:pPr>
        <w:pStyle w:val="12"/>
        <w:adjustRightInd w:val="0"/>
        <w:snapToGrid w:val="0"/>
        <w:spacing w:line="300" w:lineRule="auto"/>
        <w:rPr>
          <w:rFonts w:ascii="仿宋_GB2312" w:hAnsi="仿宋_GB2312" w:eastAsia="仿宋_GB2312" w:cs="仿宋_GB2312"/>
          <w:b/>
          <w:sz w:val="28"/>
          <w:szCs w:val="28"/>
        </w:rPr>
      </w:pPr>
    </w:p>
    <w:p>
      <w:pPr>
        <w:pStyle w:val="12"/>
        <w:adjustRightInd w:val="0"/>
        <w:snapToGrid w:val="0"/>
        <w:spacing w:line="300" w:lineRule="auto"/>
        <w:rPr>
          <w:rFonts w:ascii="仿宋_GB2312" w:hAnsi="仿宋_GB2312" w:eastAsia="仿宋_GB2312" w:cs="仿宋_GB2312"/>
          <w:b/>
          <w:sz w:val="28"/>
          <w:szCs w:val="28"/>
        </w:rPr>
      </w:pPr>
    </w:p>
    <w:p>
      <w:pPr>
        <w:pStyle w:val="5"/>
        <w:rPr>
          <w:rFonts w:ascii="仿宋_GB2312" w:hAnsi="仿宋_GB2312" w:eastAsia="仿宋_GB2312" w:cs="仿宋_GB2312"/>
        </w:rPr>
      </w:pPr>
      <w:r>
        <w:rPr>
          <w:rFonts w:hint="eastAsia" w:ascii="仿宋_GB2312" w:hAnsi="仿宋_GB2312" w:eastAsia="仿宋_GB2312" w:cs="仿宋_GB2312"/>
        </w:rPr>
        <w:t>附件一：报价记录表</w:t>
      </w:r>
    </w:p>
    <w:p>
      <w:pPr>
        <w:spacing w:line="500" w:lineRule="exact"/>
        <w:jc w:val="center"/>
        <w:rPr>
          <w:rFonts w:ascii="仿宋_GB2312" w:hAnsi="仿宋_GB2312" w:eastAsia="仿宋_GB2312" w:cs="仿宋_GB2312"/>
          <w:b/>
          <w:bCs/>
          <w:sz w:val="36"/>
          <w:szCs w:val="36"/>
        </w:rPr>
      </w:pPr>
      <w:r>
        <w:rPr>
          <w:rFonts w:hint="eastAsia" w:ascii="仿宋_GB2312" w:hAnsi="仿宋_GB2312" w:eastAsia="仿宋_GB2312" w:cs="仿宋_GB2312"/>
          <w:sz w:val="28"/>
          <w:szCs w:val="28"/>
          <w:u w:val="single"/>
          <w:lang w:val="en-US" w:eastAsia="zh-CN"/>
        </w:rPr>
        <w:t>广州市净水有限公司</w:t>
      </w:r>
      <w:r>
        <w:rPr>
          <w:rFonts w:hint="eastAsia" w:ascii="仿宋_GB2312" w:hAnsi="仿宋_GB2312" w:eastAsia="仿宋_GB2312" w:cs="仿宋_GB2312"/>
          <w:sz w:val="28"/>
          <w:szCs w:val="28"/>
          <w:u w:val="single"/>
        </w:rPr>
        <w:t>京溪分公司2021年紫外消毒系统大修项目</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第二次</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rPr>
        <w:t>报价记录表</w:t>
      </w:r>
    </w:p>
    <w:p>
      <w:pPr>
        <w:spacing w:line="500" w:lineRule="exact"/>
        <w:ind w:firstLine="1890" w:firstLineChars="900"/>
        <w:rPr>
          <w:rFonts w:ascii="仿宋_GB2312" w:hAnsi="仿宋_GB2312" w:eastAsia="仿宋_GB2312" w:cs="仿宋_GB2312"/>
        </w:rPr>
      </w:pPr>
      <w:r>
        <w:rPr>
          <w:rFonts w:hint="eastAsia" w:ascii="仿宋_GB2312" w:hAnsi="仿宋_GB2312" w:eastAsia="仿宋_GB2312" w:cs="仿宋_GB2312"/>
          <w:szCs w:val="21"/>
        </w:rPr>
        <w:t>报价文件开启时间：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分</w:t>
      </w:r>
    </w:p>
    <w:tbl>
      <w:tblPr>
        <w:tblStyle w:val="21"/>
        <w:tblW w:w="7507" w:type="dxa"/>
        <w:jc w:val="center"/>
        <w:tblLayout w:type="fixed"/>
        <w:tblCellMar>
          <w:top w:w="0" w:type="dxa"/>
          <w:left w:w="108" w:type="dxa"/>
          <w:bottom w:w="0" w:type="dxa"/>
          <w:right w:w="108" w:type="dxa"/>
        </w:tblCellMar>
      </w:tblPr>
      <w:tblGrid>
        <w:gridCol w:w="669"/>
        <w:gridCol w:w="3255"/>
        <w:gridCol w:w="752"/>
        <w:gridCol w:w="1279"/>
        <w:gridCol w:w="1552"/>
      </w:tblGrid>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2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7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27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5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7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7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5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ind w:firstLine="3150" w:firstLineChars="1500"/>
        <w:rPr>
          <w:rFonts w:ascii="仿宋_GB2312" w:hAnsi="仿宋_GB2312" w:eastAsia="仿宋_GB2312" w:cs="仿宋_GB2312"/>
        </w:rPr>
      </w:pPr>
    </w:p>
    <w:p>
      <w:pPr>
        <w:spacing w:line="440" w:lineRule="exact"/>
        <w:ind w:firstLine="1680" w:firstLineChars="800"/>
        <w:rPr>
          <w:rFonts w:ascii="仿宋_GB2312" w:hAnsi="仿宋_GB2312" w:eastAsia="仿宋_GB2312" w:cs="仿宋_GB2312"/>
        </w:rPr>
      </w:pPr>
      <w:r>
        <w:rPr>
          <w:rFonts w:hint="eastAsia" w:ascii="仿宋_GB2312" w:hAnsi="仿宋_GB2312" w:eastAsia="仿宋_GB2312" w:cs="仿宋_GB2312"/>
        </w:rPr>
        <w:t>经办人：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记录人：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spacing w:line="440" w:lineRule="exact"/>
        <w:ind w:firstLine="5250" w:firstLineChars="2500"/>
        <w:rPr>
          <w:rFonts w:ascii="仿宋_GB2312" w:hAnsi="仿宋_GB2312" w:eastAsia="仿宋_GB2312" w:cs="仿宋_GB2312"/>
          <w:u w:val="single"/>
        </w:rPr>
      </w:pPr>
      <w:r>
        <w:rPr>
          <w:rFonts w:hint="eastAsia" w:ascii="仿宋_GB2312" w:hAnsi="仿宋_GB2312" w:eastAsia="仿宋_GB2312" w:cs="仿宋_GB2312"/>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月 </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w:t>
      </w:r>
    </w:p>
    <w:p>
      <w:pPr>
        <w:rPr>
          <w:rFonts w:ascii="仿宋_GB2312" w:hAnsi="仿宋_GB2312" w:eastAsia="仿宋_GB2312" w:cs="仿宋_GB2312"/>
        </w:rPr>
        <w:sectPr>
          <w:pgSz w:w="11906" w:h="16838"/>
          <w:pgMar w:top="1089" w:right="1466" w:bottom="1089" w:left="1077" w:header="851" w:footer="992" w:gutter="0"/>
          <w:cols w:space="720" w:num="1"/>
          <w:docGrid w:type="lines" w:linePitch="312" w:charSpace="0"/>
        </w:sectPr>
      </w:pPr>
    </w:p>
    <w:p>
      <w:pPr>
        <w:rPr>
          <w:rFonts w:ascii="仿宋_GB2312" w:hAnsi="仿宋_GB2312" w:eastAsia="仿宋_GB2312" w:cs="仿宋_GB2312"/>
          <w:sz w:val="28"/>
          <w:szCs w:val="28"/>
        </w:rPr>
      </w:pPr>
      <w:r>
        <w:rPr>
          <w:rFonts w:hint="eastAsia" w:ascii="仿宋_GB2312" w:hAnsi="仿宋_GB2312" w:eastAsia="仿宋_GB2312" w:cs="仿宋_GB2312"/>
          <w:b/>
          <w:bCs/>
          <w:sz w:val="32"/>
          <w:szCs w:val="32"/>
        </w:rPr>
        <w:t>附件二</w:t>
      </w:r>
    </w:p>
    <w:p>
      <w:pPr>
        <w:spacing w:line="360" w:lineRule="auto"/>
        <w:jc w:val="center"/>
        <w:rPr>
          <w:rFonts w:ascii="宋体" w:hAnsi="宋体"/>
          <w:b/>
          <w:sz w:val="36"/>
          <w:szCs w:val="36"/>
        </w:rPr>
      </w:pPr>
      <w:r>
        <w:rPr>
          <w:rFonts w:hint="eastAsia" w:ascii="宋体" w:hAnsi="宋体"/>
          <w:b/>
          <w:sz w:val="36"/>
          <w:szCs w:val="36"/>
        </w:rPr>
        <w:t>广州市净水有限公司非公招项目询价评审记录表</w:t>
      </w:r>
    </w:p>
    <w:p>
      <w:pPr>
        <w:spacing w:line="360" w:lineRule="auto"/>
        <w:ind w:left="1200" w:hanging="1200" w:hangingChars="500"/>
        <w:rPr>
          <w:rFonts w:hint="eastAsia" w:ascii="宋体" w:hAnsi="宋体" w:eastAsia="宋体"/>
          <w:sz w:val="24"/>
          <w:u w:val="single"/>
          <w:lang w:eastAsia="zh-CN"/>
        </w:rPr>
      </w:pPr>
      <w:r>
        <w:rPr>
          <w:rFonts w:hint="eastAsia" w:ascii="宋体" w:hAnsi="宋体"/>
          <w:sz w:val="24"/>
        </w:rPr>
        <w:t>项目名称：</w:t>
      </w:r>
      <w:r>
        <w:rPr>
          <w:rFonts w:hint="eastAsia" w:ascii="宋体" w:hAnsi="宋体"/>
          <w:sz w:val="24"/>
          <w:u w:val="single"/>
          <w:lang w:val="en-US" w:eastAsia="zh-CN"/>
        </w:rPr>
        <w:t>广州市净水有限公司</w:t>
      </w:r>
      <w:r>
        <w:rPr>
          <w:rFonts w:hint="eastAsia" w:ascii="宋体" w:hAnsi="宋体"/>
          <w:sz w:val="24"/>
          <w:u w:val="single"/>
        </w:rPr>
        <w:t>京溪分公司2021年紫外消毒系统大修项目</w:t>
      </w:r>
      <w:r>
        <w:rPr>
          <w:rFonts w:hint="eastAsia" w:ascii="宋体" w:hAnsi="宋体"/>
          <w:sz w:val="24"/>
          <w:u w:val="single"/>
          <w:lang w:eastAsia="zh-CN"/>
        </w:rPr>
        <w:t>（</w:t>
      </w:r>
      <w:r>
        <w:rPr>
          <w:rFonts w:hint="eastAsia" w:ascii="宋体" w:hAnsi="宋体"/>
          <w:sz w:val="24"/>
          <w:u w:val="single"/>
          <w:lang w:val="en-US" w:eastAsia="zh-CN"/>
        </w:rPr>
        <w:t>第二次</w:t>
      </w:r>
      <w:r>
        <w:rPr>
          <w:rFonts w:hint="eastAsia" w:ascii="宋体" w:hAnsi="宋体"/>
          <w:sz w:val="24"/>
          <w:u w:val="single"/>
          <w:lang w:eastAsia="zh-CN"/>
        </w:rPr>
        <w:t>）</w:t>
      </w:r>
    </w:p>
    <w:tbl>
      <w:tblPr>
        <w:tblStyle w:val="21"/>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3529"/>
        <w:gridCol w:w="1055"/>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582" w:type="dxa"/>
            <w:vMerge w:val="restart"/>
            <w:tcBorders>
              <w:top w:val="double" w:color="auto" w:sz="4" w:space="0"/>
              <w:left w:val="doub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3529"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项目资料</w:t>
            </w:r>
          </w:p>
        </w:tc>
        <w:tc>
          <w:tcPr>
            <w:tcW w:w="1055"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582" w:type="dxa"/>
            <w:vMerge w:val="continue"/>
            <w:tcBorders>
              <w:left w:val="double" w:color="auto" w:sz="4" w:space="0"/>
              <w:bottom w:val="single" w:color="auto" w:sz="4" w:space="0"/>
              <w:right w:val="single" w:color="auto" w:sz="4" w:space="0"/>
            </w:tcBorders>
            <w:vAlign w:val="center"/>
          </w:tcPr>
          <w:p>
            <w:pPr>
              <w:jc w:val="center"/>
              <w:rPr>
                <w:rFonts w:ascii="宋体" w:hAnsi="宋体"/>
                <w:sz w:val="24"/>
              </w:rPr>
            </w:pPr>
          </w:p>
        </w:tc>
        <w:tc>
          <w:tcPr>
            <w:tcW w:w="3529"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1055"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352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rPr>
              <w:t>符合报名条件资格要求</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352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rPr>
              <w:t>企业法定代表人资格证明书</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352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rPr>
              <w:t>法定代表人授权委托书</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352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rPr>
              <w:t>关于资格的声明函</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352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 w:val="24"/>
                <w:lang w:val="en-US" w:eastAsia="zh-CN"/>
              </w:rPr>
            </w:pPr>
            <w:r>
              <w:rPr>
                <w:rFonts w:hint="eastAsia" w:ascii="宋体" w:hAnsi="宋体" w:eastAsia="宋体" w:cs="宋体"/>
                <w:color w:val="000000"/>
                <w:sz w:val="24"/>
                <w:szCs w:val="24"/>
              </w:rPr>
              <w:t>拟委派的项目负责人情况表</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lang w:val="en-US" w:eastAsia="zh-CN"/>
              </w:rPr>
              <w:t>原</w:t>
            </w:r>
            <w:r>
              <w:rPr>
                <w:rFonts w:hint="eastAsia" w:ascii="宋体" w:hAnsi="宋体"/>
                <w:sz w:val="24"/>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352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rPr>
              <w:t>报价意向承诺及声明函</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7</w:t>
            </w:r>
          </w:p>
        </w:tc>
        <w:tc>
          <w:tcPr>
            <w:tcW w:w="352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rPr>
              <w:t>响应承诺书</w:t>
            </w:r>
          </w:p>
        </w:tc>
        <w:tc>
          <w:tcPr>
            <w:tcW w:w="1055"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16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16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sz w:val="24"/>
              </w:rPr>
            </w:pPr>
          </w:p>
        </w:tc>
      </w:tr>
    </w:tbl>
    <w:p>
      <w:pPr>
        <w:ind w:left="840" w:hanging="840" w:hangingChars="400"/>
      </w:pPr>
      <w:r>
        <w:rPr>
          <w:rFonts w:hint="eastAsia"/>
        </w:rPr>
        <w:t>备注：1、审核情况填写“符合”或“不符合；或者打“√”或“×”。</w:t>
      </w:r>
    </w:p>
    <w:p>
      <w:pPr>
        <w:numPr>
          <w:ilvl w:val="0"/>
          <w:numId w:val="5"/>
        </w:numPr>
        <w:ind w:firstLine="630" w:firstLineChars="300"/>
      </w:pPr>
      <w:r>
        <w:rPr>
          <w:rFonts w:hint="eastAsia"/>
        </w:rPr>
        <w:t>本表所有审核情况均为符合的，结论为报名成功。若有一项或以上审核情况为不符合的，结论为报名不成功。</w:t>
      </w:r>
    </w:p>
    <w:p>
      <w:pPr>
        <w:ind w:left="630"/>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ind w:firstLine="6746" w:firstLineChars="3200"/>
        <w:rPr>
          <w:rFonts w:ascii="仿宋_GB2312" w:hAnsi="仿宋_GB2312" w:cs="仿宋_GB2312"/>
          <w:bCs/>
          <w:sz w:val="28"/>
          <w:szCs w:val="28"/>
        </w:rPr>
      </w:pPr>
      <w:r>
        <w:rPr>
          <w:rFonts w:ascii="宋体" w:hAnsi="宋体"/>
          <w:b/>
          <w:szCs w:val="21"/>
        </w:rPr>
        <w:t xml:space="preserve"> </w:t>
      </w: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 xml:space="preserve">项目名称: </w:t>
      </w:r>
      <w:r>
        <w:rPr>
          <w:rFonts w:hint="eastAsia" w:ascii="宋体" w:hAnsi="宋体" w:cs="宋体"/>
          <w:b/>
          <w:sz w:val="30"/>
          <w:szCs w:val="30"/>
          <w:lang w:val="en-US" w:eastAsia="zh-CN"/>
        </w:rPr>
        <w:t>广州市净水有限公司</w:t>
      </w:r>
      <w:r>
        <w:rPr>
          <w:rFonts w:hint="eastAsia" w:ascii="宋体" w:hAnsi="宋体" w:cs="宋体"/>
          <w:b/>
          <w:sz w:val="30"/>
          <w:szCs w:val="30"/>
        </w:rPr>
        <w:t>京溪分公司2</w:t>
      </w:r>
      <w:r>
        <w:rPr>
          <w:rFonts w:ascii="宋体" w:hAnsi="宋体" w:cs="宋体"/>
          <w:b/>
          <w:sz w:val="30"/>
          <w:szCs w:val="30"/>
        </w:rPr>
        <w:t>021</w:t>
      </w:r>
      <w:r>
        <w:rPr>
          <w:rFonts w:hint="eastAsia" w:ascii="宋体" w:hAnsi="宋体" w:cs="宋体"/>
          <w:b/>
          <w:sz w:val="30"/>
          <w:szCs w:val="30"/>
        </w:rPr>
        <w:t>年紫外消毒系统大修</w:t>
      </w:r>
    </w:p>
    <w:p>
      <w:pPr>
        <w:pStyle w:val="28"/>
        <w:rPr>
          <w:rFonts w:hint="eastAsia" w:hAnsi="宋体" w:eastAsia="宋体"/>
          <w:b/>
          <w:sz w:val="30"/>
          <w:szCs w:val="30"/>
        </w:rPr>
      </w:pPr>
    </w:p>
    <w:p>
      <w:pPr>
        <w:pStyle w:val="28"/>
        <w:rPr>
          <w:rFonts w:hAnsi="宋体" w:eastAsia="宋体"/>
        </w:rPr>
      </w:pPr>
      <w:r>
        <w:rPr>
          <w:rFonts w:hint="eastAsia" w:hAnsi="宋体" w:eastAsia="宋体"/>
          <w:b/>
          <w:sz w:val="30"/>
          <w:szCs w:val="30"/>
        </w:rPr>
        <w:t>项目编号：</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w:t>
      </w:r>
      <w:r>
        <w:rPr>
          <w:rFonts w:ascii="宋体" w:hAnsi="宋体" w:cs="宋体"/>
          <w:b/>
          <w:bCs/>
          <w:sz w:val="30"/>
          <w:szCs w:val="30"/>
        </w:rPr>
        <w:t>2021</w:t>
      </w:r>
      <w:r>
        <w:rPr>
          <w:rFonts w:hint="eastAsia" w:ascii="宋体" w:hAnsi="宋体" w:cs="宋体"/>
          <w:b/>
          <w:bCs/>
          <w:sz w:val="30"/>
          <w:szCs w:val="30"/>
        </w:rPr>
        <w:t>]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pStyle w:val="28"/>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ascii="宋体" w:hAnsi="宋体" w:cs="宋体"/>
          <w:b/>
          <w:sz w:val="30"/>
        </w:rPr>
      </w:pPr>
    </w:p>
    <w:p>
      <w:pPr>
        <w:spacing w:line="400" w:lineRule="atLeast"/>
        <w:rPr>
          <w:rFonts w:hint="eastAsia" w:ascii="宋体" w:hAnsi="宋体" w:cs="宋体"/>
          <w:b/>
          <w:sz w:val="30"/>
        </w:rPr>
      </w:pPr>
      <w:r>
        <w:rPr>
          <w:rFonts w:hint="eastAsia" w:ascii="宋体" w:hAnsi="宋体" w:cs="宋体"/>
          <w:b/>
          <w:sz w:val="30"/>
        </w:rPr>
        <w:t>签约地点：广州市</w:t>
      </w:r>
    </w:p>
    <w:p>
      <w:pPr>
        <w:pStyle w:val="28"/>
        <w:rPr>
          <w:rFonts w:hint="eastAsia" w:ascii="宋体" w:hAnsi="宋体" w:cs="宋体"/>
          <w:b/>
          <w:sz w:val="30"/>
        </w:rPr>
      </w:pPr>
    </w:p>
    <w:p>
      <w:pPr>
        <w:rPr>
          <w:lang w:val="zh-CN"/>
        </w:rPr>
      </w:pPr>
    </w:p>
    <w:p>
      <w:pPr>
        <w:spacing w:before="93" w:beforeLines="30" w:line="384" w:lineRule="auto"/>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rPr>
        <w:t>京溪分公司2021年紫外消毒系统大修</w:t>
      </w:r>
      <w:r>
        <w:rPr>
          <w:rFonts w:hint="eastAsia" w:ascii="宋体" w:hAnsi="宋体" w:cs="宋体"/>
          <w:sz w:val="24"/>
        </w:rPr>
        <w:t>项目</w:t>
      </w:r>
      <w:r>
        <w:rPr>
          <w:rFonts w:hint="eastAsia" w:asciiTheme="minorEastAsia" w:hAnsiTheme="minorEastAsia" w:eastAsiaTheme="minorEastAsia" w:cstheme="minorEastAsia"/>
          <w:sz w:val="24"/>
        </w:rPr>
        <w:t>工程施工方</w:t>
      </w:r>
      <w:r>
        <w:rPr>
          <w:rFonts w:hint="eastAsia" w:ascii="宋体" w:hAnsi="宋体" w:cs="宋体" w:eastAsiaTheme="minorEastAsia"/>
          <w:sz w:val="24"/>
        </w:rPr>
        <w:t>。</w:t>
      </w:r>
      <w:r>
        <w:rPr>
          <w:rFonts w:hint="eastAsia" w:ascii="宋体" w:hAnsi="宋体" w:cs="宋体"/>
          <w:sz w:val="24"/>
        </w:rPr>
        <w:t>遵循平等、自愿、公平和诚实信用的原则，双方协商一致，订立本合同。</w:t>
      </w:r>
    </w:p>
    <w:p>
      <w:pPr>
        <w:spacing w:line="360" w:lineRule="auto"/>
        <w:ind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60" w:lineRule="auto"/>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360"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60" w:lineRule="auto"/>
        <w:ind w:firstLine="482"/>
        <w:rPr>
          <w:rFonts w:ascii="宋体" w:hAnsi="宋体" w:cs="宋体"/>
          <w:bCs/>
          <w:sz w:val="24"/>
        </w:rPr>
      </w:pPr>
      <w:r>
        <w:rPr>
          <w:rFonts w:hint="eastAsia" w:ascii="宋体" w:hAnsi="宋体" w:cs="宋体"/>
          <w:bCs/>
          <w:sz w:val="24"/>
        </w:rPr>
        <w:t>⑵ 本合同书；</w:t>
      </w:r>
    </w:p>
    <w:p>
      <w:pPr>
        <w:spacing w:line="360"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60" w:lineRule="auto"/>
        <w:ind w:firstLine="482"/>
        <w:rPr>
          <w:rFonts w:ascii="宋体" w:hAnsi="宋体" w:cs="宋体"/>
          <w:bCs/>
          <w:sz w:val="24"/>
        </w:rPr>
      </w:pPr>
      <w:r>
        <w:rPr>
          <w:rFonts w:hint="eastAsia" w:ascii="宋体" w:hAnsi="宋体" w:cs="宋体"/>
          <w:bCs/>
          <w:sz w:val="24"/>
        </w:rPr>
        <w:t>⑹ 标准、规范及有关技术性文件；</w:t>
      </w:r>
    </w:p>
    <w:p>
      <w:pPr>
        <w:spacing w:line="360" w:lineRule="auto"/>
        <w:ind w:firstLine="482"/>
        <w:rPr>
          <w:rFonts w:ascii="宋体" w:hAnsi="宋体" w:cs="宋体"/>
          <w:bCs/>
          <w:sz w:val="24"/>
        </w:rPr>
      </w:pPr>
      <w:r>
        <w:rPr>
          <w:rFonts w:hint="eastAsia" w:ascii="宋体" w:hAnsi="宋体" w:cs="宋体"/>
          <w:bCs/>
          <w:sz w:val="24"/>
        </w:rPr>
        <w:t>⑺ 图纸；</w:t>
      </w:r>
    </w:p>
    <w:p>
      <w:pPr>
        <w:spacing w:line="360"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60" w:lineRule="auto"/>
        <w:ind w:firstLine="482"/>
        <w:rPr>
          <w:rFonts w:ascii="宋体" w:hAnsi="宋体" w:cs="宋体"/>
          <w:b/>
          <w:bCs/>
          <w:sz w:val="24"/>
        </w:rPr>
      </w:pPr>
      <w:r>
        <w:rPr>
          <w:rFonts w:hint="eastAsia" w:ascii="宋体" w:hAnsi="宋体" w:cs="宋体"/>
          <w:bCs/>
          <w:sz w:val="24"/>
        </w:rPr>
        <w:t>⑼ 本合同其他附件；</w:t>
      </w:r>
    </w:p>
    <w:p>
      <w:pPr>
        <w:spacing w:line="360"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京溪分公司2021年紫外消毒系统大修项目</w:t>
      </w:r>
    </w:p>
    <w:p>
      <w:pPr>
        <w:spacing w:line="384" w:lineRule="auto"/>
        <w:ind w:firstLine="480" w:firstLineChars="200"/>
        <w:rPr>
          <w:rFonts w:ascii="宋体" w:hAnsi="宋体" w:cs="宋体"/>
          <w:sz w:val="24"/>
        </w:rPr>
      </w:pPr>
      <w:r>
        <w:rPr>
          <w:rFonts w:hint="eastAsia" w:ascii="宋体" w:hAnsi="宋体" w:cs="宋体"/>
          <w:sz w:val="24"/>
        </w:rPr>
        <w:t>2.2项目地点：</w:t>
      </w:r>
      <w:r>
        <w:rPr>
          <w:rFonts w:hint="eastAsia" w:ascii="宋体" w:hAnsi="宋体" w:cs="宋体"/>
          <w:sz w:val="24"/>
          <w:u w:val="single"/>
        </w:rPr>
        <w:t>广州市净水有限公司京溪分公司</w:t>
      </w:r>
      <w:r>
        <w:rPr>
          <w:rFonts w:hint="eastAsia" w:ascii="宋体" w:hAnsi="宋体" w:cs="宋体"/>
          <w:sz w:val="24"/>
        </w:rPr>
        <w:t>。</w:t>
      </w:r>
    </w:p>
    <w:p>
      <w:pPr>
        <w:spacing w:line="384"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3</w:t>
      </w:r>
      <w:r>
        <w:rPr>
          <w:rFonts w:hint="eastAsia" w:ascii="宋体" w:hAnsi="宋体" w:cs="宋体"/>
          <w:sz w:val="24"/>
        </w:rPr>
        <w:t>项目内容：</w:t>
      </w:r>
      <w:r>
        <w:rPr>
          <w:rFonts w:hint="eastAsia" w:ascii="宋体" w:hAnsi="宋体" w:cs="宋体"/>
          <w:sz w:val="24"/>
          <w:u w:val="single"/>
        </w:rPr>
        <w:t>对5台管道式紫外消毒系统装置（制造商均为德国X</w:t>
      </w:r>
      <w:r>
        <w:rPr>
          <w:rFonts w:ascii="宋体" w:hAnsi="宋体" w:cs="宋体"/>
          <w:sz w:val="24"/>
          <w:u w:val="single"/>
        </w:rPr>
        <w:t xml:space="preserve">ylem </w:t>
      </w:r>
      <w:r>
        <w:rPr>
          <w:rFonts w:hint="eastAsia" w:ascii="宋体" w:hAnsi="宋体" w:cs="宋体"/>
          <w:sz w:val="24"/>
          <w:u w:val="single"/>
        </w:rPr>
        <w:t>WED</w:t>
      </w:r>
      <w:r>
        <w:rPr>
          <w:rFonts w:ascii="宋体" w:hAnsi="宋体" w:cs="宋体"/>
          <w:sz w:val="24"/>
          <w:u w:val="single"/>
        </w:rPr>
        <w:t>E</w:t>
      </w:r>
      <w:r>
        <w:rPr>
          <w:rFonts w:hint="eastAsia" w:ascii="宋体" w:hAnsi="宋体" w:cs="宋体"/>
          <w:sz w:val="24"/>
          <w:u w:val="single"/>
        </w:rPr>
        <w:t>CO，1台型号为MVA162272 LBX1000e</w:t>
      </w:r>
      <w:r>
        <w:rPr>
          <w:rFonts w:ascii="宋体" w:hAnsi="宋体" w:cs="宋体"/>
          <w:sz w:val="24"/>
          <w:u w:val="single"/>
        </w:rPr>
        <w:t>,4</w:t>
      </w:r>
      <w:r>
        <w:rPr>
          <w:rFonts w:hint="eastAsia" w:ascii="宋体" w:hAnsi="宋体" w:cs="宋体"/>
          <w:sz w:val="24"/>
          <w:u w:val="single"/>
        </w:rPr>
        <w:t>台型号为VA106697 LBX1000）进行大修，消除存在隐患，提高设备运行性能。</w:t>
      </w:r>
    </w:p>
    <w:p>
      <w:pPr>
        <w:spacing w:line="384" w:lineRule="auto"/>
        <w:ind w:firstLine="480" w:firstLineChars="200"/>
      </w:pPr>
      <w:r>
        <w:rPr>
          <w:rFonts w:hint="eastAsia" w:ascii="宋体" w:hAnsi="宋体" w:cs="宋体"/>
          <w:sz w:val="24"/>
        </w:rPr>
        <w:t>2.</w:t>
      </w:r>
      <w:r>
        <w:rPr>
          <w:rFonts w:ascii="宋体" w:hAnsi="宋体" w:cs="宋体"/>
          <w:sz w:val="24"/>
        </w:rPr>
        <w:t>4</w:t>
      </w:r>
      <w:r>
        <w:rPr>
          <w:rFonts w:hint="eastAsia" w:ascii="宋体" w:hAnsi="宋体" w:cs="宋体"/>
          <w:sz w:val="24"/>
        </w:rPr>
        <w:t>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2"/>
          <w:sz w:val="31"/>
          <w:szCs w:val="21"/>
        </w:rPr>
        <w:instrText xml:space="preserve">□,</w:instrText>
      </w:r>
      <w:r>
        <w:rPr>
          <w:rFonts w:hint="eastAsia" w:ascii="宋体" w:hAnsi="宋体" w:cs="宋体"/>
          <w:position w:val="1"/>
          <w:szCs w:val="21"/>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ascii="宋体" w:hAnsi="宋体" w:cs="宋体"/>
          <w:szCs w:val="21"/>
        </w:rPr>
        <w:t xml:space="preserve"> </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eq \o\ac(</w:instrText>
      </w:r>
      <w:r>
        <w:rPr>
          <w:rFonts w:hint="eastAsia" w:ascii="宋体" w:hAnsi="宋体" w:cs="宋体"/>
          <w:position w:val="-2"/>
          <w:sz w:val="31"/>
          <w:szCs w:val="21"/>
        </w:rPr>
        <w:instrText xml:space="preserve">□</w:instrText>
      </w:r>
      <w:r>
        <w:rPr>
          <w:rFonts w:hint="eastAsia" w:ascii="宋体" w:hAnsi="宋体" w:cs="宋体"/>
          <w:szCs w:val="21"/>
        </w:rPr>
        <w:instrText xml:space="preserve">)</w:instrText>
      </w:r>
      <w:r>
        <w:rPr>
          <w:rFonts w:ascii="宋体" w:hAnsi="宋体" w:cs="宋体"/>
          <w:szCs w:val="21"/>
        </w:rPr>
        <w:fldChar w:fldCharType="end"/>
      </w:r>
      <w:r>
        <w:rPr>
          <w:rFonts w:ascii="宋体" w:hAnsi="宋体" w:cs="宋体"/>
          <w:szCs w:val="21"/>
        </w:rPr>
        <w:t xml:space="preserve">  </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 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w:t>
      </w:r>
      <w:r>
        <w:rPr>
          <w:rFonts w:hint="eastAsia" w:ascii="宋体" w:hAnsi="宋体" w:cs="宋体"/>
          <w:sz w:val="24"/>
          <w:u w:val="single"/>
        </w:rPr>
        <w:t>（1）</w:t>
      </w:r>
      <w:r>
        <w:rPr>
          <w:rFonts w:hint="eastAsia" w:ascii="宋体" w:hAnsi="宋体" w:cs="宋体"/>
          <w:sz w:val="24"/>
        </w:rPr>
        <w:t>以下执行。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 xml:space="preserve">人民币… </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rPr>
      </w:pPr>
      <w:r>
        <w:rPr>
          <w:rFonts w:hint="eastAsia" w:ascii="宋体" w:hAnsi="宋体" w:cs="宋体"/>
          <w:sz w:val="24"/>
        </w:rPr>
        <w:t>综合单价为：</w:t>
      </w:r>
      <w:r>
        <w:rPr>
          <w:rFonts w:hint="eastAsia" w:ascii="宋体" w:hAnsi="宋体" w:cs="宋体"/>
          <w:sz w:val="24"/>
          <w:u w:val="single"/>
        </w:rPr>
        <w:t>人民币 /</w:t>
      </w:r>
      <w:r>
        <w:rPr>
          <w:rFonts w:ascii="宋体" w:hAnsi="宋体" w:cs="宋体"/>
          <w:sz w:val="24"/>
          <w:u w:val="single"/>
        </w:rPr>
        <w:t xml:space="preserve"> </w:t>
      </w:r>
      <w:r>
        <w:rPr>
          <w:rFonts w:hint="eastAsia" w:ascii="宋体" w:hAnsi="宋体" w:cs="宋体"/>
          <w:sz w:val="24"/>
          <w:u w:val="single"/>
        </w:rPr>
        <w:t>元</w:t>
      </w:r>
      <w:r>
        <w:rPr>
          <w:rFonts w:ascii="宋体" w:hAnsi="宋体" w:cs="宋体"/>
          <w:sz w:val="24"/>
          <w:u w:val="single"/>
        </w:rPr>
        <w:t>/m</w:t>
      </w:r>
      <w:r>
        <w:rPr>
          <w:rFonts w:ascii="宋体" w:hAnsi="宋体" w:cs="宋体"/>
          <w:sz w:val="24"/>
          <w:u w:val="single"/>
          <w:vertAlign w:val="superscript"/>
        </w:rPr>
        <w:t>3</w:t>
      </w:r>
      <w:r>
        <w:rPr>
          <w:rFonts w:ascii="宋体" w:hAnsi="宋体" w:cs="宋体"/>
          <w:sz w:val="24"/>
          <w:u w:val="single"/>
        </w:rPr>
        <w:t>(</w:t>
      </w:r>
      <w:r>
        <w:rPr>
          <w:rFonts w:hint="eastAsia" w:ascii="宋体" w:hAnsi="宋体" w:cs="宋体"/>
          <w:sz w:val="24"/>
          <w:u w:val="single"/>
        </w:rPr>
        <w:t>大写：/</w:t>
      </w:r>
      <w:r>
        <w:rPr>
          <w:rFonts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szCs w:val="24"/>
        </w:rPr>
      </w:pPr>
      <w:r>
        <w:rPr>
          <w:rFonts w:hint="eastAsia" w:ascii="宋体" w:hAnsi="宋体" w:cs="宋体"/>
          <w:sz w:val="24"/>
          <w:szCs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 /</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szCs w:val="24"/>
        </w:rPr>
        <w:t>4.3因非甲方原因引起工程量报价清单中工程量发生增减，且单个子目工程量变化幅度在5%以内（含）时，按工程量报价清单中列明的子目单价结算。否则，按新增单价执行。</w:t>
      </w:r>
    </w:p>
    <w:p>
      <w:pPr>
        <w:spacing w:line="384" w:lineRule="auto"/>
        <w:ind w:firstLine="480" w:firstLineChars="200"/>
        <w:rPr>
          <w:rFonts w:ascii="宋体" w:hAnsi="宋体" w:cs="宋体"/>
          <w:bCs/>
          <w:sz w:val="24"/>
        </w:rPr>
      </w:pPr>
      <w:r>
        <w:rPr>
          <w:rFonts w:hint="eastAsia" w:ascii="宋体" w:hAnsi="宋体" w:cs="宋体"/>
          <w:bCs/>
          <w:sz w:val="24"/>
        </w:rPr>
        <w:t>4.4合同中没有适用于变更工程项目的单价的，按新增单价执行。</w:t>
      </w:r>
    </w:p>
    <w:p>
      <w:pPr>
        <w:spacing w:line="384" w:lineRule="auto"/>
        <w:ind w:firstLine="480" w:firstLineChars="200"/>
        <w:rPr>
          <w:rFonts w:ascii="宋体" w:hAnsi="宋体" w:cs="宋体"/>
          <w:bCs/>
          <w:sz w:val="24"/>
        </w:rPr>
      </w:pPr>
      <w:r>
        <w:rPr>
          <w:rFonts w:hint="eastAsia" w:ascii="宋体" w:hAnsi="宋体" w:cs="宋体"/>
          <w:bCs/>
          <w:sz w:val="24"/>
        </w:rPr>
        <w:t>新增单价计价原则：</w:t>
      </w:r>
    </w:p>
    <w:p>
      <w:pPr>
        <w:spacing w:line="384" w:lineRule="auto"/>
        <w:ind w:firstLine="480" w:firstLineChars="200"/>
        <w:rPr>
          <w:rFonts w:ascii="宋体" w:hAnsi="宋体" w:cs="宋体"/>
          <w:bCs/>
          <w:sz w:val="24"/>
        </w:rPr>
      </w:pPr>
      <w:r>
        <w:rPr>
          <w:rFonts w:hint="eastAsia" w:ascii="宋体" w:hAnsi="宋体" w:cs="宋体"/>
          <w:bCs/>
          <w:sz w:val="24"/>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384" w:lineRule="auto"/>
        <w:ind w:firstLine="480" w:firstLineChars="200"/>
        <w:rPr>
          <w:rFonts w:ascii="宋体" w:hAnsi="宋体" w:cs="宋体"/>
          <w:bCs/>
          <w:sz w:val="24"/>
        </w:rPr>
      </w:pPr>
      <w:r>
        <w:rPr>
          <w:rFonts w:hint="eastAsia" w:ascii="宋体" w:hAnsi="宋体" w:cs="宋体"/>
          <w:bCs/>
          <w:sz w:val="24"/>
        </w:rPr>
        <w:t>2.项目计价材料、设备价格的控制：按以下顺序作为降序优先级依次采用工程开工报告中开工日期当月的下列价格：</w:t>
      </w:r>
    </w:p>
    <w:p>
      <w:pPr>
        <w:spacing w:line="384" w:lineRule="auto"/>
        <w:ind w:firstLine="480" w:firstLineChars="200"/>
        <w:rPr>
          <w:rFonts w:ascii="宋体" w:hAnsi="宋体" w:cs="宋体"/>
          <w:bCs/>
          <w:sz w:val="24"/>
        </w:rPr>
      </w:pPr>
      <w:r>
        <w:rPr>
          <w:rFonts w:hint="eastAsia" w:ascii="宋体" w:hAnsi="宋体" w:cs="宋体"/>
          <w:bCs/>
          <w:sz w:val="24"/>
        </w:rPr>
        <w:t>（1）《广州地区建设工程常用材料税前综合价格》（下称综合价格）。</w:t>
      </w:r>
    </w:p>
    <w:p>
      <w:pPr>
        <w:spacing w:line="384" w:lineRule="auto"/>
        <w:ind w:firstLine="480" w:firstLineChars="200"/>
        <w:rPr>
          <w:rFonts w:ascii="宋体" w:hAnsi="宋体" w:cs="宋体"/>
          <w:bCs/>
          <w:sz w:val="24"/>
        </w:rPr>
      </w:pPr>
      <w:r>
        <w:rPr>
          <w:rFonts w:hint="eastAsia" w:ascii="宋体" w:hAnsi="宋体" w:cs="宋体"/>
          <w:bCs/>
          <w:sz w:val="24"/>
        </w:rPr>
        <w:t>（2）《广州地区建设工程材料（设备）厂商价格信息》（下称厂商价格）下浮10-20%。</w:t>
      </w:r>
    </w:p>
    <w:p>
      <w:pPr>
        <w:spacing w:line="384" w:lineRule="auto"/>
        <w:ind w:firstLine="480" w:firstLineChars="200"/>
        <w:rPr>
          <w:rFonts w:ascii="宋体" w:hAnsi="宋体" w:cs="宋体"/>
          <w:bCs/>
          <w:sz w:val="24"/>
        </w:rPr>
      </w:pPr>
      <w:r>
        <w:rPr>
          <w:rFonts w:hint="eastAsia" w:ascii="宋体" w:hAnsi="宋体" w:cs="宋体"/>
          <w:bCs/>
          <w:sz w:val="24"/>
        </w:rPr>
        <w:t>（3）综合价格、厂商价格中缺项的，采用由北京瑞恒达建筑咨询有限公司提供服务的“慧讯网”中查到的相应材料、设备价格的工程价。</w:t>
      </w:r>
    </w:p>
    <w:p>
      <w:pPr>
        <w:spacing w:line="384" w:lineRule="auto"/>
        <w:ind w:firstLine="480" w:firstLineChars="200"/>
        <w:rPr>
          <w:rFonts w:ascii="宋体" w:hAnsi="宋体" w:cs="宋体"/>
          <w:bCs/>
          <w:sz w:val="24"/>
        </w:rPr>
      </w:pPr>
      <w:r>
        <w:rPr>
          <w:rFonts w:ascii="宋体" w:hAnsi="宋体" w:cs="宋体"/>
          <w:bCs/>
          <w:sz w:val="24"/>
        </w:rPr>
        <w:t>（4）通过市场询价双方协商确定。</w:t>
      </w:r>
    </w:p>
    <w:p>
      <w:pPr>
        <w:spacing w:line="384" w:lineRule="auto"/>
        <w:ind w:firstLine="480" w:firstLineChars="200"/>
        <w:rPr>
          <w:rFonts w:ascii="宋体" w:hAnsi="宋体" w:cs="宋体"/>
          <w:bCs/>
          <w:sz w:val="24"/>
        </w:rPr>
      </w:pPr>
      <w:r>
        <w:rPr>
          <w:rFonts w:hint="eastAsia" w:ascii="宋体" w:hAnsi="宋体" w:cs="宋体"/>
          <w:bCs/>
          <w:sz w:val="24"/>
        </w:rPr>
        <w:t>3.按1、2组价后下浮5%计取。</w:t>
      </w:r>
    </w:p>
    <w:p>
      <w:pPr>
        <w:spacing w:line="360" w:lineRule="auto"/>
        <w:ind w:firstLine="482" w:firstLineChars="200"/>
        <w:rPr>
          <w:rFonts w:ascii="宋体" w:hAnsi="宋体" w:cs="宋体"/>
          <w:b/>
          <w:bCs/>
          <w:sz w:val="24"/>
        </w:rPr>
      </w:pPr>
      <w:r>
        <w:rPr>
          <w:rFonts w:hint="eastAsia" w:ascii="宋体" w:hAnsi="宋体" w:cs="宋体"/>
          <w:b/>
          <w:bCs/>
          <w:sz w:val="24"/>
        </w:rPr>
        <w:t>第五条 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年 </w:t>
      </w:r>
      <w:r>
        <w:rPr>
          <w:rFonts w:ascii="宋体" w:hAnsi="宋体" w:cs="宋体"/>
          <w:sz w:val="24"/>
          <w:u w:val="single"/>
        </w:rPr>
        <w:t xml:space="preserve">  </w:t>
      </w:r>
      <w:r>
        <w:rPr>
          <w:rFonts w:hint="eastAsia" w:ascii="宋体" w:hAnsi="宋体" w:cs="宋体"/>
          <w:sz w:val="24"/>
          <w:u w:val="single"/>
        </w:rPr>
        <w:t xml:space="preserve">月 </w:t>
      </w:r>
      <w:r>
        <w:rPr>
          <w:rFonts w:ascii="宋体" w:hAnsi="宋体" w:cs="宋体"/>
          <w:sz w:val="24"/>
          <w:u w:val="single"/>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3</w:t>
      </w:r>
      <w:r>
        <w:rPr>
          <w:rFonts w:ascii="宋体" w:hAnsi="宋体" w:cs="宋体"/>
          <w:sz w:val="24"/>
          <w:u w:val="single"/>
        </w:rPr>
        <w:t>0</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rPr>
        <w:t>1</w:t>
      </w:r>
      <w:r>
        <w:rPr>
          <w:rFonts w:ascii="宋体" w:hAnsi="宋体" w:cs="宋体"/>
          <w:sz w:val="24"/>
          <w:u w:val="single"/>
        </w:rPr>
        <w:t>5</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u w:val="single"/>
        </w:rPr>
        <w:t>1</w:t>
      </w:r>
      <w:r>
        <w:rPr>
          <w:rFonts w:ascii="宋体" w:hAnsi="宋体" w:cs="宋体"/>
          <w:bCs/>
          <w:sz w:val="24"/>
          <w:u w:val="single"/>
        </w:rPr>
        <w:t>5</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sz w:val="24"/>
          <w:u w:val="single"/>
        </w:rPr>
        <w:t>1</w:t>
      </w:r>
      <w:r>
        <w:rPr>
          <w:rFonts w:ascii="宋体" w:hAnsi="宋体" w:cs="宋体"/>
          <w:bCs/>
          <w:sz w:val="24"/>
          <w:u w:val="single"/>
        </w:rPr>
        <w:t>0</w:t>
      </w:r>
      <w:r>
        <w:rPr>
          <w:rFonts w:ascii="宋体" w:hAnsi="宋体" w:cs="宋体"/>
          <w:bCs/>
          <w:sz w:val="24"/>
        </w:rPr>
        <w:t>日，甲方有权解除合同并要求乙方支付合同暂定总价的20%作为违约金</w:t>
      </w:r>
      <w:r>
        <w:rPr>
          <w:rFonts w:hint="eastAsia" w:ascii="宋体" w:hAnsi="宋体" w:cs="宋体"/>
          <w:bCs/>
          <w:sz w:val="24"/>
        </w:rPr>
        <w:t>（如合同另行约定违约责任，从其约定）</w:t>
      </w:r>
      <w:r>
        <w:rPr>
          <w:rFonts w:ascii="宋体" w:hAnsi="宋体" w:cs="宋体"/>
          <w:bCs/>
          <w:sz w:val="24"/>
        </w:rPr>
        <w:t>。</w:t>
      </w:r>
    </w:p>
    <w:p>
      <w:pPr>
        <w:widowControl/>
        <w:spacing w:line="384" w:lineRule="auto"/>
        <w:ind w:left="1" w:firstLine="480" w:firstLineChars="200"/>
        <w:jc w:val="left"/>
        <w:rPr>
          <w:rFonts w:ascii="宋体" w:hAnsi="宋体" w:cs="宋体"/>
          <w:bCs/>
          <w:sz w:val="24"/>
        </w:rPr>
      </w:pPr>
      <w:r>
        <w:rPr>
          <w:rFonts w:hint="eastAsia" w:ascii="宋体" w:hAnsi="宋体" w:cs="宋体"/>
          <w:bCs/>
          <w:sz w:val="24"/>
        </w:rPr>
        <w:t xml:space="preserve">5.6乙方不得随意更换项目负责人及附件5中的相关人员，如确须更换，应提前征得甲方同意。如有违反，甲方有权解除合同并要求乙方支付5000元/人次作为违约金，以及赔偿由此造成的一切损失(包含质量安全事故、工期延误、增加投资等)。 </w:t>
      </w:r>
    </w:p>
    <w:p>
      <w:pPr>
        <w:widowControl/>
        <w:spacing w:line="384" w:lineRule="auto"/>
        <w:ind w:left="1" w:firstLine="480" w:firstLineChars="200"/>
        <w:jc w:val="left"/>
        <w:rPr>
          <w:rFonts w:ascii="宋体" w:hAnsi="宋体" w:cs="宋体"/>
          <w:bCs/>
          <w:sz w:val="24"/>
        </w:rPr>
      </w:pPr>
      <w:r>
        <w:rPr>
          <w:rFonts w:hint="eastAsia" w:ascii="宋体" w:hAnsi="宋体" w:cs="宋体"/>
          <w:bCs/>
          <w:sz w:val="24"/>
        </w:rPr>
        <w:t>5.7施工过程中，项目负责人应驻场管理，否则甲方有权要求乙方支付违约 1000元/天，因此造成损失的，按实际发生额赔偿。</w:t>
      </w:r>
    </w:p>
    <w:p>
      <w:pPr>
        <w:widowControl/>
        <w:spacing w:line="384" w:lineRule="auto"/>
        <w:ind w:left="1" w:firstLine="480" w:firstLineChars="200"/>
        <w:jc w:val="left"/>
        <w:rPr>
          <w:rFonts w:ascii="宋体" w:hAnsi="宋体" w:cs="宋体"/>
          <w:bCs/>
          <w:sz w:val="24"/>
        </w:rPr>
      </w:pPr>
      <w:r>
        <w:rPr>
          <w:rFonts w:hint="eastAsia" w:ascii="宋体" w:hAnsi="宋体" w:cs="宋体"/>
          <w:bCs/>
          <w:sz w:val="24"/>
        </w:rPr>
        <w:t>5.8施工过程中，乙方应负责配备现场的应急物资。具体应急物资配备详见附件应急救援物资清单。</w:t>
      </w:r>
    </w:p>
    <w:p>
      <w:pPr>
        <w:widowControl/>
        <w:spacing w:line="384" w:lineRule="auto"/>
        <w:ind w:left="1" w:firstLine="480" w:firstLineChars="200"/>
        <w:jc w:val="left"/>
        <w:rPr>
          <w:rFonts w:ascii="宋体" w:hAnsi="宋体" w:cs="宋体"/>
          <w:bCs/>
          <w:sz w:val="24"/>
        </w:rPr>
      </w:pPr>
      <w:r>
        <w:rPr>
          <w:rFonts w:hint="eastAsia" w:ascii="宋体" w:hAnsi="宋体" w:cs="宋体"/>
          <w:bCs/>
          <w:sz w:val="24"/>
        </w:rPr>
        <w:t>5.9在合同有效期内，若乙方发生不诚信行为情形的，乙方自愿接受甲方按《广州市净水有限公司经营建设项目参建企业不诚信行为管理办法》处理。</w:t>
      </w:r>
    </w:p>
    <w:p>
      <w:pPr>
        <w:spacing w:line="360" w:lineRule="auto"/>
        <w:ind w:firstLine="482" w:firstLineChars="200"/>
        <w:rPr>
          <w:rFonts w:ascii="宋体" w:hAnsi="宋体" w:cs="宋体"/>
          <w:b/>
          <w:bCs/>
          <w:sz w:val="24"/>
        </w:rPr>
      </w:pPr>
      <w:r>
        <w:rPr>
          <w:rFonts w:hint="eastAsia" w:ascii="宋体" w:hAnsi="宋体" w:cs="宋体"/>
          <w:b/>
          <w:bCs/>
          <w:sz w:val="24"/>
        </w:rPr>
        <w:t>第六条 实施条件及管理要求</w:t>
      </w:r>
    </w:p>
    <w:p>
      <w:pPr>
        <w:spacing w:line="360"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60"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rPr>
        <w:t xml:space="preserve"> </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方式执行。</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60"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60"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60"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60" w:lineRule="auto"/>
        <w:ind w:firstLine="480" w:firstLineChars="200"/>
        <w:rPr>
          <w:rFonts w:ascii="宋体" w:hAnsi="宋体" w:cs="宋体"/>
          <w:b/>
          <w:bCs/>
          <w:sz w:val="24"/>
        </w:rPr>
      </w:pPr>
      <w:r>
        <w:rPr>
          <w:rFonts w:ascii="宋体" w:hAnsi="宋体" w:cs="宋体"/>
          <w:sz w:val="24"/>
        </w:rPr>
        <w:t>6.6</w:t>
      </w:r>
      <w:r>
        <w:rPr>
          <w:rFonts w:hint="eastAsia" w:ascii="宋体" w:hAnsi="宋体" w:cs="宋体"/>
          <w:sz w:val="24"/>
        </w:rPr>
        <w:t>按相关法律法规及甲方相关作业施工管理要求执行。</w:t>
      </w:r>
    </w:p>
    <w:p>
      <w:pPr>
        <w:spacing w:line="360" w:lineRule="auto"/>
        <w:ind w:firstLine="482" w:firstLineChars="200"/>
        <w:rPr>
          <w:rFonts w:ascii="宋体" w:hAnsi="宋体" w:cs="宋体"/>
          <w:b/>
          <w:bCs/>
          <w:sz w:val="24"/>
        </w:rPr>
      </w:pPr>
      <w:r>
        <w:rPr>
          <w:rFonts w:hint="eastAsia" w:ascii="宋体" w:hAnsi="宋体" w:cs="宋体"/>
          <w:b/>
          <w:bCs/>
          <w:sz w:val="24"/>
        </w:rPr>
        <w:t>第七条 材料及设备供应</w:t>
      </w:r>
    </w:p>
    <w:p>
      <w:pPr>
        <w:spacing w:line="360"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60"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60" w:lineRule="auto"/>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60"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60"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60"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60" w:lineRule="auto"/>
        <w:ind w:firstLine="480" w:firstLineChars="200"/>
        <w:rPr>
          <w:rFonts w:ascii="宋体" w:hAnsi="宋体" w:cs="宋体"/>
          <w:b/>
          <w:bCs/>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60" w:lineRule="auto"/>
        <w:ind w:firstLine="482" w:firstLineChars="200"/>
        <w:rPr>
          <w:rFonts w:ascii="宋体" w:hAnsi="宋体" w:cs="宋体"/>
          <w:b/>
          <w:bCs/>
          <w:sz w:val="24"/>
        </w:rPr>
      </w:pPr>
      <w:r>
        <w:rPr>
          <w:rFonts w:hint="eastAsia" w:ascii="宋体" w:hAnsi="宋体" w:cs="宋体"/>
          <w:b/>
          <w:bCs/>
          <w:sz w:val="24"/>
        </w:rPr>
        <w:t>第八条 付款及履约担保</w:t>
      </w:r>
    </w:p>
    <w:p>
      <w:pPr>
        <w:spacing w:line="360"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t xml:space="preserve">     </w:t>
      </w:r>
      <w:r>
        <w:rPr>
          <w:rFonts w:ascii="宋体" w:hAnsi="宋体" w:cs="宋体"/>
          <w:bCs/>
          <w:sz w:val="24"/>
        </w:rPr>
        <w:sym w:font="Wingdings" w:char="F0A8"/>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 xml:space="preserve">  30%  </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spacing w:line="360" w:lineRule="auto"/>
        <w:ind w:firstLine="480" w:firstLineChars="200"/>
        <w:rPr>
          <w:rFonts w:ascii="宋体" w:hAnsi="宋体" w:cs="宋体"/>
          <w:sz w:val="24"/>
        </w:rPr>
      </w:pPr>
      <w:r>
        <w:rPr>
          <w:rFonts w:ascii="宋体" w:hAnsi="宋体" w:cs="宋体"/>
          <w:sz w:val="24"/>
        </w:rPr>
        <w:t>8.2</w:t>
      </w:r>
      <w:r>
        <w:rPr>
          <w:rFonts w:hint="eastAsia" w:ascii="宋体" w:hAnsi="宋体"/>
          <w:color w:val="000000"/>
          <w:sz w:val="24"/>
        </w:rPr>
        <w:t>合同价款按以下支付：</w:t>
      </w:r>
    </w:p>
    <w:p>
      <w:pPr>
        <w:spacing w:line="360" w:lineRule="auto"/>
        <w:ind w:firstLine="480" w:firstLineChars="200"/>
        <w:rPr>
          <w:rFonts w:ascii="宋体" w:hAnsi="宋体" w:cs="宋体"/>
          <w:sz w:val="24"/>
        </w:rPr>
      </w:pPr>
      <w:r>
        <w:rPr>
          <w:rFonts w:hint="eastAsia" w:ascii="宋体" w:hAnsi="宋体" w:cs="宋体"/>
          <w:bCs/>
          <w:sz w:val="24"/>
          <w:lang w:eastAsia="zh-CN"/>
        </w:rPr>
        <w:t>★</w:t>
      </w:r>
      <w:r>
        <w:rPr>
          <w:rFonts w:hint="eastAsia" w:ascii="宋体" w:hAnsi="宋体" w:cs="宋体"/>
          <w:sz w:val="24"/>
        </w:rPr>
        <w:t>8</w:t>
      </w:r>
      <w:r>
        <w:rPr>
          <w:rFonts w:ascii="宋体" w:hAnsi="宋体" w:cs="宋体"/>
          <w:sz w:val="24"/>
        </w:rPr>
        <w:t>.2.1</w:t>
      </w:r>
      <w:r>
        <w:rPr>
          <w:rFonts w:hint="eastAsia" w:ascii="宋体" w:hAnsi="宋体" w:cs="宋体"/>
          <w:bCs/>
          <w:kern w:val="0"/>
          <w:sz w:val="24"/>
        </w:rPr>
        <w:t>（1）设备正常投入使用5天后，</w:t>
      </w:r>
      <w:r>
        <w:rPr>
          <w:rFonts w:hint="eastAsia" w:ascii="宋体" w:hAnsi="宋体" w:cs="宋体"/>
          <w:sz w:val="24"/>
        </w:rPr>
        <w:t>在此期间每天出水粪大肠菌群数达到</w:t>
      </w:r>
      <w:r>
        <w:rPr>
          <w:rFonts w:hint="eastAsia" w:ascii="宋体" w:hAnsi="宋体" w:cs="宋体"/>
          <w:bCs/>
          <w:sz w:val="24"/>
        </w:rPr>
        <w:t>≤</w:t>
      </w:r>
      <w:r>
        <w:rPr>
          <w:rFonts w:hint="eastAsia" w:ascii="宋体" w:hAnsi="宋体" w:cs="宋体"/>
          <w:bCs/>
          <w:sz w:val="24"/>
          <w:lang w:val="en-US" w:eastAsia="zh-CN"/>
        </w:rPr>
        <w:t>5</w:t>
      </w:r>
      <w:r>
        <w:rPr>
          <w:rFonts w:ascii="宋体" w:hAnsi="宋体" w:cs="宋体"/>
          <w:bCs/>
          <w:sz w:val="24"/>
        </w:rPr>
        <w:t>00</w:t>
      </w:r>
      <w:r>
        <w:rPr>
          <w:rFonts w:hint="eastAsia" w:ascii="宋体" w:hAnsi="宋体" w:cs="宋体"/>
          <w:bCs/>
          <w:sz w:val="24"/>
        </w:rPr>
        <w:t>个/L的要求</w:t>
      </w:r>
      <w:r>
        <w:rPr>
          <w:rFonts w:hint="eastAsia" w:ascii="宋体" w:hAnsi="宋体" w:cs="宋体"/>
          <w:bCs/>
          <w:kern w:val="0"/>
          <w:sz w:val="24"/>
          <w:szCs w:val="22"/>
        </w:rPr>
        <w:t>，</w:t>
      </w:r>
      <w:r>
        <w:rPr>
          <w:rFonts w:hint="eastAsia" w:ascii="宋体" w:hAnsi="宋体" w:cs="宋体"/>
          <w:bCs/>
          <w:kern w:val="0"/>
          <w:sz w:val="24"/>
        </w:rPr>
        <w:t>则项目验收合格，由乙方提交申请支付资料 15 个工作日内，甲方支付合同暂定总价的30％即</w:t>
      </w:r>
      <w:r>
        <w:rPr>
          <w:rFonts w:hint="eastAsia" w:ascii="宋体" w:hAnsi="宋体" w:cs="宋体"/>
          <w:bCs/>
          <w:kern w:val="0"/>
          <w:sz w:val="24"/>
          <w:u w:val="single"/>
        </w:rPr>
        <w:t xml:space="preserve">     </w:t>
      </w:r>
      <w:r>
        <w:rPr>
          <w:rFonts w:hint="eastAsia" w:ascii="宋体" w:hAnsi="宋体" w:cs="宋体"/>
          <w:bCs/>
          <w:kern w:val="0"/>
          <w:sz w:val="24"/>
        </w:rPr>
        <w:t>元（大写人民币：</w:t>
      </w:r>
      <w:r>
        <w:rPr>
          <w:rFonts w:hint="eastAsia" w:ascii="宋体" w:hAnsi="宋体" w:cs="宋体"/>
          <w:bCs/>
          <w:kern w:val="0"/>
          <w:sz w:val="24"/>
          <w:u w:val="single"/>
        </w:rPr>
        <w:t xml:space="preserve"> </w:t>
      </w:r>
      <w:r>
        <w:rPr>
          <w:rFonts w:ascii="宋体" w:hAnsi="宋体" w:cs="宋体"/>
          <w:bCs/>
          <w:kern w:val="0"/>
          <w:sz w:val="24"/>
          <w:u w:val="single"/>
        </w:rPr>
        <w:t xml:space="preserve">          </w:t>
      </w:r>
      <w:r>
        <w:rPr>
          <w:rFonts w:hint="eastAsia" w:ascii="宋体" w:hAnsi="宋体" w:cs="宋体"/>
          <w:bCs/>
          <w:kern w:val="0"/>
          <w:sz w:val="24"/>
        </w:rPr>
        <w:t>）。</w:t>
      </w:r>
    </w:p>
    <w:p>
      <w:pPr>
        <w:spacing w:line="360" w:lineRule="auto"/>
        <w:ind w:firstLine="480" w:firstLineChars="200"/>
        <w:rPr>
          <w:rFonts w:ascii="宋体" w:hAnsi="宋体" w:cs="宋体"/>
          <w:sz w:val="24"/>
        </w:rPr>
      </w:pPr>
      <w:r>
        <w:rPr>
          <w:rFonts w:hint="eastAsia" w:ascii="宋体" w:hAnsi="宋体" w:cs="宋体"/>
          <w:sz w:val="24"/>
        </w:rPr>
        <w:t>（2）全部设备正常投入使用2000小时后，由乙方提交申请支付资料</w:t>
      </w:r>
      <w:r>
        <w:rPr>
          <w:rFonts w:ascii="宋体" w:hAnsi="宋体" w:cs="宋体"/>
          <w:sz w:val="24"/>
        </w:rPr>
        <w:t xml:space="preserve"> 15 </w:t>
      </w:r>
      <w:r>
        <w:rPr>
          <w:rFonts w:hint="eastAsia" w:ascii="宋体" w:hAnsi="宋体" w:cs="宋体"/>
          <w:sz w:val="24"/>
        </w:rPr>
        <w:t>个工作日内，甲方支付至合同暂定总价的60％即</w:t>
      </w:r>
      <w:r>
        <w:rPr>
          <w:rFonts w:ascii="宋体" w:hAnsi="宋体" w:cs="宋体"/>
          <w:sz w:val="24"/>
          <w:u w:val="single"/>
        </w:rPr>
        <w:t xml:space="preserve">     </w:t>
      </w:r>
      <w:r>
        <w:rPr>
          <w:rFonts w:hint="eastAsia" w:ascii="宋体" w:hAnsi="宋体" w:cs="宋体"/>
          <w:sz w:val="24"/>
        </w:rPr>
        <w:t>元（大写人民币：</w:t>
      </w:r>
      <w:r>
        <w:rPr>
          <w:rFonts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（3）全部设备正常投入使用7000小时后，经甲方或甲方委托有资质第三方审价机构审核后，由乙方提交申请结算支付资料15 个工作日内，甲方支付至合同结算价的95%。</w:t>
      </w:r>
    </w:p>
    <w:p>
      <w:pPr>
        <w:pStyle w:val="12"/>
        <w:spacing w:line="360" w:lineRule="auto"/>
        <w:ind w:firstLine="480" w:firstLineChars="200"/>
        <w:outlineLvl w:val="1"/>
        <w:rPr>
          <w:rFonts w:hAnsi="宋体" w:cs="宋体"/>
          <w:sz w:val="24"/>
        </w:rPr>
      </w:pPr>
      <w:r>
        <w:rPr>
          <w:rFonts w:hAnsi="宋体" w:cs="宋体"/>
          <w:sz w:val="24"/>
        </w:rPr>
        <w:t xml:space="preserve">8.2.2 </w:t>
      </w:r>
      <w:r>
        <w:rPr>
          <w:rFonts w:hint="eastAsia" w:hAnsi="宋体" w:cs="宋体"/>
          <w:sz w:val="24"/>
        </w:rPr>
        <w:t>质保期按合同第十条规定执行，质保期满后且乙方不存在违约情形，由乙方提交申请质保金退还资料</w:t>
      </w:r>
      <w:r>
        <w:rPr>
          <w:rFonts w:hAnsi="宋体" w:cs="宋体"/>
          <w:sz w:val="24"/>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Ansi="宋体" w:cs="宋体"/>
          <w:sz w:val="24"/>
          <w:szCs w:val="24"/>
        </w:rPr>
      </w:pPr>
      <w:r>
        <w:rPr>
          <w:rFonts w:hint="eastAsia" w:hAnsi="宋体" w:cs="宋体"/>
          <w:sz w:val="24"/>
          <w:szCs w:val="24"/>
        </w:rPr>
        <w:t>8.2.</w:t>
      </w:r>
      <w:r>
        <w:rPr>
          <w:rFonts w:hAnsi="宋体" w:cs="宋体"/>
          <w:sz w:val="24"/>
          <w:szCs w:val="24"/>
        </w:rPr>
        <w:t>3</w:t>
      </w:r>
      <w:r>
        <w:rPr>
          <w:rFonts w:hint="eastAsia" w:hAnsi="宋体" w:cs="宋体"/>
          <w:sz w:val="24"/>
          <w:szCs w:val="24"/>
        </w:rPr>
        <w:t>本项目工程款的支付单位为：</w:t>
      </w:r>
      <w:r>
        <w:rPr>
          <w:rFonts w:hint="eastAsia" w:hAnsi="宋体" w:cs="宋体"/>
          <w:sz w:val="24"/>
          <w:szCs w:val="24"/>
          <w:u w:val="single"/>
        </w:rPr>
        <w:t>广州市净水有限公司京溪分公司</w:t>
      </w:r>
    </w:p>
    <w:p>
      <w:pPr>
        <w:spacing w:line="360"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w:t>
      </w:r>
    </w:p>
    <w:p>
      <w:pPr>
        <w:spacing w:line="360" w:lineRule="auto"/>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w:t>
      </w:r>
    </w:p>
    <w:p>
      <w:pPr>
        <w:spacing w:line="360" w:lineRule="auto"/>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60" w:lineRule="auto"/>
        <w:ind w:firstLine="960" w:firstLineChars="400"/>
        <w:rPr>
          <w:rFonts w:ascii="宋体" w:hAnsi="宋体" w:cs="宋体"/>
          <w:sz w:val="24"/>
        </w:rPr>
      </w:pPr>
      <w:r>
        <w:rPr>
          <w:rFonts w:hint="eastAsia" w:ascii="宋体" w:hAnsi="宋体" w:cs="宋体"/>
          <w:sz w:val="24"/>
        </w:rPr>
        <w:t>名称：广州市净水有限公司</w:t>
      </w:r>
    </w:p>
    <w:p>
      <w:pPr>
        <w:spacing w:line="360" w:lineRule="auto"/>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360" w:lineRule="auto"/>
        <w:ind w:firstLine="960"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360"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ascii="宋体" w:hAnsi="宋体" w:cs="宋体"/>
          <w:bCs/>
          <w:sz w:val="24"/>
        </w:rPr>
        <w:sym w:font="Wingdings" w:char="F0A8"/>
      </w:r>
      <w:r>
        <w:rPr>
          <w:rFonts w:hint="eastAsia" w:ascii="宋体" w:hAnsi="宋体" w:cs="宋体"/>
          <w:bCs/>
          <w:sz w:val="24"/>
        </w:rPr>
        <w:t>无；</w:t>
      </w:r>
      <w:r>
        <w:rPr>
          <w:rFonts w:ascii="宋体" w:hAnsi="宋体" w:cs="宋体"/>
          <w:bCs/>
          <w:sz w:val="24"/>
        </w:rPr>
        <w:t xml:space="preserve"> </w:t>
      </w:r>
      <w:r>
        <w:rPr>
          <w:rFonts w:ascii="宋体" w:hAnsi="宋体" w:cs="宋体"/>
          <w:bCs/>
          <w:sz w:val="24"/>
        </w:rPr>
        <w:sym w:font="Wingdings" w:char="00FE"/>
      </w:r>
      <w:r>
        <w:rPr>
          <w:rFonts w:hint="eastAsia" w:ascii="宋体" w:hAnsi="宋体" w:cs="宋体"/>
          <w:bCs/>
          <w:sz w:val="24"/>
        </w:rPr>
        <w:t xml:space="preserve">有 </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（大写人民币：</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8"/>
        <w:spacing w:before="0" w:beforeAutospacing="0" w:after="0" w:afterAutospacing="0" w:line="360" w:lineRule="auto"/>
        <w:ind w:firstLine="480" w:firstLineChars="200"/>
      </w:pPr>
      <w:r>
        <w:rPr>
          <w:rFonts w:cs="宋体"/>
        </w:rPr>
        <w:t>8.5.1</w:t>
      </w:r>
      <w:r>
        <w:t>履约担保</w:t>
      </w:r>
      <w:r>
        <w:rPr>
          <w:rFonts w:hint="eastAsia"/>
        </w:rPr>
        <w:t>按以下任一种形式提供</w:t>
      </w:r>
      <w:r>
        <w:t>：</w:t>
      </w:r>
    </w:p>
    <w:p>
      <w:pPr>
        <w:pStyle w:val="18"/>
        <w:spacing w:before="0" w:beforeAutospacing="0" w:after="0" w:afterAutospacing="0" w:line="360" w:lineRule="auto"/>
        <w:ind w:firstLine="480"/>
      </w:pPr>
      <w:r>
        <w:rPr>
          <w:rFonts w:hint="eastAsia"/>
        </w:rPr>
        <w:t>（1）符合甲方要求（详见附件7保函格式）的银行独立保函，</w:t>
      </w:r>
    </w:p>
    <w:p>
      <w:pPr>
        <w:pStyle w:val="18"/>
        <w:spacing w:before="0" w:beforeAutospacing="0" w:after="0" w:afterAutospacing="0" w:line="360" w:lineRule="auto"/>
        <w:ind w:firstLine="480"/>
      </w:pPr>
      <w:r>
        <w:rPr>
          <w:rFonts w:hint="eastAsia"/>
        </w:rPr>
        <w:t>（2）现金转账至甲方以下指定账户：</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60"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60" w:lineRule="auto"/>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360" w:lineRule="auto"/>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r>
        <w:rPr>
          <w:rFonts w:ascii="宋体" w:hAnsi="宋体" w:cs="宋体"/>
          <w:sz w:val="24"/>
        </w:rPr>
        <w:t xml:space="preserve"> </w:t>
      </w:r>
    </w:p>
    <w:p>
      <w:pPr>
        <w:spacing w:line="360" w:lineRule="auto"/>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8"/>
        <w:spacing w:before="0" w:beforeAutospacing="0" w:after="0" w:afterAutospacing="0" w:line="360" w:lineRule="auto"/>
        <w:ind w:left="199" w:leftChars="95" w:firstLine="240" w:firstLineChars="10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28日</w:t>
      </w:r>
      <w:r>
        <w:rPr>
          <w:rFonts w:hint="eastAsia" w:cs="宋体"/>
        </w:rPr>
        <w:t>内将剩余保证金（无息）返还。</w:t>
      </w:r>
    </w:p>
    <w:p>
      <w:pPr>
        <w:spacing w:line="360"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60" w:lineRule="auto"/>
        <w:rPr>
          <w:rFonts w:ascii="宋体" w:hAnsi="宋体" w:cs="宋体"/>
          <w:sz w:val="24"/>
        </w:rPr>
      </w:pPr>
      <w:r>
        <w:rPr>
          <w:rFonts w:ascii="宋体" w:hAnsi="宋体" w:cs="宋体"/>
          <w:sz w:val="24"/>
          <w:u w:val="single"/>
        </w:rPr>
        <w:t>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spacing w:line="360" w:lineRule="auto"/>
        <w:ind w:firstLine="482" w:firstLineChars="200"/>
        <w:rPr>
          <w:rFonts w:ascii="宋体" w:hAnsi="宋体" w:cs="宋体"/>
          <w:b/>
          <w:bCs/>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竣工验收</w:t>
      </w:r>
    </w:p>
    <w:p>
      <w:pPr>
        <w:spacing w:line="360"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8"/>
        <w:ind w:firstLine="48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9.5本合同竣工验收结算单位为</w:t>
      </w:r>
      <w:r>
        <w:rPr>
          <w:rFonts w:hint="eastAsia" w:asciiTheme="minorEastAsia" w:hAnsiTheme="minorEastAsia" w:eastAsiaTheme="minorEastAsia" w:cstheme="minorEastAsia"/>
          <w:u w:val="single"/>
        </w:rPr>
        <w:t xml:space="preserve">：广州市净水有限公司京溪分公司 </w:t>
      </w:r>
    </w:p>
    <w:p>
      <w:pPr>
        <w:spacing w:line="360" w:lineRule="auto"/>
        <w:ind w:firstLine="482" w:firstLineChars="200"/>
        <w:rPr>
          <w:rFonts w:ascii="宋体" w:hAnsi="宋体" w:cs="宋体"/>
          <w:b/>
          <w:bCs/>
          <w:sz w:val="24"/>
        </w:rPr>
      </w:pPr>
      <w:bookmarkStart w:id="1" w:name="_Toc518992994"/>
      <w:bookmarkStart w:id="2" w:name="_Toc474245220"/>
      <w:bookmarkStart w:id="3" w:name="_Toc520190034"/>
      <w:r>
        <w:rPr>
          <w:rFonts w:hint="eastAsia" w:ascii="宋体" w:hAnsi="宋体" w:cs="宋体"/>
          <w:b/>
          <w:bCs/>
          <w:sz w:val="24"/>
        </w:rPr>
        <w:t>第十条 质量保证</w:t>
      </w:r>
      <w:bookmarkEnd w:id="1"/>
      <w:bookmarkEnd w:id="2"/>
      <w:bookmarkEnd w:id="3"/>
    </w:p>
    <w:p>
      <w:pPr>
        <w:spacing w:line="360"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60" w:lineRule="auto"/>
        <w:ind w:firstLine="480" w:firstLineChars="20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highlight w:val="none"/>
          <w:lang w:val="en-US" w:eastAsia="zh-CN"/>
        </w:rPr>
        <w:t>本项目质量保修期为：紫外线灯管自验收合格之日起12000小时，其他零配件自验收合格之日起壹年。</w:t>
      </w:r>
    </w:p>
    <w:p>
      <w:pPr>
        <w:spacing w:line="360" w:lineRule="auto"/>
        <w:ind w:firstLine="480" w:firstLineChars="200"/>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ascii="宋体" w:hAnsi="宋体" w:cs="宋体"/>
          <w:bCs/>
          <w:sz w:val="24"/>
          <w:u w:val="single"/>
        </w:rPr>
        <w:t>3</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0.4</w:t>
      </w:r>
      <w:r>
        <w:rPr>
          <w:rFonts w:hint="eastAsia" w:ascii="宋体" w:hAnsi="宋体" w:cs="宋体"/>
          <w:sz w:val="24"/>
        </w:rPr>
        <w:t>中选单位应定</w:t>
      </w:r>
      <w:r>
        <w:rPr>
          <w:rFonts w:ascii="宋体" w:hAnsi="宋体" w:cs="宋体"/>
          <w:sz w:val="24"/>
        </w:rPr>
        <w:t>期</w:t>
      </w:r>
      <w:r>
        <w:rPr>
          <w:rFonts w:hint="eastAsia" w:ascii="宋体" w:hAnsi="宋体" w:cs="宋体"/>
          <w:sz w:val="24"/>
        </w:rPr>
        <w:t>（每</w:t>
      </w:r>
      <w:r>
        <w:rPr>
          <w:rFonts w:ascii="宋体" w:hAnsi="宋体" w:cs="宋体"/>
          <w:sz w:val="24"/>
        </w:rPr>
        <w:t>年不少于</w:t>
      </w:r>
      <w:r>
        <w:rPr>
          <w:rFonts w:hint="eastAsia" w:ascii="宋体" w:hAnsi="宋体" w:cs="宋体"/>
          <w:sz w:val="24"/>
        </w:rPr>
        <w:t>2次）售后并无偿上</w:t>
      </w:r>
      <w:r>
        <w:rPr>
          <w:rFonts w:ascii="宋体" w:hAnsi="宋体" w:cs="宋体"/>
          <w:sz w:val="24"/>
        </w:rPr>
        <w:t>门</w:t>
      </w:r>
      <w:r>
        <w:rPr>
          <w:rFonts w:hint="eastAsia" w:ascii="宋体" w:hAnsi="宋体" w:cs="宋体"/>
          <w:sz w:val="24"/>
        </w:rPr>
        <w:t>服务。</w:t>
      </w:r>
      <w:r>
        <w:rPr>
          <w:rFonts w:ascii="宋体" w:hAnsi="宋体" w:cs="宋体"/>
          <w:sz w:val="24"/>
        </w:rPr>
        <w:t xml:space="preserve"> </w:t>
      </w:r>
    </w:p>
    <w:p>
      <w:pPr>
        <w:shd w:val="clear" w:color="auto" w:fill="auto"/>
        <w:spacing w:line="520" w:lineRule="exact"/>
        <w:ind w:firstLine="420" w:firstLineChars="175"/>
        <w:rPr>
          <w:rFonts w:hint="eastAsia" w:ascii="宋体" w:hAnsi="宋体" w:cs="宋体"/>
          <w:bCs/>
          <w:color w:val="auto"/>
          <w:sz w:val="24"/>
          <w:szCs w:val="22"/>
          <w:highlight w:val="none"/>
          <w:u w:val="none"/>
        </w:rPr>
      </w:pPr>
      <w:r>
        <w:rPr>
          <w:rFonts w:hint="eastAsia" w:ascii="宋体" w:hAnsi="宋体" w:cs="宋体"/>
          <w:bCs/>
          <w:color w:val="auto"/>
          <w:sz w:val="24"/>
          <w:highlight w:val="none"/>
          <w:u w:val="none"/>
          <w:lang w:eastAsia="zh-CN"/>
        </w:rPr>
        <w:t>★</w:t>
      </w:r>
      <w:r>
        <w:rPr>
          <w:rFonts w:hint="eastAsia" w:ascii="宋体" w:hAnsi="宋体" w:cs="宋体"/>
          <w:bCs/>
          <w:color w:val="auto"/>
          <w:sz w:val="24"/>
          <w:highlight w:val="none"/>
          <w:u w:val="none"/>
        </w:rPr>
        <w:t>10.</w:t>
      </w:r>
      <w:r>
        <w:rPr>
          <w:rFonts w:hint="eastAsia" w:ascii="宋体" w:hAnsi="宋体" w:cs="宋体"/>
          <w:bCs/>
          <w:color w:val="auto"/>
          <w:sz w:val="24"/>
          <w:highlight w:val="none"/>
          <w:u w:val="none"/>
          <w:lang w:val="en-US" w:eastAsia="zh-CN"/>
        </w:rPr>
        <w:t>5</w:t>
      </w:r>
      <w:r>
        <w:rPr>
          <w:rFonts w:hint="eastAsia" w:ascii="宋体" w:hAnsi="宋体" w:cs="宋体"/>
          <w:bCs/>
          <w:color w:val="auto"/>
          <w:sz w:val="24"/>
          <w:highlight w:val="none"/>
          <w:u w:val="none"/>
        </w:rPr>
        <w:t>为保证设备稳定可靠，</w:t>
      </w:r>
      <w:r>
        <w:rPr>
          <w:rFonts w:hint="eastAsia" w:ascii="宋体" w:hAnsi="宋体" w:eastAsia="宋体" w:cs="宋体"/>
          <w:bCs/>
          <w:kern w:val="0"/>
          <w:sz w:val="24"/>
          <w:szCs w:val="20"/>
          <w:highlight w:val="none"/>
        </w:rPr>
        <w:t>设备正常投入使用</w:t>
      </w:r>
      <w:r>
        <w:rPr>
          <w:rFonts w:hint="eastAsia" w:ascii="宋体" w:hAnsi="宋体" w:cs="宋体"/>
          <w:bCs/>
          <w:kern w:val="0"/>
          <w:sz w:val="24"/>
          <w:szCs w:val="20"/>
          <w:highlight w:val="none"/>
          <w:lang w:val="en-US" w:eastAsia="zh-CN"/>
        </w:rPr>
        <w:t>起12000小时内，</w:t>
      </w:r>
      <w:r>
        <w:rPr>
          <w:rFonts w:hint="eastAsia" w:ascii="宋体" w:hAnsi="宋体" w:cs="宋体"/>
          <w:bCs/>
          <w:color w:val="auto"/>
          <w:sz w:val="24"/>
          <w:szCs w:val="22"/>
          <w:highlight w:val="none"/>
          <w:u w:val="none"/>
        </w:rPr>
        <w:t>甲方每天于</w:t>
      </w:r>
      <w:r>
        <w:rPr>
          <w:rFonts w:hint="eastAsia" w:ascii="宋体" w:hAnsi="宋体" w:cs="宋体"/>
          <w:bCs/>
          <w:color w:val="auto"/>
          <w:sz w:val="24"/>
          <w:szCs w:val="22"/>
          <w:highlight w:val="none"/>
          <w:u w:val="none"/>
          <w:lang w:val="en-US" w:eastAsia="zh-CN"/>
        </w:rPr>
        <w:t>京溪</w:t>
      </w:r>
      <w:r>
        <w:rPr>
          <w:rFonts w:hint="eastAsia" w:ascii="宋体" w:hAnsi="宋体" w:cs="宋体"/>
          <w:bCs/>
          <w:color w:val="auto"/>
          <w:sz w:val="24"/>
          <w:szCs w:val="22"/>
          <w:highlight w:val="none"/>
          <w:u w:val="none"/>
        </w:rPr>
        <w:t>分公司</w:t>
      </w:r>
      <w:r>
        <w:rPr>
          <w:rFonts w:hint="eastAsia" w:ascii="宋体" w:hAnsi="宋体" w:cs="宋体"/>
          <w:bCs/>
          <w:color w:val="auto"/>
          <w:sz w:val="24"/>
          <w:szCs w:val="22"/>
          <w:highlight w:val="none"/>
          <w:u w:val="none"/>
          <w:lang w:val="en-US" w:eastAsia="zh-CN"/>
        </w:rPr>
        <w:t>紫外线出水</w:t>
      </w:r>
      <w:r>
        <w:rPr>
          <w:rFonts w:hint="eastAsia" w:ascii="宋体" w:hAnsi="宋体" w:cs="宋体"/>
          <w:bCs/>
          <w:color w:val="auto"/>
          <w:sz w:val="24"/>
          <w:szCs w:val="22"/>
          <w:highlight w:val="none"/>
          <w:u w:val="none"/>
        </w:rPr>
        <w:t>取样口取样</w:t>
      </w:r>
      <w:r>
        <w:rPr>
          <w:rFonts w:hint="eastAsia" w:ascii="宋体" w:hAnsi="宋体" w:cs="宋体"/>
          <w:bCs/>
          <w:color w:val="auto"/>
          <w:sz w:val="24"/>
          <w:szCs w:val="22"/>
          <w:highlight w:val="none"/>
          <w:u w:val="none"/>
          <w:lang w:val="en-US" w:eastAsia="zh-CN"/>
        </w:rPr>
        <w:t>送化验室检测，</w:t>
      </w:r>
      <w:r>
        <w:rPr>
          <w:rFonts w:hint="eastAsia" w:ascii="宋体" w:hAnsi="宋体" w:cs="宋体"/>
          <w:bCs/>
          <w:color w:val="auto"/>
          <w:sz w:val="24"/>
          <w:szCs w:val="22"/>
          <w:highlight w:val="none"/>
          <w:u w:val="none"/>
        </w:rPr>
        <w:t>若甲方化验室检测出水粪大肠菌数大于</w:t>
      </w:r>
      <w:r>
        <w:rPr>
          <w:rFonts w:hint="eastAsia" w:ascii="宋体" w:hAnsi="宋体" w:cs="宋体"/>
          <w:bCs/>
          <w:color w:val="auto"/>
          <w:sz w:val="24"/>
          <w:szCs w:val="22"/>
          <w:highlight w:val="none"/>
          <w:u w:val="none"/>
          <w:lang w:val="en-US" w:eastAsia="zh-CN"/>
        </w:rPr>
        <w:t>500</w:t>
      </w:r>
      <w:r>
        <w:rPr>
          <w:rFonts w:hint="eastAsia" w:ascii="宋体" w:hAnsi="宋体" w:cs="宋体"/>
          <w:bCs/>
          <w:color w:val="auto"/>
          <w:sz w:val="24"/>
          <w:szCs w:val="22"/>
          <w:highlight w:val="none"/>
          <w:u w:val="none"/>
        </w:rPr>
        <w:t>个/L，则由甲方</w:t>
      </w:r>
      <w:r>
        <w:rPr>
          <w:rFonts w:hint="eastAsia" w:ascii="宋体" w:hAnsi="宋体" w:cs="宋体"/>
          <w:bCs/>
          <w:color w:val="auto"/>
          <w:sz w:val="24"/>
          <w:szCs w:val="22"/>
          <w:highlight w:val="none"/>
          <w:u w:val="none"/>
          <w:lang w:val="en-US" w:eastAsia="zh-CN"/>
        </w:rPr>
        <w:t>委托有CMA资质的第三方检测单位到厂取水样进行连续三天的检测，检测费用由乙方负责，</w:t>
      </w:r>
      <w:r>
        <w:rPr>
          <w:rFonts w:hint="eastAsia" w:ascii="宋体" w:hAnsi="宋体" w:cs="宋体"/>
          <w:bCs/>
          <w:color w:val="auto"/>
          <w:sz w:val="24"/>
          <w:szCs w:val="22"/>
          <w:highlight w:val="none"/>
          <w:u w:val="none"/>
        </w:rPr>
        <w:t>甲乙双方对第三方检测单位的检测结果均不得提出异议。</w:t>
      </w:r>
    </w:p>
    <w:p>
      <w:pPr>
        <w:pStyle w:val="20"/>
        <w:shd w:val="clear" w:color="auto" w:fill="auto"/>
        <w:spacing w:line="520" w:lineRule="exact"/>
        <w:ind w:left="0" w:leftChars="0" w:firstLine="480" w:firstLineChars="200"/>
        <w:rPr>
          <w:rFonts w:hint="eastAsia" w:ascii="宋体" w:hAnsi="宋体" w:eastAsia="宋体" w:cs="宋体"/>
          <w:bCs/>
          <w:color w:val="auto"/>
          <w:kern w:val="2"/>
          <w:sz w:val="24"/>
          <w:szCs w:val="22"/>
          <w:highlight w:val="none"/>
          <w:u w:val="none"/>
          <w:lang w:val="en-US" w:eastAsia="zh-CN" w:bidi="ar-SA"/>
        </w:rPr>
      </w:pPr>
      <w:r>
        <w:rPr>
          <w:rFonts w:hint="eastAsia" w:ascii="宋体" w:hAnsi="宋体" w:eastAsia="宋体" w:cs="宋体"/>
          <w:bCs/>
          <w:color w:val="auto"/>
          <w:kern w:val="2"/>
          <w:sz w:val="24"/>
          <w:szCs w:val="22"/>
          <w:highlight w:val="none"/>
          <w:u w:val="none"/>
          <w:lang w:val="en-US" w:eastAsia="zh-CN" w:bidi="ar-SA"/>
        </w:rPr>
        <w:t>若第三方检测单位检测结果不符合粪大肠菌数≤</w:t>
      </w:r>
      <w:r>
        <w:rPr>
          <w:rFonts w:hint="eastAsia" w:ascii="宋体" w:hAnsi="宋体" w:cs="宋体"/>
          <w:bCs/>
          <w:color w:val="auto"/>
          <w:kern w:val="2"/>
          <w:sz w:val="24"/>
          <w:szCs w:val="22"/>
          <w:highlight w:val="none"/>
          <w:u w:val="none"/>
          <w:lang w:val="en-US" w:eastAsia="zh-CN" w:bidi="ar-SA"/>
        </w:rPr>
        <w:t>5</w:t>
      </w:r>
      <w:r>
        <w:rPr>
          <w:rFonts w:hint="eastAsia" w:ascii="宋体" w:hAnsi="宋体" w:eastAsia="宋体" w:cs="宋体"/>
          <w:bCs/>
          <w:color w:val="auto"/>
          <w:kern w:val="2"/>
          <w:sz w:val="24"/>
          <w:szCs w:val="22"/>
          <w:highlight w:val="none"/>
          <w:u w:val="none"/>
          <w:lang w:val="en-US" w:eastAsia="zh-CN" w:bidi="ar-SA"/>
        </w:rPr>
        <w:t>00个/升的标准，则检测结果视为不及格，甲方可要求乙方对所供设备进行全部更换并扣罚10000元作为违约金。</w:t>
      </w:r>
    </w:p>
    <w:p>
      <w:pPr>
        <w:pStyle w:val="20"/>
        <w:shd w:val="clear" w:color="auto" w:fill="auto"/>
        <w:spacing w:line="520" w:lineRule="exact"/>
        <w:ind w:left="0" w:leftChars="0" w:firstLine="480" w:firstLineChars="200"/>
        <w:rPr>
          <w:rFonts w:hint="eastAsia" w:ascii="宋体" w:hAnsi="宋体" w:cs="宋体"/>
          <w:bCs/>
          <w:color w:val="auto"/>
          <w:sz w:val="24"/>
          <w:szCs w:val="22"/>
          <w:highlight w:val="none"/>
          <w:u w:val="none"/>
        </w:rPr>
      </w:pPr>
      <w:r>
        <w:rPr>
          <w:rFonts w:hint="eastAsia" w:ascii="宋体" w:hAnsi="宋体" w:eastAsia="宋体" w:cs="宋体"/>
          <w:bCs/>
          <w:color w:val="auto"/>
          <w:kern w:val="2"/>
          <w:sz w:val="24"/>
          <w:szCs w:val="22"/>
          <w:highlight w:val="none"/>
          <w:u w:val="none"/>
          <w:lang w:val="en-US" w:eastAsia="zh-CN" w:bidi="ar-SA"/>
        </w:rPr>
        <w:t>因粪大肠杆菌不及格所造成的甲方经济损失，按照当天</w:t>
      </w:r>
      <w:r>
        <w:rPr>
          <w:rFonts w:hint="eastAsia" w:ascii="宋体" w:hAnsi="宋体" w:cs="宋体"/>
          <w:bCs/>
          <w:color w:val="auto"/>
          <w:kern w:val="2"/>
          <w:sz w:val="24"/>
          <w:szCs w:val="22"/>
          <w:highlight w:val="none"/>
          <w:u w:val="none"/>
          <w:lang w:val="en-US" w:eastAsia="zh-CN" w:bidi="ar-SA"/>
        </w:rPr>
        <w:t>京溪</w:t>
      </w:r>
      <w:r>
        <w:rPr>
          <w:rFonts w:hint="eastAsia" w:ascii="宋体" w:hAnsi="宋体" w:eastAsia="宋体" w:cs="宋体"/>
          <w:bCs/>
          <w:color w:val="auto"/>
          <w:kern w:val="2"/>
          <w:sz w:val="24"/>
          <w:szCs w:val="22"/>
          <w:highlight w:val="none"/>
          <w:u w:val="none"/>
          <w:lang w:val="en-US" w:eastAsia="zh-CN" w:bidi="ar-SA"/>
        </w:rPr>
        <w:t>分公司生产线日处理量，每吨2元计算违约金，甲方将保留追究法律责任的权利。</w:t>
      </w:r>
    </w:p>
    <w:p>
      <w:pPr>
        <w:spacing w:line="360" w:lineRule="auto"/>
        <w:ind w:firstLine="482" w:firstLineChars="200"/>
        <w:rPr>
          <w:rFonts w:ascii="宋体" w:hAnsi="宋体" w:cs="宋体"/>
          <w:b/>
          <w:bCs/>
          <w:sz w:val="24"/>
        </w:rPr>
      </w:pPr>
      <w:bookmarkStart w:id="4" w:name="_Toc474245226"/>
      <w:bookmarkStart w:id="5" w:name="_Toc183666531"/>
      <w:bookmarkStart w:id="6" w:name="_Toc306350467"/>
      <w:bookmarkStart w:id="7" w:name="_Toc107446862"/>
      <w:bookmarkStart w:id="8" w:name="_Toc518993000"/>
      <w:bookmarkStart w:id="9" w:name="_Toc520190040"/>
      <w:bookmarkStart w:id="10" w:name="_Toc19692"/>
      <w:bookmarkStart w:id="11" w:name="_Toc107447255"/>
      <w:r>
        <w:rPr>
          <w:rFonts w:hint="eastAsia" w:ascii="宋体" w:hAnsi="宋体" w:cs="宋体"/>
          <w:b/>
          <w:bCs/>
          <w:sz w:val="24"/>
        </w:rPr>
        <w:t>第十一条 不可抗力</w:t>
      </w:r>
      <w:bookmarkEnd w:id="4"/>
      <w:bookmarkEnd w:id="5"/>
      <w:bookmarkEnd w:id="6"/>
      <w:bookmarkEnd w:id="7"/>
      <w:bookmarkEnd w:id="8"/>
      <w:bookmarkEnd w:id="9"/>
      <w:bookmarkEnd w:id="10"/>
      <w:bookmarkEnd w:id="11"/>
    </w:p>
    <w:p>
      <w:pPr>
        <w:widowControl/>
        <w:autoSpaceDE w:val="0"/>
        <w:autoSpaceDN w:val="0"/>
        <w:adjustRightInd w:val="0"/>
        <w:spacing w:line="384" w:lineRule="auto"/>
        <w:ind w:firstLine="480" w:firstLineChars="200"/>
        <w:rPr>
          <w:rFonts w:ascii="宋体" w:hAnsi="宋体" w:cs="宋体"/>
          <w:bCs/>
          <w:sz w:val="24"/>
        </w:rPr>
      </w:pPr>
      <w:bookmarkStart w:id="12" w:name="_Toc12010"/>
      <w:bookmarkStart w:id="13" w:name="_Toc474245227"/>
      <w:bookmarkStart w:id="14" w:name="_Toc520190041"/>
      <w:bookmarkStart w:id="15" w:name="_Toc107446864"/>
      <w:bookmarkStart w:id="16" w:name="_Toc306350468"/>
      <w:bookmarkStart w:id="17" w:name="_Toc107447257"/>
      <w:bookmarkStart w:id="18" w:name="_Toc183666532"/>
      <w:bookmarkStart w:id="19" w:name="_Toc118172294"/>
      <w:bookmarkStart w:id="20" w:name="_Toc518993001"/>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bCs/>
          <w:sz w:val="24"/>
        </w:rPr>
      </w:pPr>
      <w:r>
        <w:rPr>
          <w:rFonts w:hint="eastAsia" w:ascii="宋体" w:hAnsi="宋体" w:cs="宋体"/>
          <w:b/>
          <w:bCs/>
          <w:sz w:val="24"/>
        </w:rPr>
        <w:t>十二条 争议解决</w:t>
      </w:r>
      <w:bookmarkEnd w:id="12"/>
      <w:bookmarkEnd w:id="13"/>
      <w:bookmarkEnd w:id="14"/>
      <w:bookmarkEnd w:id="15"/>
      <w:bookmarkEnd w:id="16"/>
      <w:bookmarkEnd w:id="17"/>
      <w:bookmarkEnd w:id="18"/>
      <w:bookmarkEnd w:id="19"/>
      <w:bookmarkEnd w:id="20"/>
    </w:p>
    <w:p>
      <w:pPr>
        <w:spacing w:line="360" w:lineRule="auto"/>
        <w:ind w:firstLine="482"/>
        <w:rPr>
          <w:rFonts w:ascii="宋体" w:hAnsi="宋体" w:cs="宋体"/>
          <w:bCs/>
          <w:sz w:val="24"/>
        </w:rPr>
      </w:pPr>
      <w:bookmarkStart w:id="21" w:name="_Toc183666533"/>
      <w:bookmarkStart w:id="22" w:name="_Toc306350469"/>
      <w:r>
        <w:rPr>
          <w:rFonts w:ascii="宋体" w:hAnsi="宋体" w:cs="宋体"/>
          <w:bCs/>
          <w:sz w:val="24"/>
        </w:rPr>
        <w:t>12.1</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60" w:lineRule="auto"/>
        <w:ind w:firstLine="482"/>
        <w:jc w:val="left"/>
        <w:rPr>
          <w:rFonts w:ascii="宋体" w:hAnsi="宋体" w:cs="宋体"/>
          <w:b/>
          <w:bCs/>
          <w:sz w:val="24"/>
        </w:rPr>
      </w:pPr>
      <w:r>
        <w:rPr>
          <w:rFonts w:ascii="宋体" w:hAnsi="宋体" w:cs="宋体"/>
          <w:bCs/>
          <w:sz w:val="24"/>
        </w:rPr>
        <w:t>12.2</w:t>
      </w:r>
      <w:r>
        <w:rPr>
          <w:rFonts w:hint="eastAsia" w:ascii="宋体" w:hAnsi="宋体" w:cs="宋体"/>
          <w:sz w:val="24"/>
        </w:rPr>
        <w:t>在甲方同意的情况下，除有争端之外的合同其它部分在争端解决前应</w:t>
      </w:r>
      <w:bookmarkEnd w:id="21"/>
      <w:bookmarkEnd w:id="22"/>
      <w:bookmarkStart w:id="23" w:name="_Toc474245229"/>
      <w:bookmarkStart w:id="24" w:name="_Toc518993003"/>
      <w:bookmarkStart w:id="25" w:name="_Toc520190043"/>
      <w:r>
        <w:rPr>
          <w:rFonts w:hint="eastAsia" w:ascii="宋体" w:hAnsi="宋体" w:cs="宋体"/>
          <w:sz w:val="24"/>
        </w:rPr>
        <w:t>继续执行。</w:t>
      </w:r>
    </w:p>
    <w:p>
      <w:pPr>
        <w:spacing w:line="360" w:lineRule="auto"/>
        <w:ind w:firstLine="482" w:firstLineChars="200"/>
        <w:rPr>
          <w:rFonts w:ascii="宋体" w:hAnsi="宋体" w:cs="宋体"/>
          <w:b/>
          <w:bCs/>
          <w:sz w:val="24"/>
        </w:rPr>
      </w:pPr>
      <w:r>
        <w:rPr>
          <w:rFonts w:hint="eastAsia" w:ascii="宋体" w:hAnsi="宋体" w:cs="宋体"/>
          <w:b/>
          <w:bCs/>
          <w:sz w:val="24"/>
        </w:rPr>
        <w:t xml:space="preserve">第十三条 </w:t>
      </w:r>
      <w:bookmarkStart w:id="26" w:name="_Toc107447264"/>
      <w:bookmarkStart w:id="27" w:name="_Toc107446871"/>
      <w:r>
        <w:rPr>
          <w:rFonts w:hint="eastAsia" w:ascii="宋体" w:hAnsi="宋体" w:cs="宋体"/>
          <w:b/>
          <w:bCs/>
          <w:sz w:val="24"/>
        </w:rPr>
        <w:t>合同生效及其他</w:t>
      </w:r>
      <w:bookmarkEnd w:id="23"/>
      <w:bookmarkEnd w:id="24"/>
      <w:bookmarkEnd w:id="25"/>
      <w:bookmarkEnd w:id="26"/>
      <w:bookmarkEnd w:id="27"/>
    </w:p>
    <w:p>
      <w:pPr>
        <w:spacing w:line="360"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60"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w:t>
      </w:r>
    </w:p>
    <w:p>
      <w:pPr>
        <w:spacing w:line="360" w:lineRule="auto"/>
        <w:ind w:firstLine="480"/>
        <w:rPr>
          <w:rFonts w:ascii="宋体" w:hAnsi="宋体" w:cs="宋体"/>
          <w:sz w:val="24"/>
          <w:u w:val="single"/>
        </w:rPr>
      </w:pPr>
      <w:r>
        <w:rPr>
          <w:rFonts w:ascii="宋体" w:hAnsi="宋体" w:cs="宋体"/>
          <w:sz w:val="24"/>
        </w:rPr>
        <w:t>13.</w:t>
      </w:r>
      <w:r>
        <w:rPr>
          <w:rFonts w:hint="eastAsia" w:ascii="宋体" w:hAnsi="宋体" w:cs="宋体"/>
          <w:sz w:val="24"/>
        </w:rPr>
        <w:t xml:space="preserve">3补充条款： </w:t>
      </w:r>
      <w:r>
        <w:rPr>
          <w:rFonts w:ascii="宋体" w:hAnsi="宋体" w:cs="宋体"/>
          <w:sz w:val="24"/>
        </w:rPr>
        <w:t xml:space="preserve"> </w:t>
      </w:r>
      <w:r>
        <w:rPr>
          <w:rFonts w:hint="eastAsia" w:ascii="宋体" w:hAnsi="宋体" w:cs="宋体"/>
          <w:sz w:val="24"/>
          <w:u w:val="single"/>
        </w:rPr>
        <w:t xml:space="preserve"> </w:t>
      </w:r>
      <w:r>
        <w:rPr>
          <w:rFonts w:ascii="宋体" w:hAnsi="宋体" w:cs="宋体"/>
          <w:sz w:val="24"/>
          <w:u w:val="single"/>
        </w:rPr>
        <w:t xml:space="preserve">       </w:t>
      </w:r>
    </w:p>
    <w:p>
      <w:pPr>
        <w:pStyle w:val="28"/>
      </w:pPr>
    </w:p>
    <w:p>
      <w:pPr>
        <w:pStyle w:val="28"/>
        <w:rPr>
          <w:rFonts w:hint="eastAsia"/>
        </w:rPr>
      </w:pPr>
    </w:p>
    <w:p>
      <w:pPr>
        <w:pStyle w:val="28"/>
        <w:rPr>
          <w:rFonts w:hint="eastAsia"/>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84" w:lineRule="auto"/>
        <w:ind w:firstLine="720" w:firstLineChars="300"/>
        <w:rPr>
          <w:rFonts w:ascii="宋体" w:hAnsi="宋体" w:cs="宋体"/>
          <w:sz w:val="24"/>
        </w:rPr>
      </w:pPr>
      <w:r>
        <w:rPr>
          <w:rFonts w:ascii="宋体" w:hAnsi="宋体" w:cs="宋体"/>
          <w:sz w:val="24"/>
        </w:rPr>
        <w:t>3.</w:t>
      </w:r>
      <w:r>
        <w:rPr>
          <w:rFonts w:hint="eastAsia" w:ascii="宋体" w:hAnsi="宋体" w:cs="宋体"/>
          <w:sz w:val="24"/>
        </w:rPr>
        <w:t>营运场所施工安全协议书</w:t>
      </w:r>
    </w:p>
    <w:p>
      <w:pPr>
        <w:spacing w:line="384" w:lineRule="auto"/>
        <w:rPr>
          <w:rFonts w:ascii="宋体" w:hAnsi="宋体" w:cs="宋体"/>
          <w:sz w:val="24"/>
        </w:rPr>
      </w:pPr>
      <w:r>
        <w:rPr>
          <w:rFonts w:ascii="宋体" w:hAnsi="宋体" w:cs="宋体"/>
          <w:sz w:val="24"/>
        </w:rPr>
        <w:t xml:space="preserve">      4.</w:t>
      </w:r>
      <w:r>
        <w:rPr>
          <w:rFonts w:hint="eastAsia" w:ascii="宋体" w:hAnsi="宋体" w:cs="宋体"/>
          <w:sz w:val="24"/>
        </w:rPr>
        <w:t>工程量报价</w:t>
      </w:r>
    </w:p>
    <w:p>
      <w:pPr>
        <w:spacing w:line="384" w:lineRule="auto"/>
        <w:rPr>
          <w:rFonts w:ascii="宋体" w:hAnsi="宋体" w:cs="宋体"/>
          <w:sz w:val="24"/>
        </w:rPr>
      </w:pPr>
      <w:r>
        <w:rPr>
          <w:rFonts w:ascii="宋体" w:hAnsi="宋体" w:cs="宋体"/>
          <w:sz w:val="24"/>
        </w:rPr>
        <w:t xml:space="preserve">      5.</w:t>
      </w:r>
      <w:r>
        <w:rPr>
          <w:rFonts w:hint="eastAsia" w:ascii="宋体" w:hAnsi="宋体" w:cs="宋体"/>
          <w:sz w:val="24"/>
        </w:rPr>
        <w:t>项目投入人员架构表/</w:t>
      </w:r>
      <w:r>
        <w:rPr>
          <w:rFonts w:hint="eastAsia" w:asciiTheme="minorEastAsia" w:hAnsiTheme="minorEastAsia" w:eastAsiaTheme="minorEastAsia" w:cstheme="minorEastAsia"/>
          <w:sz w:val="24"/>
          <w:szCs w:val="24"/>
        </w:rPr>
        <w:t>应急救援物资清单</w:t>
      </w:r>
    </w:p>
    <w:p>
      <w:pPr>
        <w:spacing w:line="360" w:lineRule="auto"/>
        <w:ind w:firstLine="720" w:firstLineChars="300"/>
        <w:rPr>
          <w:rFonts w:hint="eastAsia" w:asciiTheme="minorEastAsia" w:hAnsiTheme="minorEastAsia" w:eastAsiaTheme="minorEastAsia" w:cstheme="minorEastAsia"/>
          <w:sz w:val="24"/>
          <w:szCs w:val="24"/>
        </w:rPr>
      </w:pPr>
      <w:r>
        <w:rPr>
          <w:rFonts w:ascii="宋体" w:hAnsi="宋体" w:cs="宋体"/>
          <w:sz w:val="24"/>
        </w:rPr>
        <w:t>6</w:t>
      </w:r>
      <w:r>
        <w:rPr>
          <w:rFonts w:hint="eastAsia" w:ascii="宋体" w:hAnsi="宋体" w:cs="宋体"/>
          <w:sz w:val="24"/>
        </w:rPr>
        <w:t>.</w:t>
      </w:r>
      <w:r>
        <w:rPr>
          <w:rFonts w:hint="eastAsia" w:asciiTheme="minorEastAsia" w:hAnsiTheme="minorEastAsia" w:eastAsiaTheme="minorEastAsia" w:cstheme="minorEastAsia"/>
          <w:sz w:val="24"/>
          <w:szCs w:val="24"/>
        </w:rPr>
        <w:t>不诚信行为的情形及相应被暂停参与投标活动的处理标准</w:t>
      </w:r>
    </w:p>
    <w:p>
      <w:pPr>
        <w:spacing w:line="360" w:lineRule="auto"/>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b w:val="0"/>
          <w:sz w:val="24"/>
          <w:szCs w:val="24"/>
          <w:lang w:val="en-US" w:eastAsia="zh-CN"/>
        </w:rPr>
        <w:t>防疫</w:t>
      </w:r>
      <w:r>
        <w:rPr>
          <w:rFonts w:hint="eastAsia" w:asciiTheme="minorEastAsia" w:hAnsiTheme="minorEastAsia" w:eastAsiaTheme="minorEastAsia" w:cstheme="minorEastAsia"/>
          <w:b w:val="0"/>
          <w:sz w:val="24"/>
          <w:szCs w:val="24"/>
        </w:rPr>
        <w:t>管理协议书</w:t>
      </w:r>
    </w:p>
    <w:p>
      <w:pPr>
        <w:pStyle w:val="28"/>
      </w:pPr>
    </w:p>
    <w:p>
      <w:pPr>
        <w:spacing w:line="360" w:lineRule="auto"/>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   （盖章）</w:t>
      </w:r>
    </w:p>
    <w:p>
      <w:pPr>
        <w:spacing w:line="360" w:lineRule="auto"/>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360" w:lineRule="auto"/>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360" w:lineRule="auto"/>
        <w:rPr>
          <w:rFonts w:ascii="宋体" w:hAnsi="宋体" w:cs="宋体"/>
          <w:sz w:val="24"/>
        </w:rPr>
      </w:pPr>
      <w:r>
        <w:rPr>
          <w:rFonts w:hint="eastAsia" w:ascii="宋体" w:hAnsi="宋体" w:cs="宋体"/>
          <w:sz w:val="24"/>
        </w:rPr>
        <w:t>地址：</w:t>
      </w:r>
      <w:r>
        <w:rPr>
          <w:rFonts w:ascii="宋体" w:hAnsi="宋体"/>
          <w:bCs/>
          <w:sz w:val="24"/>
        </w:rPr>
        <w:t xml:space="preserve">                           </w:t>
      </w:r>
      <w:r>
        <w:rPr>
          <w:rFonts w:ascii="宋体" w:hAnsi="宋体" w:cs="宋体"/>
          <w:sz w:val="24"/>
        </w:rPr>
        <w:t xml:space="preserve">    </w:t>
      </w:r>
      <w:r>
        <w:rPr>
          <w:rFonts w:hint="eastAsia" w:ascii="宋体" w:hAnsi="宋体" w:cs="宋体"/>
          <w:sz w:val="24"/>
        </w:rPr>
        <w:t>地址：</w:t>
      </w:r>
    </w:p>
    <w:p>
      <w:pPr>
        <w:spacing w:line="360" w:lineRule="auto"/>
        <w:rPr>
          <w:rFonts w:ascii="宋体" w:hAnsi="宋体" w:cs="宋体"/>
          <w:sz w:val="24"/>
        </w:rPr>
      </w:pPr>
      <w:r>
        <w:rPr>
          <w:rFonts w:hint="eastAsia" w:ascii="宋体" w:hAnsi="宋体" w:cs="宋体"/>
          <w:sz w:val="24"/>
        </w:rPr>
        <w:t xml:space="preserve">经办人： </w:t>
      </w:r>
      <w:r>
        <w:rPr>
          <w:rFonts w:ascii="宋体" w:hAnsi="宋体" w:cs="宋体"/>
          <w:sz w:val="24"/>
        </w:rPr>
        <w:t xml:space="preserve">                            </w:t>
      </w:r>
      <w:r>
        <w:rPr>
          <w:rFonts w:hint="eastAsia" w:ascii="宋体" w:hAnsi="宋体" w:cs="宋体"/>
          <w:sz w:val="24"/>
        </w:rPr>
        <w:t>经办人：</w:t>
      </w:r>
    </w:p>
    <w:p>
      <w:pPr>
        <w:spacing w:line="360" w:lineRule="auto"/>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360" w:lineRule="auto"/>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360" w:lineRule="auto"/>
        <w:ind w:left="6360" w:hanging="6360" w:hangingChars="2650"/>
        <w:rPr>
          <w:rFonts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ind w:left="5587" w:hanging="5587" w:hangingChars="2650"/>
        <w:rPr>
          <w:rFonts w:ascii="宋体" w:hAnsi="宋体" w:cs="宋体"/>
          <w:b/>
          <w:bCs/>
          <w:szCs w:val="21"/>
        </w:rPr>
      </w:pPr>
      <w:r>
        <w:rPr>
          <w:rFonts w:hint="eastAsia" w:ascii="宋体" w:hAnsi="宋体" w:cs="宋体"/>
          <w:b/>
          <w:bCs/>
          <w:szCs w:val="21"/>
        </w:rPr>
        <w:t>以下空白。</w:t>
      </w: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b/>
          <w:bCs/>
          <w:szCs w:val="21"/>
        </w:rPr>
      </w:pPr>
      <w:bookmarkStart w:id="28" w:name="_Toc387080836"/>
      <w:bookmarkStart w:id="29" w:name="_Toc389815339"/>
      <w:bookmarkStart w:id="30" w:name="_Toc389815031"/>
      <w:r>
        <w:rPr>
          <w:rFonts w:hint="eastAsia" w:ascii="宋体" w:hAnsi="宋体" w:cs="宋体"/>
          <w:b/>
          <w:bCs/>
          <w:szCs w:val="21"/>
        </w:rPr>
        <w:t>附件2：廉洁协议</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3"/>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8"/>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42"/>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ascii="宋体" w:hAnsi="宋体"/>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pStyle w:val="5"/>
      </w:pPr>
    </w:p>
    <w:p/>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附件3：</w:t>
      </w:r>
      <w:bookmarkEnd w:id="28"/>
      <w:bookmarkEnd w:id="29"/>
      <w:bookmarkEnd w:id="30"/>
      <w:r>
        <w:rPr>
          <w:rFonts w:hint="eastAsia" w:ascii="宋体" w:hAnsi="宋体" w:cs="宋体"/>
          <w:b/>
          <w:szCs w:val="21"/>
        </w:rPr>
        <w:t>营运场所施工安全协议书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1"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4"/>
          <w:rFonts w:asciiTheme="minorEastAsia" w:hAnsiTheme="minorEastAsia" w:eastAsiaTheme="minorEastAsia"/>
          <w:b w:val="0"/>
          <w:u w:val="single"/>
        </w:rPr>
      </w:pPr>
    </w:p>
    <w:bookmarkEnd w:id="31"/>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宋体" w:hAnsi="宋体"/>
          <w:sz w:val="24"/>
          <w:u w:val="single"/>
        </w:rPr>
        <w:t>京溪分公司2</w:t>
      </w:r>
      <w:r>
        <w:rPr>
          <w:rFonts w:ascii="宋体" w:hAnsi="宋体"/>
          <w:sz w:val="24"/>
          <w:u w:val="single"/>
        </w:rPr>
        <w:t>021</w:t>
      </w:r>
      <w:r>
        <w:rPr>
          <w:rFonts w:hint="eastAsia" w:ascii="宋体" w:hAnsi="宋体"/>
          <w:sz w:val="24"/>
          <w:u w:val="single"/>
        </w:rPr>
        <w:t>年紫外消毒系统大修项目合同</w:t>
      </w:r>
      <w:r>
        <w:rPr>
          <w:rFonts w:ascii="宋体" w:hAnsi="宋体"/>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0"/>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right="960"/>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widowControl/>
        <w:spacing w:line="360" w:lineRule="auto"/>
        <w:ind w:firstLine="1370" w:firstLineChars="650"/>
        <w:jc w:val="left"/>
        <w:rPr>
          <w:rFonts w:ascii="宋体" w:hAnsi="宋体"/>
          <w:b/>
          <w:szCs w:val="21"/>
        </w:rPr>
      </w:pPr>
    </w:p>
    <w:p>
      <w:pPr>
        <w:pStyle w:val="28"/>
        <w:rPr>
          <w:rFonts w:hAnsi="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8"/>
      </w:pPr>
    </w:p>
    <w:p>
      <w:pPr>
        <w:spacing w:line="360" w:lineRule="auto"/>
        <w:rPr>
          <w:rFonts w:ascii="宋体" w:hAnsi="宋体" w:cs="宋体"/>
          <w:b/>
          <w:bCs/>
          <w:szCs w:val="21"/>
        </w:rPr>
      </w:pPr>
      <w:r>
        <w:rPr>
          <w:rFonts w:hint="eastAsia" w:ascii="宋体" w:hAnsi="宋体" w:cs="宋体"/>
          <w:b/>
          <w:bCs/>
          <w:szCs w:val="21"/>
        </w:rPr>
        <w:t>附件4：</w:t>
      </w:r>
    </w:p>
    <w:p>
      <w:pPr>
        <w:pStyle w:val="28"/>
        <w:jc w:val="center"/>
        <w:rPr>
          <w:rFonts w:hAnsi="宋体" w:eastAsia="宋体"/>
          <w:b/>
          <w:bCs/>
          <w:szCs w:val="21"/>
        </w:rPr>
      </w:pPr>
      <w:r>
        <w:rPr>
          <w:rFonts w:hint="eastAsia" w:hAnsi="宋体" w:eastAsia="宋体"/>
          <w:b/>
          <w:bCs/>
          <w:szCs w:val="21"/>
        </w:rPr>
        <w:t>工程量报价</w:t>
      </w:r>
    </w:p>
    <w:p>
      <w:pPr>
        <w:pStyle w:val="28"/>
        <w:jc w:val="center"/>
        <w:rPr>
          <w:rFonts w:hAnsi="宋体" w:eastAsia="宋体"/>
          <w:b/>
          <w:bCs/>
          <w:szCs w:val="21"/>
        </w:rPr>
      </w:pPr>
    </w:p>
    <w:tbl>
      <w:tblPr>
        <w:tblStyle w:val="21"/>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2"/>
        <w:gridCol w:w="3828"/>
        <w:gridCol w:w="567"/>
        <w:gridCol w:w="520"/>
        <w:gridCol w:w="730"/>
        <w:gridCol w:w="7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562" w:type="dxa"/>
            <w:shd w:val="clear" w:color="FFFFFF" w:fill="FFFFFF"/>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序号</w:t>
            </w:r>
          </w:p>
        </w:tc>
        <w:tc>
          <w:tcPr>
            <w:tcW w:w="3828" w:type="dxa"/>
            <w:shd w:val="clear" w:color="FFFFFF" w:fill="FFFFFF"/>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产品技术参数描述</w:t>
            </w:r>
          </w:p>
        </w:tc>
        <w:tc>
          <w:tcPr>
            <w:tcW w:w="567" w:type="dxa"/>
            <w:shd w:val="clear" w:color="FFFFFF" w:fill="FFFFFF"/>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数量</w:t>
            </w:r>
          </w:p>
        </w:tc>
        <w:tc>
          <w:tcPr>
            <w:tcW w:w="520" w:type="dxa"/>
            <w:shd w:val="clear" w:color="FFFFFF" w:fill="FFFFFF"/>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单位</w:t>
            </w:r>
          </w:p>
        </w:tc>
        <w:tc>
          <w:tcPr>
            <w:tcW w:w="730" w:type="dxa"/>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单价（元）</w:t>
            </w:r>
          </w:p>
        </w:tc>
        <w:tc>
          <w:tcPr>
            <w:tcW w:w="734" w:type="dxa"/>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合计（元）</w:t>
            </w:r>
          </w:p>
        </w:tc>
        <w:tc>
          <w:tcPr>
            <w:tcW w:w="2693" w:type="dxa"/>
            <w:shd w:val="clear" w:color="auto" w:fill="auto"/>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562"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w:t>
            </w:r>
          </w:p>
        </w:tc>
        <w:tc>
          <w:tcPr>
            <w:tcW w:w="3828"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现有X</w:t>
            </w:r>
            <w:r>
              <w:rPr>
                <w:rFonts w:cs="宋体" w:asciiTheme="minorEastAsia" w:hAnsiTheme="minorEastAsia" w:eastAsiaTheme="minorEastAsia"/>
                <w:sz w:val="24"/>
                <w:szCs w:val="24"/>
              </w:rPr>
              <w:t xml:space="preserve">ylem </w:t>
            </w:r>
            <w:r>
              <w:rPr>
                <w:rFonts w:hint="eastAsia" w:cs="宋体" w:asciiTheme="minorEastAsia" w:hAnsiTheme="minorEastAsia" w:eastAsiaTheme="minorEastAsia"/>
                <w:sz w:val="24"/>
                <w:szCs w:val="24"/>
              </w:rPr>
              <w:t>WED</w:t>
            </w:r>
            <w:r>
              <w:rPr>
                <w:rFonts w:cs="宋体" w:asciiTheme="minorEastAsia" w:hAnsiTheme="minorEastAsia" w:eastAsiaTheme="minorEastAsia"/>
                <w:sz w:val="24"/>
                <w:szCs w:val="24"/>
              </w:rPr>
              <w:t>E</w:t>
            </w:r>
            <w:r>
              <w:rPr>
                <w:rFonts w:hint="eastAsia" w:cs="宋体" w:asciiTheme="minorEastAsia" w:hAnsiTheme="minorEastAsia" w:eastAsiaTheme="minorEastAsia"/>
                <w:sz w:val="24"/>
                <w:szCs w:val="24"/>
              </w:rPr>
              <w:t>C</w:t>
            </w:r>
            <w:r>
              <w:rPr>
                <w:rFonts w:cs="宋体" w:asciiTheme="minorEastAsia" w:hAnsiTheme="minorEastAsia" w:eastAsiaTheme="minorEastAsia"/>
                <w:sz w:val="24"/>
                <w:szCs w:val="24"/>
              </w:rPr>
              <w:t>O</w:t>
            </w:r>
          </w:p>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VA106697 LBX1000</w:t>
            </w:r>
          </w:p>
        </w:tc>
        <w:tc>
          <w:tcPr>
            <w:tcW w:w="567" w:type="dxa"/>
            <w:shd w:val="clear" w:color="auto" w:fill="auto"/>
            <w:noWrap/>
            <w:tcMar>
              <w:top w:w="15" w:type="dxa"/>
              <w:left w:w="15" w:type="dxa"/>
              <w:right w:w="15" w:type="dxa"/>
            </w:tcMar>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4</w:t>
            </w:r>
          </w:p>
        </w:tc>
        <w:tc>
          <w:tcPr>
            <w:tcW w:w="520" w:type="dxa"/>
            <w:shd w:val="clear" w:color="FFFFFF" w:fill="FFFFFF"/>
            <w:noWrap/>
            <w:tcMar>
              <w:top w:w="15" w:type="dxa"/>
              <w:left w:w="15" w:type="dxa"/>
              <w:right w:w="15" w:type="dxa"/>
            </w:tcMar>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台</w:t>
            </w:r>
          </w:p>
        </w:tc>
        <w:tc>
          <w:tcPr>
            <w:tcW w:w="1464" w:type="dxa"/>
            <w:gridSpan w:val="2"/>
            <w:shd w:val="clear" w:color="FFFFFF" w:fill="FFFFFF"/>
            <w:vAlign w:val="center"/>
          </w:tcPr>
          <w:p>
            <w:pPr>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w:t>
            </w:r>
          </w:p>
        </w:tc>
        <w:tc>
          <w:tcPr>
            <w:tcW w:w="2693" w:type="dxa"/>
            <w:shd w:val="clear" w:color="FFFFFF" w:fill="FFFFFF"/>
            <w:noWrap/>
            <w:tcMar>
              <w:top w:w="15" w:type="dxa"/>
              <w:left w:w="15" w:type="dxa"/>
              <w:right w:w="15" w:type="dxa"/>
            </w:tcMar>
            <w:vAlign w:val="center"/>
          </w:tcPr>
          <w:p>
            <w:pPr>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4" w:hRule="atLeast"/>
          <w:jc w:val="center"/>
        </w:trPr>
        <w:tc>
          <w:tcPr>
            <w:tcW w:w="562" w:type="dxa"/>
            <w:shd w:val="clear" w:color="FFFFFF" w:fill="FFFFFF"/>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3828"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紫外灯管（低压高强灯管，功率：</w:t>
            </w:r>
            <w:r>
              <w:rPr>
                <w:rFonts w:cs="宋体" w:asciiTheme="minorEastAsia" w:hAnsiTheme="minorEastAsia" w:eastAsiaTheme="minorEastAsia"/>
                <w:sz w:val="24"/>
                <w:szCs w:val="24"/>
              </w:rPr>
              <w:t>290W</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UV-C</w:t>
            </w:r>
            <w:r>
              <w:rPr>
                <w:rFonts w:hint="eastAsia" w:cs="宋体" w:asciiTheme="minorEastAsia" w:hAnsiTheme="minorEastAsia" w:eastAsiaTheme="minorEastAsia"/>
                <w:sz w:val="24"/>
                <w:szCs w:val="24"/>
              </w:rPr>
              <w:t>输出功率（</w:t>
            </w:r>
            <w:r>
              <w:rPr>
                <w:rFonts w:cs="宋体" w:asciiTheme="minorEastAsia" w:hAnsiTheme="minorEastAsia" w:eastAsiaTheme="minorEastAsia"/>
                <w:sz w:val="24"/>
                <w:szCs w:val="24"/>
              </w:rPr>
              <w:t>254nm</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104W</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UV-C</w:t>
            </w:r>
            <w:r>
              <w:rPr>
                <w:rFonts w:hint="eastAsia" w:cs="宋体" w:asciiTheme="minorEastAsia" w:hAnsiTheme="minorEastAsia" w:eastAsiaTheme="minorEastAsia"/>
                <w:sz w:val="24"/>
                <w:szCs w:val="24"/>
              </w:rPr>
              <w:t>输出调节范围：</w:t>
            </w:r>
            <w:r>
              <w:rPr>
                <w:rFonts w:cs="宋体" w:asciiTheme="minorEastAsia" w:hAnsiTheme="minorEastAsia" w:eastAsiaTheme="minorEastAsia"/>
                <w:sz w:val="24"/>
                <w:szCs w:val="24"/>
              </w:rPr>
              <w:t>50%-100%</w:t>
            </w:r>
            <w:r>
              <w:rPr>
                <w:rFonts w:hint="eastAsia" w:cs="宋体" w:asciiTheme="minorEastAsia" w:hAnsiTheme="minorEastAsia" w:eastAsiaTheme="minorEastAsia"/>
                <w:sz w:val="24"/>
                <w:szCs w:val="24"/>
              </w:rPr>
              <w:t>）</w:t>
            </w:r>
          </w:p>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（型号为：6103408 WEDECO</w:t>
            </w:r>
          </w:p>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ECORAY UV-Lamp ECORAY ELR30-1）</w:t>
            </w:r>
          </w:p>
        </w:tc>
        <w:tc>
          <w:tcPr>
            <w:tcW w:w="567"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160</w:t>
            </w:r>
          </w:p>
        </w:tc>
        <w:tc>
          <w:tcPr>
            <w:tcW w:w="520" w:type="dxa"/>
            <w:shd w:val="clear" w:color="FFFFFF" w:fill="FFFFFF"/>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根</w:t>
            </w:r>
          </w:p>
        </w:tc>
        <w:tc>
          <w:tcPr>
            <w:tcW w:w="730" w:type="dxa"/>
          </w:tcPr>
          <w:p>
            <w:pPr>
              <w:widowControl/>
              <w:jc w:val="left"/>
              <w:textAlignment w:val="center"/>
              <w:rPr>
                <w:rFonts w:cs="宋体" w:asciiTheme="minorEastAsia" w:hAnsiTheme="minorEastAsia" w:eastAsiaTheme="minorEastAsia"/>
                <w:sz w:val="24"/>
                <w:szCs w:val="24"/>
              </w:rPr>
            </w:pPr>
          </w:p>
        </w:tc>
        <w:tc>
          <w:tcPr>
            <w:tcW w:w="734" w:type="dxa"/>
          </w:tcPr>
          <w:p>
            <w:pPr>
              <w:widowControl/>
              <w:jc w:val="left"/>
              <w:textAlignment w:val="center"/>
              <w:rPr>
                <w:rFonts w:cs="宋体" w:asciiTheme="minorEastAsia" w:hAnsiTheme="minorEastAsia" w:eastAsiaTheme="minorEastAsia"/>
                <w:sz w:val="24"/>
                <w:szCs w:val="24"/>
              </w:rPr>
            </w:pPr>
          </w:p>
        </w:tc>
        <w:tc>
          <w:tcPr>
            <w:tcW w:w="2693" w:type="dxa"/>
            <w:shd w:val="clear" w:color="auto" w:fill="auto"/>
            <w:noWrap/>
            <w:tcMar>
              <w:top w:w="15" w:type="dxa"/>
              <w:left w:w="15" w:type="dxa"/>
              <w:right w:w="15" w:type="dxa"/>
            </w:tcMar>
            <w:vAlign w:val="center"/>
          </w:tcPr>
          <w:p>
            <w:pPr>
              <w:widowControl/>
              <w:jc w:val="left"/>
              <w:textAlignment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562" w:type="dxa"/>
            <w:shd w:val="clear" w:color="FFFFFF" w:fill="FFFFFF"/>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3828"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镇流板</w:t>
            </w:r>
          </w:p>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（型号为：Ballast TDS 55）</w:t>
            </w:r>
          </w:p>
        </w:tc>
        <w:tc>
          <w:tcPr>
            <w:tcW w:w="567" w:type="dxa"/>
            <w:shd w:val="clear" w:color="FFFFFF" w:fill="FFFFFF"/>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w:t>
            </w:r>
          </w:p>
        </w:tc>
        <w:tc>
          <w:tcPr>
            <w:tcW w:w="520" w:type="dxa"/>
            <w:shd w:val="clear" w:color="FFFFFF" w:fill="FFFFFF"/>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个</w:t>
            </w:r>
          </w:p>
        </w:tc>
        <w:tc>
          <w:tcPr>
            <w:tcW w:w="730" w:type="dxa"/>
          </w:tcPr>
          <w:p>
            <w:pPr>
              <w:widowControl/>
              <w:jc w:val="left"/>
              <w:textAlignment w:val="center"/>
              <w:rPr>
                <w:rFonts w:cs="宋体" w:asciiTheme="minorEastAsia" w:hAnsiTheme="minorEastAsia" w:eastAsiaTheme="minorEastAsia"/>
                <w:sz w:val="24"/>
                <w:szCs w:val="24"/>
              </w:rPr>
            </w:pPr>
          </w:p>
        </w:tc>
        <w:tc>
          <w:tcPr>
            <w:tcW w:w="734" w:type="dxa"/>
          </w:tcPr>
          <w:p>
            <w:pPr>
              <w:widowControl/>
              <w:jc w:val="left"/>
              <w:textAlignment w:val="center"/>
              <w:rPr>
                <w:rFonts w:cs="宋体" w:asciiTheme="minorEastAsia" w:hAnsiTheme="minorEastAsia" w:eastAsiaTheme="minorEastAsia"/>
                <w:sz w:val="24"/>
                <w:szCs w:val="24"/>
              </w:rPr>
            </w:pPr>
          </w:p>
        </w:tc>
        <w:tc>
          <w:tcPr>
            <w:tcW w:w="2693" w:type="dxa"/>
            <w:shd w:val="clear" w:color="auto" w:fill="auto"/>
            <w:noWrap/>
            <w:tcMar>
              <w:top w:w="15" w:type="dxa"/>
              <w:left w:w="15" w:type="dxa"/>
              <w:right w:w="15" w:type="dxa"/>
            </w:tcMar>
            <w:vAlign w:val="center"/>
          </w:tcPr>
          <w:p>
            <w:pPr>
              <w:widowControl/>
              <w:jc w:val="left"/>
              <w:textAlignment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62" w:type="dxa"/>
            <w:shd w:val="clear" w:color="FFFFFF" w:fill="FFFFFF"/>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3828"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石英套管模块</w:t>
            </w:r>
          </w:p>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（参数为：Quartz Module 48*2*1537）</w:t>
            </w:r>
          </w:p>
        </w:tc>
        <w:tc>
          <w:tcPr>
            <w:tcW w:w="567" w:type="dxa"/>
            <w:shd w:val="clear" w:color="FFFFFF" w:fill="FFFFFF"/>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w:t>
            </w:r>
          </w:p>
        </w:tc>
        <w:tc>
          <w:tcPr>
            <w:tcW w:w="520" w:type="dxa"/>
            <w:shd w:val="clear" w:color="FFFFFF" w:fill="FFFFFF"/>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套</w:t>
            </w:r>
          </w:p>
        </w:tc>
        <w:tc>
          <w:tcPr>
            <w:tcW w:w="730" w:type="dxa"/>
          </w:tcPr>
          <w:p>
            <w:pPr>
              <w:widowControl/>
              <w:jc w:val="left"/>
              <w:textAlignment w:val="center"/>
              <w:rPr>
                <w:rFonts w:cs="宋体" w:asciiTheme="minorEastAsia" w:hAnsiTheme="minorEastAsia" w:eastAsiaTheme="minorEastAsia"/>
                <w:sz w:val="24"/>
                <w:szCs w:val="24"/>
              </w:rPr>
            </w:pPr>
          </w:p>
        </w:tc>
        <w:tc>
          <w:tcPr>
            <w:tcW w:w="734" w:type="dxa"/>
          </w:tcPr>
          <w:p>
            <w:pPr>
              <w:widowControl/>
              <w:jc w:val="left"/>
              <w:textAlignment w:val="center"/>
              <w:rPr>
                <w:rFonts w:cs="宋体" w:asciiTheme="minorEastAsia" w:hAnsiTheme="minorEastAsia" w:eastAsiaTheme="minorEastAsia"/>
                <w:sz w:val="24"/>
                <w:szCs w:val="24"/>
              </w:rPr>
            </w:pPr>
          </w:p>
        </w:tc>
        <w:tc>
          <w:tcPr>
            <w:tcW w:w="2693" w:type="dxa"/>
            <w:shd w:val="clear" w:color="auto" w:fill="auto"/>
            <w:noWrap/>
            <w:tcMar>
              <w:top w:w="15" w:type="dxa"/>
              <w:left w:w="15" w:type="dxa"/>
              <w:right w:w="15" w:type="dxa"/>
            </w:tcMar>
            <w:vAlign w:val="center"/>
          </w:tcPr>
          <w:p>
            <w:pPr>
              <w:widowControl/>
              <w:jc w:val="left"/>
              <w:textAlignment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562" w:type="dxa"/>
            <w:shd w:val="clear" w:color="FFFFFF" w:fill="FFFFFF"/>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w:t>
            </w:r>
          </w:p>
        </w:tc>
        <w:tc>
          <w:tcPr>
            <w:tcW w:w="3828"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现有X</w:t>
            </w:r>
            <w:r>
              <w:rPr>
                <w:rFonts w:cs="宋体" w:asciiTheme="minorEastAsia" w:hAnsiTheme="minorEastAsia" w:eastAsiaTheme="minorEastAsia"/>
                <w:sz w:val="24"/>
                <w:szCs w:val="24"/>
              </w:rPr>
              <w:t xml:space="preserve">ylem </w:t>
            </w:r>
            <w:r>
              <w:rPr>
                <w:rFonts w:hint="eastAsia" w:cs="宋体" w:asciiTheme="minorEastAsia" w:hAnsiTheme="minorEastAsia" w:eastAsiaTheme="minorEastAsia"/>
                <w:sz w:val="24"/>
                <w:szCs w:val="24"/>
              </w:rPr>
              <w:t>WED</w:t>
            </w:r>
            <w:r>
              <w:rPr>
                <w:rFonts w:cs="宋体" w:asciiTheme="minorEastAsia" w:hAnsiTheme="minorEastAsia" w:eastAsiaTheme="minorEastAsia"/>
                <w:sz w:val="24"/>
                <w:szCs w:val="24"/>
              </w:rPr>
              <w:t>E</w:t>
            </w:r>
            <w:r>
              <w:rPr>
                <w:rFonts w:hint="eastAsia" w:cs="宋体" w:asciiTheme="minorEastAsia" w:hAnsiTheme="minorEastAsia" w:eastAsiaTheme="minorEastAsia"/>
                <w:sz w:val="24"/>
                <w:szCs w:val="24"/>
              </w:rPr>
              <w:t>C</w:t>
            </w:r>
            <w:r>
              <w:rPr>
                <w:rFonts w:cs="宋体" w:asciiTheme="minorEastAsia" w:hAnsiTheme="minorEastAsia" w:eastAsiaTheme="minorEastAsia"/>
                <w:sz w:val="24"/>
                <w:szCs w:val="24"/>
              </w:rPr>
              <w:t>O</w:t>
            </w:r>
          </w:p>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MVA162272 LBX1000e </w:t>
            </w:r>
          </w:p>
        </w:tc>
        <w:tc>
          <w:tcPr>
            <w:tcW w:w="567" w:type="dxa"/>
            <w:shd w:val="clear" w:color="FFFFFF" w:fill="FFFFFF"/>
            <w:tcMar>
              <w:top w:w="15" w:type="dxa"/>
              <w:left w:w="15" w:type="dxa"/>
              <w:right w:w="15" w:type="dxa"/>
            </w:tcMar>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520" w:type="dxa"/>
            <w:shd w:val="clear" w:color="FFFFFF" w:fill="FFFFFF"/>
            <w:tcMar>
              <w:top w:w="15" w:type="dxa"/>
              <w:left w:w="15" w:type="dxa"/>
              <w:right w:w="15" w:type="dxa"/>
            </w:tcMar>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台</w:t>
            </w:r>
          </w:p>
        </w:tc>
        <w:tc>
          <w:tcPr>
            <w:tcW w:w="1464" w:type="dxa"/>
            <w:gridSpan w:val="2"/>
            <w:vAlign w:val="center"/>
          </w:tcPr>
          <w:p>
            <w:pPr>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w:t>
            </w:r>
          </w:p>
        </w:tc>
        <w:tc>
          <w:tcPr>
            <w:tcW w:w="2693" w:type="dxa"/>
            <w:shd w:val="clear" w:color="auto" w:fill="auto"/>
            <w:noWrap/>
            <w:tcMar>
              <w:top w:w="15" w:type="dxa"/>
              <w:left w:w="15" w:type="dxa"/>
              <w:right w:w="15" w:type="dxa"/>
            </w:tcMar>
            <w:vAlign w:val="center"/>
          </w:tcPr>
          <w:p>
            <w:pPr>
              <w:jc w:val="right"/>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1" w:hRule="atLeast"/>
          <w:jc w:val="center"/>
        </w:trPr>
        <w:tc>
          <w:tcPr>
            <w:tcW w:w="562"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3828"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紫外灯管（低压高强灯管，功率：2</w:t>
            </w:r>
            <w:r>
              <w:rPr>
                <w:rFonts w:cs="宋体" w:asciiTheme="minorEastAsia" w:hAnsiTheme="minorEastAsia" w:eastAsiaTheme="minorEastAsia"/>
                <w:sz w:val="24"/>
                <w:szCs w:val="24"/>
              </w:rPr>
              <w:t>90W</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UV-C</w:t>
            </w:r>
            <w:r>
              <w:rPr>
                <w:rFonts w:hint="eastAsia" w:cs="宋体" w:asciiTheme="minorEastAsia" w:hAnsiTheme="minorEastAsia" w:eastAsiaTheme="minorEastAsia"/>
                <w:sz w:val="24"/>
                <w:szCs w:val="24"/>
              </w:rPr>
              <w:t>输出功率（</w:t>
            </w:r>
            <w:r>
              <w:rPr>
                <w:rFonts w:cs="宋体" w:asciiTheme="minorEastAsia" w:hAnsiTheme="minorEastAsia" w:eastAsiaTheme="minorEastAsia"/>
                <w:sz w:val="24"/>
                <w:szCs w:val="24"/>
              </w:rPr>
              <w:t>254nm</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104W</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UV-C</w:t>
            </w:r>
            <w:r>
              <w:rPr>
                <w:rFonts w:hint="eastAsia" w:cs="宋体" w:asciiTheme="minorEastAsia" w:hAnsiTheme="minorEastAsia" w:eastAsiaTheme="minorEastAsia"/>
                <w:sz w:val="24"/>
                <w:szCs w:val="24"/>
              </w:rPr>
              <w:t>输出调节范围：</w:t>
            </w:r>
            <w:r>
              <w:rPr>
                <w:rFonts w:cs="宋体" w:asciiTheme="minorEastAsia" w:hAnsiTheme="minorEastAsia" w:eastAsiaTheme="minorEastAsia"/>
                <w:sz w:val="24"/>
                <w:szCs w:val="24"/>
              </w:rPr>
              <w:t>50%-100%</w:t>
            </w:r>
            <w:r>
              <w:rPr>
                <w:rFonts w:hint="eastAsia" w:cs="宋体" w:asciiTheme="minorEastAsia" w:hAnsiTheme="minorEastAsia" w:eastAsiaTheme="minorEastAsia"/>
                <w:sz w:val="24"/>
                <w:szCs w:val="24"/>
              </w:rPr>
              <w:t>）</w:t>
            </w:r>
          </w:p>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（型号为：6103408 WEDECO</w:t>
            </w:r>
          </w:p>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ECORAY UV-Lamp ECORAY ELR30-1）</w:t>
            </w:r>
          </w:p>
        </w:tc>
        <w:tc>
          <w:tcPr>
            <w:tcW w:w="567"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40</w:t>
            </w:r>
          </w:p>
        </w:tc>
        <w:tc>
          <w:tcPr>
            <w:tcW w:w="520"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根</w:t>
            </w:r>
          </w:p>
        </w:tc>
        <w:tc>
          <w:tcPr>
            <w:tcW w:w="730" w:type="dxa"/>
            <w:shd w:val="clear" w:color="FFFFFF" w:fill="FFFFFF"/>
          </w:tcPr>
          <w:p>
            <w:pPr>
              <w:widowControl/>
              <w:jc w:val="left"/>
              <w:textAlignment w:val="center"/>
              <w:rPr>
                <w:rFonts w:cs="宋体" w:asciiTheme="minorEastAsia" w:hAnsiTheme="minorEastAsia" w:eastAsiaTheme="minorEastAsia"/>
                <w:sz w:val="24"/>
                <w:szCs w:val="24"/>
              </w:rPr>
            </w:pPr>
          </w:p>
        </w:tc>
        <w:tc>
          <w:tcPr>
            <w:tcW w:w="734" w:type="dxa"/>
            <w:shd w:val="clear" w:color="FFFFFF" w:fill="FFFFFF"/>
          </w:tcPr>
          <w:p>
            <w:pPr>
              <w:widowControl/>
              <w:jc w:val="left"/>
              <w:textAlignment w:val="center"/>
              <w:rPr>
                <w:rFonts w:cs="宋体" w:asciiTheme="minorEastAsia" w:hAnsiTheme="minorEastAsia" w:eastAsiaTheme="minorEastAsia"/>
                <w:sz w:val="24"/>
                <w:szCs w:val="24"/>
              </w:rPr>
            </w:pPr>
          </w:p>
        </w:tc>
        <w:tc>
          <w:tcPr>
            <w:tcW w:w="2693" w:type="dxa"/>
            <w:shd w:val="clear" w:color="FFFFFF" w:fill="FFFFFF"/>
            <w:noWrap/>
            <w:tcMar>
              <w:top w:w="15" w:type="dxa"/>
              <w:left w:w="15" w:type="dxa"/>
              <w:right w:w="15" w:type="dxa"/>
            </w:tcMar>
            <w:vAlign w:val="center"/>
          </w:tcPr>
          <w:p>
            <w:pPr>
              <w:widowControl/>
              <w:jc w:val="left"/>
              <w:textAlignment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62"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3828"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镇流板</w:t>
            </w:r>
          </w:p>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（型号为：Ballast ECORAY TDS 30 C1 dual）</w:t>
            </w:r>
          </w:p>
        </w:tc>
        <w:tc>
          <w:tcPr>
            <w:tcW w:w="567"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w:t>
            </w:r>
          </w:p>
        </w:tc>
        <w:tc>
          <w:tcPr>
            <w:tcW w:w="520"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个</w:t>
            </w:r>
          </w:p>
        </w:tc>
        <w:tc>
          <w:tcPr>
            <w:tcW w:w="730" w:type="dxa"/>
            <w:shd w:val="clear" w:color="FFFFFF" w:fill="FFFFFF"/>
          </w:tcPr>
          <w:p>
            <w:pPr>
              <w:widowControl/>
              <w:jc w:val="right"/>
              <w:textAlignment w:val="center"/>
              <w:rPr>
                <w:rFonts w:cs="宋体" w:asciiTheme="minorEastAsia" w:hAnsiTheme="minorEastAsia" w:eastAsiaTheme="minorEastAsia"/>
                <w:sz w:val="24"/>
                <w:szCs w:val="24"/>
              </w:rPr>
            </w:pPr>
          </w:p>
        </w:tc>
        <w:tc>
          <w:tcPr>
            <w:tcW w:w="734" w:type="dxa"/>
            <w:shd w:val="clear" w:color="FFFFFF" w:fill="FFFFFF"/>
          </w:tcPr>
          <w:p>
            <w:pPr>
              <w:widowControl/>
              <w:jc w:val="right"/>
              <w:textAlignment w:val="center"/>
              <w:rPr>
                <w:rFonts w:cs="宋体" w:asciiTheme="minorEastAsia" w:hAnsiTheme="minorEastAsia" w:eastAsiaTheme="minorEastAsia"/>
                <w:sz w:val="24"/>
                <w:szCs w:val="24"/>
              </w:rPr>
            </w:pPr>
          </w:p>
        </w:tc>
        <w:tc>
          <w:tcPr>
            <w:tcW w:w="2693" w:type="dxa"/>
            <w:shd w:val="clear" w:color="FFFFFF" w:fill="FFFFFF"/>
            <w:noWrap/>
            <w:tcMar>
              <w:top w:w="15" w:type="dxa"/>
              <w:left w:w="15" w:type="dxa"/>
              <w:right w:w="15" w:type="dxa"/>
            </w:tcMar>
            <w:vAlign w:val="center"/>
          </w:tcPr>
          <w:p>
            <w:pPr>
              <w:widowControl/>
              <w:jc w:val="left"/>
              <w:textAlignment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jc w:val="center"/>
        </w:trPr>
        <w:tc>
          <w:tcPr>
            <w:tcW w:w="562"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p>
        </w:tc>
        <w:tc>
          <w:tcPr>
            <w:tcW w:w="3828"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石英套管模块</w:t>
            </w:r>
          </w:p>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（参数为：Quartz Module 48*2*1537）</w:t>
            </w:r>
          </w:p>
        </w:tc>
        <w:tc>
          <w:tcPr>
            <w:tcW w:w="567"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w:t>
            </w:r>
          </w:p>
        </w:tc>
        <w:tc>
          <w:tcPr>
            <w:tcW w:w="520"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个</w:t>
            </w:r>
          </w:p>
        </w:tc>
        <w:tc>
          <w:tcPr>
            <w:tcW w:w="730" w:type="dxa"/>
            <w:shd w:val="clear" w:color="FFFFFF" w:fill="FFFFFF"/>
          </w:tcPr>
          <w:p>
            <w:pPr>
              <w:widowControl/>
              <w:jc w:val="right"/>
              <w:textAlignment w:val="center"/>
              <w:rPr>
                <w:rFonts w:cs="宋体" w:asciiTheme="minorEastAsia" w:hAnsiTheme="minorEastAsia" w:eastAsiaTheme="minorEastAsia"/>
                <w:sz w:val="24"/>
                <w:szCs w:val="24"/>
              </w:rPr>
            </w:pPr>
          </w:p>
        </w:tc>
        <w:tc>
          <w:tcPr>
            <w:tcW w:w="734" w:type="dxa"/>
            <w:shd w:val="clear" w:color="FFFFFF" w:fill="FFFFFF"/>
          </w:tcPr>
          <w:p>
            <w:pPr>
              <w:widowControl/>
              <w:jc w:val="right"/>
              <w:textAlignment w:val="center"/>
              <w:rPr>
                <w:rFonts w:cs="宋体" w:asciiTheme="minorEastAsia" w:hAnsiTheme="minorEastAsia" w:eastAsiaTheme="minorEastAsia"/>
                <w:sz w:val="24"/>
                <w:szCs w:val="24"/>
              </w:rPr>
            </w:pPr>
          </w:p>
        </w:tc>
        <w:tc>
          <w:tcPr>
            <w:tcW w:w="2693" w:type="dxa"/>
            <w:shd w:val="clear" w:color="FFFFFF" w:fill="FFFFFF"/>
            <w:noWrap/>
            <w:tcMar>
              <w:top w:w="15" w:type="dxa"/>
              <w:left w:w="15" w:type="dxa"/>
              <w:right w:w="15" w:type="dxa"/>
            </w:tcMar>
            <w:vAlign w:val="center"/>
          </w:tcPr>
          <w:p>
            <w:pPr>
              <w:widowControl/>
              <w:jc w:val="left"/>
              <w:textAlignment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562"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w:t>
            </w:r>
          </w:p>
        </w:tc>
        <w:tc>
          <w:tcPr>
            <w:tcW w:w="3828"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灯头 </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参数为：</w:t>
            </w:r>
            <w:r>
              <w:rPr>
                <w:rFonts w:cs="宋体" w:asciiTheme="minorEastAsia" w:hAnsiTheme="minorEastAsia" w:eastAsiaTheme="minorEastAsia"/>
                <w:sz w:val="24"/>
                <w:szCs w:val="24"/>
              </w:rPr>
              <w:t>PIN 10)</w:t>
            </w:r>
          </w:p>
        </w:tc>
        <w:tc>
          <w:tcPr>
            <w:tcW w:w="567"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w:t>
            </w:r>
          </w:p>
        </w:tc>
        <w:tc>
          <w:tcPr>
            <w:tcW w:w="520"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个</w:t>
            </w:r>
          </w:p>
        </w:tc>
        <w:tc>
          <w:tcPr>
            <w:tcW w:w="730" w:type="dxa"/>
            <w:shd w:val="clear" w:color="FFFFFF" w:fill="FFFFFF"/>
          </w:tcPr>
          <w:p>
            <w:pPr>
              <w:widowControl/>
              <w:jc w:val="right"/>
              <w:textAlignment w:val="center"/>
              <w:rPr>
                <w:rFonts w:cs="宋体" w:asciiTheme="minorEastAsia" w:hAnsiTheme="minorEastAsia" w:eastAsiaTheme="minorEastAsia"/>
                <w:sz w:val="24"/>
                <w:szCs w:val="24"/>
              </w:rPr>
            </w:pPr>
          </w:p>
        </w:tc>
        <w:tc>
          <w:tcPr>
            <w:tcW w:w="734" w:type="dxa"/>
            <w:shd w:val="clear" w:color="FFFFFF" w:fill="FFFFFF"/>
          </w:tcPr>
          <w:p>
            <w:pPr>
              <w:widowControl/>
              <w:jc w:val="right"/>
              <w:textAlignment w:val="center"/>
              <w:rPr>
                <w:rFonts w:cs="宋体" w:asciiTheme="minorEastAsia" w:hAnsiTheme="minorEastAsia" w:eastAsiaTheme="minorEastAsia"/>
                <w:sz w:val="24"/>
                <w:szCs w:val="24"/>
              </w:rPr>
            </w:pPr>
          </w:p>
        </w:tc>
        <w:tc>
          <w:tcPr>
            <w:tcW w:w="2693" w:type="dxa"/>
            <w:shd w:val="clear" w:color="FFFFFF" w:fill="FFFFFF"/>
            <w:noWrap/>
            <w:tcMar>
              <w:top w:w="15" w:type="dxa"/>
              <w:left w:w="15" w:type="dxa"/>
              <w:right w:w="15" w:type="dxa"/>
            </w:tcMar>
            <w:vAlign w:val="center"/>
          </w:tcPr>
          <w:p>
            <w:pPr>
              <w:widowControl/>
              <w:jc w:val="left"/>
              <w:textAlignment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62"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w:t>
            </w:r>
          </w:p>
        </w:tc>
        <w:tc>
          <w:tcPr>
            <w:tcW w:w="3828"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上述现有X</w:t>
            </w:r>
            <w:r>
              <w:rPr>
                <w:rFonts w:cs="宋体" w:asciiTheme="minorEastAsia" w:hAnsiTheme="minorEastAsia" w:eastAsiaTheme="minorEastAsia"/>
                <w:sz w:val="24"/>
                <w:szCs w:val="24"/>
              </w:rPr>
              <w:t xml:space="preserve">ylem </w:t>
            </w:r>
            <w:r>
              <w:rPr>
                <w:rFonts w:hint="eastAsia" w:cs="宋体" w:asciiTheme="minorEastAsia" w:hAnsiTheme="minorEastAsia" w:eastAsiaTheme="minorEastAsia"/>
                <w:sz w:val="24"/>
                <w:szCs w:val="24"/>
              </w:rPr>
              <w:t>WED</w:t>
            </w:r>
            <w:r>
              <w:rPr>
                <w:rFonts w:cs="宋体" w:asciiTheme="minorEastAsia" w:hAnsiTheme="minorEastAsia" w:eastAsiaTheme="minorEastAsia"/>
                <w:sz w:val="24"/>
                <w:szCs w:val="24"/>
              </w:rPr>
              <w:t>E</w:t>
            </w:r>
            <w:r>
              <w:rPr>
                <w:rFonts w:hint="eastAsia" w:cs="宋体" w:asciiTheme="minorEastAsia" w:hAnsiTheme="minorEastAsia" w:eastAsiaTheme="minorEastAsia"/>
                <w:sz w:val="24"/>
                <w:szCs w:val="24"/>
              </w:rPr>
              <w:t>C</w:t>
            </w:r>
            <w:r>
              <w:rPr>
                <w:rFonts w:cs="宋体" w:asciiTheme="minorEastAsia" w:hAnsiTheme="minorEastAsia" w:eastAsiaTheme="minorEastAsia"/>
                <w:sz w:val="24"/>
                <w:szCs w:val="24"/>
              </w:rPr>
              <w:t>O</w:t>
            </w:r>
            <w:r>
              <w:rPr>
                <w:rFonts w:hint="eastAsia" w:cs="宋体" w:asciiTheme="minorEastAsia" w:hAnsiTheme="minorEastAsia" w:eastAsiaTheme="minorEastAsia"/>
                <w:sz w:val="24"/>
                <w:szCs w:val="24"/>
              </w:rPr>
              <w:t>紫外消毒装置</w:t>
            </w:r>
          </w:p>
        </w:tc>
        <w:tc>
          <w:tcPr>
            <w:tcW w:w="567"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w:t>
            </w:r>
          </w:p>
        </w:tc>
        <w:tc>
          <w:tcPr>
            <w:tcW w:w="520"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台</w:t>
            </w:r>
          </w:p>
        </w:tc>
        <w:tc>
          <w:tcPr>
            <w:tcW w:w="1464" w:type="dxa"/>
            <w:gridSpan w:val="2"/>
            <w:shd w:val="clear" w:color="FFFFFF" w:fill="FFFFFF"/>
            <w:vAlign w:val="center"/>
          </w:tcPr>
          <w:p>
            <w:pPr>
              <w:widowControl/>
              <w:jc w:val="center"/>
              <w:textAlignment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w:t>
            </w:r>
          </w:p>
        </w:tc>
        <w:tc>
          <w:tcPr>
            <w:tcW w:w="2693" w:type="dxa"/>
            <w:shd w:val="clear" w:color="FFFFFF" w:fill="FFFFFF"/>
            <w:noWrap/>
            <w:tcMar>
              <w:top w:w="15" w:type="dxa"/>
              <w:left w:w="15" w:type="dxa"/>
              <w:right w:w="15" w:type="dxa"/>
            </w:tcMar>
            <w:vAlign w:val="center"/>
          </w:tcPr>
          <w:p>
            <w:pPr>
              <w:widowControl/>
              <w:jc w:val="right"/>
              <w:textAlignment w:val="center"/>
              <w:rPr>
                <w:rFonts w:cs="宋体" w:asciiTheme="minorEastAsia" w:hAnsiTheme="minorEastAsia" w:eastAsiaTheme="minorEastAsia"/>
                <w:sz w:val="24"/>
                <w:szCs w:val="24"/>
              </w:rPr>
            </w:pPr>
            <w:bookmarkStart w:id="33" w:name="_GoBack"/>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62"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1</w:t>
            </w:r>
          </w:p>
        </w:tc>
        <w:tc>
          <w:tcPr>
            <w:tcW w:w="3828"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现场安装服务费</w:t>
            </w:r>
          </w:p>
        </w:tc>
        <w:tc>
          <w:tcPr>
            <w:tcW w:w="567"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520"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w:t>
            </w:r>
          </w:p>
        </w:tc>
        <w:tc>
          <w:tcPr>
            <w:tcW w:w="730" w:type="dxa"/>
            <w:shd w:val="clear" w:color="FFFFFF" w:fill="FFFFFF"/>
          </w:tcPr>
          <w:p>
            <w:pPr>
              <w:widowControl/>
              <w:jc w:val="right"/>
              <w:textAlignment w:val="center"/>
              <w:rPr>
                <w:rFonts w:cs="宋体" w:asciiTheme="minorEastAsia" w:hAnsiTheme="minorEastAsia" w:eastAsiaTheme="minorEastAsia"/>
                <w:sz w:val="24"/>
                <w:szCs w:val="24"/>
              </w:rPr>
            </w:pPr>
          </w:p>
        </w:tc>
        <w:tc>
          <w:tcPr>
            <w:tcW w:w="734" w:type="dxa"/>
            <w:shd w:val="clear" w:color="FFFFFF" w:fill="FFFFFF"/>
          </w:tcPr>
          <w:p>
            <w:pPr>
              <w:widowControl/>
              <w:jc w:val="right"/>
              <w:textAlignment w:val="center"/>
              <w:rPr>
                <w:rFonts w:cs="宋体" w:asciiTheme="minorEastAsia" w:hAnsiTheme="minorEastAsia" w:eastAsiaTheme="minorEastAsia"/>
                <w:sz w:val="24"/>
                <w:szCs w:val="24"/>
              </w:rPr>
            </w:pPr>
          </w:p>
        </w:tc>
        <w:tc>
          <w:tcPr>
            <w:tcW w:w="2693" w:type="dxa"/>
            <w:shd w:val="clear" w:color="FFFFFF" w:fill="FFFFFF"/>
            <w:noWrap/>
            <w:tcMar>
              <w:top w:w="15" w:type="dxa"/>
              <w:left w:w="15" w:type="dxa"/>
              <w:right w:w="15" w:type="dxa"/>
            </w:tcMar>
            <w:vAlign w:val="center"/>
          </w:tcPr>
          <w:p>
            <w:pPr>
              <w:widowControl/>
              <w:jc w:val="right"/>
              <w:textAlignment w:val="center"/>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62"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2</w:t>
            </w:r>
          </w:p>
        </w:tc>
        <w:tc>
          <w:tcPr>
            <w:tcW w:w="3828"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现场所有危险废料处理处置</w:t>
            </w:r>
          </w:p>
        </w:tc>
        <w:tc>
          <w:tcPr>
            <w:tcW w:w="567"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520"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w:t>
            </w:r>
          </w:p>
        </w:tc>
        <w:tc>
          <w:tcPr>
            <w:tcW w:w="730" w:type="dxa"/>
            <w:shd w:val="clear" w:color="FFFFFF" w:fill="FFFFFF"/>
          </w:tcPr>
          <w:p>
            <w:pPr>
              <w:widowControl/>
              <w:jc w:val="right"/>
              <w:textAlignment w:val="center"/>
              <w:rPr>
                <w:rFonts w:cs="宋体" w:asciiTheme="minorEastAsia" w:hAnsiTheme="minorEastAsia" w:eastAsiaTheme="minorEastAsia"/>
                <w:sz w:val="24"/>
                <w:szCs w:val="24"/>
              </w:rPr>
            </w:pPr>
          </w:p>
        </w:tc>
        <w:tc>
          <w:tcPr>
            <w:tcW w:w="734" w:type="dxa"/>
            <w:shd w:val="clear" w:color="FFFFFF" w:fill="FFFFFF"/>
          </w:tcPr>
          <w:p>
            <w:pPr>
              <w:widowControl/>
              <w:jc w:val="left"/>
              <w:textAlignment w:val="center"/>
              <w:rPr>
                <w:rFonts w:cs="宋体" w:asciiTheme="minorEastAsia" w:hAnsiTheme="minorEastAsia" w:eastAsiaTheme="minorEastAsia"/>
                <w:sz w:val="24"/>
                <w:szCs w:val="24"/>
              </w:rPr>
            </w:pPr>
          </w:p>
        </w:tc>
        <w:tc>
          <w:tcPr>
            <w:tcW w:w="2693" w:type="dxa"/>
            <w:shd w:val="clear" w:color="FFFFFF" w:fill="FFFFFF"/>
            <w:noWrap/>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严格按照相关法规进行处理处置</w:t>
            </w:r>
          </w:p>
        </w:tc>
      </w:tr>
    </w:tbl>
    <w:p>
      <w:pPr>
        <w:pStyle w:val="28"/>
      </w:pPr>
    </w:p>
    <w:p>
      <w:pPr>
        <w:pStyle w:val="28"/>
      </w:pPr>
    </w:p>
    <w:p>
      <w:pPr>
        <w:pStyle w:val="28"/>
      </w:pPr>
    </w:p>
    <w:p>
      <w:pPr>
        <w:pStyle w:val="28"/>
      </w:pPr>
    </w:p>
    <w:p>
      <w:pPr>
        <w:pStyle w:val="28"/>
      </w:pPr>
    </w:p>
    <w:p>
      <w:pPr>
        <w:spacing w:line="360" w:lineRule="auto"/>
        <w:rPr>
          <w:rFonts w:ascii="宋体" w:hAnsi="宋体" w:cs="宋体"/>
          <w:b/>
          <w:bCs/>
          <w:sz w:val="24"/>
          <w:szCs w:val="24"/>
        </w:rPr>
      </w:pPr>
      <w:r>
        <w:rPr>
          <w:rFonts w:hint="eastAsia" w:ascii="宋体" w:hAnsi="宋体" w:cs="宋体"/>
          <w:b/>
          <w:bCs/>
          <w:sz w:val="24"/>
          <w:szCs w:val="24"/>
        </w:rPr>
        <w:t>附件5 ：项目投入人员架构表/应急救援物资清单</w:t>
      </w:r>
    </w:p>
    <w:p>
      <w:pPr>
        <w:spacing w:line="360" w:lineRule="auto"/>
        <w:jc w:val="center"/>
        <w:outlineLvl w:val="3"/>
        <w:rPr>
          <w:rFonts w:ascii="宋体" w:hAnsi="宋体" w:cs="宋体"/>
          <w:b/>
          <w:sz w:val="24"/>
          <w:szCs w:val="24"/>
        </w:rPr>
      </w:pPr>
    </w:p>
    <w:p>
      <w:pPr>
        <w:spacing w:line="360" w:lineRule="auto"/>
        <w:jc w:val="center"/>
        <w:outlineLvl w:val="3"/>
        <w:rPr>
          <w:rFonts w:ascii="宋体" w:hAnsi="宋体" w:cs="宋体"/>
          <w:b/>
          <w:bCs/>
          <w:sz w:val="24"/>
          <w:szCs w:val="24"/>
        </w:rPr>
      </w:pPr>
      <w:r>
        <w:rPr>
          <w:rFonts w:hint="eastAsia" w:ascii="宋体" w:hAnsi="宋体" w:cs="宋体"/>
          <w:b/>
          <w:sz w:val="24"/>
          <w:szCs w:val="24"/>
        </w:rPr>
        <w:t>拟投入工程人员配备响应表</w:t>
      </w:r>
    </w:p>
    <w:tbl>
      <w:tblPr>
        <w:tblStyle w:val="2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机械工程师</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电气工程师</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清洗工作员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bl>
    <w:p>
      <w:pPr>
        <w:spacing w:line="360" w:lineRule="auto"/>
        <w:rPr>
          <w:rFonts w:ascii="宋体" w:hAnsi="宋体" w:cs="宋体"/>
          <w:sz w:val="24"/>
          <w:szCs w:val="24"/>
        </w:rPr>
      </w:pPr>
      <w:r>
        <w:rPr>
          <w:rFonts w:hint="eastAsia" w:ascii="宋体" w:hAnsi="宋体" w:cs="宋体"/>
          <w:b/>
          <w:bCs/>
          <w:sz w:val="24"/>
          <w:szCs w:val="24"/>
        </w:rPr>
        <w:t>注： 本表作为合同附件，其内容必须是真实有效。</w:t>
      </w:r>
    </w:p>
    <w:p>
      <w:pPr>
        <w:spacing w:line="360" w:lineRule="auto"/>
        <w:jc w:val="center"/>
        <w:outlineLvl w:val="3"/>
        <w:rPr>
          <w:rFonts w:ascii="宋体" w:hAnsi="宋体" w:cs="宋体"/>
          <w:b/>
          <w:sz w:val="24"/>
          <w:szCs w:val="24"/>
        </w:rPr>
      </w:pPr>
    </w:p>
    <w:p>
      <w:pPr>
        <w:spacing w:line="360" w:lineRule="auto"/>
        <w:jc w:val="left"/>
        <w:rPr>
          <w:rFonts w:ascii="宋体" w:hAnsi="宋体" w:cs="宋体"/>
          <w:b/>
          <w:bCs/>
          <w:szCs w:val="21"/>
        </w:rPr>
      </w:pPr>
    </w:p>
    <w:p>
      <w:pPr>
        <w:pStyle w:val="28"/>
      </w:pPr>
    </w:p>
    <w:p>
      <w:pPr>
        <w:pStyle w:val="28"/>
      </w:pPr>
    </w:p>
    <w:p>
      <w:pPr>
        <w:pStyle w:val="28"/>
      </w:pPr>
    </w:p>
    <w:p>
      <w:pPr>
        <w:pStyle w:val="28"/>
      </w:pPr>
    </w:p>
    <w:p>
      <w:pPr>
        <w:spacing w:line="360" w:lineRule="auto"/>
        <w:jc w:val="center"/>
        <w:rPr>
          <w:rFonts w:ascii="宋体" w:hAnsi="宋体" w:cs="宋体"/>
          <w:b/>
          <w:bCs/>
          <w:sz w:val="24"/>
          <w:szCs w:val="24"/>
        </w:rPr>
      </w:pPr>
      <w:r>
        <w:rPr>
          <w:rFonts w:hint="eastAsia" w:ascii="宋体" w:hAnsi="宋体" w:cs="宋体"/>
          <w:b/>
          <w:bCs/>
          <w:sz w:val="24"/>
          <w:szCs w:val="24"/>
        </w:rPr>
        <w:t>应急救援物资清单</w:t>
      </w:r>
    </w:p>
    <w:p>
      <w:pPr>
        <w:pStyle w:val="28"/>
      </w:pPr>
    </w:p>
    <w:tbl>
      <w:tblPr>
        <w:tblStyle w:val="21"/>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5386"/>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napToGrid w:val="0"/>
                <w:color w:val="000000"/>
                <w:sz w:val="24"/>
                <w:szCs w:val="24"/>
              </w:rPr>
            </w:pPr>
            <w:r>
              <w:rPr>
                <w:rFonts w:hint="eastAsia" w:ascii="宋体" w:hAnsi="宋体" w:cs="宋体"/>
                <w:snapToGrid w:val="0"/>
                <w:color w:val="000000"/>
                <w:sz w:val="24"/>
                <w:szCs w:val="24"/>
              </w:rPr>
              <w:t>序号</w:t>
            </w:r>
          </w:p>
        </w:tc>
        <w:tc>
          <w:tcPr>
            <w:tcW w:w="5386" w:type="dxa"/>
            <w:vAlign w:val="center"/>
          </w:tcPr>
          <w:p>
            <w:pPr>
              <w:jc w:val="center"/>
              <w:rPr>
                <w:rFonts w:ascii="宋体" w:hAnsi="宋体" w:cs="宋体"/>
                <w:snapToGrid w:val="0"/>
                <w:color w:val="000000"/>
                <w:sz w:val="24"/>
                <w:szCs w:val="24"/>
              </w:rPr>
            </w:pPr>
            <w:r>
              <w:rPr>
                <w:rFonts w:hint="eastAsia" w:ascii="宋体" w:hAnsi="宋体" w:cs="宋体"/>
                <w:snapToGrid w:val="0"/>
                <w:color w:val="000000"/>
                <w:sz w:val="24"/>
                <w:szCs w:val="24"/>
              </w:rPr>
              <w:t>设备/材料名称（规格）</w:t>
            </w:r>
          </w:p>
        </w:tc>
        <w:tc>
          <w:tcPr>
            <w:tcW w:w="1025" w:type="dxa"/>
            <w:vAlign w:val="center"/>
          </w:tcPr>
          <w:p>
            <w:pPr>
              <w:jc w:val="center"/>
              <w:rPr>
                <w:rFonts w:ascii="宋体" w:hAnsi="宋体" w:cs="宋体"/>
                <w:snapToGrid w:val="0"/>
                <w:color w:val="000000"/>
                <w:sz w:val="24"/>
                <w:szCs w:val="24"/>
              </w:rPr>
            </w:pPr>
            <w:r>
              <w:rPr>
                <w:rFonts w:hint="eastAsia" w:ascii="宋体" w:hAnsi="宋体" w:cs="宋体"/>
                <w:snapToGrid w:val="0"/>
                <w:color w:val="000000"/>
                <w:sz w:val="24"/>
                <w:szCs w:val="24"/>
              </w:rPr>
              <w:t>单位</w:t>
            </w:r>
          </w:p>
        </w:tc>
        <w:tc>
          <w:tcPr>
            <w:tcW w:w="982" w:type="dxa"/>
            <w:vAlign w:val="center"/>
          </w:tcPr>
          <w:p>
            <w:pPr>
              <w:jc w:val="center"/>
              <w:rPr>
                <w:rFonts w:ascii="宋体" w:hAnsi="宋体" w:cs="宋体"/>
                <w:snapToGrid w:val="0"/>
                <w:color w:val="000000"/>
                <w:sz w:val="24"/>
                <w:szCs w:val="24"/>
              </w:rPr>
            </w:pPr>
            <w:r>
              <w:rPr>
                <w:rFonts w:hint="eastAsia" w:ascii="宋体" w:hAnsi="宋体" w:cs="宋体"/>
                <w:snapToGrid w:val="0"/>
                <w:color w:val="000000"/>
                <w:sz w:val="24"/>
                <w:szCs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1</w:t>
            </w:r>
          </w:p>
        </w:tc>
        <w:tc>
          <w:tcPr>
            <w:tcW w:w="5386" w:type="dxa"/>
            <w:vAlign w:val="center"/>
          </w:tcPr>
          <w:p>
            <w:pPr>
              <w:jc w:val="center"/>
              <w:rPr>
                <w:rFonts w:ascii="宋体" w:hAnsi="宋体" w:cs="宋体"/>
                <w:snapToGrid w:val="0"/>
                <w:color w:val="000000"/>
                <w:sz w:val="24"/>
                <w:szCs w:val="24"/>
              </w:rPr>
            </w:pPr>
            <w:r>
              <w:rPr>
                <w:rFonts w:hint="eastAsia" w:ascii="宋体" w:hAnsi="宋体" w:cs="宋体"/>
                <w:snapToGrid w:val="0"/>
                <w:color w:val="000000"/>
                <w:sz w:val="24"/>
                <w:szCs w:val="24"/>
              </w:rPr>
              <w:t>安全帽</w:t>
            </w:r>
          </w:p>
        </w:tc>
        <w:tc>
          <w:tcPr>
            <w:tcW w:w="1025" w:type="dxa"/>
            <w:vAlign w:val="center"/>
          </w:tcPr>
          <w:p>
            <w:pPr>
              <w:jc w:val="center"/>
              <w:rPr>
                <w:rFonts w:ascii="宋体" w:hAnsi="宋体" w:cs="宋体"/>
                <w:sz w:val="24"/>
                <w:szCs w:val="24"/>
              </w:rPr>
            </w:pPr>
            <w:r>
              <w:rPr>
                <w:rFonts w:hint="eastAsia" w:ascii="宋体" w:hAnsi="宋体" w:cs="宋体"/>
                <w:sz w:val="24"/>
                <w:szCs w:val="24"/>
              </w:rPr>
              <w:t>顶</w:t>
            </w:r>
          </w:p>
        </w:tc>
        <w:tc>
          <w:tcPr>
            <w:tcW w:w="982" w:type="dxa"/>
            <w:vAlign w:val="center"/>
          </w:tcPr>
          <w:p>
            <w:pPr>
              <w:jc w:val="center"/>
              <w:rPr>
                <w:rFonts w:ascii="宋体" w:hAnsi="宋体" w:cs="宋体"/>
                <w:sz w:val="24"/>
                <w:szCs w:val="24"/>
              </w:rPr>
            </w:pPr>
            <w:r>
              <w:rPr>
                <w:rFonts w:ascii="宋体" w:hAnsi="宋体" w:cs="宋体"/>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2</w:t>
            </w:r>
          </w:p>
        </w:tc>
        <w:tc>
          <w:tcPr>
            <w:tcW w:w="5386" w:type="dxa"/>
            <w:vAlign w:val="center"/>
          </w:tcPr>
          <w:p>
            <w:pPr>
              <w:jc w:val="center"/>
              <w:rPr>
                <w:rFonts w:ascii="宋体" w:hAnsi="宋体" w:cs="宋体"/>
                <w:sz w:val="24"/>
                <w:szCs w:val="24"/>
              </w:rPr>
            </w:pPr>
            <w:r>
              <w:rPr>
                <w:rFonts w:hint="eastAsia" w:ascii="宋体" w:hAnsi="宋体" w:cs="宋体"/>
                <w:sz w:val="24"/>
                <w:szCs w:val="24"/>
              </w:rPr>
              <w:t>安全带（五点式）</w:t>
            </w:r>
          </w:p>
        </w:tc>
        <w:tc>
          <w:tcPr>
            <w:tcW w:w="1025" w:type="dxa"/>
            <w:vAlign w:val="center"/>
          </w:tcPr>
          <w:p>
            <w:pPr>
              <w:jc w:val="center"/>
              <w:rPr>
                <w:rFonts w:ascii="宋体" w:hAnsi="宋体" w:cs="宋体"/>
                <w:sz w:val="24"/>
                <w:szCs w:val="24"/>
              </w:rPr>
            </w:pPr>
            <w:r>
              <w:rPr>
                <w:rFonts w:hint="eastAsia" w:ascii="宋体" w:hAnsi="宋体" w:cs="宋体"/>
                <w:sz w:val="24"/>
                <w:szCs w:val="24"/>
              </w:rPr>
              <w:t>套</w:t>
            </w:r>
          </w:p>
        </w:tc>
        <w:tc>
          <w:tcPr>
            <w:tcW w:w="982" w:type="dxa"/>
            <w:vAlign w:val="center"/>
          </w:tcPr>
          <w:p>
            <w:pPr>
              <w:jc w:val="center"/>
              <w:rPr>
                <w:rFonts w:ascii="宋体" w:hAnsi="宋体" w:cs="宋体"/>
                <w:sz w:val="24"/>
                <w:szCs w:val="24"/>
              </w:rPr>
            </w:pPr>
            <w:r>
              <w:rPr>
                <w:rFonts w:ascii="宋体" w:hAnsi="宋体" w:cs="宋体"/>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3</w:t>
            </w:r>
          </w:p>
        </w:tc>
        <w:tc>
          <w:tcPr>
            <w:tcW w:w="5386" w:type="dxa"/>
            <w:vAlign w:val="center"/>
          </w:tcPr>
          <w:p>
            <w:pPr>
              <w:tabs>
                <w:tab w:val="left" w:pos="1719"/>
              </w:tabs>
              <w:jc w:val="center"/>
              <w:rPr>
                <w:rFonts w:ascii="宋体" w:hAnsi="宋体" w:cs="宋体"/>
                <w:sz w:val="24"/>
                <w:szCs w:val="24"/>
              </w:rPr>
            </w:pPr>
            <w:r>
              <w:rPr>
                <w:rFonts w:hint="eastAsia" w:ascii="宋体" w:hAnsi="宋体" w:cs="宋体"/>
                <w:sz w:val="24"/>
                <w:szCs w:val="24"/>
              </w:rPr>
              <w:t>医药急救箱</w:t>
            </w:r>
          </w:p>
        </w:tc>
        <w:tc>
          <w:tcPr>
            <w:tcW w:w="1025" w:type="dxa"/>
            <w:vAlign w:val="center"/>
          </w:tcPr>
          <w:p>
            <w:pPr>
              <w:jc w:val="center"/>
              <w:rPr>
                <w:rFonts w:ascii="宋体" w:hAnsi="宋体" w:cs="宋体"/>
                <w:sz w:val="24"/>
                <w:szCs w:val="24"/>
              </w:rPr>
            </w:pPr>
            <w:r>
              <w:rPr>
                <w:rFonts w:hint="eastAsia" w:ascii="宋体" w:hAnsi="宋体" w:cs="宋体"/>
                <w:sz w:val="24"/>
                <w:szCs w:val="24"/>
              </w:rPr>
              <w:t>套</w:t>
            </w:r>
          </w:p>
        </w:tc>
        <w:tc>
          <w:tcPr>
            <w:tcW w:w="982" w:type="dxa"/>
            <w:vAlign w:val="center"/>
          </w:tcPr>
          <w:p>
            <w:pPr>
              <w:jc w:val="center"/>
              <w:rPr>
                <w:rFonts w:ascii="宋体" w:hAnsi="宋体" w:cs="宋体"/>
                <w:sz w:val="24"/>
                <w:szCs w:val="24"/>
              </w:rPr>
            </w:pPr>
            <w:r>
              <w:rPr>
                <w:rFonts w:hint="eastAsia" w:ascii="宋体" w:hAnsi="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4</w:t>
            </w:r>
          </w:p>
        </w:tc>
        <w:tc>
          <w:tcPr>
            <w:tcW w:w="5386" w:type="dxa"/>
            <w:vAlign w:val="center"/>
          </w:tcPr>
          <w:p>
            <w:pPr>
              <w:jc w:val="center"/>
              <w:rPr>
                <w:rFonts w:ascii="宋体" w:hAnsi="宋体" w:cs="宋体"/>
                <w:sz w:val="24"/>
                <w:szCs w:val="24"/>
              </w:rPr>
            </w:pPr>
            <w:r>
              <w:rPr>
                <w:rFonts w:hint="eastAsia" w:ascii="宋体" w:hAnsi="宋体" w:cs="宋体"/>
                <w:sz w:val="24"/>
                <w:szCs w:val="24"/>
              </w:rPr>
              <w:t>救生绳（15米）</w:t>
            </w:r>
          </w:p>
        </w:tc>
        <w:tc>
          <w:tcPr>
            <w:tcW w:w="1025" w:type="dxa"/>
            <w:vAlign w:val="center"/>
          </w:tcPr>
          <w:p>
            <w:pPr>
              <w:jc w:val="center"/>
              <w:rPr>
                <w:rFonts w:ascii="宋体" w:hAnsi="宋体" w:cs="宋体"/>
                <w:sz w:val="24"/>
                <w:szCs w:val="24"/>
              </w:rPr>
            </w:pPr>
            <w:r>
              <w:rPr>
                <w:rFonts w:hint="eastAsia" w:ascii="宋体" w:hAnsi="宋体" w:cs="宋体"/>
                <w:sz w:val="24"/>
                <w:szCs w:val="24"/>
              </w:rPr>
              <w:t>条</w:t>
            </w:r>
          </w:p>
        </w:tc>
        <w:tc>
          <w:tcPr>
            <w:tcW w:w="982" w:type="dxa"/>
            <w:vAlign w:val="center"/>
          </w:tcPr>
          <w:p>
            <w:pPr>
              <w:jc w:val="center"/>
              <w:rPr>
                <w:rFonts w:ascii="宋体" w:hAnsi="宋体" w:cs="宋体"/>
                <w:sz w:val="24"/>
                <w:szCs w:val="24"/>
              </w:rPr>
            </w:pPr>
            <w:r>
              <w:rPr>
                <w:rFonts w:hint="eastAsia" w:ascii="宋体" w:hAnsi="宋体" w:cs="宋体"/>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5</w:t>
            </w:r>
          </w:p>
        </w:tc>
        <w:tc>
          <w:tcPr>
            <w:tcW w:w="5386" w:type="dxa"/>
            <w:vAlign w:val="center"/>
          </w:tcPr>
          <w:p>
            <w:pPr>
              <w:jc w:val="center"/>
              <w:rPr>
                <w:rFonts w:ascii="宋体" w:hAnsi="宋体" w:cs="宋体"/>
                <w:sz w:val="24"/>
                <w:szCs w:val="24"/>
              </w:rPr>
            </w:pPr>
            <w:r>
              <w:rPr>
                <w:rFonts w:hint="eastAsia" w:ascii="宋体" w:hAnsi="宋体" w:cs="宋体"/>
                <w:sz w:val="24"/>
                <w:szCs w:val="24"/>
              </w:rPr>
              <w:t>头灯/手电筒</w:t>
            </w:r>
          </w:p>
        </w:tc>
        <w:tc>
          <w:tcPr>
            <w:tcW w:w="1025" w:type="dxa"/>
            <w:vAlign w:val="center"/>
          </w:tcPr>
          <w:p>
            <w:pPr>
              <w:jc w:val="center"/>
              <w:rPr>
                <w:rFonts w:ascii="宋体" w:hAnsi="宋体" w:cs="宋体"/>
                <w:sz w:val="24"/>
                <w:szCs w:val="24"/>
              </w:rPr>
            </w:pPr>
            <w:r>
              <w:rPr>
                <w:rFonts w:hint="eastAsia" w:ascii="宋体" w:hAnsi="宋体" w:cs="宋体"/>
                <w:sz w:val="24"/>
                <w:szCs w:val="24"/>
              </w:rPr>
              <w:t>个</w:t>
            </w:r>
          </w:p>
        </w:tc>
        <w:tc>
          <w:tcPr>
            <w:tcW w:w="982" w:type="dxa"/>
            <w:vAlign w:val="center"/>
          </w:tcPr>
          <w:p>
            <w:pPr>
              <w:jc w:val="center"/>
              <w:rPr>
                <w:rFonts w:ascii="宋体" w:hAnsi="宋体" w:cs="宋体"/>
                <w:sz w:val="24"/>
                <w:szCs w:val="24"/>
              </w:rPr>
            </w:pPr>
            <w:r>
              <w:rPr>
                <w:rFonts w:hint="eastAsia" w:ascii="宋体" w:hAnsi="宋体" w:cs="宋体"/>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6</w:t>
            </w:r>
          </w:p>
        </w:tc>
        <w:tc>
          <w:tcPr>
            <w:tcW w:w="5386" w:type="dxa"/>
            <w:vAlign w:val="center"/>
          </w:tcPr>
          <w:p>
            <w:pPr>
              <w:jc w:val="center"/>
              <w:rPr>
                <w:rFonts w:ascii="宋体" w:hAnsi="宋体" w:cs="宋体"/>
                <w:sz w:val="24"/>
                <w:szCs w:val="24"/>
              </w:rPr>
            </w:pPr>
            <w:r>
              <w:rPr>
                <w:rFonts w:hint="eastAsia" w:ascii="宋体" w:hAnsi="宋体" w:cs="宋体"/>
                <w:sz w:val="24"/>
                <w:szCs w:val="24"/>
              </w:rPr>
              <w:t>干粉灭火器 3KG</w:t>
            </w:r>
          </w:p>
        </w:tc>
        <w:tc>
          <w:tcPr>
            <w:tcW w:w="1025" w:type="dxa"/>
            <w:vAlign w:val="center"/>
          </w:tcPr>
          <w:p>
            <w:pPr>
              <w:jc w:val="center"/>
              <w:rPr>
                <w:rFonts w:ascii="宋体" w:hAnsi="宋体" w:cs="宋体"/>
                <w:sz w:val="24"/>
                <w:szCs w:val="24"/>
              </w:rPr>
            </w:pPr>
            <w:r>
              <w:rPr>
                <w:rFonts w:hint="eastAsia" w:ascii="宋体" w:hAnsi="宋体" w:cs="宋体"/>
                <w:sz w:val="24"/>
                <w:szCs w:val="24"/>
              </w:rPr>
              <w:t>个</w:t>
            </w:r>
          </w:p>
        </w:tc>
        <w:tc>
          <w:tcPr>
            <w:tcW w:w="982" w:type="dxa"/>
            <w:vAlign w:val="center"/>
          </w:tcPr>
          <w:p>
            <w:pPr>
              <w:jc w:val="center"/>
              <w:rPr>
                <w:rFonts w:ascii="宋体" w:hAnsi="宋体" w:cs="宋体"/>
                <w:sz w:val="24"/>
                <w:szCs w:val="24"/>
              </w:rPr>
            </w:pPr>
            <w:r>
              <w:rPr>
                <w:rFonts w:hint="eastAsia" w:ascii="宋体" w:hAnsi="宋体" w:cs="宋体"/>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7</w:t>
            </w:r>
          </w:p>
        </w:tc>
        <w:tc>
          <w:tcPr>
            <w:tcW w:w="5386" w:type="dxa"/>
            <w:vAlign w:val="center"/>
          </w:tcPr>
          <w:p>
            <w:pPr>
              <w:jc w:val="center"/>
              <w:rPr>
                <w:rFonts w:ascii="宋体" w:hAnsi="宋体" w:cs="宋体"/>
                <w:sz w:val="24"/>
                <w:szCs w:val="24"/>
              </w:rPr>
            </w:pPr>
            <w:r>
              <w:rPr>
                <w:rFonts w:hint="eastAsia" w:ascii="宋体" w:hAnsi="宋体" w:cs="宋体"/>
                <w:sz w:val="24"/>
                <w:szCs w:val="24"/>
              </w:rPr>
              <w:t>护目镜</w:t>
            </w:r>
          </w:p>
        </w:tc>
        <w:tc>
          <w:tcPr>
            <w:tcW w:w="1025" w:type="dxa"/>
            <w:vAlign w:val="center"/>
          </w:tcPr>
          <w:p>
            <w:pPr>
              <w:jc w:val="center"/>
              <w:rPr>
                <w:rFonts w:ascii="宋体" w:hAnsi="宋体" w:cs="宋体"/>
                <w:sz w:val="24"/>
                <w:szCs w:val="24"/>
              </w:rPr>
            </w:pPr>
            <w:r>
              <w:rPr>
                <w:rFonts w:hint="eastAsia" w:ascii="宋体" w:hAnsi="宋体" w:cs="宋体"/>
                <w:sz w:val="24"/>
                <w:szCs w:val="24"/>
              </w:rPr>
              <w:t>副</w:t>
            </w:r>
          </w:p>
        </w:tc>
        <w:tc>
          <w:tcPr>
            <w:tcW w:w="982" w:type="dxa"/>
            <w:vAlign w:val="center"/>
          </w:tcPr>
          <w:p>
            <w:pPr>
              <w:jc w:val="center"/>
              <w:rPr>
                <w:rFonts w:ascii="宋体" w:hAnsi="宋体" w:cs="宋体"/>
                <w:sz w:val="24"/>
                <w:szCs w:val="24"/>
              </w:rPr>
            </w:pPr>
            <w:r>
              <w:rPr>
                <w:rFonts w:hint="eastAsia" w:ascii="宋体" w:hAnsi="宋体" w:cs="宋体"/>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8</w:t>
            </w:r>
          </w:p>
        </w:tc>
        <w:tc>
          <w:tcPr>
            <w:tcW w:w="5386" w:type="dxa"/>
            <w:vAlign w:val="center"/>
          </w:tcPr>
          <w:p>
            <w:pPr>
              <w:jc w:val="center"/>
              <w:rPr>
                <w:rFonts w:ascii="宋体" w:hAnsi="宋体" w:cs="宋体"/>
                <w:sz w:val="24"/>
                <w:szCs w:val="24"/>
              </w:rPr>
            </w:pPr>
            <w:r>
              <w:rPr>
                <w:rFonts w:hint="eastAsia" w:ascii="宋体" w:hAnsi="宋体" w:cs="宋体"/>
                <w:sz w:val="24"/>
                <w:szCs w:val="24"/>
              </w:rPr>
              <w:t>橡胶防护手套</w:t>
            </w:r>
          </w:p>
        </w:tc>
        <w:tc>
          <w:tcPr>
            <w:tcW w:w="1025" w:type="dxa"/>
            <w:vAlign w:val="center"/>
          </w:tcPr>
          <w:p>
            <w:pPr>
              <w:jc w:val="center"/>
              <w:rPr>
                <w:rFonts w:ascii="宋体" w:hAnsi="宋体" w:cs="宋体"/>
                <w:sz w:val="24"/>
                <w:szCs w:val="24"/>
              </w:rPr>
            </w:pPr>
            <w:r>
              <w:rPr>
                <w:rFonts w:hint="eastAsia" w:ascii="宋体" w:hAnsi="宋体" w:cs="宋体"/>
                <w:sz w:val="24"/>
                <w:szCs w:val="24"/>
              </w:rPr>
              <w:t>双</w:t>
            </w:r>
          </w:p>
        </w:tc>
        <w:tc>
          <w:tcPr>
            <w:tcW w:w="982" w:type="dxa"/>
            <w:vAlign w:val="center"/>
          </w:tcPr>
          <w:p>
            <w:pPr>
              <w:jc w:val="center"/>
              <w:rPr>
                <w:rFonts w:ascii="宋体" w:hAnsi="宋体" w:cs="宋体"/>
                <w:sz w:val="24"/>
                <w:szCs w:val="24"/>
              </w:rPr>
            </w:pPr>
            <w:r>
              <w:rPr>
                <w:rFonts w:hint="eastAsia" w:ascii="宋体" w:hAnsi="宋体" w:cs="宋体"/>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9</w:t>
            </w:r>
          </w:p>
        </w:tc>
        <w:tc>
          <w:tcPr>
            <w:tcW w:w="5386" w:type="dxa"/>
            <w:vAlign w:val="center"/>
          </w:tcPr>
          <w:p>
            <w:pPr>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连体防护衣</w:t>
            </w:r>
          </w:p>
        </w:tc>
        <w:tc>
          <w:tcPr>
            <w:tcW w:w="1025" w:type="dxa"/>
            <w:vAlign w:val="center"/>
          </w:tcPr>
          <w:p>
            <w:pPr>
              <w:jc w:val="center"/>
              <w:rPr>
                <w:rFonts w:ascii="宋体" w:hAnsi="宋体" w:cs="宋体"/>
                <w:sz w:val="24"/>
                <w:szCs w:val="24"/>
              </w:rPr>
            </w:pPr>
            <w:r>
              <w:rPr>
                <w:rFonts w:hint="eastAsia" w:ascii="宋体" w:hAnsi="宋体" w:cs="宋体"/>
                <w:sz w:val="24"/>
                <w:szCs w:val="24"/>
              </w:rPr>
              <w:t>套</w:t>
            </w:r>
          </w:p>
        </w:tc>
        <w:tc>
          <w:tcPr>
            <w:tcW w:w="982" w:type="dxa"/>
            <w:vAlign w:val="center"/>
          </w:tcPr>
          <w:p>
            <w:pPr>
              <w:jc w:val="center"/>
              <w:rPr>
                <w:rFonts w:ascii="宋体" w:hAnsi="宋体" w:cs="宋体"/>
                <w:sz w:val="24"/>
                <w:szCs w:val="24"/>
              </w:rPr>
            </w:pPr>
            <w:r>
              <w:rPr>
                <w:rFonts w:ascii="宋体" w:hAnsi="宋体" w:cs="宋体"/>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ascii="宋体" w:hAnsi="宋体" w:cs="宋体"/>
                <w:sz w:val="24"/>
                <w:szCs w:val="24"/>
              </w:rPr>
              <w:t>10</w:t>
            </w:r>
          </w:p>
        </w:tc>
        <w:tc>
          <w:tcPr>
            <w:tcW w:w="5386" w:type="dxa"/>
            <w:vAlign w:val="center"/>
          </w:tcPr>
          <w:p>
            <w:pPr>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口罩</w:t>
            </w:r>
          </w:p>
        </w:tc>
        <w:tc>
          <w:tcPr>
            <w:tcW w:w="1025" w:type="dxa"/>
            <w:vAlign w:val="center"/>
          </w:tcPr>
          <w:p>
            <w:pPr>
              <w:jc w:val="center"/>
              <w:rPr>
                <w:rFonts w:ascii="宋体" w:hAnsi="宋体" w:cs="宋体"/>
                <w:sz w:val="24"/>
                <w:szCs w:val="24"/>
              </w:rPr>
            </w:pPr>
            <w:r>
              <w:rPr>
                <w:rFonts w:hint="eastAsia" w:ascii="宋体" w:hAnsi="宋体" w:cs="宋体"/>
                <w:sz w:val="24"/>
                <w:szCs w:val="24"/>
              </w:rPr>
              <w:t>盒</w:t>
            </w:r>
          </w:p>
        </w:tc>
        <w:tc>
          <w:tcPr>
            <w:tcW w:w="982" w:type="dxa"/>
            <w:vAlign w:val="center"/>
          </w:tcPr>
          <w:p>
            <w:pPr>
              <w:jc w:val="center"/>
              <w:rPr>
                <w:rFonts w:ascii="宋体" w:hAnsi="宋体" w:cs="宋体"/>
                <w:sz w:val="24"/>
                <w:szCs w:val="24"/>
              </w:rPr>
            </w:pPr>
            <w:r>
              <w:rPr>
                <w:rFonts w:hint="eastAsia" w:ascii="宋体" w:hAnsi="宋体" w:cs="宋体"/>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vAlign w:val="center"/>
          </w:tcPr>
          <w:p>
            <w:pPr>
              <w:jc w:val="center"/>
              <w:rPr>
                <w:rFonts w:ascii="宋体" w:hAnsi="宋体" w:cs="宋体"/>
                <w:sz w:val="24"/>
                <w:szCs w:val="24"/>
              </w:rPr>
            </w:pPr>
            <w:r>
              <w:rPr>
                <w:rFonts w:hint="eastAsia" w:ascii="宋体" w:hAnsi="宋体" w:cs="宋体"/>
                <w:sz w:val="24"/>
                <w:szCs w:val="24"/>
              </w:rPr>
              <w:t>1</w:t>
            </w:r>
            <w:r>
              <w:rPr>
                <w:rFonts w:ascii="宋体" w:hAnsi="宋体" w:cs="宋体"/>
                <w:sz w:val="24"/>
                <w:szCs w:val="24"/>
              </w:rPr>
              <w:t>1</w:t>
            </w:r>
          </w:p>
        </w:tc>
        <w:tc>
          <w:tcPr>
            <w:tcW w:w="5386" w:type="dxa"/>
            <w:vAlign w:val="center"/>
          </w:tcPr>
          <w:p>
            <w:pPr>
              <w:jc w:val="center"/>
              <w:rPr>
                <w:rFonts w:ascii="宋体" w:hAnsi="宋体" w:cs="宋体"/>
                <w:sz w:val="24"/>
                <w:szCs w:val="24"/>
              </w:rPr>
            </w:pPr>
            <w:r>
              <w:rPr>
                <w:rFonts w:hint="eastAsia" w:ascii="宋体" w:hAnsi="宋体" w:cs="宋体"/>
                <w:sz w:val="24"/>
                <w:szCs w:val="24"/>
              </w:rPr>
              <w:t>安全警示带</w:t>
            </w:r>
          </w:p>
        </w:tc>
        <w:tc>
          <w:tcPr>
            <w:tcW w:w="1025" w:type="dxa"/>
            <w:vAlign w:val="center"/>
          </w:tcPr>
          <w:p>
            <w:pPr>
              <w:jc w:val="center"/>
              <w:rPr>
                <w:rFonts w:ascii="宋体" w:hAnsi="宋体" w:cs="宋体"/>
                <w:sz w:val="24"/>
                <w:szCs w:val="24"/>
              </w:rPr>
            </w:pPr>
            <w:r>
              <w:rPr>
                <w:rFonts w:hint="eastAsia" w:ascii="宋体" w:hAnsi="宋体" w:cs="宋体"/>
                <w:sz w:val="24"/>
                <w:szCs w:val="24"/>
              </w:rPr>
              <w:t>圈</w:t>
            </w:r>
          </w:p>
        </w:tc>
        <w:tc>
          <w:tcPr>
            <w:tcW w:w="982" w:type="dxa"/>
            <w:vAlign w:val="center"/>
          </w:tcPr>
          <w:p>
            <w:pPr>
              <w:jc w:val="center"/>
              <w:rPr>
                <w:rFonts w:ascii="宋体" w:hAnsi="宋体" w:cs="宋体"/>
                <w:sz w:val="24"/>
                <w:szCs w:val="24"/>
              </w:rPr>
            </w:pPr>
            <w:r>
              <w:rPr>
                <w:rFonts w:hint="eastAsia" w:ascii="宋体" w:hAnsi="宋体" w:cs="宋体"/>
                <w:sz w:val="24"/>
                <w:szCs w:val="24"/>
              </w:rPr>
              <w:t>2</w:t>
            </w:r>
          </w:p>
        </w:tc>
      </w:tr>
    </w:tbl>
    <w:p>
      <w:pPr>
        <w:pStyle w:val="28"/>
      </w:pPr>
    </w:p>
    <w:p>
      <w:pPr>
        <w:pStyle w:val="28"/>
        <w:rPr>
          <w:rFonts w:hAnsi="宋体"/>
          <w:b/>
          <w:szCs w:val="21"/>
        </w:rPr>
      </w:pPr>
    </w:p>
    <w:p>
      <w:pPr>
        <w:pStyle w:val="28"/>
        <w:rPr>
          <w:rFonts w:hAnsi="宋体"/>
          <w:b/>
          <w:szCs w:val="21"/>
        </w:rPr>
      </w:pPr>
    </w:p>
    <w:p>
      <w:pPr>
        <w:spacing w:line="360" w:lineRule="auto"/>
        <w:rPr>
          <w:rFonts w:ascii="宋体" w:hAnsi="宋体" w:cs="宋体"/>
          <w:b/>
          <w:bCs/>
          <w:sz w:val="24"/>
          <w:szCs w:val="24"/>
        </w:rPr>
      </w:pPr>
      <w:r>
        <w:rPr>
          <w:rFonts w:hint="eastAsia" w:ascii="宋体" w:hAnsi="宋体" w:cs="宋体"/>
          <w:b/>
          <w:bCs/>
          <w:sz w:val="24"/>
          <w:szCs w:val="24"/>
        </w:rPr>
        <w:t>附件6：不诚信行为的情形及相应被暂停参与投标活动的处理标准</w:t>
      </w:r>
    </w:p>
    <w:p>
      <w:pPr>
        <w:adjustRightInd w:val="0"/>
        <w:snapToGrid w:val="0"/>
        <w:jc w:val="center"/>
        <w:rPr>
          <w:rFonts w:ascii="方正小标宋简体" w:hAnsi="方正小标宋简体" w:eastAsia="方正小标宋简体" w:cs="方正小标宋简体"/>
          <w:sz w:val="32"/>
          <w:szCs w:val="32"/>
        </w:rPr>
      </w:pPr>
    </w:p>
    <w:p>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处理</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其他不诚信</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szCs w:val="24"/>
              </w:rPr>
            </w:pPr>
            <w:r>
              <w:rPr>
                <w:rFonts w:hint="eastAsia" w:ascii="仿宋_GB2312" w:hAnsi="仿宋_GB2312" w:eastAsia="仿宋_GB2312" w:cs="仿宋_GB2312"/>
                <w:szCs w:val="24"/>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bl>
    <w:p>
      <w:pPr>
        <w:contextualSpacing/>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备注：本处理标准出自</w:t>
      </w:r>
      <w:r>
        <w:rPr>
          <w:rFonts w:hint="eastAsia" w:ascii="仿宋_GB2312" w:hAnsi="仿宋_GB2312" w:eastAsia="仿宋_GB2312" w:cs="仿宋_GB2312"/>
          <w:color w:val="000000" w:themeColor="text1"/>
          <w:sz w:val="24"/>
          <w:szCs w:val="24"/>
          <w14:textFill>
            <w14:solidFill>
              <w14:schemeClr w14:val="tx1"/>
            </w14:solidFill>
          </w14:textFill>
        </w:rPr>
        <w:t>《广州市净水有限公司经营建设项目参建企业不诚信行为管理办法》。</w:t>
      </w:r>
    </w:p>
    <w:p>
      <w:pPr>
        <w:widowControl/>
        <w:jc w:val="left"/>
        <w:rPr>
          <w:rFonts w:ascii="宋体" w:hAnsi="宋体" w:cs="宋体"/>
          <w:color w:val="000000" w:themeColor="text1"/>
          <w:szCs w:val="21"/>
          <w14:textFill>
            <w14:solidFill>
              <w14:schemeClr w14:val="tx1"/>
            </w14:solidFill>
          </w14:textFill>
        </w:rPr>
      </w:pPr>
    </w:p>
    <w:p>
      <w:pPr>
        <w:pStyle w:val="28"/>
        <w:rPr>
          <w:rFonts w:hAnsi="宋体"/>
          <w:b/>
          <w:szCs w:val="21"/>
        </w:rPr>
      </w:pPr>
    </w:p>
    <w:p>
      <w:pPr>
        <w:pStyle w:val="28"/>
        <w:rPr>
          <w:rFonts w:hAnsi="宋体"/>
          <w:b/>
          <w:szCs w:val="21"/>
        </w:rPr>
      </w:pPr>
    </w:p>
    <w:p>
      <w:pPr>
        <w:pStyle w:val="28"/>
        <w:rPr>
          <w:rFonts w:hAnsi="宋体"/>
          <w:b/>
          <w:szCs w:val="21"/>
        </w:rPr>
      </w:pPr>
    </w:p>
    <w:p>
      <w:pPr>
        <w:pStyle w:val="28"/>
        <w:rPr>
          <w:sz w:val="22"/>
          <w:szCs w:val="22"/>
        </w:rPr>
      </w:pPr>
    </w:p>
    <w:p>
      <w:pPr>
        <w:spacing w:line="360" w:lineRule="auto"/>
        <w:rPr>
          <w:rFonts w:ascii="宋体" w:hAnsi="宋体"/>
          <w:b/>
          <w:szCs w:val="21"/>
        </w:rPr>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spacing w:line="560" w:lineRule="exact"/>
        <w:ind w:firstLine="120" w:firstLineChars="50"/>
        <w:rPr>
          <w:rFonts w:ascii="仿宋_GB2312" w:eastAsia="仿宋_GB2312"/>
          <w:b/>
          <w:sz w:val="28"/>
          <w:szCs w:val="28"/>
        </w:rPr>
      </w:pPr>
      <w:r>
        <w:rPr>
          <w:rFonts w:hint="eastAsia" w:ascii="仿宋_GB2312" w:hAnsi="宋体" w:eastAsia="仿宋_GB2312"/>
          <w:b/>
          <w:sz w:val="24"/>
        </w:rPr>
        <w:t>附件</w:t>
      </w:r>
      <w:r>
        <w:rPr>
          <w:rFonts w:hint="eastAsia" w:ascii="仿宋_GB2312" w:hAnsi="宋体" w:eastAsia="仿宋_GB2312"/>
          <w:b/>
          <w:sz w:val="24"/>
          <w:lang w:val="en-US" w:eastAsia="zh-CN"/>
        </w:rPr>
        <w:t>7</w:t>
      </w:r>
      <w:r>
        <w:rPr>
          <w:rFonts w:hint="eastAsia" w:ascii="仿宋_GB2312" w:hAnsi="宋体" w:eastAsia="仿宋_GB2312"/>
          <w:b/>
          <w:sz w:val="24"/>
        </w:rPr>
        <w:t>：</w:t>
      </w: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widowControl/>
        <w:adjustRightInd/>
        <w:snapToGrid/>
        <w:spacing w:line="360" w:lineRule="auto"/>
        <w:ind w:firstLine="480" w:firstLineChars="200"/>
        <w:jc w:val="left"/>
        <w:rPr>
          <w:rFonts w:hint="eastAsia" w:ascii="宋体" w:hAnsi="宋体" w:eastAsia="宋体"/>
          <w:sz w:val="24"/>
        </w:rPr>
      </w:pPr>
      <w:r>
        <w:rPr>
          <w:rFonts w:hint="eastAsia" w:ascii="宋体" w:hAnsi="宋体" w:eastAsia="宋体"/>
          <w:sz w:val="24"/>
          <w:lang w:val="en-US" w:eastAsia="zh-CN"/>
        </w:rPr>
        <w:t>甲方</w:t>
      </w:r>
      <w:r>
        <w:rPr>
          <w:rFonts w:hint="eastAsia" w:ascii="宋体" w:hAnsi="宋体" w:eastAsia="宋体"/>
          <w:sz w:val="24"/>
        </w:rPr>
        <w:t>：</w:t>
      </w:r>
      <w:r>
        <w:rPr>
          <w:rFonts w:hint="eastAsia" w:ascii="宋体" w:hAnsi="宋体" w:eastAsia="宋体"/>
          <w:sz w:val="24"/>
          <w:u w:val="single"/>
        </w:rPr>
        <w:t>广州市净水有限公司</w:t>
      </w:r>
    </w:p>
    <w:p>
      <w:pPr>
        <w:widowControl/>
        <w:adjustRightInd/>
        <w:snapToGrid/>
        <w:spacing w:line="360" w:lineRule="auto"/>
        <w:ind w:firstLine="480" w:firstLineChars="200"/>
        <w:jc w:val="left"/>
        <w:rPr>
          <w:rStyle w:val="24"/>
          <w:rFonts w:ascii="仿宋_GB2312" w:eastAsia="仿宋_GB2312" w:hAnsiTheme="minorEastAsia"/>
          <w:b w:val="0"/>
          <w:u w:val="single"/>
        </w:rPr>
      </w:pPr>
      <w:r>
        <w:rPr>
          <w:rFonts w:hint="eastAsia" w:ascii="宋体" w:hAnsi="宋体" w:eastAsia="宋体"/>
          <w:sz w:val="24"/>
          <w:lang w:val="en-US" w:eastAsia="zh-CN"/>
        </w:rPr>
        <w:t>乙方</w:t>
      </w:r>
      <w:r>
        <w:rPr>
          <w:rFonts w:hint="eastAsia" w:ascii="宋体" w:hAnsi="宋体" w:eastAsia="宋体"/>
          <w:sz w:val="24"/>
        </w:rPr>
        <w:t xml:space="preserve">: </w:t>
      </w:r>
      <w:r>
        <w:rPr>
          <w:rFonts w:hint="eastAsia" w:ascii="宋体" w:hAnsi="宋体" w:eastAsia="宋体"/>
          <w:sz w:val="24"/>
          <w:u w:val="none"/>
        </w:rPr>
        <w:t xml:space="preserve">  </w:t>
      </w:r>
      <w:r>
        <w:rPr>
          <w:rStyle w:val="23"/>
          <w:rFonts w:hint="eastAsia" w:ascii="宋体" w:hAnsi="宋体" w:eastAsia="宋体"/>
          <w:sz w:val="24"/>
          <w:u w:val="none"/>
        </w:rPr>
        <w:t xml:space="preserve">                </w:t>
      </w:r>
      <w:r>
        <w:rPr>
          <w:rStyle w:val="24"/>
          <w:rFonts w:hint="eastAsia" w:ascii="仿宋_GB2312" w:eastAsia="仿宋_GB2312" w:hAnsiTheme="minorEastAsia"/>
          <w:u w:val="single"/>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1"/>
          <w:numId w:val="0"/>
        </w:numPr>
        <w:adjustRightInd/>
        <w:snapToGrid/>
        <w:spacing w:line="360" w:lineRule="auto"/>
        <w:ind w:firstLine="480" w:firstLineChars="200"/>
        <w:jc w:val="left"/>
        <w:rPr>
          <w:rFonts w:hint="eastAsia" w:ascii="宋体" w:hAnsi="宋体" w:eastAsia="宋体"/>
          <w:sz w:val="24"/>
        </w:rPr>
      </w:pPr>
      <w:r>
        <w:rPr>
          <w:rFonts w:hint="eastAsia" w:ascii="宋体" w:hAnsi="宋体" w:eastAsia="宋体"/>
          <w:sz w:val="24"/>
          <w:lang w:val="en-US" w:eastAsia="zh-CN"/>
        </w:rPr>
        <w:t>一、</w:t>
      </w:r>
      <w:r>
        <w:rPr>
          <w:rFonts w:hint="eastAsia" w:ascii="宋体" w:hAnsi="宋体" w:eastAsia="宋体"/>
          <w:sz w:val="24"/>
        </w:rPr>
        <w:t>本协议与主协议的关系</w:t>
      </w:r>
    </w:p>
    <w:p>
      <w:pPr>
        <w:adjustRightInd/>
        <w:snapToGrid/>
        <w:spacing w:line="360" w:lineRule="auto"/>
        <w:ind w:left="0" w:firstLine="480" w:firstLineChars="200"/>
        <w:jc w:val="left"/>
        <w:rPr>
          <w:rFonts w:hint="eastAsia" w:ascii="宋体" w:hAnsi="宋体" w:eastAsia="宋体"/>
          <w:sz w:val="24"/>
        </w:rPr>
      </w:pPr>
      <w:r>
        <w:rPr>
          <w:rFonts w:hint="eastAsia" w:ascii="宋体" w:hAnsi="宋体" w:eastAsia="宋体"/>
          <w:sz w:val="24"/>
        </w:rPr>
        <w:t>本协议作为</w:t>
      </w:r>
      <w:r>
        <w:rPr>
          <w:rFonts w:hint="eastAsia" w:ascii="宋体" w:hAnsi="宋体" w:eastAsia="宋体"/>
          <w:bCs w:val="0"/>
          <w:sz w:val="24"/>
          <w:u w:val="single"/>
        </w:rPr>
        <w:t>京溪分公司2021年紫外消毒系统大修项目</w:t>
      </w:r>
      <w:r>
        <w:rPr>
          <w:rFonts w:hint="eastAsia" w:ascii="宋体" w:hAnsi="宋体" w:eastAsia="宋体"/>
          <w:sz w:val="24"/>
        </w:rPr>
        <w:t>的组成部分，与主合同具有同等法律</w:t>
      </w:r>
      <w:r>
        <w:rPr>
          <w:rFonts w:hint="eastAsia" w:ascii="宋体" w:hAnsi="宋体"/>
          <w:sz w:val="24"/>
          <w:lang w:eastAsia="zh-CN"/>
        </w:rPr>
        <w:t>。</w:t>
      </w:r>
    </w:p>
    <w:p>
      <w:pPr>
        <w:numPr>
          <w:ilvl w:val="-1"/>
          <w:numId w:val="0"/>
        </w:numPr>
        <w:adjustRightInd/>
        <w:snapToGrid/>
        <w:spacing w:line="360" w:lineRule="auto"/>
        <w:ind w:firstLine="480" w:firstLineChars="200"/>
        <w:jc w:val="left"/>
        <w:rPr>
          <w:rFonts w:hint="eastAsia" w:ascii="宋体" w:hAnsi="宋体" w:eastAsia="宋体" w:cs="Times New Roman"/>
          <w:kern w:val="2"/>
          <w:sz w:val="24"/>
          <w:szCs w:val="20"/>
          <w:lang w:val="en-US" w:eastAsia="zh-CN" w:bidi="ar-SA"/>
        </w:rPr>
      </w:pPr>
      <w:r>
        <w:rPr>
          <w:rFonts w:hint="eastAsia" w:ascii="宋体" w:hAnsi="宋体" w:eastAsia="宋体"/>
          <w:sz w:val="24"/>
          <w:lang w:val="en-US" w:eastAsia="zh-CN"/>
        </w:rPr>
        <w:t>二、甲乙双方权力及义务</w:t>
      </w:r>
    </w:p>
    <w:p>
      <w:pPr>
        <w:numPr>
          <w:ilvl w:val="-1"/>
          <w:numId w:val="0"/>
        </w:numPr>
        <w:adjustRightInd/>
        <w:snapToGrid/>
        <w:spacing w:line="360" w:lineRule="auto"/>
        <w:ind w:leftChars="0" w:firstLine="480" w:firstLineChars="200"/>
        <w:jc w:val="left"/>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（一）甲乙双方应将</w:t>
      </w:r>
      <w:r>
        <w:rPr>
          <w:rFonts w:hint="eastAsia" w:ascii="宋体" w:hAnsi="宋体" w:eastAsia="宋体"/>
          <w:sz w:val="24"/>
          <w:lang w:val="en-US" w:eastAsia="zh-CN"/>
        </w:rPr>
        <w:t>项目维修施工人员</w:t>
      </w:r>
      <w:r>
        <w:rPr>
          <w:rFonts w:hint="eastAsia" w:ascii="宋体" w:hAnsi="宋体" w:eastAsia="宋体" w:cs="Times New Roman"/>
          <w:kern w:val="2"/>
          <w:sz w:val="24"/>
          <w:szCs w:val="20"/>
          <w:lang w:val="en-US" w:eastAsia="zh-CN" w:bidi="ar-SA"/>
        </w:rPr>
        <w:t>生命安全和身体健康放在第一位，能妥善处置</w:t>
      </w:r>
      <w:r>
        <w:rPr>
          <w:rFonts w:hint="eastAsia" w:ascii="宋体" w:hAnsi="宋体" w:eastAsia="宋体"/>
          <w:sz w:val="24"/>
          <w:lang w:val="en-US" w:eastAsia="zh-CN"/>
        </w:rPr>
        <w:t>项目维修施工</w:t>
      </w:r>
      <w:r>
        <w:rPr>
          <w:rFonts w:hint="eastAsia" w:ascii="宋体" w:hAnsi="宋体" w:eastAsia="宋体" w:cs="Times New Roman"/>
          <w:kern w:val="2"/>
          <w:sz w:val="24"/>
          <w:szCs w:val="20"/>
          <w:lang w:val="en-US" w:eastAsia="zh-CN" w:bidi="ar-SA"/>
        </w:rPr>
        <w:t>工地普通发热病例、可疑病例和突发新冠肺炎疫情。坚持预防为主，最大限度减少人员暴露和感染的风险。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（二）甲乙双方应积极配合，出现问题及时采取应急响应措施，迅速妥善处置项目施工场所普通发热病例、可疑病例和突发新冠肺炎疫情，并第一时间报送对方。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r>
        <w:rPr>
          <w:rFonts w:hint="eastAsia" w:ascii="宋体" w:hAnsi="宋体" w:eastAsia="宋体" w:cs="Times New Roman"/>
          <w:kern w:val="2"/>
          <w:sz w:val="24"/>
          <w:szCs w:val="20"/>
          <w:lang w:val="en-US" w:eastAsia="zh-CN" w:bidi="ar-SA"/>
        </w:rPr>
        <w:t>（三）甲乙双方应掌握</w:t>
      </w:r>
      <w:r>
        <w:rPr>
          <w:rFonts w:hint="eastAsia" w:ascii="宋体" w:hAnsi="宋体" w:eastAsia="宋体"/>
          <w:sz w:val="24"/>
          <w:lang w:val="en-US" w:eastAsia="zh-CN"/>
        </w:rPr>
        <w:t>维修施工人员情况</w:t>
      </w:r>
      <w:r>
        <w:rPr>
          <w:rFonts w:hint="eastAsia" w:ascii="宋体" w:hAnsi="宋体" w:eastAsia="宋体" w:cs="Times New Roman"/>
          <w:sz w:val="24"/>
          <w:szCs w:val="20"/>
        </w:rPr>
        <w:t>，</w:t>
      </w:r>
      <w:r>
        <w:rPr>
          <w:rFonts w:hint="eastAsia" w:ascii="宋体" w:hAnsi="宋体" w:eastAsia="宋体"/>
          <w:sz w:val="24"/>
          <w:lang w:val="en-US" w:eastAsia="zh-CN"/>
        </w:rPr>
        <w:t>与建设主管部门和属地疫情防控指挥部门形成联防联控机制，建立快速有效的处置工作流程，建设、维修工地正常施工秩序</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三、甲方的义务</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（一）甲方应指导</w:t>
      </w:r>
      <w:r>
        <w:rPr>
          <w:rFonts w:hint="eastAsia" w:ascii="宋体" w:hAnsi="宋体" w:eastAsia="宋体"/>
          <w:sz w:val="24"/>
          <w:lang w:val="en-US" w:eastAsia="zh-CN"/>
        </w:rPr>
        <w:t>乙方项目维修施工人员</w:t>
      </w:r>
      <w:r>
        <w:rPr>
          <w:rFonts w:hint="eastAsia" w:ascii="宋体" w:hAnsi="宋体" w:eastAsia="宋体" w:cs="Times New Roman"/>
          <w:kern w:val="2"/>
          <w:sz w:val="24"/>
          <w:szCs w:val="20"/>
          <w:lang w:val="en-US" w:eastAsia="zh-CN" w:bidi="ar-SA"/>
        </w:rPr>
        <w:t>需养成和保持戴口罩、“一米线”、勤洗手、勤通风、少聚集、错时用餐、“两点一线”简单生活等良好卫生习惯。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（二）甲方应</w:t>
      </w:r>
      <w:r>
        <w:rPr>
          <w:rFonts w:hint="eastAsia" w:ascii="宋体" w:hAnsi="宋体" w:eastAsia="宋体"/>
          <w:sz w:val="24"/>
          <w:lang w:val="en-US" w:eastAsia="zh-CN"/>
        </w:rPr>
        <w:t>提供给乙方项目维修施工人员安全工作环境，指导乙方维修施工人员及家属增强自我防护意识，关注重点疫情信息，降低感染风险。</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（三）甲方在施工前需开展疫情防控教育，同时对乙方人员防控落实情况进行监督，采取措施堵塞疫情防控漏洞。</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（四）组织开展应急演练，确保应急情况下维修施工人员疫情发生时安全健康，保障各项工作有序、规范。</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四、乙方的义务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（一）乙方需配合甲方开展疫情防控宣传教育，提高</w:t>
      </w:r>
      <w:r>
        <w:rPr>
          <w:rFonts w:hint="eastAsia" w:ascii="宋体" w:hAnsi="宋体" w:eastAsia="宋体"/>
          <w:sz w:val="24"/>
          <w:lang w:val="en-US" w:eastAsia="zh-CN"/>
        </w:rPr>
        <w:t>项目维修施工</w:t>
      </w:r>
      <w:r>
        <w:rPr>
          <w:rFonts w:hint="eastAsia" w:ascii="宋体" w:hAnsi="宋体" w:eastAsia="宋体" w:cs="Times New Roman"/>
          <w:kern w:val="2"/>
          <w:sz w:val="24"/>
          <w:szCs w:val="20"/>
          <w:lang w:val="en-US" w:eastAsia="zh-CN" w:bidi="ar-SA"/>
        </w:rPr>
        <w:t>人员自我防护意识。</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sz w:val="24"/>
          <w:lang w:val="en-US" w:eastAsia="zh-CN"/>
        </w:rPr>
      </w:pPr>
      <w:r>
        <w:rPr>
          <w:rFonts w:hint="eastAsia" w:ascii="宋体" w:hAnsi="宋体" w:eastAsia="宋体" w:cs="Times New Roman"/>
          <w:kern w:val="2"/>
          <w:sz w:val="24"/>
          <w:szCs w:val="20"/>
          <w:lang w:val="en-US" w:eastAsia="zh-CN" w:bidi="ar-SA"/>
        </w:rPr>
        <w:t>（二）</w:t>
      </w:r>
      <w:r>
        <w:rPr>
          <w:rFonts w:hint="eastAsia" w:ascii="宋体" w:hAnsi="宋体" w:eastAsia="宋体"/>
          <w:sz w:val="24"/>
          <w:lang w:val="en-US" w:eastAsia="zh-CN"/>
        </w:rPr>
        <w:t>配合甲方要求做好维修施工人员防控工作管理，及时提交防疫资料，落实疫情防控备案，必要时需</w:t>
      </w:r>
      <w:r>
        <w:rPr>
          <w:rFonts w:hint="eastAsia" w:ascii="宋体" w:hAnsi="宋体" w:eastAsia="宋体" w:cs="Times New Roman"/>
          <w:kern w:val="2"/>
          <w:sz w:val="24"/>
          <w:szCs w:val="20"/>
          <w:lang w:val="en-US" w:eastAsia="zh-CN" w:bidi="ar-SA"/>
        </w:rPr>
        <w:t>编制防控管理工作方案</w:t>
      </w:r>
      <w:r>
        <w:rPr>
          <w:rFonts w:hint="eastAsia" w:ascii="宋体" w:hAnsi="宋体" w:eastAsia="宋体"/>
          <w:sz w:val="24"/>
          <w:szCs w:val="20"/>
          <w:lang w:eastAsia="zh-CN"/>
        </w:rPr>
        <w:t>。</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sz w:val="24"/>
          <w:lang w:val="en-US" w:eastAsia="zh-CN"/>
        </w:rPr>
      </w:pPr>
      <w:r>
        <w:rPr>
          <w:rFonts w:hint="eastAsia" w:ascii="宋体" w:hAnsi="宋体" w:eastAsia="宋体"/>
          <w:sz w:val="24"/>
          <w:lang w:val="en-US" w:eastAsia="zh-CN"/>
        </w:rPr>
        <w:t>（三）乙方须符合甲方疫苗接种及核酸检测检测要求，未满足相关要求的人员甲方有权限制乙方人员进入厂区。</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（四）乙方应建立畅通的信息传输渠道和严格的信息上报机制，出现人员感染新型冠状病毒的，应迅速报送甲方。</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lang w:val="en-US" w:eastAsia="zh-CN"/>
        </w:rPr>
      </w:pPr>
      <w:r>
        <w:rPr>
          <w:rFonts w:hint="eastAsia" w:ascii="宋体" w:hAnsi="宋体" w:eastAsia="宋体" w:cs="Times New Roman"/>
          <w:kern w:val="2"/>
          <w:sz w:val="24"/>
          <w:szCs w:val="20"/>
          <w:lang w:val="en-US" w:eastAsia="zh-CN" w:bidi="ar-SA"/>
        </w:rPr>
        <w:t>（五）</w:t>
      </w:r>
      <w:r>
        <w:rPr>
          <w:rFonts w:hint="eastAsia" w:ascii="宋体" w:hAnsi="宋体" w:eastAsia="宋体" w:cs="Times New Roman"/>
          <w:color w:val="auto"/>
          <w:kern w:val="2"/>
          <w:sz w:val="24"/>
          <w:szCs w:val="20"/>
          <w:lang w:val="en-US" w:eastAsia="zh-CN" w:bidi="ar-SA"/>
        </w:rPr>
        <w:t>积极配合甲方各厂区进厂门岗防控要求。</w:t>
      </w:r>
    </w:p>
    <w:p>
      <w:pPr>
        <w:numPr>
          <w:ilvl w:val="-1"/>
          <w:numId w:val="0"/>
        </w:numPr>
        <w:adjustRightInd/>
        <w:snapToGrid/>
        <w:spacing w:line="360" w:lineRule="auto"/>
        <w:ind w:firstLine="480" w:firstLineChars="200"/>
        <w:jc w:val="left"/>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五、扣罚情况</w:t>
      </w:r>
    </w:p>
    <w:p>
      <w:pPr>
        <w:adjustRightInd/>
        <w:snapToGrid/>
        <w:spacing w:line="360" w:lineRule="auto"/>
        <w:ind w:left="0" w:firstLine="480" w:firstLineChars="200"/>
        <w:jc w:val="left"/>
        <w:rPr>
          <w:rFonts w:hint="eastAsia" w:ascii="宋体" w:hAnsi="宋体" w:eastAsia="宋体"/>
          <w:sz w:val="24"/>
          <w:lang w:val="en-US" w:eastAsia="zh-CN"/>
        </w:rPr>
      </w:pPr>
      <w:r>
        <w:rPr>
          <w:rFonts w:hint="eastAsia" w:ascii="宋体" w:hAnsi="宋体" w:eastAsia="宋体"/>
          <w:sz w:val="24"/>
          <w:lang w:val="en-US" w:eastAsia="zh-CN"/>
        </w:rPr>
        <w:t>乙方项目维修施工人员需按照甲方服务要求执行，未达到疫情防控要求的，需按下列条款执行：</w:t>
      </w:r>
    </w:p>
    <w:p>
      <w:pPr>
        <w:adjustRightInd/>
        <w:snapToGrid/>
        <w:spacing w:line="360" w:lineRule="auto"/>
        <w:ind w:left="0" w:firstLine="480" w:firstLineChars="200"/>
        <w:jc w:val="left"/>
        <w:rPr>
          <w:rFonts w:hint="eastAsia" w:ascii="宋体" w:hAnsi="宋体" w:eastAsia="宋体"/>
          <w:sz w:val="24"/>
          <w:lang w:val="en-US" w:eastAsia="zh-CN"/>
        </w:rPr>
      </w:pPr>
      <w:r>
        <w:rPr>
          <w:rFonts w:hint="eastAsia" w:ascii="宋体" w:hAnsi="宋体" w:eastAsia="宋体"/>
          <w:sz w:val="24"/>
          <w:lang w:val="en-US" w:eastAsia="zh-CN"/>
        </w:rPr>
        <w:t>（一）乙方项目维修施工人员及其密接亲属有重点区域、重点场所旅居史未报备的，每发现一人，乙方</w:t>
      </w:r>
      <w:r>
        <w:rPr>
          <w:rFonts w:hint="eastAsia" w:ascii="宋体" w:hAnsi="宋体"/>
          <w:sz w:val="24"/>
          <w:lang w:val="en-US" w:eastAsia="zh-CN"/>
        </w:rPr>
        <w:t>支付</w:t>
      </w:r>
      <w:r>
        <w:rPr>
          <w:rFonts w:hint="eastAsia" w:ascii="宋体" w:hAnsi="宋体" w:eastAsia="宋体"/>
          <w:sz w:val="24"/>
          <w:lang w:val="en-US" w:eastAsia="zh-CN"/>
        </w:rPr>
        <w:t>500元</w:t>
      </w:r>
      <w:r>
        <w:rPr>
          <w:rFonts w:hint="eastAsia" w:ascii="宋体" w:hAnsi="宋体"/>
          <w:sz w:val="24"/>
          <w:lang w:val="en-US" w:eastAsia="zh-CN"/>
        </w:rPr>
        <w:t>作为</w:t>
      </w:r>
      <w:r>
        <w:rPr>
          <w:rFonts w:hint="eastAsia" w:ascii="宋体" w:hAnsi="宋体" w:cs="宋体"/>
          <w:bCs/>
          <w:sz w:val="24"/>
        </w:rPr>
        <w:t>违约金</w:t>
      </w:r>
      <w:r>
        <w:rPr>
          <w:rFonts w:hint="eastAsia" w:ascii="宋体" w:hAnsi="宋体" w:eastAsia="宋体"/>
          <w:sz w:val="24"/>
          <w:lang w:val="en-US" w:eastAsia="zh-CN"/>
        </w:rPr>
        <w:t>；</w:t>
      </w:r>
    </w:p>
    <w:p>
      <w:pPr>
        <w:adjustRightInd/>
        <w:snapToGrid/>
        <w:spacing w:line="360" w:lineRule="auto"/>
        <w:ind w:left="0" w:firstLine="480" w:firstLineChars="200"/>
        <w:jc w:val="left"/>
        <w:rPr>
          <w:rFonts w:hint="eastAsia" w:ascii="宋体" w:hAnsi="宋体" w:eastAsia="宋体"/>
          <w:sz w:val="24"/>
          <w:lang w:val="en-US" w:eastAsia="zh-CN"/>
        </w:rPr>
      </w:pPr>
      <w:r>
        <w:rPr>
          <w:rFonts w:hint="eastAsia" w:ascii="宋体" w:hAnsi="宋体" w:eastAsia="宋体"/>
          <w:sz w:val="24"/>
          <w:lang w:val="en-US" w:eastAsia="zh-CN"/>
        </w:rPr>
        <w:t>（二）乙方项目维修施工人员未按照甲方要求进行核酸检测的或有瞒报、虚报的，每发现一人，乙方</w:t>
      </w:r>
      <w:r>
        <w:rPr>
          <w:rFonts w:hint="eastAsia" w:ascii="宋体" w:hAnsi="宋体"/>
          <w:sz w:val="24"/>
          <w:lang w:val="en-US" w:eastAsia="zh-CN"/>
        </w:rPr>
        <w:t>支付</w:t>
      </w:r>
      <w:r>
        <w:rPr>
          <w:rFonts w:hint="eastAsia" w:ascii="宋体" w:hAnsi="宋体" w:eastAsia="宋体"/>
          <w:sz w:val="24"/>
          <w:lang w:val="en-US" w:eastAsia="zh-CN"/>
        </w:rPr>
        <w:t>50元</w:t>
      </w:r>
      <w:r>
        <w:rPr>
          <w:rFonts w:hint="eastAsia" w:ascii="宋体" w:hAnsi="宋体"/>
          <w:sz w:val="24"/>
          <w:lang w:val="en-US" w:eastAsia="zh-CN"/>
        </w:rPr>
        <w:t>作为</w:t>
      </w:r>
      <w:r>
        <w:rPr>
          <w:rFonts w:hint="eastAsia" w:ascii="宋体" w:hAnsi="宋体" w:cs="宋体"/>
          <w:bCs/>
          <w:sz w:val="24"/>
        </w:rPr>
        <w:t>违约金</w:t>
      </w:r>
      <w:r>
        <w:rPr>
          <w:rFonts w:hint="eastAsia" w:ascii="宋体" w:hAnsi="宋体" w:eastAsia="宋体"/>
          <w:sz w:val="24"/>
          <w:lang w:val="en-US" w:eastAsia="zh-CN"/>
        </w:rPr>
        <w:t>；</w:t>
      </w:r>
    </w:p>
    <w:p>
      <w:pPr>
        <w:adjustRightInd/>
        <w:snapToGrid/>
        <w:spacing w:line="360" w:lineRule="auto"/>
        <w:ind w:firstLine="480" w:firstLineChars="200"/>
        <w:jc w:val="left"/>
        <w:rPr>
          <w:rFonts w:hint="eastAsia" w:ascii="宋体" w:hAnsi="宋体" w:eastAsia="宋体"/>
          <w:sz w:val="24"/>
        </w:rPr>
      </w:pPr>
      <w:r>
        <w:rPr>
          <w:rFonts w:hint="eastAsia" w:ascii="宋体" w:hAnsi="宋体" w:eastAsia="宋体"/>
          <w:sz w:val="24"/>
          <w:lang w:val="en-US" w:eastAsia="zh-CN"/>
        </w:rPr>
        <w:t>（三）乙方项目维修施工人员拒不配合甲方疫情防控要求或不满足甲方防疫工作要求的，甲方有权要求乙方3天内更换服务人员。</w:t>
      </w:r>
    </w:p>
    <w:p>
      <w:pPr>
        <w:spacing w:line="360" w:lineRule="auto"/>
        <w:ind w:firstLine="480" w:firstLineChars="200"/>
        <w:rPr>
          <w:rFonts w:hint="eastAsia" w:ascii="宋体" w:hAnsi="宋体" w:eastAsia="宋体"/>
          <w:sz w:val="24"/>
        </w:rPr>
      </w:pPr>
      <w:r>
        <w:rPr>
          <w:rFonts w:hint="eastAsia" w:ascii="宋体" w:hAnsi="宋体" w:eastAsia="宋体"/>
          <w:sz w:val="24"/>
          <w:lang w:val="en-US" w:eastAsia="zh-CN"/>
        </w:rPr>
        <w:t>六</w:t>
      </w:r>
      <w:r>
        <w:rPr>
          <w:rFonts w:hint="eastAsia" w:ascii="宋体" w:hAnsi="宋体" w:eastAsia="宋体"/>
          <w:sz w:val="24"/>
        </w:rPr>
        <w:t>、补充条款：</w:t>
      </w:r>
      <w:r>
        <w:rPr>
          <w:rFonts w:hint="eastAsia" w:ascii="宋体" w:hAnsi="宋体" w:eastAsia="宋体"/>
          <w:sz w:val="24"/>
          <w:u w:val="single"/>
        </w:rPr>
        <w:t xml:space="preserve"> / </w:t>
      </w:r>
      <w:r>
        <w:rPr>
          <w:rFonts w:hint="eastAsia" w:ascii="宋体" w:hAnsi="宋体" w:eastAsia="宋体"/>
          <w:sz w:val="24"/>
          <w:u w:val="none"/>
        </w:rPr>
        <w:t xml:space="preserve"> </w:t>
      </w:r>
      <w:r>
        <w:rPr>
          <w:rFonts w:hint="eastAsia" w:ascii="宋体" w:hAnsi="宋体" w:eastAsia="宋体"/>
          <w:sz w:val="24"/>
        </w:rPr>
        <w:t>。</w:t>
      </w:r>
    </w:p>
    <w:p>
      <w:pPr>
        <w:adjustRightInd/>
        <w:snapToGrid/>
        <w:spacing w:line="360" w:lineRule="auto"/>
        <w:ind w:firstLine="480" w:firstLineChars="200"/>
        <w:jc w:val="left"/>
        <w:rPr>
          <w:rFonts w:hint="eastAsia" w:ascii="宋体" w:hAnsi="宋体" w:eastAsia="宋体"/>
          <w:sz w:val="24"/>
        </w:rPr>
      </w:pPr>
      <w:r>
        <w:rPr>
          <w:rFonts w:hint="eastAsia" w:ascii="宋体" w:hAnsi="宋体" w:eastAsia="宋体"/>
          <w:sz w:val="24"/>
          <w:lang w:val="en-US" w:eastAsia="zh-CN"/>
        </w:rPr>
        <w:t>七</w:t>
      </w:r>
      <w:r>
        <w:rPr>
          <w:rFonts w:hint="eastAsia" w:ascii="宋体" w:hAnsi="宋体" w:eastAsia="宋体"/>
          <w:sz w:val="24"/>
        </w:rPr>
        <w:t>、附则</w:t>
      </w:r>
    </w:p>
    <w:p>
      <w:pPr>
        <w:adjustRightInd/>
        <w:snapToGrid/>
        <w:spacing w:line="360" w:lineRule="auto"/>
        <w:ind w:firstLine="480" w:firstLineChars="200"/>
        <w:jc w:val="left"/>
        <w:rPr>
          <w:rFonts w:hint="eastAsia" w:ascii="宋体" w:hAnsi="宋体" w:eastAsia="宋体"/>
          <w:sz w:val="24"/>
        </w:rPr>
      </w:pPr>
      <w:r>
        <w:rPr>
          <w:rFonts w:hint="eastAsia" w:ascii="宋体" w:hAnsi="宋体" w:eastAsia="宋体"/>
          <w:sz w:val="24"/>
        </w:rPr>
        <w:t>本协议与合同同时签订、同时终止、同时生效，具有相同的法律效力。</w:t>
      </w:r>
    </w:p>
    <w:p>
      <w:pPr>
        <w:adjustRightInd/>
        <w:snapToGrid/>
        <w:spacing w:line="360" w:lineRule="auto"/>
        <w:ind w:firstLine="480" w:firstLineChars="200"/>
        <w:rPr>
          <w:rFonts w:hint="eastAsia" w:ascii="宋体" w:hAnsi="宋体" w:eastAsia="宋体"/>
          <w:sz w:val="24"/>
        </w:rPr>
      </w:pPr>
    </w:p>
    <w:p>
      <w:pPr>
        <w:spacing w:line="360" w:lineRule="auto"/>
        <w:rPr>
          <w:rFonts w:ascii="宋体" w:hAnsi="宋体"/>
          <w:sz w:val="24"/>
        </w:rPr>
      </w:pPr>
      <w:r>
        <w:rPr>
          <w:rFonts w:hint="eastAsia" w:ascii="宋体" w:hAnsi="宋体" w:eastAsia="宋体"/>
          <w:sz w:val="24"/>
        </w:rPr>
        <w:t xml:space="preserve"> </w:t>
      </w:r>
      <w:r>
        <w:rPr>
          <w:rFonts w:hint="eastAsia" w:ascii="宋体" w:hAnsi="宋体"/>
          <w:sz w:val="24"/>
        </w:rPr>
        <w:t>甲方（盖章）：                     乙方（盖章）：</w:t>
      </w:r>
    </w:p>
    <w:p>
      <w:pPr>
        <w:pStyle w:val="42"/>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adjustRightInd/>
        <w:snapToGrid/>
        <w:spacing w:line="360" w:lineRule="auto"/>
        <w:ind w:firstLine="480" w:firstLineChars="200"/>
        <w:rPr>
          <w:rFonts w:hint="eastAsia" w:ascii="宋体" w:hAnsi="宋体" w:eastAsia="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pStyle w:val="28"/>
      </w:pPr>
    </w:p>
    <w:p>
      <w:pPr>
        <w:pStyle w:val="28"/>
      </w:pPr>
    </w:p>
    <w:p>
      <w:pPr>
        <w:pStyle w:val="28"/>
      </w:pPr>
    </w:p>
    <w:p>
      <w:pPr>
        <w:pStyle w:val="28"/>
      </w:pPr>
    </w:p>
    <w:p>
      <w:pPr>
        <w:pStyle w:val="28"/>
      </w:pPr>
    </w:p>
    <w:p>
      <w:pPr>
        <w:pStyle w:val="28"/>
      </w:pPr>
    </w:p>
    <w:p/>
    <w:p>
      <w:pPr>
        <w:pStyle w:val="6"/>
        <w:spacing w:line="360" w:lineRule="auto"/>
        <w:jc w:val="center"/>
        <w:rPr>
          <w:rFonts w:ascii="仿宋_GB2312" w:hAnsi="仿宋_GB2312" w:eastAsia="仿宋_GB2312" w:cs="仿宋_GB2312"/>
          <w:b w:val="0"/>
          <w:sz w:val="28"/>
          <w:szCs w:val="28"/>
        </w:rPr>
      </w:pPr>
      <w:r>
        <w:rPr>
          <w:rFonts w:hint="eastAsia" w:ascii="仿宋_GB2312" w:hAnsi="仿宋_GB2312" w:eastAsia="仿宋_GB2312" w:cs="仿宋_GB2312"/>
          <w:sz w:val="28"/>
          <w:szCs w:val="28"/>
        </w:rPr>
        <w:t>第五部分　响应文件格式</w:t>
      </w:r>
    </w:p>
    <w:p>
      <w:pPr>
        <w:pStyle w:val="12"/>
        <w:tabs>
          <w:tab w:val="left" w:pos="1260"/>
        </w:tabs>
        <w:jc w:val="center"/>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u w:val="single"/>
          <w:lang w:val="en-US" w:eastAsia="zh-CN"/>
        </w:rPr>
        <w:t>广州市净水有限公司</w:t>
      </w:r>
      <w:r>
        <w:rPr>
          <w:rFonts w:hint="eastAsia" w:ascii="仿宋_GB2312" w:hAnsi="仿宋_GB2312" w:eastAsia="仿宋_GB2312" w:cs="仿宋_GB2312"/>
          <w:sz w:val="28"/>
          <w:szCs w:val="28"/>
          <w:u w:val="single"/>
          <w:lang w:eastAsia="zh-CN"/>
        </w:rPr>
        <w:t>京溪分公司2021年紫外消毒系统大修项目（第二次）</w:t>
      </w:r>
    </w:p>
    <w:p>
      <w:pPr>
        <w:pStyle w:val="12"/>
        <w:jc w:val="center"/>
        <w:rPr>
          <w:rFonts w:ascii="仿宋_GB2312" w:hAnsi="仿宋_GB2312" w:eastAsia="仿宋_GB2312" w:cs="仿宋_GB2312"/>
          <w:b/>
          <w:sz w:val="28"/>
          <w:szCs w:val="28"/>
        </w:rPr>
      </w:pPr>
    </w:p>
    <w:p>
      <w:pPr>
        <w:pStyle w:val="12"/>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2"/>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2"/>
        <w:jc w:val="center"/>
        <w:rPr>
          <w:rFonts w:ascii="仿宋_GB2312" w:hAnsi="仿宋_GB2312" w:eastAsia="仿宋_GB2312" w:cs="仿宋_GB2312"/>
          <w:b/>
          <w:sz w:val="28"/>
          <w:szCs w:val="28"/>
        </w:rPr>
      </w:pPr>
    </w:p>
    <w:p>
      <w:pPr>
        <w:pStyle w:val="12"/>
        <w:jc w:val="center"/>
        <w:rPr>
          <w:rFonts w:ascii="仿宋_GB2312" w:hAnsi="仿宋_GB2312" w:eastAsia="仿宋_GB2312" w:cs="仿宋_GB2312"/>
          <w:b/>
          <w:sz w:val="28"/>
          <w:szCs w:val="28"/>
        </w:rPr>
      </w:pPr>
    </w:p>
    <w:p>
      <w:pPr>
        <w:pStyle w:val="12"/>
        <w:spacing w:line="360" w:lineRule="auto"/>
        <w:ind w:firstLine="420" w:firstLineChars="15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r>
        <w:rPr>
          <w:rFonts w:hint="eastAsia" w:ascii="仿宋_GB2312" w:hAnsi="仿宋_GB2312" w:eastAsia="仿宋_GB2312" w:cs="仿宋_GB2312"/>
          <w:b/>
          <w:sz w:val="28"/>
          <w:szCs w:val="28"/>
          <w:u w:val="single"/>
        </w:rPr>
        <w:t xml:space="preserve">                       </w:t>
      </w:r>
    </w:p>
    <w:p>
      <w:pPr>
        <w:pStyle w:val="11"/>
        <w:spacing w:line="360" w:lineRule="auto"/>
        <w:ind w:firstLine="420" w:firstLineChars="150"/>
        <w:jc w:val="left"/>
        <w:rPr>
          <w:rFonts w:hint="eastAsia" w:hAnsi="仿宋_GB2312" w:eastAsia="仿宋_GB2312" w:cs="仿宋_GB2312"/>
          <w:sz w:val="28"/>
          <w:szCs w:val="28"/>
          <w:u w:val="single"/>
          <w:lang w:eastAsia="zh-CN"/>
        </w:rPr>
      </w:pPr>
      <w:r>
        <w:rPr>
          <w:rFonts w:hint="eastAsia" w:hAnsi="仿宋_GB2312" w:cs="仿宋_GB2312"/>
          <w:sz w:val="28"/>
          <w:szCs w:val="28"/>
        </w:rPr>
        <w:t>项目名称：</w:t>
      </w:r>
      <w:r>
        <w:rPr>
          <w:rFonts w:hint="eastAsia" w:hAnsi="仿宋_GB2312" w:cs="仿宋_GB2312"/>
          <w:sz w:val="28"/>
          <w:szCs w:val="28"/>
          <w:u w:val="single"/>
          <w:lang w:val="en-US" w:eastAsia="zh-CN"/>
        </w:rPr>
        <w:t>广州市净水有限公司</w:t>
      </w:r>
      <w:r>
        <w:rPr>
          <w:rFonts w:hint="eastAsia" w:hAnsi="仿宋_GB2312" w:cs="仿宋_GB2312"/>
          <w:sz w:val="28"/>
          <w:szCs w:val="28"/>
          <w:u w:val="single"/>
          <w:lang w:eastAsia="zh-CN"/>
        </w:rPr>
        <w:t>京溪分公司2021年紫外消毒系统大修项目（第二次）</w:t>
      </w: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spacing w:line="360" w:lineRule="auto"/>
        <w:ind w:firstLine="843" w:firstLineChars="3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报价单位名称：</w:t>
      </w:r>
      <w:r>
        <w:rPr>
          <w:rFonts w:hint="eastAsia" w:ascii="仿宋_GB2312" w:hAnsi="仿宋_GB2312" w:eastAsia="仿宋_GB2312" w:cs="仿宋_GB2312"/>
          <w:b/>
          <w:sz w:val="28"/>
          <w:szCs w:val="28"/>
          <w:u w:val="single"/>
        </w:rPr>
        <w:t xml:space="preserve"> </w:t>
      </w:r>
      <w:r>
        <w:rPr>
          <w:rFonts w:ascii="仿宋_GB2312" w:hAnsi="仿宋_GB2312" w:eastAsia="仿宋_GB2312" w:cs="仿宋_GB2312"/>
          <w:b/>
          <w:sz w:val="28"/>
          <w:szCs w:val="28"/>
          <w:u w:val="single"/>
        </w:rPr>
        <w:t xml:space="preserve">                </w:t>
      </w:r>
      <w:r>
        <w:rPr>
          <w:rFonts w:ascii="仿宋_GB2312" w:hAnsi="仿宋_GB2312" w:eastAsia="仿宋_GB2312" w:cs="仿宋_GB2312"/>
          <w:b/>
          <w:sz w:val="28"/>
          <w:szCs w:val="28"/>
        </w:rPr>
        <w:t xml:space="preserve">    </w:t>
      </w:r>
    </w:p>
    <w:p>
      <w:pPr>
        <w:autoSpaceDE w:val="0"/>
        <w:autoSpaceDN w:val="0"/>
        <w:spacing w:line="240" w:lineRule="atLeast"/>
        <w:ind w:firstLine="843" w:firstLineChars="300"/>
        <w:jc w:val="left"/>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footerReference r:id="rId7" w:type="default"/>
          <w:pgSz w:w="11906" w:h="16838"/>
          <w:pgMar w:top="1089" w:right="1466" w:bottom="1089" w:left="1077" w:header="851" w:footer="992" w:gutter="0"/>
          <w:pgNumType w:start="19"/>
          <w:cols w:space="720" w:num="1"/>
          <w:docGrid w:type="lines" w:linePitch="312" w:charSpace="0"/>
        </w:sectPr>
      </w:pPr>
    </w:p>
    <w:p>
      <w:pPr>
        <w:pStyle w:val="7"/>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（1）法定代表人/负责人资格证明书</w:t>
      </w:r>
    </w:p>
    <w:p>
      <w:pPr>
        <w:spacing w:line="480" w:lineRule="exact"/>
        <w:rPr>
          <w:rFonts w:ascii="仿宋" w:hAnsi="仿宋" w:eastAsia="仿宋" w:cs="仿宋_GB2312"/>
          <w:color w:val="000000"/>
          <w:sz w:val="28"/>
          <w:szCs w:val="28"/>
        </w:rPr>
      </w:pP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致：（项目实施单位）</w:t>
      </w:r>
    </w:p>
    <w:p>
      <w:pPr>
        <w:rPr>
          <w:rFonts w:ascii="仿宋" w:hAnsi="仿宋" w:eastAsia="仿宋" w:cs="仿宋_GB2312"/>
          <w:color w:val="000000"/>
          <w:sz w:val="28"/>
          <w:szCs w:val="28"/>
        </w:rPr>
      </w:pPr>
    </w:p>
    <w:p>
      <w:pPr>
        <w:spacing w:line="440" w:lineRule="exact"/>
        <w:rPr>
          <w:rFonts w:ascii="仿宋" w:hAnsi="仿宋" w:eastAsia="仿宋" w:cs="仿宋_GB2312"/>
          <w:color w:val="000000"/>
          <w:sz w:val="28"/>
          <w:szCs w:val="28"/>
        </w:rPr>
      </w:pPr>
      <w:r>
        <w:rPr>
          <w:rFonts w:hint="eastAsia" w:ascii="仿宋" w:hAnsi="仿宋" w:eastAsia="仿宋" w:cs="仿宋_GB2312"/>
          <w:color w:val="000000"/>
          <w:sz w:val="28"/>
          <w:szCs w:val="28"/>
        </w:rPr>
        <w:t xml:space="preserve">     </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同志为本单位法定代表人，特此证明。</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签发日期：           单位：           （盖单位公章）</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附：代表人性别：            年龄：           身份证号码：</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联系电话：</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营业执照号码：                       经济性质：</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机构代码：                           机构性质：</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主营：</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兼营：</w:t>
      </w:r>
    </w:p>
    <w:p>
      <w:pPr>
        <w:spacing w:line="440" w:lineRule="exact"/>
        <w:rPr>
          <w:rFonts w:ascii="宋体" w:hAnsi="宋体"/>
          <w:color w:val="000000"/>
          <w:sz w:val="24"/>
          <w:szCs w:val="24"/>
        </w:rPr>
      </w:pPr>
      <w:r>
        <w:rPr>
          <w:rFonts w:hint="eastAsia" w:ascii="宋体" w:hAnsi="宋体"/>
          <w:color w:val="000000"/>
          <w:sz w:val="24"/>
          <w:szCs w:val="24"/>
        </w:rPr>
        <w:t>法定代表人</w:t>
      </w:r>
      <w:r>
        <w:rPr>
          <w:rFonts w:hint="eastAsia" w:ascii="宋体" w:hAnsi="宋体"/>
          <w:sz w:val="24"/>
          <w:szCs w:val="24"/>
        </w:rPr>
        <w:t>身份证复印件：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color w:val="000000"/>
                <w:sz w:val="24"/>
                <w:szCs w:val="24"/>
              </w:rPr>
              <w:t>人像面</w:t>
            </w:r>
            <w:r>
              <w:rPr>
                <w:rFonts w:hint="eastAsia" w:ascii="宋体" w:hAnsi="宋体"/>
                <w:sz w:val="24"/>
                <w:szCs w:val="24"/>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rPr>
                <w:rFonts w:ascii="仿宋" w:hAnsi="仿宋" w:eastAsia="仿宋" w:cs="仿宋_GB2312"/>
                <w:color w:val="000000"/>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color w:val="000000"/>
                <w:sz w:val="24"/>
                <w:szCs w:val="24"/>
              </w:rPr>
              <w:t>国徽面</w:t>
            </w:r>
            <w:r>
              <w:rPr>
                <w:rFonts w:hint="eastAsia" w:ascii="宋体" w:hAnsi="宋体"/>
                <w:sz w:val="24"/>
                <w:szCs w:val="24"/>
              </w:rPr>
              <w:t>，盖单位公章</w:t>
            </w:r>
          </w:p>
          <w:p>
            <w:pPr>
              <w:pStyle w:val="28"/>
            </w:pPr>
          </w:p>
          <w:p>
            <w:pPr>
              <w:spacing w:line="360" w:lineRule="auto"/>
              <w:jc w:val="left"/>
              <w:rPr>
                <w:rFonts w:ascii="宋体" w:hAnsi="宋体"/>
                <w:sz w:val="24"/>
                <w:szCs w:val="24"/>
              </w:rPr>
            </w:pPr>
          </w:p>
        </w:tc>
      </w:tr>
    </w:tbl>
    <w:p>
      <w:pPr>
        <w:rPr>
          <w:rFonts w:ascii="仿宋" w:hAnsi="仿宋" w:eastAsia="仿宋" w:cs="仿宋_GB2312"/>
          <w:color w:val="000000"/>
          <w:sz w:val="28"/>
          <w:szCs w:val="28"/>
        </w:rPr>
      </w:pPr>
    </w:p>
    <w:p>
      <w:pPr>
        <w:rPr>
          <w:rFonts w:ascii="仿宋" w:hAnsi="仿宋" w:eastAsia="仿宋" w:cs="仿宋_GB2312"/>
          <w:b/>
          <w:color w:val="000000"/>
          <w:sz w:val="28"/>
          <w:szCs w:val="28"/>
        </w:rPr>
      </w:pPr>
      <w:r>
        <w:rPr>
          <w:rFonts w:hint="eastAsia" w:ascii="仿宋" w:hAnsi="仿宋" w:eastAsia="仿宋" w:cs="仿宋_GB2312"/>
          <w:color w:val="000000"/>
          <w:sz w:val="28"/>
          <w:szCs w:val="28"/>
        </w:rPr>
        <w:t xml:space="preserve"> </w:t>
      </w: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pStyle w:val="28"/>
      </w:pPr>
    </w:p>
    <w:p>
      <w:pPr>
        <w:spacing w:line="480" w:lineRule="exact"/>
        <w:rPr>
          <w:rFonts w:hint="eastAsia" w:ascii="仿宋" w:hAnsi="仿宋" w:eastAsia="仿宋" w:cs="仿宋_GB2312"/>
          <w:b/>
          <w:color w:val="000000"/>
          <w:sz w:val="28"/>
          <w:szCs w:val="28"/>
        </w:rPr>
      </w:pPr>
    </w:p>
    <w:p>
      <w:pPr>
        <w:spacing w:line="48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（2）法定代表人/负责人授权委托书</w:t>
      </w:r>
    </w:p>
    <w:p>
      <w:pPr>
        <w:spacing w:line="360" w:lineRule="auto"/>
        <w:rPr>
          <w:rFonts w:ascii="仿宋" w:hAnsi="仿宋" w:eastAsia="仿宋" w:cs="仿宋_GB2312"/>
          <w:color w:val="000000"/>
          <w:sz w:val="28"/>
          <w:szCs w:val="28"/>
        </w:rPr>
      </w:pPr>
    </w:p>
    <w:p>
      <w:pPr>
        <w:spacing w:line="360" w:lineRule="auto"/>
        <w:rPr>
          <w:rFonts w:ascii="仿宋" w:hAnsi="仿宋" w:eastAsia="仿宋" w:cs="仿宋_GB2312"/>
          <w:color w:val="000000"/>
          <w:sz w:val="28"/>
          <w:szCs w:val="28"/>
        </w:rPr>
      </w:pPr>
      <w:r>
        <w:rPr>
          <w:rFonts w:hint="eastAsia" w:ascii="仿宋" w:hAnsi="仿宋" w:eastAsia="仿宋" w:cs="仿宋_GB2312"/>
          <w:color w:val="000000"/>
          <w:sz w:val="28"/>
          <w:szCs w:val="28"/>
        </w:rPr>
        <w:t>致：（项目实施单位）</w:t>
      </w:r>
    </w:p>
    <w:p>
      <w:pPr>
        <w:spacing w:line="480" w:lineRule="exact"/>
        <w:ind w:firstLine="562" w:firstLineChars="200"/>
        <w:rPr>
          <w:rFonts w:ascii="仿宋" w:hAnsi="仿宋" w:eastAsia="仿宋" w:cs="仿宋_GB2312"/>
          <w:b/>
          <w:color w:val="000000"/>
          <w:sz w:val="28"/>
          <w:szCs w:val="28"/>
        </w:rPr>
      </w:pPr>
    </w:p>
    <w:p>
      <w:pPr>
        <w:spacing w:line="48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本人</w:t>
      </w:r>
      <w:r>
        <w:rPr>
          <w:rFonts w:hint="eastAsia" w:ascii="仿宋" w:hAnsi="仿宋" w:eastAsia="仿宋" w:cs="仿宋_GB2312"/>
          <w:color w:val="000000"/>
          <w:sz w:val="28"/>
          <w:szCs w:val="28"/>
          <w:u w:val="single"/>
        </w:rPr>
        <w:t xml:space="preserve">（法人姓名）（法人签字或盖私章） </w:t>
      </w:r>
      <w:r>
        <w:rPr>
          <w:rFonts w:hint="eastAsia" w:ascii="仿宋" w:hAnsi="仿宋" w:eastAsia="仿宋" w:cs="仿宋_GB2312"/>
          <w:color w:val="000000"/>
          <w:sz w:val="28"/>
          <w:szCs w:val="28"/>
        </w:rPr>
        <w:t>系</w:t>
      </w:r>
      <w:r>
        <w:rPr>
          <w:rFonts w:hint="eastAsia" w:ascii="仿宋" w:hAnsi="仿宋" w:eastAsia="仿宋" w:cs="仿宋_GB2312"/>
          <w:color w:val="000000"/>
          <w:sz w:val="28"/>
          <w:szCs w:val="28"/>
          <w:u w:val="single"/>
        </w:rPr>
        <w:t>（供应商名称）（盖单位公章）</w:t>
      </w:r>
      <w:r>
        <w:rPr>
          <w:rFonts w:hint="eastAsia" w:ascii="仿宋" w:hAnsi="仿宋" w:eastAsia="仿宋" w:cs="仿宋_GB2312"/>
          <w:color w:val="000000"/>
          <w:sz w:val="28"/>
          <w:szCs w:val="28"/>
        </w:rPr>
        <w:t>法定代表人，现授权</w:t>
      </w:r>
      <w:r>
        <w:rPr>
          <w:rFonts w:hint="eastAsia" w:ascii="仿宋" w:hAnsi="仿宋" w:eastAsia="仿宋" w:cs="仿宋_GB2312"/>
          <w:color w:val="000000"/>
          <w:sz w:val="28"/>
          <w:szCs w:val="28"/>
          <w:u w:val="single"/>
        </w:rPr>
        <w:t>（委托代理人姓名）</w:t>
      </w:r>
      <w:r>
        <w:rPr>
          <w:rFonts w:hint="eastAsia" w:ascii="仿宋" w:hAnsi="仿宋" w:eastAsia="仿宋" w:cs="仿宋_GB2312"/>
          <w:color w:val="000000"/>
          <w:sz w:val="28"/>
          <w:szCs w:val="28"/>
        </w:rPr>
        <w:t>为我方合法委托代理人，参加</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项目(项目编号：</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签发日期：</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年</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月</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日</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有效期限：签发日期起至</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年</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月</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日</w:t>
      </w:r>
    </w:p>
    <w:p>
      <w:pPr>
        <w:spacing w:line="480" w:lineRule="exact"/>
        <w:ind w:firstLine="840" w:firstLineChars="300"/>
        <w:rPr>
          <w:rFonts w:ascii="仿宋" w:hAnsi="仿宋" w:eastAsia="仿宋" w:cs="仿宋_GB2312"/>
          <w:color w:val="000000"/>
          <w:sz w:val="28"/>
          <w:szCs w:val="28"/>
        </w:rPr>
      </w:pPr>
      <w:r>
        <w:rPr>
          <w:rFonts w:hint="eastAsia" w:ascii="仿宋" w:hAnsi="仿宋" w:eastAsia="仿宋" w:cs="仿宋_GB2312"/>
          <w:color w:val="000000"/>
          <w:sz w:val="28"/>
          <w:szCs w:val="28"/>
        </w:rPr>
        <w:t>代理人性别：     年龄：     职务：</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身份证号码：</w:t>
      </w:r>
    </w:p>
    <w:p>
      <w:pPr>
        <w:spacing w:line="480" w:lineRule="exact"/>
        <w:ind w:firstLine="280" w:firstLineChars="100"/>
        <w:rPr>
          <w:rFonts w:hint="eastAsia" w:ascii="仿宋" w:hAnsi="仿宋" w:eastAsia="仿宋" w:cs="仿宋_GB2312"/>
          <w:color w:val="000000"/>
          <w:sz w:val="28"/>
          <w:szCs w:val="28"/>
          <w:lang w:val="en-US" w:eastAsia="zh-CN"/>
        </w:rPr>
      </w:pPr>
      <w:r>
        <w:rPr>
          <w:rFonts w:hint="eastAsia" w:ascii="仿宋" w:hAnsi="仿宋" w:eastAsia="仿宋" w:cs="仿宋_GB2312"/>
          <w:color w:val="000000"/>
          <w:sz w:val="28"/>
          <w:szCs w:val="28"/>
        </w:rPr>
        <w:t>　　</w:t>
      </w:r>
      <w:r>
        <w:rPr>
          <w:rFonts w:hint="eastAsia" w:ascii="仿宋" w:hAnsi="仿宋" w:eastAsia="仿宋" w:cs="仿宋_GB2312"/>
          <w:color w:val="000000"/>
          <w:sz w:val="28"/>
          <w:szCs w:val="28"/>
          <w:lang w:val="en-US" w:eastAsia="zh-CN"/>
        </w:rPr>
        <w:t xml:space="preserve">联系电话： </w:t>
      </w:r>
    </w:p>
    <w:p>
      <w:pPr>
        <w:spacing w:line="480" w:lineRule="exact"/>
        <w:ind w:firstLine="280" w:firstLineChars="100"/>
        <w:rPr>
          <w:rFonts w:ascii="仿宋" w:hAnsi="仿宋" w:eastAsia="仿宋" w:cs="仿宋_GB2312"/>
          <w:color w:val="000000"/>
          <w:sz w:val="28"/>
          <w:szCs w:val="28"/>
        </w:rPr>
      </w:pPr>
    </w:p>
    <w:p>
      <w:pPr>
        <w:spacing w:line="480" w:lineRule="exact"/>
        <w:rPr>
          <w:rFonts w:ascii="仿宋" w:hAnsi="仿宋" w:eastAsia="仿宋" w:cs="仿宋_GB2312"/>
          <w:color w:val="000000"/>
          <w:sz w:val="24"/>
          <w:szCs w:val="24"/>
        </w:rPr>
      </w:pPr>
      <w:r>
        <w:rPr>
          <w:rFonts w:hint="eastAsia" w:ascii="仿宋" w:hAnsi="仿宋" w:eastAsia="仿宋" w:cs="仿宋_GB2312"/>
          <w:color w:val="000000"/>
          <w:sz w:val="24"/>
          <w:szCs w:val="24"/>
        </w:rPr>
        <w:t>说明：1.法定代表人为企业事业单位、国家机关、社会团体的主要行政负责人。</w:t>
      </w:r>
    </w:p>
    <w:p>
      <w:pPr>
        <w:spacing w:line="480" w:lineRule="exact"/>
        <w:rPr>
          <w:rFonts w:ascii="仿宋" w:hAnsi="仿宋" w:eastAsia="仿宋" w:cs="仿宋_GB2312"/>
          <w:color w:val="000000"/>
          <w:sz w:val="24"/>
          <w:szCs w:val="24"/>
        </w:rPr>
      </w:pPr>
      <w:r>
        <w:rPr>
          <w:rFonts w:hint="eastAsia" w:ascii="仿宋" w:hAnsi="仿宋" w:eastAsia="仿宋" w:cs="仿宋_GB2312"/>
          <w:color w:val="000000"/>
          <w:sz w:val="24"/>
          <w:szCs w:val="24"/>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rPr>
      </w:pPr>
      <w:r>
        <w:rPr>
          <w:rFonts w:hint="eastAsia" w:ascii="仿宋" w:hAnsi="仿宋" w:eastAsia="仿宋" w:cs="仿宋_GB2312"/>
          <w:color w:val="000000"/>
          <w:sz w:val="24"/>
          <w:szCs w:val="24"/>
        </w:rPr>
        <w:t>3.将此证明书提交对方作为合同附件</w:t>
      </w:r>
      <w:r>
        <w:rPr>
          <w:rFonts w:hint="eastAsia" w:ascii="仿宋" w:hAnsi="仿宋" w:eastAsia="仿宋" w:cs="仿宋_GB2312"/>
          <w:b/>
          <w:color w:val="000000"/>
          <w:sz w:val="24"/>
          <w:szCs w:val="24"/>
        </w:rPr>
        <w:t>。</w:t>
      </w:r>
    </w:p>
    <w:p>
      <w:pPr>
        <w:pStyle w:val="28"/>
        <w:ind w:firstLine="720" w:firstLineChars="300"/>
        <w:rPr>
          <w:rFonts w:ascii="仿宋" w:hAnsi="仿宋" w:eastAsia="仿宋" w:cs="仿宋_GB2312"/>
          <w:kern w:val="2"/>
        </w:rPr>
      </w:pPr>
      <w:r>
        <w:rPr>
          <w:rFonts w:hint="eastAsia" w:ascii="仿宋" w:hAnsi="仿宋" w:eastAsia="仿宋" w:cs="仿宋_GB2312"/>
          <w:kern w:val="2"/>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rPr>
      </w:pPr>
      <w:r>
        <w:rPr>
          <w:rFonts w:hint="eastAsia" w:ascii="仿宋" w:hAnsi="仿宋" w:eastAsia="仿宋" w:cs="仿宋_GB2312"/>
          <w:color w:val="000000"/>
          <w:sz w:val="24"/>
          <w:szCs w:val="24"/>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rPr>
      </w:pPr>
      <w:r>
        <w:rPr>
          <w:rFonts w:hint="eastAsia" w:ascii="仿宋" w:hAnsi="仿宋" w:eastAsia="仿宋" w:cs="仿宋_GB2312"/>
          <w:color w:val="000000"/>
          <w:sz w:val="24"/>
          <w:szCs w:val="24"/>
        </w:rPr>
        <w:t>6.谈判签字代表为法定代表人，则本表不适用。</w:t>
      </w:r>
    </w:p>
    <w:p>
      <w:pPr>
        <w:widowControl/>
        <w:spacing w:line="440" w:lineRule="exact"/>
        <w:ind w:firstLine="736" w:firstLineChars="307"/>
        <w:jc w:val="left"/>
        <w:rPr>
          <w:rFonts w:ascii="仿宋" w:hAnsi="仿宋" w:eastAsia="仿宋" w:cs="仿宋_GB2312"/>
          <w:color w:val="000000"/>
          <w:sz w:val="24"/>
          <w:szCs w:val="24"/>
        </w:rPr>
      </w:pPr>
      <w:r>
        <w:rPr>
          <w:rFonts w:hint="eastAsia" w:ascii="仿宋" w:hAnsi="仿宋" w:eastAsia="仿宋" w:cs="仿宋_GB2312"/>
          <w:color w:val="000000"/>
          <w:sz w:val="24"/>
          <w:szCs w:val="24"/>
        </w:rPr>
        <w:t>7.提供授权代理人在本单位近三个月社保记录（以加盖社会保险基金管理中心印章的《缴费历史明细表》或《社会保险参保人员证明》为准），否则为无效代理人，询价响应文件无效。</w:t>
      </w:r>
    </w:p>
    <w:p>
      <w:pPr>
        <w:spacing w:line="480" w:lineRule="exact"/>
        <w:rPr>
          <w:rFonts w:ascii="仿宋" w:hAnsi="仿宋" w:eastAsia="仿宋" w:cs="仿宋_GB2312"/>
          <w:color w:val="000000"/>
          <w:sz w:val="24"/>
          <w:szCs w:val="24"/>
        </w:rPr>
      </w:pPr>
    </w:p>
    <w:p>
      <w:pPr>
        <w:widowControl/>
        <w:spacing w:line="440" w:lineRule="exact"/>
        <w:jc w:val="left"/>
        <w:rPr>
          <w:rFonts w:ascii="仿宋" w:hAnsi="仿宋" w:eastAsia="仿宋" w:cs="仿宋_GB2312"/>
          <w:color w:val="000000"/>
          <w:sz w:val="24"/>
          <w:szCs w:val="24"/>
        </w:rPr>
      </w:pPr>
    </w:p>
    <w:p>
      <w:pPr>
        <w:widowControl/>
        <w:spacing w:line="440" w:lineRule="exact"/>
        <w:jc w:val="left"/>
        <w:rPr>
          <w:rFonts w:ascii="仿宋" w:hAnsi="仿宋" w:eastAsia="仿宋" w:cs="仿宋_GB2312"/>
          <w:color w:val="000000"/>
          <w:sz w:val="24"/>
          <w:szCs w:val="24"/>
        </w:rPr>
      </w:pPr>
    </w:p>
    <w:p>
      <w:pPr>
        <w:pStyle w:val="28"/>
        <w:rPr>
          <w:rFonts w:hint="eastAsia"/>
        </w:rPr>
      </w:pPr>
    </w:p>
    <w:p>
      <w:pPr>
        <w:widowControl/>
        <w:spacing w:line="440" w:lineRule="exact"/>
        <w:jc w:val="left"/>
        <w:rPr>
          <w:rFonts w:ascii="仿宋" w:hAnsi="仿宋" w:eastAsia="仿宋" w:cs="仿宋_GB2312"/>
          <w:color w:val="000000"/>
          <w:sz w:val="24"/>
          <w:szCs w:val="24"/>
        </w:rPr>
      </w:pPr>
    </w:p>
    <w:p>
      <w:pPr>
        <w:spacing w:line="440" w:lineRule="exact"/>
        <w:rPr>
          <w:rFonts w:ascii="宋体" w:hAnsi="宋体"/>
          <w:sz w:val="24"/>
          <w:szCs w:val="24"/>
        </w:rPr>
      </w:pPr>
      <w:r>
        <w:rPr>
          <w:rFonts w:hint="eastAsia" w:ascii="宋体" w:hAnsi="宋体"/>
          <w:color w:val="000000"/>
          <w:sz w:val="24"/>
          <w:szCs w:val="24"/>
        </w:rPr>
        <w:t>授权代理人</w:t>
      </w:r>
      <w:r>
        <w:rPr>
          <w:rFonts w:hint="eastAsia" w:ascii="宋体" w:hAnsi="宋体"/>
          <w:sz w:val="24"/>
          <w:szCs w:val="24"/>
        </w:rPr>
        <w:t>身份证复印件：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人像面，盖单位公章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ascii="仿宋" w:hAnsi="仿宋" w:eastAsia="仿宋" w:cs="仿宋_GB2312"/>
                <w:color w:val="000000"/>
                <w:sz w:val="24"/>
                <w:szCs w:val="24"/>
              </w:rPr>
            </w:pPr>
          </w:p>
          <w:p>
            <w:pPr>
              <w:spacing w:line="360" w:lineRule="auto"/>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国徽面，盖单位公章</w:t>
            </w:r>
          </w:p>
        </w:tc>
      </w:tr>
    </w:tbl>
    <w:p>
      <w:pPr>
        <w:spacing w:line="480" w:lineRule="exact"/>
        <w:ind w:firstLine="843" w:firstLineChars="300"/>
        <w:rPr>
          <w:rFonts w:ascii="仿宋" w:hAnsi="仿宋" w:eastAsia="仿宋" w:cs="仿宋_GB2312"/>
          <w:b/>
          <w:color w:val="000000"/>
          <w:sz w:val="28"/>
          <w:szCs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300" w:lineRule="auto"/>
        <w:jc w:val="center"/>
        <w:rPr>
          <w:rFonts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p>
    <w:p>
      <w:pPr>
        <w:spacing w:line="300" w:lineRule="auto"/>
        <w:rPr>
          <w:rFonts w:ascii="仿宋_GB2312" w:hAnsi="仿宋_GB2312" w:eastAsia="仿宋_GB2312" w:cs="仿宋_GB2312"/>
          <w:b/>
          <w:sz w:val="28"/>
          <w:szCs w:val="28"/>
        </w:rPr>
      </w:pPr>
    </w:p>
    <w:p>
      <w:pPr>
        <w:spacing w:line="300" w:lineRule="auto"/>
        <w:rPr>
          <w:rFonts w:ascii="仿宋_GB2312" w:hAnsi="仿宋_GB2312" w:eastAsia="仿宋_GB2312" w:cs="仿宋_GB2312"/>
          <w:b/>
          <w:sz w:val="28"/>
          <w:szCs w:val="28"/>
        </w:rPr>
      </w:pPr>
    </w:p>
    <w:p>
      <w:pPr>
        <w:spacing w:line="300" w:lineRule="auto"/>
        <w:rPr>
          <w:rFonts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致：（项目实施单位） </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1.根据询价人发出的的项目编号为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工程的询价文件，我方已详细审查了全部内容，并无异议。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2.现我方承诺：愿以人民币</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元（小写：￥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元）的报价，承包本次交易所包含的所有工作，并承担任何质量缺陷责任。</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6.如果我方获得承包资格，我方将实行项目经理负责制，我方拟委派的项目负责人为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（证书编号为：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本公司违反上述承诺，或本声明陈述与事实不符，经查实，本公司愿意接受公开通报，承担由此带来的法律后果。</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承包意向人：(盖公章)</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法定代表人（签名或盖</w:t>
      </w:r>
      <w:r>
        <w:rPr>
          <w:rFonts w:hint="eastAsia" w:ascii="仿宋_GB2312" w:hAnsi="仿宋_GB2312" w:eastAsia="仿宋_GB2312" w:cs="仿宋_GB2312"/>
          <w:sz w:val="24"/>
          <w:lang w:val="en-US" w:eastAsia="zh-CN"/>
        </w:rPr>
        <w:t>私</w:t>
      </w:r>
      <w:r>
        <w:rPr>
          <w:rFonts w:hint="eastAsia" w:ascii="仿宋_GB2312" w:hAnsi="仿宋_GB2312" w:eastAsia="仿宋_GB2312" w:cs="仿宋_GB2312"/>
          <w:sz w:val="24"/>
        </w:rPr>
        <w:t>章）：</w:t>
      </w:r>
      <w:r>
        <w:rPr>
          <w:rFonts w:hint="eastAsia" w:ascii="仿宋_GB2312" w:hAnsi="仿宋_GB2312" w:eastAsia="仿宋_GB2312" w:cs="仿宋_GB2312"/>
          <w:sz w:val="24"/>
          <w:u w:val="single"/>
        </w:rPr>
        <w:t xml:space="preserve">               </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日    </w:t>
      </w:r>
    </w:p>
    <w:p>
      <w:pPr>
        <w:pStyle w:val="29"/>
        <w:ind w:firstLine="488"/>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1"/>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ascii="仿宋_GB2312" w:hAnsi="仿宋_GB2312" w:eastAsia="仿宋_GB2312" w:cs="仿宋_GB2312"/>
                <w:b/>
                <w:sz w:val="24"/>
              </w:rPr>
            </w:pPr>
            <w:r>
              <w:rPr>
                <w:rFonts w:hint="eastAsia" w:ascii="仿宋_GB2312" w:hAnsi="仿宋_GB2312" w:eastAsia="仿宋_GB2312" w:cs="仿宋_GB2312"/>
                <w:b/>
                <w:sz w:val="24"/>
              </w:rPr>
              <w:t>姓名</w:t>
            </w:r>
          </w:p>
        </w:tc>
        <w:tc>
          <w:tcPr>
            <w:tcW w:w="1742" w:type="dxa"/>
            <w:gridSpan w:val="2"/>
          </w:tcPr>
          <w:p>
            <w:pPr>
              <w:jc w:val="center"/>
              <w:rPr>
                <w:rFonts w:ascii="仿宋_GB2312" w:hAnsi="仿宋_GB2312" w:eastAsia="仿宋_GB2312" w:cs="仿宋_GB2312"/>
                <w:b/>
                <w:sz w:val="24"/>
              </w:rPr>
            </w:pPr>
          </w:p>
        </w:tc>
        <w:tc>
          <w:tcPr>
            <w:tcW w:w="1742"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出生年月</w:t>
            </w:r>
          </w:p>
        </w:tc>
        <w:tc>
          <w:tcPr>
            <w:tcW w:w="1742" w:type="dxa"/>
            <w:gridSpan w:val="2"/>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学历</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职称</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职务</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从事本工作时间</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毕业院校</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毕业时间</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专业</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注册证书等级</w:t>
            </w:r>
          </w:p>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和专业</w:t>
            </w:r>
          </w:p>
        </w:tc>
        <w:tc>
          <w:tcPr>
            <w:tcW w:w="3484" w:type="dxa"/>
            <w:gridSpan w:val="4"/>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tcPr>
          <w:p>
            <w:pPr>
              <w:jc w:val="center"/>
              <w:rPr>
                <w:rFonts w:ascii="仿宋_GB2312" w:hAnsi="仿宋_GB2312" w:eastAsia="仿宋_GB2312" w:cs="仿宋_GB2312"/>
                <w:b/>
                <w:sz w:val="24"/>
              </w:rPr>
            </w:pPr>
            <w:r>
              <w:rPr>
                <w:rFonts w:hint="eastAsia" w:ascii="仿宋_GB2312" w:hAnsi="仿宋_GB2312" w:eastAsia="仿宋_GB2312" w:cs="仿宋_GB2312"/>
                <w:b/>
                <w:sz w:val="24"/>
              </w:rPr>
              <w:t>职称证专业</w:t>
            </w:r>
          </w:p>
        </w:tc>
        <w:tc>
          <w:tcPr>
            <w:tcW w:w="3484" w:type="dxa"/>
            <w:gridSpan w:val="4"/>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项目名称</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合同金额</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开、竣工时间</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担任职务</w:t>
            </w:r>
          </w:p>
        </w:tc>
        <w:tc>
          <w:tcPr>
            <w:tcW w:w="2095"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bl>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jc w:val="center"/>
        <w:rPr>
          <w:rFonts w:ascii="仿宋_GB2312" w:hAnsi="仿宋_GB2312" w:eastAsia="仿宋_GB2312" w:cs="仿宋_GB2312"/>
          <w:b/>
          <w:sz w:val="28"/>
          <w:szCs w:val="28"/>
        </w:rPr>
      </w:pPr>
    </w:p>
    <w:p>
      <w:pPr>
        <w:pStyle w:val="28"/>
        <w:rPr>
          <w:rFonts w:ascii="仿宋" w:hAnsi="仿宋" w:eastAsia="仿宋" w:cs="仿宋_GB2312"/>
          <w:b/>
          <w:sz w:val="28"/>
          <w:szCs w:val="28"/>
        </w:rPr>
      </w:pPr>
    </w:p>
    <w:p>
      <w:pPr>
        <w:pStyle w:val="19"/>
        <w:ind w:firstLine="578"/>
        <w:jc w:val="center"/>
        <w:rPr>
          <w:rFonts w:hint="eastAsia" w:ascii="仿宋_GB2312" w:hAnsi="仿宋_GB2312" w:eastAsia="仿宋_GB2312" w:cs="仿宋_GB2312"/>
          <w:b/>
          <w:sz w:val="28"/>
          <w:szCs w:val="28"/>
        </w:rPr>
      </w:pPr>
    </w:p>
    <w:p>
      <w:pPr>
        <w:pStyle w:val="19"/>
        <w:ind w:left="0" w:leftChars="0" w:firstLine="0" w:firstLineChars="0"/>
        <w:jc w:val="both"/>
        <w:rPr>
          <w:rFonts w:hint="eastAsia" w:ascii="仿宋_GB2312" w:hAnsi="仿宋_GB2312" w:eastAsia="仿宋_GB2312" w:cs="仿宋_GB2312"/>
          <w:b/>
          <w:sz w:val="28"/>
          <w:szCs w:val="28"/>
        </w:rPr>
      </w:pPr>
    </w:p>
    <w:p>
      <w:pPr>
        <w:pStyle w:val="19"/>
        <w:ind w:firstLine="578"/>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5 厂家授权函</w:t>
      </w:r>
    </w:p>
    <w:p>
      <w:pPr>
        <w:pStyle w:val="19"/>
        <w:ind w:firstLine="578"/>
        <w:jc w:val="center"/>
        <w:rPr>
          <w:rFonts w:ascii="仿宋_GB2312" w:hAnsi="仿宋_GB2312" w:eastAsia="仿宋_GB2312" w:cs="仿宋_GB2312"/>
          <w:b/>
          <w:sz w:val="28"/>
          <w:szCs w:val="28"/>
        </w:rPr>
      </w:pPr>
    </w:p>
    <w:p>
      <w:pPr>
        <w:pStyle w:val="19"/>
        <w:ind w:firstLine="578"/>
        <w:jc w:val="center"/>
        <w:rPr>
          <w:rFonts w:ascii="仿宋_GB2312" w:hAnsi="仿宋_GB2312" w:eastAsia="仿宋_GB2312" w:cs="仿宋_GB2312"/>
          <w:b/>
          <w:sz w:val="28"/>
          <w:szCs w:val="28"/>
        </w:rPr>
      </w:pPr>
    </w:p>
    <w:p>
      <w:pPr>
        <w:pStyle w:val="19"/>
        <w:ind w:firstLine="578"/>
        <w:jc w:val="center"/>
        <w:rPr>
          <w:rFonts w:ascii="仿宋_GB2312" w:hAnsi="仿宋_GB2312" w:eastAsia="仿宋_GB2312" w:cs="仿宋_GB2312"/>
          <w:b/>
          <w:sz w:val="28"/>
          <w:szCs w:val="28"/>
        </w:rPr>
      </w:pPr>
    </w:p>
    <w:p>
      <w:pPr>
        <w:pStyle w:val="19"/>
        <w:ind w:firstLine="578"/>
        <w:jc w:val="center"/>
        <w:rPr>
          <w:rFonts w:ascii="仿宋_GB2312" w:hAnsi="仿宋_GB2312" w:eastAsia="仿宋_GB2312" w:cs="仿宋_GB2312"/>
          <w:b/>
          <w:sz w:val="28"/>
          <w:szCs w:val="28"/>
        </w:rPr>
      </w:pPr>
    </w:p>
    <w:p>
      <w:pPr>
        <w:pStyle w:val="19"/>
        <w:ind w:firstLine="578"/>
        <w:jc w:val="center"/>
        <w:rPr>
          <w:rFonts w:ascii="仿宋_GB2312" w:hAnsi="仿宋_GB2312" w:eastAsia="仿宋_GB2312" w:cs="仿宋_GB2312"/>
          <w:b/>
          <w:sz w:val="28"/>
          <w:szCs w:val="28"/>
        </w:rPr>
      </w:pPr>
    </w:p>
    <w:p>
      <w:pPr>
        <w:pStyle w:val="19"/>
        <w:ind w:firstLine="578"/>
        <w:jc w:val="center"/>
        <w:rPr>
          <w:rFonts w:ascii="仿宋_GB2312" w:hAnsi="仿宋_GB2312" w:eastAsia="仿宋_GB2312" w:cs="仿宋_GB2312"/>
          <w:b/>
          <w:sz w:val="28"/>
          <w:szCs w:val="28"/>
        </w:rPr>
      </w:pPr>
    </w:p>
    <w:p>
      <w:pPr>
        <w:pStyle w:val="19"/>
        <w:ind w:firstLine="578"/>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6 </w:t>
      </w:r>
      <w:r>
        <w:rPr>
          <w:rFonts w:hint="eastAsia" w:ascii="仿宋_GB2312" w:hAnsi="仿宋_GB2312" w:eastAsia="仿宋_GB2312" w:cs="仿宋_GB2312"/>
          <w:b/>
          <w:sz w:val="28"/>
          <w:szCs w:val="28"/>
          <w:lang w:val="en-US" w:eastAsia="zh-CN"/>
        </w:rPr>
        <w:t>响应</w:t>
      </w:r>
      <w:r>
        <w:rPr>
          <w:rFonts w:hint="eastAsia" w:ascii="仿宋_GB2312" w:hAnsi="仿宋_GB2312" w:eastAsia="仿宋_GB2312" w:cs="仿宋_GB2312"/>
          <w:b/>
          <w:sz w:val="28"/>
          <w:szCs w:val="28"/>
        </w:rPr>
        <w:t>承诺</w:t>
      </w:r>
      <w:r>
        <w:rPr>
          <w:rFonts w:hint="eastAsia" w:ascii="仿宋_GB2312" w:hAnsi="仿宋_GB2312" w:eastAsia="仿宋_GB2312" w:cs="仿宋_GB2312"/>
          <w:b/>
          <w:sz w:val="28"/>
          <w:szCs w:val="28"/>
          <w:lang w:val="en-US" w:eastAsia="zh-CN"/>
        </w:rPr>
        <w:t>书</w:t>
      </w:r>
    </w:p>
    <w:p>
      <w:pPr>
        <w:pStyle w:val="28"/>
        <w:jc w:val="both"/>
        <w:rPr>
          <w:rFonts w:hint="eastAsia" w:ascii="仿宋_GB2312" w:hAnsi="仿宋_GB2312" w:cs="仿宋_GB2312"/>
          <w:b w:val="0"/>
          <w:bCs/>
          <w:color w:val="auto"/>
          <w:kern w:val="2"/>
          <w:sz w:val="28"/>
          <w:szCs w:val="28"/>
        </w:rPr>
      </w:pPr>
    </w:p>
    <w:p>
      <w:pPr>
        <w:pStyle w:val="28"/>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广州市净水有限公司 ：</w:t>
      </w:r>
    </w:p>
    <w:p>
      <w:pPr>
        <w:pStyle w:val="28"/>
        <w:ind w:firstLine="560" w:firstLineChars="200"/>
        <w:jc w:val="both"/>
        <w:rPr>
          <w:rFonts w:hint="eastAsia" w:ascii="仿宋_GB2312" w:hAnsi="仿宋_GB2312" w:eastAsia="仿宋_GB2312" w:cs="仿宋_GB2312"/>
          <w:b w:val="0"/>
          <w:bCs/>
          <w:color w:val="auto"/>
          <w:kern w:val="2"/>
          <w:sz w:val="28"/>
          <w:szCs w:val="28"/>
          <w:lang w:eastAsia="zh-CN"/>
        </w:rPr>
      </w:pPr>
      <w:r>
        <w:rPr>
          <w:rFonts w:hint="eastAsia" w:ascii="仿宋_GB2312" w:hAnsi="仿宋_GB2312" w:cs="仿宋_GB2312"/>
          <w:b w:val="0"/>
          <w:bCs/>
          <w:color w:val="auto"/>
          <w:kern w:val="2"/>
          <w:sz w:val="28"/>
          <w:szCs w:val="28"/>
        </w:rPr>
        <w:t>我方完全理解</w:t>
      </w:r>
      <w:r>
        <w:rPr>
          <w:rFonts w:hint="eastAsia" w:ascii="仿宋_GB2312" w:hAnsi="仿宋_GB2312" w:cs="仿宋_GB2312"/>
          <w:b w:val="0"/>
          <w:bCs/>
          <w:color w:val="auto"/>
          <w:kern w:val="2"/>
          <w:sz w:val="28"/>
          <w:szCs w:val="28"/>
          <w:lang w:val="en-US" w:eastAsia="zh-CN"/>
        </w:rPr>
        <w:t>询价文件</w:t>
      </w:r>
      <w:r>
        <w:rPr>
          <w:rFonts w:hint="eastAsia" w:ascii="仿宋_GB2312" w:hAnsi="仿宋_GB2312" w:cs="仿宋_GB2312"/>
          <w:b w:val="0"/>
          <w:bCs/>
          <w:color w:val="auto"/>
          <w:kern w:val="2"/>
          <w:sz w:val="28"/>
          <w:szCs w:val="28"/>
        </w:rPr>
        <w:t>中所有要求均为实质性响应条款，如有任何一条负偏离或者不满足将导致询价无效。由于我方提供资料不实或与需求书中所有条款不符而造成的责任和后果由我方承担。我方承诺，所提供报价货物/设备均为制造商全新原装产品</w:t>
      </w:r>
      <w:r>
        <w:rPr>
          <w:rFonts w:hint="eastAsia" w:ascii="仿宋_GB2312" w:hAnsi="仿宋_GB2312" w:cs="仿宋_GB2312"/>
          <w:b w:val="0"/>
          <w:bCs/>
          <w:color w:val="auto"/>
          <w:kern w:val="2"/>
          <w:sz w:val="28"/>
          <w:szCs w:val="28"/>
          <w:lang w:eastAsia="zh-CN"/>
        </w:rPr>
        <w:t>，</w:t>
      </w:r>
      <w:r>
        <w:rPr>
          <w:rFonts w:hint="eastAsia" w:ascii="仿宋_GB2312" w:hAnsi="仿宋_GB2312" w:eastAsia="仿宋_GB2312" w:cs="仿宋_GB2312"/>
          <w:sz w:val="28"/>
          <w:szCs w:val="28"/>
        </w:rPr>
        <w:t>质保期为自验收合格之日起紫外灯管质保寿命为12000小时，其他零配件</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年</w:t>
      </w:r>
      <w:r>
        <w:rPr>
          <w:rFonts w:hint="eastAsia" w:ascii="仿宋_GB2312" w:hAnsi="仿宋_GB2312" w:cs="仿宋_GB2312"/>
          <w:b w:val="0"/>
          <w:bCs/>
          <w:color w:val="auto"/>
          <w:kern w:val="2"/>
          <w:sz w:val="28"/>
          <w:szCs w:val="28"/>
          <w:lang w:eastAsia="zh-CN"/>
        </w:rPr>
        <w:t>。在质保期内出现故障，</w:t>
      </w:r>
      <w:r>
        <w:rPr>
          <w:rFonts w:hint="eastAsia" w:ascii="仿宋_GB2312" w:hAnsi="仿宋_GB2312" w:cs="仿宋_GB2312"/>
          <w:b w:val="0"/>
          <w:bCs/>
          <w:color w:val="auto"/>
          <w:kern w:val="2"/>
          <w:sz w:val="28"/>
          <w:szCs w:val="28"/>
          <w:lang w:val="en-US" w:eastAsia="zh-CN"/>
        </w:rPr>
        <w:t>我方</w:t>
      </w:r>
      <w:r>
        <w:rPr>
          <w:rFonts w:hint="eastAsia" w:ascii="仿宋_GB2312" w:hAnsi="仿宋_GB2312" w:cs="仿宋_GB2312"/>
          <w:b w:val="0"/>
          <w:bCs/>
          <w:color w:val="auto"/>
          <w:kern w:val="2"/>
          <w:sz w:val="28"/>
          <w:szCs w:val="28"/>
          <w:lang w:eastAsia="zh-CN"/>
        </w:rPr>
        <w:t>二十四小时内响应</w:t>
      </w:r>
      <w:r>
        <w:rPr>
          <w:rFonts w:hint="eastAsia" w:ascii="仿宋_GB2312" w:hAnsi="仿宋_GB2312" w:cs="仿宋_GB2312"/>
          <w:b w:val="0"/>
          <w:bCs/>
          <w:color w:val="auto"/>
          <w:kern w:val="2"/>
          <w:sz w:val="28"/>
          <w:szCs w:val="28"/>
          <w:lang w:val="en-US" w:eastAsia="zh-CN"/>
        </w:rPr>
        <w:t>到</w:t>
      </w:r>
      <w:r>
        <w:rPr>
          <w:rFonts w:hint="eastAsia" w:ascii="仿宋_GB2312" w:hAnsi="仿宋_GB2312" w:cs="仿宋_GB2312"/>
          <w:b w:val="0"/>
          <w:bCs/>
          <w:color w:val="auto"/>
          <w:kern w:val="2"/>
          <w:sz w:val="28"/>
          <w:szCs w:val="28"/>
          <w:lang w:eastAsia="zh-CN"/>
        </w:rPr>
        <w:t>场维修。</w:t>
      </w:r>
    </w:p>
    <w:p>
      <w:pPr>
        <w:pStyle w:val="28"/>
        <w:ind w:firstLine="562"/>
        <w:jc w:val="both"/>
        <w:rPr>
          <w:rFonts w:ascii="仿宋_GB2312" w:hAnsi="仿宋_GB2312" w:cs="仿宋_GB2312"/>
          <w:b w:val="0"/>
          <w:bCs/>
          <w:color w:val="auto"/>
          <w:kern w:val="2"/>
          <w:sz w:val="28"/>
          <w:szCs w:val="28"/>
        </w:rPr>
      </w:pPr>
    </w:p>
    <w:p>
      <w:pPr>
        <w:pStyle w:val="28"/>
        <w:ind w:left="0" w:leftChars="0"/>
        <w:jc w:val="right"/>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u w:val="single"/>
        </w:rPr>
        <w:t xml:space="preserve"> (报价单位) </w:t>
      </w:r>
      <w:r>
        <w:rPr>
          <w:rFonts w:hint="eastAsia" w:ascii="仿宋_GB2312" w:hAnsi="仿宋_GB2312" w:cs="仿宋_GB2312"/>
          <w:b w:val="0"/>
          <w:bCs/>
          <w:color w:val="auto"/>
          <w:kern w:val="2"/>
          <w:sz w:val="28"/>
          <w:szCs w:val="28"/>
        </w:rPr>
        <w:t>公司（盖单位公章）</w:t>
      </w:r>
    </w:p>
    <w:p>
      <w:pPr>
        <w:pStyle w:val="19"/>
        <w:jc w:val="right"/>
        <w:rPr>
          <w:rFonts w:hint="eastAsia" w:ascii="仿宋_GB2312" w:hAnsi="仿宋_GB2312" w:eastAsia="仿宋_GB2312" w:cs="仿宋_GB2312"/>
          <w:b/>
          <w:sz w:val="28"/>
          <w:szCs w:val="28"/>
          <w:highlight w:val="none"/>
          <w:lang w:val="en-US" w:eastAsia="zh-CN"/>
        </w:rPr>
      </w:pPr>
      <w:r>
        <w:rPr>
          <w:rFonts w:hint="eastAsia" w:ascii="仿宋_GB2312" w:hAnsi="仿宋_GB2312" w:cs="仿宋_GB2312"/>
          <w:b w:val="0"/>
          <w:bCs/>
          <w:color w:val="auto"/>
          <w:kern w:val="2"/>
          <w:sz w:val="28"/>
          <w:szCs w:val="28"/>
        </w:rPr>
        <w:t>年</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月</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日</w:t>
      </w:r>
    </w:p>
    <w:p>
      <w:pPr>
        <w:pStyle w:val="19"/>
        <w:ind w:firstLine="578"/>
        <w:jc w:val="center"/>
        <w:rPr>
          <w:rFonts w:hint="eastAsia" w:ascii="仿宋_GB2312" w:hAnsi="仿宋_GB2312" w:eastAsia="仿宋_GB2312" w:cs="仿宋_GB2312"/>
          <w:b/>
          <w:sz w:val="28"/>
          <w:szCs w:val="28"/>
        </w:rPr>
      </w:pPr>
    </w:p>
    <w:p>
      <w:pPr>
        <w:pStyle w:val="19"/>
        <w:ind w:firstLine="578"/>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both"/>
        <w:rPr>
          <w:rFonts w:hint="eastAsia" w:ascii="仿宋_GB2312" w:hAnsi="仿宋_GB2312" w:eastAsia="仿宋_GB2312" w:cs="仿宋_GB2312"/>
          <w:b/>
          <w:sz w:val="28"/>
          <w:szCs w:val="28"/>
          <w:lang w:val="en-US" w:eastAsia="zh-CN"/>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7</w:t>
      </w:r>
      <w:r>
        <w:rPr>
          <w:rFonts w:hint="eastAsia" w:ascii="仿宋_GB2312" w:hAnsi="仿宋_GB2312" w:eastAsia="仿宋_GB2312" w:cs="仿宋_GB2312"/>
          <w:b/>
          <w:sz w:val="28"/>
          <w:szCs w:val="28"/>
        </w:rPr>
        <w:t>工程量报价</w:t>
      </w:r>
    </w:p>
    <w:p>
      <w:pPr>
        <w:pStyle w:val="28"/>
      </w:pPr>
    </w:p>
    <w:tbl>
      <w:tblPr>
        <w:tblStyle w:val="21"/>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1"/>
        <w:gridCol w:w="3827"/>
        <w:gridCol w:w="567"/>
        <w:gridCol w:w="522"/>
        <w:gridCol w:w="730"/>
        <w:gridCol w:w="73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421"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bookmarkStart w:id="32" w:name="_Hlk79052403"/>
            <w:r>
              <w:rPr>
                <w:rFonts w:hint="eastAsia" w:cs="宋体" w:asciiTheme="minorEastAsia" w:hAnsiTheme="minorEastAsia" w:eastAsiaTheme="minorEastAsia"/>
                <w:sz w:val="24"/>
                <w:szCs w:val="24"/>
              </w:rPr>
              <w:t>序号</w:t>
            </w:r>
          </w:p>
        </w:tc>
        <w:tc>
          <w:tcPr>
            <w:tcW w:w="3827"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产品技术参数描述</w:t>
            </w:r>
          </w:p>
        </w:tc>
        <w:tc>
          <w:tcPr>
            <w:tcW w:w="567"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数量</w:t>
            </w:r>
          </w:p>
        </w:tc>
        <w:tc>
          <w:tcPr>
            <w:tcW w:w="522"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单位</w:t>
            </w:r>
          </w:p>
        </w:tc>
        <w:tc>
          <w:tcPr>
            <w:tcW w:w="730" w:type="dxa"/>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单价（元）</w:t>
            </w:r>
          </w:p>
        </w:tc>
        <w:tc>
          <w:tcPr>
            <w:tcW w:w="732" w:type="dxa"/>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合计（元）</w:t>
            </w:r>
          </w:p>
        </w:tc>
        <w:tc>
          <w:tcPr>
            <w:tcW w:w="2835" w:type="dxa"/>
            <w:shd w:val="clear" w:color="auto" w:fill="auto"/>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421"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一</w:t>
            </w:r>
          </w:p>
        </w:tc>
        <w:tc>
          <w:tcPr>
            <w:tcW w:w="3827"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现有X</w:t>
            </w:r>
            <w:r>
              <w:rPr>
                <w:rFonts w:cs="宋体" w:asciiTheme="minorEastAsia" w:hAnsiTheme="minorEastAsia" w:eastAsiaTheme="minorEastAsia"/>
                <w:sz w:val="24"/>
                <w:szCs w:val="24"/>
              </w:rPr>
              <w:t xml:space="preserve">ylem </w:t>
            </w:r>
            <w:r>
              <w:rPr>
                <w:rFonts w:hint="eastAsia" w:cs="宋体" w:asciiTheme="minorEastAsia" w:hAnsiTheme="minorEastAsia" w:eastAsiaTheme="minorEastAsia"/>
                <w:sz w:val="24"/>
                <w:szCs w:val="24"/>
              </w:rPr>
              <w:t>WED</w:t>
            </w:r>
            <w:r>
              <w:rPr>
                <w:rFonts w:cs="宋体" w:asciiTheme="minorEastAsia" w:hAnsiTheme="minorEastAsia" w:eastAsiaTheme="minorEastAsia"/>
                <w:sz w:val="24"/>
                <w:szCs w:val="24"/>
              </w:rPr>
              <w:t>E</w:t>
            </w:r>
            <w:r>
              <w:rPr>
                <w:rFonts w:hint="eastAsia" w:cs="宋体" w:asciiTheme="minorEastAsia" w:hAnsiTheme="minorEastAsia" w:eastAsiaTheme="minorEastAsia"/>
                <w:sz w:val="24"/>
                <w:szCs w:val="24"/>
              </w:rPr>
              <w:t>C</w:t>
            </w:r>
            <w:r>
              <w:rPr>
                <w:rFonts w:cs="宋体" w:asciiTheme="minorEastAsia" w:hAnsiTheme="minorEastAsia" w:eastAsiaTheme="minorEastAsia"/>
                <w:sz w:val="24"/>
                <w:szCs w:val="24"/>
              </w:rPr>
              <w:t>O</w:t>
            </w:r>
          </w:p>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VA106697 LBX1000</w:t>
            </w:r>
          </w:p>
        </w:tc>
        <w:tc>
          <w:tcPr>
            <w:tcW w:w="567" w:type="dxa"/>
            <w:shd w:val="clear" w:color="auto" w:fill="auto"/>
            <w:noWrap/>
            <w:tcMar>
              <w:top w:w="15" w:type="dxa"/>
              <w:left w:w="15" w:type="dxa"/>
              <w:right w:w="15" w:type="dxa"/>
            </w:tcMar>
            <w:vAlign w:val="center"/>
          </w:tcPr>
          <w:p>
            <w:pPr>
              <w:ind w:firstLine="240" w:firstLineChars="100"/>
              <w:jc w:val="center"/>
              <w:rPr>
                <w:rFonts w:ascii="宋体" w:hAnsi="宋体" w:cs="宋体"/>
                <w:sz w:val="24"/>
              </w:rPr>
            </w:pPr>
            <w:r>
              <w:rPr>
                <w:rFonts w:cs="宋体" w:asciiTheme="minorEastAsia" w:hAnsiTheme="minorEastAsia" w:eastAsiaTheme="minorEastAsia"/>
                <w:sz w:val="24"/>
                <w:szCs w:val="24"/>
              </w:rPr>
              <w:t>4</w:t>
            </w:r>
          </w:p>
        </w:tc>
        <w:tc>
          <w:tcPr>
            <w:tcW w:w="522" w:type="dxa"/>
            <w:shd w:val="clear" w:color="FFFFFF" w:fill="FFFFFF"/>
            <w:noWrap/>
            <w:tcMar>
              <w:top w:w="15" w:type="dxa"/>
              <w:left w:w="15" w:type="dxa"/>
              <w:right w:w="15" w:type="dxa"/>
            </w:tcMar>
            <w:vAlign w:val="center"/>
          </w:tcPr>
          <w:p>
            <w:pPr>
              <w:jc w:val="center"/>
              <w:rPr>
                <w:rFonts w:ascii="宋体" w:hAnsi="宋体" w:cs="宋体"/>
                <w:sz w:val="24"/>
              </w:rPr>
            </w:pPr>
            <w:r>
              <w:rPr>
                <w:rFonts w:hint="eastAsia" w:cs="宋体" w:asciiTheme="minorEastAsia" w:hAnsiTheme="minorEastAsia" w:eastAsiaTheme="minorEastAsia"/>
                <w:sz w:val="24"/>
                <w:szCs w:val="24"/>
              </w:rPr>
              <w:t>台</w:t>
            </w:r>
          </w:p>
        </w:tc>
        <w:tc>
          <w:tcPr>
            <w:tcW w:w="1462" w:type="dxa"/>
            <w:gridSpan w:val="2"/>
            <w:shd w:val="clear" w:color="FFFFFF" w:fill="FFFFFF"/>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w:t>
            </w:r>
          </w:p>
        </w:tc>
        <w:tc>
          <w:tcPr>
            <w:tcW w:w="2835" w:type="dxa"/>
            <w:shd w:val="clear" w:color="FFFFFF" w:fill="FFFFFF"/>
            <w:noWrap/>
            <w:tcMar>
              <w:top w:w="15" w:type="dxa"/>
              <w:left w:w="15" w:type="dxa"/>
              <w:right w:w="15" w:type="dxa"/>
            </w:tcMar>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4" w:hRule="atLeast"/>
          <w:jc w:val="center"/>
        </w:trPr>
        <w:tc>
          <w:tcPr>
            <w:tcW w:w="421"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1</w:t>
            </w:r>
          </w:p>
        </w:tc>
        <w:tc>
          <w:tcPr>
            <w:tcW w:w="3827"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紫外灯管（低压高强灯管，功率：</w:t>
            </w:r>
            <w:r>
              <w:rPr>
                <w:rFonts w:cs="宋体" w:asciiTheme="minorEastAsia" w:hAnsiTheme="minorEastAsia" w:eastAsiaTheme="minorEastAsia"/>
                <w:sz w:val="24"/>
                <w:szCs w:val="24"/>
              </w:rPr>
              <w:t>290W</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UV-C</w:t>
            </w:r>
            <w:r>
              <w:rPr>
                <w:rFonts w:hint="eastAsia" w:cs="宋体" w:asciiTheme="minorEastAsia" w:hAnsiTheme="minorEastAsia" w:eastAsiaTheme="minorEastAsia"/>
                <w:sz w:val="24"/>
                <w:szCs w:val="24"/>
              </w:rPr>
              <w:t>输出功率（</w:t>
            </w:r>
            <w:r>
              <w:rPr>
                <w:rFonts w:cs="宋体" w:asciiTheme="minorEastAsia" w:hAnsiTheme="minorEastAsia" w:eastAsiaTheme="minorEastAsia"/>
                <w:sz w:val="24"/>
                <w:szCs w:val="24"/>
              </w:rPr>
              <w:t>254nm</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104W</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UV-C</w:t>
            </w:r>
            <w:r>
              <w:rPr>
                <w:rFonts w:hint="eastAsia" w:cs="宋体" w:asciiTheme="minorEastAsia" w:hAnsiTheme="minorEastAsia" w:eastAsiaTheme="minorEastAsia"/>
                <w:sz w:val="24"/>
                <w:szCs w:val="24"/>
              </w:rPr>
              <w:t>输出调节范围：</w:t>
            </w:r>
            <w:r>
              <w:rPr>
                <w:rFonts w:cs="宋体" w:asciiTheme="minorEastAsia" w:hAnsiTheme="minorEastAsia" w:eastAsiaTheme="minorEastAsia"/>
                <w:sz w:val="24"/>
                <w:szCs w:val="24"/>
              </w:rPr>
              <w:t>50%-100%</w:t>
            </w:r>
            <w:r>
              <w:rPr>
                <w:rFonts w:hint="eastAsia" w:cs="宋体" w:asciiTheme="minorEastAsia" w:hAnsiTheme="minorEastAsia" w:eastAsiaTheme="minorEastAsia"/>
                <w:sz w:val="24"/>
                <w:szCs w:val="24"/>
              </w:rPr>
              <w:t>）</w:t>
            </w:r>
          </w:p>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（型号为：6103408 WEDECO</w:t>
            </w:r>
          </w:p>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ECORAY UV-Lamp ECORAY ELR30-1）</w:t>
            </w:r>
          </w:p>
        </w:tc>
        <w:tc>
          <w:tcPr>
            <w:tcW w:w="567"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160</w:t>
            </w:r>
          </w:p>
        </w:tc>
        <w:tc>
          <w:tcPr>
            <w:tcW w:w="522"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根</w:t>
            </w:r>
          </w:p>
        </w:tc>
        <w:tc>
          <w:tcPr>
            <w:tcW w:w="730" w:type="dxa"/>
          </w:tcPr>
          <w:p>
            <w:pPr>
              <w:widowControl/>
              <w:jc w:val="left"/>
              <w:textAlignment w:val="center"/>
              <w:rPr>
                <w:rFonts w:ascii="宋体" w:hAnsi="宋体" w:cs="宋体"/>
                <w:sz w:val="24"/>
              </w:rPr>
            </w:pPr>
          </w:p>
        </w:tc>
        <w:tc>
          <w:tcPr>
            <w:tcW w:w="732" w:type="dxa"/>
          </w:tcPr>
          <w:p>
            <w:pPr>
              <w:widowControl/>
              <w:jc w:val="left"/>
              <w:textAlignment w:val="center"/>
              <w:rPr>
                <w:rFonts w:ascii="宋体" w:hAnsi="宋体" w:cs="宋体"/>
                <w:sz w:val="24"/>
              </w:rPr>
            </w:pPr>
          </w:p>
        </w:tc>
        <w:tc>
          <w:tcPr>
            <w:tcW w:w="2835" w:type="dxa"/>
            <w:shd w:val="clear" w:color="auto" w:fill="auto"/>
            <w:noWrap/>
            <w:tcMar>
              <w:top w:w="15" w:type="dxa"/>
              <w:left w:w="15" w:type="dxa"/>
              <w:right w:w="15" w:type="dxa"/>
            </w:tcMar>
            <w:vAlign w:val="center"/>
          </w:tcPr>
          <w:p>
            <w:pPr>
              <w:widowControl/>
              <w:jc w:val="left"/>
              <w:textAlignment w:val="center"/>
              <w:rPr>
                <w:rFonts w:hint="eastAsia" w:ascii="宋体" w:hAnsi="宋体" w:cs="宋体" w:eastAsiaTheme="minorEastAsia"/>
                <w:sz w:val="24"/>
                <w:lang w:eastAsia="zh-CN"/>
              </w:rPr>
            </w:pPr>
            <w:r>
              <w:rPr>
                <w:rFonts w:hint="eastAsia" w:cs="宋体" w:asciiTheme="minorEastAsia" w:hAnsiTheme="minorEastAsia" w:eastAsiaTheme="minorEastAsia"/>
                <w:sz w:val="24"/>
                <w:szCs w:val="24"/>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421"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2</w:t>
            </w:r>
          </w:p>
        </w:tc>
        <w:tc>
          <w:tcPr>
            <w:tcW w:w="3827"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镇流板</w:t>
            </w:r>
          </w:p>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（型号为：Ballast TDS 55 ）</w:t>
            </w:r>
          </w:p>
        </w:tc>
        <w:tc>
          <w:tcPr>
            <w:tcW w:w="567"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10</w:t>
            </w:r>
          </w:p>
        </w:tc>
        <w:tc>
          <w:tcPr>
            <w:tcW w:w="522"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个</w:t>
            </w:r>
          </w:p>
        </w:tc>
        <w:tc>
          <w:tcPr>
            <w:tcW w:w="730" w:type="dxa"/>
          </w:tcPr>
          <w:p>
            <w:pPr>
              <w:widowControl/>
              <w:jc w:val="left"/>
              <w:textAlignment w:val="center"/>
              <w:rPr>
                <w:rFonts w:ascii="宋体" w:hAnsi="宋体" w:cs="宋体"/>
                <w:sz w:val="24"/>
              </w:rPr>
            </w:pPr>
          </w:p>
        </w:tc>
        <w:tc>
          <w:tcPr>
            <w:tcW w:w="732" w:type="dxa"/>
          </w:tcPr>
          <w:p>
            <w:pPr>
              <w:widowControl/>
              <w:jc w:val="left"/>
              <w:textAlignment w:val="center"/>
              <w:rPr>
                <w:rFonts w:ascii="宋体" w:hAnsi="宋体" w:cs="宋体"/>
                <w:sz w:val="24"/>
              </w:rPr>
            </w:pPr>
          </w:p>
        </w:tc>
        <w:tc>
          <w:tcPr>
            <w:tcW w:w="2835" w:type="dxa"/>
            <w:shd w:val="clear" w:color="auto" w:fill="auto"/>
            <w:noWrap/>
            <w:tcMar>
              <w:top w:w="15" w:type="dxa"/>
              <w:left w:w="15" w:type="dxa"/>
              <w:right w:w="15" w:type="dxa"/>
            </w:tcMar>
            <w:vAlign w:val="center"/>
          </w:tcPr>
          <w:p>
            <w:pPr>
              <w:widowControl/>
              <w:jc w:val="left"/>
              <w:textAlignment w:val="center"/>
              <w:rPr>
                <w:rFonts w:hint="eastAsia" w:ascii="宋体" w:hAnsi="宋体" w:cs="宋体" w:eastAsiaTheme="minorEastAsia"/>
                <w:sz w:val="24"/>
                <w:lang w:eastAsia="zh-CN"/>
              </w:rPr>
            </w:pPr>
            <w:r>
              <w:rPr>
                <w:rFonts w:hint="eastAsia" w:cs="宋体" w:asciiTheme="minorEastAsia" w:hAnsiTheme="minorEastAsia" w:eastAsiaTheme="minorEastAsia"/>
                <w:sz w:val="24"/>
                <w:szCs w:val="24"/>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421"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3</w:t>
            </w:r>
          </w:p>
        </w:tc>
        <w:tc>
          <w:tcPr>
            <w:tcW w:w="3827"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石英套管模块</w:t>
            </w:r>
          </w:p>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（参数为：Quartz Module 48*2*1537）</w:t>
            </w:r>
          </w:p>
        </w:tc>
        <w:tc>
          <w:tcPr>
            <w:tcW w:w="567"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10</w:t>
            </w:r>
          </w:p>
        </w:tc>
        <w:tc>
          <w:tcPr>
            <w:tcW w:w="522"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套</w:t>
            </w:r>
          </w:p>
        </w:tc>
        <w:tc>
          <w:tcPr>
            <w:tcW w:w="730" w:type="dxa"/>
          </w:tcPr>
          <w:p>
            <w:pPr>
              <w:widowControl/>
              <w:jc w:val="left"/>
              <w:textAlignment w:val="center"/>
              <w:rPr>
                <w:rFonts w:ascii="宋体" w:hAnsi="宋体" w:cs="宋体"/>
                <w:sz w:val="24"/>
              </w:rPr>
            </w:pPr>
          </w:p>
        </w:tc>
        <w:tc>
          <w:tcPr>
            <w:tcW w:w="732" w:type="dxa"/>
          </w:tcPr>
          <w:p>
            <w:pPr>
              <w:widowControl/>
              <w:jc w:val="left"/>
              <w:textAlignment w:val="center"/>
              <w:rPr>
                <w:rFonts w:ascii="宋体" w:hAnsi="宋体" w:cs="宋体"/>
                <w:sz w:val="24"/>
              </w:rPr>
            </w:pPr>
          </w:p>
        </w:tc>
        <w:tc>
          <w:tcPr>
            <w:tcW w:w="2835" w:type="dxa"/>
            <w:shd w:val="clear" w:color="auto" w:fill="auto"/>
            <w:noWrap/>
            <w:tcMar>
              <w:top w:w="15" w:type="dxa"/>
              <w:left w:w="15" w:type="dxa"/>
              <w:right w:w="15" w:type="dxa"/>
            </w:tcMar>
            <w:vAlign w:val="center"/>
          </w:tcPr>
          <w:p>
            <w:pPr>
              <w:widowControl/>
              <w:jc w:val="left"/>
              <w:textAlignment w:val="center"/>
              <w:rPr>
                <w:rFonts w:hint="eastAsia" w:ascii="宋体" w:hAnsi="宋体" w:cs="宋体" w:eastAsiaTheme="minorEastAsia"/>
                <w:sz w:val="24"/>
                <w:lang w:eastAsia="zh-CN"/>
              </w:rPr>
            </w:pPr>
            <w:r>
              <w:rPr>
                <w:rFonts w:hint="eastAsia" w:cs="宋体" w:asciiTheme="minorEastAsia" w:hAnsiTheme="minorEastAsia" w:eastAsiaTheme="minorEastAsia"/>
                <w:sz w:val="24"/>
                <w:szCs w:val="24"/>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421"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二</w:t>
            </w:r>
          </w:p>
        </w:tc>
        <w:tc>
          <w:tcPr>
            <w:tcW w:w="3827"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现有X</w:t>
            </w:r>
            <w:r>
              <w:rPr>
                <w:rFonts w:cs="宋体" w:asciiTheme="minorEastAsia" w:hAnsiTheme="minorEastAsia" w:eastAsiaTheme="minorEastAsia"/>
                <w:sz w:val="24"/>
                <w:szCs w:val="24"/>
              </w:rPr>
              <w:t xml:space="preserve">ylem </w:t>
            </w:r>
            <w:r>
              <w:rPr>
                <w:rFonts w:hint="eastAsia" w:cs="宋体" w:asciiTheme="minorEastAsia" w:hAnsiTheme="minorEastAsia" w:eastAsiaTheme="minorEastAsia"/>
                <w:sz w:val="24"/>
                <w:szCs w:val="24"/>
              </w:rPr>
              <w:t>WED</w:t>
            </w:r>
            <w:r>
              <w:rPr>
                <w:rFonts w:cs="宋体" w:asciiTheme="minorEastAsia" w:hAnsiTheme="minorEastAsia" w:eastAsiaTheme="minorEastAsia"/>
                <w:sz w:val="24"/>
                <w:szCs w:val="24"/>
              </w:rPr>
              <w:t>E</w:t>
            </w:r>
            <w:r>
              <w:rPr>
                <w:rFonts w:hint="eastAsia" w:cs="宋体" w:asciiTheme="minorEastAsia" w:hAnsiTheme="minorEastAsia" w:eastAsiaTheme="minorEastAsia"/>
                <w:sz w:val="24"/>
                <w:szCs w:val="24"/>
              </w:rPr>
              <w:t>C</w:t>
            </w:r>
            <w:r>
              <w:rPr>
                <w:rFonts w:cs="宋体" w:asciiTheme="minorEastAsia" w:hAnsiTheme="minorEastAsia" w:eastAsiaTheme="minorEastAsia"/>
                <w:sz w:val="24"/>
                <w:szCs w:val="24"/>
              </w:rPr>
              <w:t>O</w:t>
            </w:r>
          </w:p>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 xml:space="preserve">MVA162272 LBX1000e </w:t>
            </w:r>
          </w:p>
        </w:tc>
        <w:tc>
          <w:tcPr>
            <w:tcW w:w="567"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1</w:t>
            </w:r>
          </w:p>
        </w:tc>
        <w:tc>
          <w:tcPr>
            <w:tcW w:w="522"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台</w:t>
            </w:r>
          </w:p>
        </w:tc>
        <w:tc>
          <w:tcPr>
            <w:tcW w:w="1462" w:type="dxa"/>
            <w:gridSpan w:val="2"/>
            <w:vAlign w:val="center"/>
          </w:tcPr>
          <w:p>
            <w:pPr>
              <w:widowControl/>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w:t>
            </w:r>
          </w:p>
        </w:tc>
        <w:tc>
          <w:tcPr>
            <w:tcW w:w="2835" w:type="dxa"/>
            <w:shd w:val="clear" w:color="auto" w:fill="auto"/>
            <w:noWrap/>
            <w:tcMar>
              <w:top w:w="15" w:type="dxa"/>
              <w:left w:w="15" w:type="dxa"/>
              <w:right w:w="15" w:type="dxa"/>
            </w:tcMar>
            <w:vAlign w:val="center"/>
          </w:tcPr>
          <w:p>
            <w:pPr>
              <w:widowControl/>
              <w:jc w:val="left"/>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421" w:type="dxa"/>
            <w:shd w:val="clear" w:color="FFFFFF" w:fill="FFFFFF"/>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1</w:t>
            </w:r>
          </w:p>
        </w:tc>
        <w:tc>
          <w:tcPr>
            <w:tcW w:w="3827"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紫外灯管（低压高强灯管，功率：2</w:t>
            </w:r>
            <w:r>
              <w:rPr>
                <w:rFonts w:cs="宋体" w:asciiTheme="minorEastAsia" w:hAnsiTheme="minorEastAsia" w:eastAsiaTheme="minorEastAsia"/>
                <w:sz w:val="24"/>
                <w:szCs w:val="24"/>
              </w:rPr>
              <w:t>90W</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UV-C</w:t>
            </w:r>
            <w:r>
              <w:rPr>
                <w:rFonts w:hint="eastAsia" w:cs="宋体" w:asciiTheme="minorEastAsia" w:hAnsiTheme="minorEastAsia" w:eastAsiaTheme="minorEastAsia"/>
                <w:sz w:val="24"/>
                <w:szCs w:val="24"/>
              </w:rPr>
              <w:t>输出功率（</w:t>
            </w:r>
            <w:r>
              <w:rPr>
                <w:rFonts w:cs="宋体" w:asciiTheme="minorEastAsia" w:hAnsiTheme="minorEastAsia" w:eastAsiaTheme="minorEastAsia"/>
                <w:sz w:val="24"/>
                <w:szCs w:val="24"/>
              </w:rPr>
              <w:t>254nm</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104W</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UV-C</w:t>
            </w:r>
            <w:r>
              <w:rPr>
                <w:rFonts w:hint="eastAsia" w:cs="宋体" w:asciiTheme="minorEastAsia" w:hAnsiTheme="minorEastAsia" w:eastAsiaTheme="minorEastAsia"/>
                <w:sz w:val="24"/>
                <w:szCs w:val="24"/>
              </w:rPr>
              <w:t>输出调节范围：</w:t>
            </w:r>
            <w:r>
              <w:rPr>
                <w:rFonts w:cs="宋体" w:asciiTheme="minorEastAsia" w:hAnsiTheme="minorEastAsia" w:eastAsiaTheme="minorEastAsia"/>
                <w:sz w:val="24"/>
                <w:szCs w:val="24"/>
              </w:rPr>
              <w:t>50%-100%</w:t>
            </w:r>
            <w:r>
              <w:rPr>
                <w:rFonts w:hint="eastAsia" w:cs="宋体" w:asciiTheme="minorEastAsia" w:hAnsiTheme="minorEastAsia" w:eastAsiaTheme="minorEastAsia"/>
                <w:sz w:val="24"/>
                <w:szCs w:val="24"/>
              </w:rPr>
              <w:t>）</w:t>
            </w:r>
          </w:p>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（型号为：6103408 WEDECO</w:t>
            </w:r>
          </w:p>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ECORAY UV-Lamp ECORAY ELR30-1）</w:t>
            </w:r>
          </w:p>
        </w:tc>
        <w:tc>
          <w:tcPr>
            <w:tcW w:w="567" w:type="dxa"/>
            <w:shd w:val="clear" w:color="FFFFFF" w:fill="FFFFFF"/>
            <w:tcMar>
              <w:top w:w="15" w:type="dxa"/>
              <w:left w:w="15" w:type="dxa"/>
              <w:right w:w="15" w:type="dxa"/>
            </w:tcMar>
            <w:vAlign w:val="center"/>
          </w:tcPr>
          <w:p>
            <w:pPr>
              <w:jc w:val="center"/>
              <w:rPr>
                <w:rFonts w:ascii="宋体" w:hAnsi="宋体" w:cs="宋体"/>
                <w:sz w:val="24"/>
              </w:rPr>
            </w:pPr>
            <w:r>
              <w:rPr>
                <w:rFonts w:hint="eastAsia" w:cs="宋体" w:asciiTheme="minorEastAsia" w:hAnsiTheme="minorEastAsia" w:eastAsiaTheme="minorEastAsia"/>
                <w:sz w:val="24"/>
                <w:szCs w:val="24"/>
              </w:rPr>
              <w:t>40</w:t>
            </w:r>
          </w:p>
        </w:tc>
        <w:tc>
          <w:tcPr>
            <w:tcW w:w="522" w:type="dxa"/>
            <w:shd w:val="clear" w:color="FFFFFF" w:fill="FFFFFF"/>
            <w:tcMar>
              <w:top w:w="15" w:type="dxa"/>
              <w:left w:w="15" w:type="dxa"/>
              <w:right w:w="15" w:type="dxa"/>
            </w:tcMar>
            <w:vAlign w:val="center"/>
          </w:tcPr>
          <w:p>
            <w:pPr>
              <w:jc w:val="center"/>
              <w:rPr>
                <w:rFonts w:ascii="宋体" w:hAnsi="宋体" w:cs="宋体"/>
                <w:sz w:val="24"/>
              </w:rPr>
            </w:pPr>
            <w:r>
              <w:rPr>
                <w:rFonts w:hint="eastAsia" w:cs="宋体" w:asciiTheme="minorEastAsia" w:hAnsiTheme="minorEastAsia" w:eastAsiaTheme="minorEastAsia"/>
                <w:sz w:val="24"/>
                <w:szCs w:val="24"/>
              </w:rPr>
              <w:t>根</w:t>
            </w:r>
          </w:p>
        </w:tc>
        <w:tc>
          <w:tcPr>
            <w:tcW w:w="730" w:type="dxa"/>
          </w:tcPr>
          <w:p>
            <w:pPr>
              <w:jc w:val="right"/>
              <w:rPr>
                <w:rFonts w:ascii="宋体" w:hAnsi="宋体" w:cs="宋体"/>
                <w:sz w:val="24"/>
              </w:rPr>
            </w:pPr>
          </w:p>
        </w:tc>
        <w:tc>
          <w:tcPr>
            <w:tcW w:w="732" w:type="dxa"/>
          </w:tcPr>
          <w:p>
            <w:pPr>
              <w:jc w:val="right"/>
              <w:rPr>
                <w:rFonts w:ascii="宋体" w:hAnsi="宋体" w:cs="宋体"/>
                <w:sz w:val="24"/>
              </w:rPr>
            </w:pPr>
          </w:p>
        </w:tc>
        <w:tc>
          <w:tcPr>
            <w:tcW w:w="2835" w:type="dxa"/>
            <w:shd w:val="clear" w:color="auto" w:fill="auto"/>
            <w:noWrap/>
            <w:tcMar>
              <w:top w:w="15" w:type="dxa"/>
              <w:left w:w="15" w:type="dxa"/>
              <w:right w:w="15" w:type="dxa"/>
            </w:tcMar>
            <w:vAlign w:val="center"/>
          </w:tcPr>
          <w:p>
            <w:pPr>
              <w:widowControl/>
              <w:jc w:val="left"/>
              <w:textAlignment w:val="center"/>
              <w:rPr>
                <w:rFonts w:hint="eastAsia" w:ascii="宋体" w:hAnsi="宋体" w:cs="宋体" w:eastAsiaTheme="minorEastAsia"/>
                <w:sz w:val="24"/>
                <w:lang w:eastAsia="zh-CN"/>
              </w:rPr>
            </w:pPr>
            <w:r>
              <w:rPr>
                <w:rFonts w:hint="eastAsia" w:cs="宋体" w:asciiTheme="minorEastAsia" w:hAnsiTheme="minorEastAsia" w:eastAsiaTheme="minorEastAsia"/>
                <w:sz w:val="24"/>
                <w:szCs w:val="24"/>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7" w:hRule="atLeast"/>
          <w:jc w:val="center"/>
        </w:trPr>
        <w:tc>
          <w:tcPr>
            <w:tcW w:w="421"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2</w:t>
            </w:r>
          </w:p>
        </w:tc>
        <w:tc>
          <w:tcPr>
            <w:tcW w:w="3827"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镇流板</w:t>
            </w:r>
          </w:p>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（型号为：Ballast ECORAY TDS 30 C1 dual）</w:t>
            </w:r>
          </w:p>
        </w:tc>
        <w:tc>
          <w:tcPr>
            <w:tcW w:w="567"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5</w:t>
            </w:r>
          </w:p>
        </w:tc>
        <w:tc>
          <w:tcPr>
            <w:tcW w:w="522"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个</w:t>
            </w:r>
          </w:p>
        </w:tc>
        <w:tc>
          <w:tcPr>
            <w:tcW w:w="730" w:type="dxa"/>
            <w:shd w:val="clear" w:color="FFFFFF" w:fill="FFFFFF"/>
          </w:tcPr>
          <w:p>
            <w:pPr>
              <w:widowControl/>
              <w:jc w:val="left"/>
              <w:textAlignment w:val="center"/>
              <w:rPr>
                <w:rFonts w:ascii="宋体" w:hAnsi="宋体" w:cs="宋体"/>
                <w:sz w:val="24"/>
              </w:rPr>
            </w:pPr>
          </w:p>
        </w:tc>
        <w:tc>
          <w:tcPr>
            <w:tcW w:w="732" w:type="dxa"/>
            <w:shd w:val="clear" w:color="FFFFFF" w:fill="FFFFFF"/>
          </w:tcPr>
          <w:p>
            <w:pPr>
              <w:widowControl/>
              <w:jc w:val="left"/>
              <w:textAlignment w:val="center"/>
              <w:rPr>
                <w:rFonts w:ascii="宋体" w:hAnsi="宋体" w:cs="宋体"/>
                <w:sz w:val="24"/>
              </w:rPr>
            </w:pPr>
          </w:p>
        </w:tc>
        <w:tc>
          <w:tcPr>
            <w:tcW w:w="2835" w:type="dxa"/>
            <w:shd w:val="clear" w:color="FFFFFF" w:fill="FFFFFF"/>
            <w:noWrap/>
            <w:tcMar>
              <w:top w:w="15" w:type="dxa"/>
              <w:left w:w="15" w:type="dxa"/>
              <w:right w:w="15" w:type="dxa"/>
            </w:tcMar>
            <w:vAlign w:val="center"/>
          </w:tcPr>
          <w:p>
            <w:pPr>
              <w:widowControl/>
              <w:jc w:val="left"/>
              <w:textAlignment w:val="center"/>
              <w:rPr>
                <w:rFonts w:hint="eastAsia" w:ascii="宋体" w:hAnsi="宋体" w:cs="宋体" w:eastAsiaTheme="minorEastAsia"/>
                <w:sz w:val="24"/>
                <w:lang w:eastAsia="zh-CN"/>
              </w:rPr>
            </w:pPr>
            <w:r>
              <w:rPr>
                <w:rFonts w:hint="eastAsia" w:cs="宋体" w:asciiTheme="minorEastAsia" w:hAnsiTheme="minorEastAsia" w:eastAsiaTheme="minorEastAsia"/>
                <w:sz w:val="24"/>
                <w:szCs w:val="24"/>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421"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3</w:t>
            </w:r>
          </w:p>
        </w:tc>
        <w:tc>
          <w:tcPr>
            <w:tcW w:w="3827" w:type="dxa"/>
            <w:shd w:val="clear" w:color="FFFFFF" w:fill="FFFFFF"/>
            <w:tcMar>
              <w:top w:w="15" w:type="dxa"/>
              <w:left w:w="15" w:type="dxa"/>
              <w:right w:w="15" w:type="dxa"/>
            </w:tcMar>
            <w:vAlign w:val="center"/>
          </w:tcPr>
          <w:p>
            <w:pPr>
              <w:widowControl/>
              <w:jc w:val="lef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石英套管模块</w:t>
            </w:r>
          </w:p>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（参数为：Quartz Module 48*2*1537 ）</w:t>
            </w:r>
          </w:p>
        </w:tc>
        <w:tc>
          <w:tcPr>
            <w:tcW w:w="567"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5</w:t>
            </w:r>
          </w:p>
        </w:tc>
        <w:tc>
          <w:tcPr>
            <w:tcW w:w="522"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个</w:t>
            </w:r>
          </w:p>
        </w:tc>
        <w:tc>
          <w:tcPr>
            <w:tcW w:w="730" w:type="dxa"/>
            <w:shd w:val="clear" w:color="FFFFFF" w:fill="FFFFFF"/>
          </w:tcPr>
          <w:p>
            <w:pPr>
              <w:widowControl/>
              <w:jc w:val="right"/>
              <w:textAlignment w:val="center"/>
              <w:rPr>
                <w:rFonts w:ascii="宋体" w:hAnsi="宋体" w:cs="宋体"/>
                <w:sz w:val="24"/>
              </w:rPr>
            </w:pPr>
          </w:p>
        </w:tc>
        <w:tc>
          <w:tcPr>
            <w:tcW w:w="732" w:type="dxa"/>
            <w:shd w:val="clear" w:color="FFFFFF" w:fill="FFFFFF"/>
          </w:tcPr>
          <w:p>
            <w:pPr>
              <w:widowControl/>
              <w:jc w:val="right"/>
              <w:textAlignment w:val="center"/>
              <w:rPr>
                <w:rFonts w:ascii="宋体" w:hAnsi="宋体" w:cs="宋体"/>
                <w:sz w:val="24"/>
              </w:rPr>
            </w:pPr>
          </w:p>
        </w:tc>
        <w:tc>
          <w:tcPr>
            <w:tcW w:w="2835" w:type="dxa"/>
            <w:shd w:val="clear" w:color="FFFFFF" w:fill="FFFFFF"/>
            <w:noWrap/>
            <w:tcMar>
              <w:top w:w="15" w:type="dxa"/>
              <w:left w:w="15" w:type="dxa"/>
              <w:right w:w="15" w:type="dxa"/>
            </w:tcMar>
            <w:vAlign w:val="center"/>
          </w:tcPr>
          <w:p>
            <w:pPr>
              <w:widowControl/>
              <w:jc w:val="left"/>
              <w:textAlignment w:val="center"/>
              <w:rPr>
                <w:rFonts w:hint="eastAsia" w:ascii="宋体" w:hAnsi="宋体" w:cs="宋体" w:eastAsiaTheme="minorEastAsia"/>
                <w:sz w:val="24"/>
                <w:lang w:eastAsia="zh-CN"/>
              </w:rPr>
            </w:pPr>
            <w:r>
              <w:rPr>
                <w:rFonts w:hint="eastAsia" w:cs="宋体" w:asciiTheme="minorEastAsia" w:hAnsiTheme="minorEastAsia" w:eastAsiaTheme="minorEastAsia"/>
                <w:sz w:val="24"/>
                <w:szCs w:val="24"/>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421"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4</w:t>
            </w:r>
          </w:p>
        </w:tc>
        <w:tc>
          <w:tcPr>
            <w:tcW w:w="3827" w:type="dxa"/>
            <w:shd w:val="clear" w:color="FFFFFF" w:fill="FFFFFF"/>
            <w:tcMar>
              <w:top w:w="15" w:type="dxa"/>
              <w:left w:w="15" w:type="dxa"/>
              <w:right w:w="15" w:type="dxa"/>
            </w:tcMar>
            <w:vAlign w:val="center"/>
          </w:tcPr>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 xml:space="preserve">灯头 </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参数为：</w:t>
            </w:r>
            <w:r>
              <w:rPr>
                <w:rFonts w:cs="宋体" w:asciiTheme="minorEastAsia" w:hAnsiTheme="minorEastAsia" w:eastAsiaTheme="minorEastAsia"/>
                <w:sz w:val="24"/>
                <w:szCs w:val="24"/>
              </w:rPr>
              <w:t>PIN 10)</w:t>
            </w:r>
          </w:p>
        </w:tc>
        <w:tc>
          <w:tcPr>
            <w:tcW w:w="567"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10</w:t>
            </w:r>
          </w:p>
        </w:tc>
        <w:tc>
          <w:tcPr>
            <w:tcW w:w="522"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个</w:t>
            </w:r>
          </w:p>
        </w:tc>
        <w:tc>
          <w:tcPr>
            <w:tcW w:w="730" w:type="dxa"/>
            <w:shd w:val="clear" w:color="FFFFFF" w:fill="FFFFFF"/>
          </w:tcPr>
          <w:p>
            <w:pPr>
              <w:widowControl/>
              <w:jc w:val="right"/>
              <w:textAlignment w:val="center"/>
              <w:rPr>
                <w:rFonts w:ascii="宋体" w:hAnsi="宋体" w:cs="宋体"/>
                <w:sz w:val="24"/>
              </w:rPr>
            </w:pPr>
          </w:p>
        </w:tc>
        <w:tc>
          <w:tcPr>
            <w:tcW w:w="732" w:type="dxa"/>
            <w:shd w:val="clear" w:color="FFFFFF" w:fill="FFFFFF"/>
          </w:tcPr>
          <w:p>
            <w:pPr>
              <w:widowControl/>
              <w:jc w:val="right"/>
              <w:textAlignment w:val="center"/>
              <w:rPr>
                <w:rFonts w:ascii="宋体" w:hAnsi="宋体" w:cs="宋体"/>
                <w:sz w:val="24"/>
              </w:rPr>
            </w:pPr>
          </w:p>
        </w:tc>
        <w:tc>
          <w:tcPr>
            <w:tcW w:w="2835" w:type="dxa"/>
            <w:shd w:val="clear" w:color="FFFFFF" w:fill="FFFFFF"/>
            <w:noWrap/>
            <w:tcMar>
              <w:top w:w="15" w:type="dxa"/>
              <w:left w:w="15" w:type="dxa"/>
              <w:right w:w="15" w:type="dxa"/>
            </w:tcMar>
            <w:vAlign w:val="center"/>
          </w:tcPr>
          <w:p>
            <w:pPr>
              <w:widowControl/>
              <w:jc w:val="left"/>
              <w:textAlignment w:val="center"/>
              <w:rPr>
                <w:rFonts w:hint="eastAsia" w:ascii="宋体" w:hAnsi="宋体" w:cs="宋体" w:eastAsiaTheme="minorEastAsia"/>
                <w:sz w:val="24"/>
                <w:lang w:eastAsia="zh-CN"/>
              </w:rPr>
            </w:pPr>
            <w:r>
              <w:rPr>
                <w:rFonts w:hint="eastAsia" w:cs="宋体" w:asciiTheme="minorEastAsia" w:hAnsiTheme="minorEastAsia" w:eastAsiaTheme="minorEastAsia"/>
                <w:sz w:val="24"/>
                <w:szCs w:val="24"/>
                <w:lang w:eastAsia="zh-CN"/>
              </w:rPr>
              <w:t>与原厂产品相匹配且满足技术要求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421"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三</w:t>
            </w:r>
          </w:p>
        </w:tc>
        <w:tc>
          <w:tcPr>
            <w:tcW w:w="3827" w:type="dxa"/>
            <w:shd w:val="clear" w:color="FFFFFF" w:fill="FFFFFF"/>
            <w:tcMar>
              <w:top w:w="15" w:type="dxa"/>
              <w:left w:w="15" w:type="dxa"/>
              <w:right w:w="15" w:type="dxa"/>
            </w:tcMar>
            <w:vAlign w:val="center"/>
          </w:tcPr>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上述现有X</w:t>
            </w:r>
            <w:r>
              <w:rPr>
                <w:rFonts w:cs="宋体" w:asciiTheme="minorEastAsia" w:hAnsiTheme="minorEastAsia" w:eastAsiaTheme="minorEastAsia"/>
                <w:sz w:val="24"/>
                <w:szCs w:val="24"/>
              </w:rPr>
              <w:t xml:space="preserve">ylem </w:t>
            </w:r>
            <w:r>
              <w:rPr>
                <w:rFonts w:hint="eastAsia" w:cs="宋体" w:asciiTheme="minorEastAsia" w:hAnsiTheme="minorEastAsia" w:eastAsiaTheme="minorEastAsia"/>
                <w:sz w:val="24"/>
                <w:szCs w:val="24"/>
              </w:rPr>
              <w:t>WED</w:t>
            </w:r>
            <w:r>
              <w:rPr>
                <w:rFonts w:cs="宋体" w:asciiTheme="minorEastAsia" w:hAnsiTheme="minorEastAsia" w:eastAsiaTheme="minorEastAsia"/>
                <w:sz w:val="24"/>
                <w:szCs w:val="24"/>
              </w:rPr>
              <w:t>E</w:t>
            </w:r>
            <w:r>
              <w:rPr>
                <w:rFonts w:hint="eastAsia" w:cs="宋体" w:asciiTheme="minorEastAsia" w:hAnsiTheme="minorEastAsia" w:eastAsiaTheme="minorEastAsia"/>
                <w:sz w:val="24"/>
                <w:szCs w:val="24"/>
              </w:rPr>
              <w:t>C</w:t>
            </w:r>
            <w:r>
              <w:rPr>
                <w:rFonts w:cs="宋体" w:asciiTheme="minorEastAsia" w:hAnsiTheme="minorEastAsia" w:eastAsiaTheme="minorEastAsia"/>
                <w:sz w:val="24"/>
                <w:szCs w:val="24"/>
              </w:rPr>
              <w:t>O</w:t>
            </w:r>
            <w:r>
              <w:rPr>
                <w:rFonts w:hint="eastAsia" w:cs="宋体" w:asciiTheme="minorEastAsia" w:hAnsiTheme="minorEastAsia" w:eastAsiaTheme="minorEastAsia"/>
                <w:sz w:val="24"/>
                <w:szCs w:val="24"/>
              </w:rPr>
              <w:t>紫外消毒装置</w:t>
            </w:r>
          </w:p>
        </w:tc>
        <w:tc>
          <w:tcPr>
            <w:tcW w:w="567"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5</w:t>
            </w:r>
          </w:p>
        </w:tc>
        <w:tc>
          <w:tcPr>
            <w:tcW w:w="522"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台</w:t>
            </w:r>
          </w:p>
        </w:tc>
        <w:tc>
          <w:tcPr>
            <w:tcW w:w="1462" w:type="dxa"/>
            <w:gridSpan w:val="2"/>
            <w:shd w:val="clear" w:color="FFFFFF" w:fill="FFFFFF"/>
            <w:vAlign w:val="center"/>
          </w:tcPr>
          <w:p>
            <w:pPr>
              <w:widowControl/>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w:t>
            </w:r>
          </w:p>
        </w:tc>
        <w:tc>
          <w:tcPr>
            <w:tcW w:w="2835" w:type="dxa"/>
            <w:shd w:val="clear" w:color="FFFFFF" w:fill="FFFFFF"/>
            <w:noWrap/>
            <w:tcMar>
              <w:top w:w="15" w:type="dxa"/>
              <w:left w:w="15" w:type="dxa"/>
              <w:right w:w="15" w:type="dxa"/>
            </w:tcMar>
            <w:vAlign w:val="center"/>
          </w:tcPr>
          <w:p>
            <w:pPr>
              <w:widowControl/>
              <w:jc w:val="right"/>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421"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cs="宋体" w:asciiTheme="minorEastAsia" w:hAnsiTheme="minorEastAsia" w:eastAsiaTheme="minorEastAsia"/>
                <w:sz w:val="24"/>
                <w:szCs w:val="24"/>
              </w:rPr>
              <w:t>1</w:t>
            </w:r>
          </w:p>
        </w:tc>
        <w:tc>
          <w:tcPr>
            <w:tcW w:w="3827" w:type="dxa"/>
            <w:shd w:val="clear" w:color="FFFFFF" w:fill="FFFFFF"/>
            <w:tcMar>
              <w:top w:w="15" w:type="dxa"/>
              <w:left w:w="15" w:type="dxa"/>
              <w:right w:w="15" w:type="dxa"/>
            </w:tcMar>
            <w:vAlign w:val="center"/>
          </w:tcPr>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现场安装服务费</w:t>
            </w:r>
          </w:p>
        </w:tc>
        <w:tc>
          <w:tcPr>
            <w:tcW w:w="567"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1</w:t>
            </w:r>
          </w:p>
        </w:tc>
        <w:tc>
          <w:tcPr>
            <w:tcW w:w="522"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项</w:t>
            </w:r>
          </w:p>
        </w:tc>
        <w:tc>
          <w:tcPr>
            <w:tcW w:w="730" w:type="dxa"/>
            <w:shd w:val="clear" w:color="FFFFFF" w:fill="FFFFFF"/>
          </w:tcPr>
          <w:p>
            <w:pPr>
              <w:widowControl/>
              <w:jc w:val="right"/>
              <w:textAlignment w:val="center"/>
              <w:rPr>
                <w:rFonts w:ascii="宋体" w:hAnsi="宋体" w:cs="宋体"/>
                <w:sz w:val="24"/>
              </w:rPr>
            </w:pPr>
          </w:p>
        </w:tc>
        <w:tc>
          <w:tcPr>
            <w:tcW w:w="732" w:type="dxa"/>
            <w:shd w:val="clear" w:color="FFFFFF" w:fill="FFFFFF"/>
          </w:tcPr>
          <w:p>
            <w:pPr>
              <w:widowControl/>
              <w:jc w:val="right"/>
              <w:textAlignment w:val="center"/>
              <w:rPr>
                <w:rFonts w:ascii="宋体" w:hAnsi="宋体" w:cs="宋体"/>
                <w:sz w:val="24"/>
              </w:rPr>
            </w:pPr>
          </w:p>
        </w:tc>
        <w:tc>
          <w:tcPr>
            <w:tcW w:w="2835" w:type="dxa"/>
            <w:shd w:val="clear" w:color="FFFFFF" w:fill="FFFFFF"/>
            <w:noWrap/>
            <w:tcMar>
              <w:top w:w="15" w:type="dxa"/>
              <w:left w:w="15" w:type="dxa"/>
              <w:right w:w="15" w:type="dxa"/>
            </w:tcMar>
            <w:vAlign w:val="center"/>
          </w:tcPr>
          <w:p>
            <w:pPr>
              <w:widowControl/>
              <w:jc w:val="right"/>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jc w:val="center"/>
        </w:trPr>
        <w:tc>
          <w:tcPr>
            <w:tcW w:w="421"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cs="宋体" w:asciiTheme="minorEastAsia" w:hAnsiTheme="minorEastAsia" w:eastAsiaTheme="minorEastAsia"/>
                <w:sz w:val="24"/>
                <w:szCs w:val="24"/>
              </w:rPr>
              <w:t>2</w:t>
            </w:r>
          </w:p>
        </w:tc>
        <w:tc>
          <w:tcPr>
            <w:tcW w:w="3827" w:type="dxa"/>
            <w:shd w:val="clear" w:color="FFFFFF" w:fill="FFFFFF"/>
            <w:tcMar>
              <w:top w:w="15" w:type="dxa"/>
              <w:left w:w="15" w:type="dxa"/>
              <w:right w:w="15" w:type="dxa"/>
            </w:tcMar>
            <w:vAlign w:val="center"/>
          </w:tcPr>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现场所有危险废料处理处置</w:t>
            </w:r>
          </w:p>
        </w:tc>
        <w:tc>
          <w:tcPr>
            <w:tcW w:w="567"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1</w:t>
            </w:r>
          </w:p>
        </w:tc>
        <w:tc>
          <w:tcPr>
            <w:tcW w:w="522" w:type="dxa"/>
            <w:shd w:val="clear" w:color="FFFFFF" w:fill="FFFFFF"/>
            <w:noWrap/>
            <w:tcMar>
              <w:top w:w="15" w:type="dxa"/>
              <w:left w:w="15" w:type="dxa"/>
              <w:right w:w="15" w:type="dxa"/>
            </w:tcMar>
            <w:vAlign w:val="center"/>
          </w:tcPr>
          <w:p>
            <w:pPr>
              <w:widowControl/>
              <w:jc w:val="center"/>
              <w:textAlignment w:val="center"/>
              <w:rPr>
                <w:rFonts w:ascii="宋体" w:hAnsi="宋体" w:cs="宋体"/>
                <w:sz w:val="24"/>
              </w:rPr>
            </w:pPr>
            <w:r>
              <w:rPr>
                <w:rFonts w:hint="eastAsia" w:cs="宋体" w:asciiTheme="minorEastAsia" w:hAnsiTheme="minorEastAsia" w:eastAsiaTheme="minorEastAsia"/>
                <w:sz w:val="24"/>
                <w:szCs w:val="24"/>
              </w:rPr>
              <w:t>项</w:t>
            </w:r>
          </w:p>
        </w:tc>
        <w:tc>
          <w:tcPr>
            <w:tcW w:w="730" w:type="dxa"/>
            <w:shd w:val="clear" w:color="FFFFFF" w:fill="FFFFFF"/>
          </w:tcPr>
          <w:p>
            <w:pPr>
              <w:widowControl/>
              <w:jc w:val="right"/>
              <w:textAlignment w:val="center"/>
              <w:rPr>
                <w:rFonts w:ascii="宋体" w:hAnsi="宋体" w:cs="宋体"/>
                <w:sz w:val="24"/>
              </w:rPr>
            </w:pPr>
          </w:p>
        </w:tc>
        <w:tc>
          <w:tcPr>
            <w:tcW w:w="732" w:type="dxa"/>
            <w:shd w:val="clear" w:color="FFFFFF" w:fill="FFFFFF"/>
          </w:tcPr>
          <w:p>
            <w:pPr>
              <w:widowControl/>
              <w:jc w:val="left"/>
              <w:textAlignment w:val="center"/>
              <w:rPr>
                <w:rFonts w:ascii="宋体" w:hAnsi="宋体" w:cs="宋体"/>
                <w:sz w:val="24"/>
              </w:rPr>
            </w:pPr>
          </w:p>
        </w:tc>
        <w:tc>
          <w:tcPr>
            <w:tcW w:w="2835" w:type="dxa"/>
            <w:shd w:val="clear" w:color="FFFFFF" w:fill="FFFFFF"/>
            <w:noWrap/>
            <w:tcMar>
              <w:top w:w="15" w:type="dxa"/>
              <w:left w:w="15" w:type="dxa"/>
              <w:right w:w="15" w:type="dxa"/>
            </w:tcMar>
            <w:vAlign w:val="center"/>
          </w:tcPr>
          <w:p>
            <w:pPr>
              <w:widowControl/>
              <w:jc w:val="left"/>
              <w:textAlignment w:val="center"/>
              <w:rPr>
                <w:rFonts w:ascii="宋体" w:hAnsi="宋体" w:cs="宋体"/>
                <w:sz w:val="24"/>
              </w:rPr>
            </w:pPr>
            <w:r>
              <w:rPr>
                <w:rFonts w:hint="eastAsia" w:cs="宋体" w:asciiTheme="minorEastAsia" w:hAnsiTheme="minorEastAsia" w:eastAsiaTheme="minorEastAsia"/>
                <w:sz w:val="24"/>
                <w:szCs w:val="24"/>
              </w:rPr>
              <w:t>严格按照相关法规进行处理处置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421" w:type="dxa"/>
            <w:shd w:val="clear" w:color="FFFFFF" w:fill="FFFFFF"/>
            <w:noWrap/>
            <w:tcMar>
              <w:top w:w="15" w:type="dxa"/>
              <w:left w:w="15" w:type="dxa"/>
              <w:right w:w="15" w:type="dxa"/>
            </w:tcMar>
            <w:vAlign w:val="center"/>
          </w:tcPr>
          <w:p>
            <w:pPr>
              <w:widowControl/>
              <w:jc w:val="center"/>
              <w:textAlignment w:val="center"/>
              <w:rPr>
                <w:rFonts w:cs="宋体" w:asciiTheme="minorEastAsia" w:hAnsiTheme="minorEastAsia" w:eastAsiaTheme="minorEastAsia"/>
                <w:sz w:val="24"/>
                <w:szCs w:val="24"/>
              </w:rPr>
            </w:pPr>
          </w:p>
        </w:tc>
        <w:tc>
          <w:tcPr>
            <w:tcW w:w="9213" w:type="dxa"/>
            <w:gridSpan w:val="6"/>
            <w:shd w:val="clear" w:color="FFFFFF" w:fill="FFFFFF"/>
            <w:tcMar>
              <w:top w:w="15" w:type="dxa"/>
              <w:left w:w="15" w:type="dxa"/>
              <w:right w:w="15" w:type="dxa"/>
            </w:tcMar>
            <w:vAlign w:val="center"/>
          </w:tcPr>
          <w:p>
            <w:pPr>
              <w:widowControl/>
              <w:ind w:firstLine="2160" w:firstLineChars="900"/>
              <w:jc w:val="left"/>
              <w:textAlignment w:val="center"/>
              <w:rPr>
                <w:rFonts w:hint="eastAsia" w:cs="宋体" w:asciiTheme="minorEastAsia" w:hAnsiTheme="minorEastAsia" w:eastAsiaTheme="minorEastAsia"/>
                <w:sz w:val="24"/>
                <w:szCs w:val="24"/>
              </w:rPr>
            </w:pPr>
            <w:r>
              <w:rPr>
                <w:rFonts w:hint="eastAsia" w:ascii="宋体" w:hAnsi="宋体" w:cs="宋体"/>
                <w:sz w:val="24"/>
                <w:szCs w:val="24"/>
                <w:highlight w:val="none"/>
                <w:lang w:val="en-US" w:eastAsia="zh-CN"/>
              </w:rPr>
              <w:t>总价（含税   %）：</w:t>
            </w:r>
          </w:p>
        </w:tc>
      </w:tr>
      <w:bookmarkEnd w:id="32"/>
    </w:tbl>
    <w:p>
      <w:pPr>
        <w:ind w:firstLine="0"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报价单位名称（盖单位公章）：</w:t>
      </w:r>
    </w:p>
    <w:p>
      <w:pPr>
        <w:pStyle w:val="28"/>
        <w:ind w:firstLine="280" w:firstLineChars="100"/>
      </w:pPr>
      <w:r>
        <w:rPr>
          <w:rFonts w:hint="eastAsia" w:ascii="仿宋_GB2312" w:hAnsi="仿宋_GB2312" w:cs="仿宋_GB2312"/>
          <w:sz w:val="28"/>
          <w:szCs w:val="28"/>
        </w:rPr>
        <w:t>日期：</w:t>
      </w:r>
      <w:bookmarkEnd w:id="0"/>
    </w:p>
    <w:sectPr>
      <w:headerReference r:id="rId8" w:type="default"/>
      <w:footerReference r:id="rId9"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roman"/>
    <w:pitch w:val="default"/>
    <w:sig w:usb0="00000000" w:usb1="00000000" w:usb2="00000030" w:usb3="00000000" w:csb0="000800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separate"/>
    </w:r>
    <w:r>
      <w:rPr>
        <w:rStyle w:val="25"/>
      </w:rPr>
      <w:t>23</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B04810"/>
    <w:multiLevelType w:val="singleLevel"/>
    <w:tmpl w:val="97B04810"/>
    <w:lvl w:ilvl="0" w:tentative="0">
      <w:start w:val="7"/>
      <w:numFmt w:val="chineseCounting"/>
      <w:suff w:val="nothing"/>
      <w:lvlText w:val="%1、"/>
      <w:lvlJc w:val="left"/>
      <w:rPr>
        <w:rFonts w:hint="eastAsia"/>
      </w:rPr>
    </w:lvl>
  </w:abstractNum>
  <w:abstractNum w:abstractNumId="1">
    <w:nsid w:val="CA6F9285"/>
    <w:multiLevelType w:val="singleLevel"/>
    <w:tmpl w:val="CA6F9285"/>
    <w:lvl w:ilvl="0" w:tentative="0">
      <w:start w:val="3"/>
      <w:numFmt w:val="chineseCounting"/>
      <w:suff w:val="space"/>
      <w:lvlText w:val="第%1部分"/>
      <w:lvlJc w:val="left"/>
      <w:rPr>
        <w:rFonts w:hint="eastAsia"/>
      </w:r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107E"/>
    <w:rsid w:val="00041B68"/>
    <w:rsid w:val="00051F9F"/>
    <w:rsid w:val="00052162"/>
    <w:rsid w:val="00054907"/>
    <w:rsid w:val="00082A87"/>
    <w:rsid w:val="00095C1E"/>
    <w:rsid w:val="000A42D6"/>
    <w:rsid w:val="000A56EB"/>
    <w:rsid w:val="000B4B67"/>
    <w:rsid w:val="000C2DD9"/>
    <w:rsid w:val="000D07B7"/>
    <w:rsid w:val="000E09D0"/>
    <w:rsid w:val="000E18AB"/>
    <w:rsid w:val="000E6312"/>
    <w:rsid w:val="000F0B31"/>
    <w:rsid w:val="000F63A3"/>
    <w:rsid w:val="001033F4"/>
    <w:rsid w:val="00113C90"/>
    <w:rsid w:val="00113EA9"/>
    <w:rsid w:val="00116C80"/>
    <w:rsid w:val="001204BB"/>
    <w:rsid w:val="0013339B"/>
    <w:rsid w:val="001511A8"/>
    <w:rsid w:val="001573AC"/>
    <w:rsid w:val="00163C2E"/>
    <w:rsid w:val="00170CCC"/>
    <w:rsid w:val="00170F56"/>
    <w:rsid w:val="00171465"/>
    <w:rsid w:val="00172A27"/>
    <w:rsid w:val="00183889"/>
    <w:rsid w:val="00185129"/>
    <w:rsid w:val="001A1D88"/>
    <w:rsid w:val="001A4904"/>
    <w:rsid w:val="001A72A4"/>
    <w:rsid w:val="001A79C5"/>
    <w:rsid w:val="001D0ABE"/>
    <w:rsid w:val="001E4679"/>
    <w:rsid w:val="00213AE2"/>
    <w:rsid w:val="00213C4F"/>
    <w:rsid w:val="0021418D"/>
    <w:rsid w:val="00220D02"/>
    <w:rsid w:val="00224273"/>
    <w:rsid w:val="00226167"/>
    <w:rsid w:val="002274D1"/>
    <w:rsid w:val="00231F12"/>
    <w:rsid w:val="00232FCA"/>
    <w:rsid w:val="00236CE0"/>
    <w:rsid w:val="00242CE2"/>
    <w:rsid w:val="00253EAD"/>
    <w:rsid w:val="00255FE1"/>
    <w:rsid w:val="00262E59"/>
    <w:rsid w:val="00265091"/>
    <w:rsid w:val="00267F9B"/>
    <w:rsid w:val="0027091C"/>
    <w:rsid w:val="00272765"/>
    <w:rsid w:val="0028182E"/>
    <w:rsid w:val="00283D77"/>
    <w:rsid w:val="00283E67"/>
    <w:rsid w:val="002B098E"/>
    <w:rsid w:val="002B2D37"/>
    <w:rsid w:val="002B5A58"/>
    <w:rsid w:val="002D112B"/>
    <w:rsid w:val="002D23CD"/>
    <w:rsid w:val="002E4DF7"/>
    <w:rsid w:val="002E676D"/>
    <w:rsid w:val="00300061"/>
    <w:rsid w:val="00300953"/>
    <w:rsid w:val="00306EDD"/>
    <w:rsid w:val="0033207F"/>
    <w:rsid w:val="00336C52"/>
    <w:rsid w:val="003425D4"/>
    <w:rsid w:val="00343245"/>
    <w:rsid w:val="003434F2"/>
    <w:rsid w:val="00343A3A"/>
    <w:rsid w:val="003641AF"/>
    <w:rsid w:val="003717E8"/>
    <w:rsid w:val="00371D56"/>
    <w:rsid w:val="003747B6"/>
    <w:rsid w:val="00376700"/>
    <w:rsid w:val="003767EA"/>
    <w:rsid w:val="00385A20"/>
    <w:rsid w:val="00385CD3"/>
    <w:rsid w:val="00391EE2"/>
    <w:rsid w:val="00396EB0"/>
    <w:rsid w:val="003A005D"/>
    <w:rsid w:val="003A12D5"/>
    <w:rsid w:val="003B39BE"/>
    <w:rsid w:val="003C4F24"/>
    <w:rsid w:val="003C7E4B"/>
    <w:rsid w:val="003D2CAD"/>
    <w:rsid w:val="004059DD"/>
    <w:rsid w:val="00410FFE"/>
    <w:rsid w:val="00414C19"/>
    <w:rsid w:val="004156EA"/>
    <w:rsid w:val="004344B9"/>
    <w:rsid w:val="00441200"/>
    <w:rsid w:val="0045549E"/>
    <w:rsid w:val="00460121"/>
    <w:rsid w:val="0046338C"/>
    <w:rsid w:val="00463643"/>
    <w:rsid w:val="004657F4"/>
    <w:rsid w:val="004731C8"/>
    <w:rsid w:val="0047438F"/>
    <w:rsid w:val="004761B3"/>
    <w:rsid w:val="00492C21"/>
    <w:rsid w:val="0049583D"/>
    <w:rsid w:val="0049660F"/>
    <w:rsid w:val="004A2191"/>
    <w:rsid w:val="004A33AB"/>
    <w:rsid w:val="004B2D33"/>
    <w:rsid w:val="004C1B22"/>
    <w:rsid w:val="004C1DF0"/>
    <w:rsid w:val="004E7CF2"/>
    <w:rsid w:val="004F3712"/>
    <w:rsid w:val="004F463D"/>
    <w:rsid w:val="004F7C8C"/>
    <w:rsid w:val="00505307"/>
    <w:rsid w:val="005131DF"/>
    <w:rsid w:val="0051397E"/>
    <w:rsid w:val="00515D9B"/>
    <w:rsid w:val="00520A3B"/>
    <w:rsid w:val="00524569"/>
    <w:rsid w:val="005255BD"/>
    <w:rsid w:val="00527E41"/>
    <w:rsid w:val="00536B53"/>
    <w:rsid w:val="00540EFB"/>
    <w:rsid w:val="00571E9E"/>
    <w:rsid w:val="00581B73"/>
    <w:rsid w:val="00584408"/>
    <w:rsid w:val="005905D7"/>
    <w:rsid w:val="00592274"/>
    <w:rsid w:val="005A3FE5"/>
    <w:rsid w:val="005A679B"/>
    <w:rsid w:val="005A7B95"/>
    <w:rsid w:val="005B127B"/>
    <w:rsid w:val="005B63B5"/>
    <w:rsid w:val="005C0D4B"/>
    <w:rsid w:val="005C30DC"/>
    <w:rsid w:val="005D70B8"/>
    <w:rsid w:val="005E04FD"/>
    <w:rsid w:val="005E6490"/>
    <w:rsid w:val="005F3269"/>
    <w:rsid w:val="005F3B1A"/>
    <w:rsid w:val="00611396"/>
    <w:rsid w:val="00621CAD"/>
    <w:rsid w:val="00630629"/>
    <w:rsid w:val="0063490E"/>
    <w:rsid w:val="00637EAF"/>
    <w:rsid w:val="00642552"/>
    <w:rsid w:val="00663714"/>
    <w:rsid w:val="00671469"/>
    <w:rsid w:val="00675318"/>
    <w:rsid w:val="006809B2"/>
    <w:rsid w:val="00686C6E"/>
    <w:rsid w:val="006940B1"/>
    <w:rsid w:val="006A4BAF"/>
    <w:rsid w:val="006A7AC7"/>
    <w:rsid w:val="006B062A"/>
    <w:rsid w:val="006B1132"/>
    <w:rsid w:val="006B5BEE"/>
    <w:rsid w:val="006C2F53"/>
    <w:rsid w:val="006E219A"/>
    <w:rsid w:val="006E2E18"/>
    <w:rsid w:val="006E33F1"/>
    <w:rsid w:val="006F3F1A"/>
    <w:rsid w:val="006F75D6"/>
    <w:rsid w:val="00711C44"/>
    <w:rsid w:val="007132DB"/>
    <w:rsid w:val="00713DD5"/>
    <w:rsid w:val="00717FB7"/>
    <w:rsid w:val="00733DD1"/>
    <w:rsid w:val="007409F4"/>
    <w:rsid w:val="00741F15"/>
    <w:rsid w:val="0074526F"/>
    <w:rsid w:val="00751C09"/>
    <w:rsid w:val="00755138"/>
    <w:rsid w:val="00755775"/>
    <w:rsid w:val="00760BA5"/>
    <w:rsid w:val="00764E2A"/>
    <w:rsid w:val="0076671E"/>
    <w:rsid w:val="00772063"/>
    <w:rsid w:val="007854A3"/>
    <w:rsid w:val="007911D3"/>
    <w:rsid w:val="00792AE1"/>
    <w:rsid w:val="00794B5C"/>
    <w:rsid w:val="00796DCB"/>
    <w:rsid w:val="007A691D"/>
    <w:rsid w:val="007A6CFE"/>
    <w:rsid w:val="007B4EC7"/>
    <w:rsid w:val="007B77F3"/>
    <w:rsid w:val="007B7846"/>
    <w:rsid w:val="007C1090"/>
    <w:rsid w:val="007D3486"/>
    <w:rsid w:val="007E30AB"/>
    <w:rsid w:val="007F6D27"/>
    <w:rsid w:val="007F772E"/>
    <w:rsid w:val="00801169"/>
    <w:rsid w:val="00810AF5"/>
    <w:rsid w:val="00810BD1"/>
    <w:rsid w:val="0081635A"/>
    <w:rsid w:val="008264BE"/>
    <w:rsid w:val="00853E31"/>
    <w:rsid w:val="00855717"/>
    <w:rsid w:val="00857153"/>
    <w:rsid w:val="0086361F"/>
    <w:rsid w:val="00865E96"/>
    <w:rsid w:val="00870CA4"/>
    <w:rsid w:val="00870CE2"/>
    <w:rsid w:val="00871ADC"/>
    <w:rsid w:val="0087285C"/>
    <w:rsid w:val="00872987"/>
    <w:rsid w:val="00887D6A"/>
    <w:rsid w:val="008940BA"/>
    <w:rsid w:val="008B3FEF"/>
    <w:rsid w:val="008B642B"/>
    <w:rsid w:val="008B7436"/>
    <w:rsid w:val="008C0492"/>
    <w:rsid w:val="008C679C"/>
    <w:rsid w:val="008D0175"/>
    <w:rsid w:val="008D7338"/>
    <w:rsid w:val="008E5737"/>
    <w:rsid w:val="008F0E53"/>
    <w:rsid w:val="008F55E6"/>
    <w:rsid w:val="008F7374"/>
    <w:rsid w:val="0090201C"/>
    <w:rsid w:val="009168C9"/>
    <w:rsid w:val="00917BA5"/>
    <w:rsid w:val="00921E38"/>
    <w:rsid w:val="00931104"/>
    <w:rsid w:val="00931696"/>
    <w:rsid w:val="00944106"/>
    <w:rsid w:val="009467A2"/>
    <w:rsid w:val="009529B1"/>
    <w:rsid w:val="00953403"/>
    <w:rsid w:val="00954FAE"/>
    <w:rsid w:val="00957D49"/>
    <w:rsid w:val="00962687"/>
    <w:rsid w:val="00964E4F"/>
    <w:rsid w:val="0096611A"/>
    <w:rsid w:val="0098030C"/>
    <w:rsid w:val="00982CDA"/>
    <w:rsid w:val="009B21C3"/>
    <w:rsid w:val="009B2DEC"/>
    <w:rsid w:val="009B4C9F"/>
    <w:rsid w:val="009E7E94"/>
    <w:rsid w:val="00A108AB"/>
    <w:rsid w:val="00A12D7F"/>
    <w:rsid w:val="00A21247"/>
    <w:rsid w:val="00A22ACB"/>
    <w:rsid w:val="00A24527"/>
    <w:rsid w:val="00A403F2"/>
    <w:rsid w:val="00A426A5"/>
    <w:rsid w:val="00A44273"/>
    <w:rsid w:val="00A44D76"/>
    <w:rsid w:val="00A51E44"/>
    <w:rsid w:val="00A54A9B"/>
    <w:rsid w:val="00A559AA"/>
    <w:rsid w:val="00A5643E"/>
    <w:rsid w:val="00A6789C"/>
    <w:rsid w:val="00A72917"/>
    <w:rsid w:val="00A76DB5"/>
    <w:rsid w:val="00A82974"/>
    <w:rsid w:val="00A8461C"/>
    <w:rsid w:val="00AB679A"/>
    <w:rsid w:val="00AC7DE8"/>
    <w:rsid w:val="00AE0316"/>
    <w:rsid w:val="00AE1022"/>
    <w:rsid w:val="00AE38F4"/>
    <w:rsid w:val="00AE55F9"/>
    <w:rsid w:val="00AF56B1"/>
    <w:rsid w:val="00AF612E"/>
    <w:rsid w:val="00AF72B6"/>
    <w:rsid w:val="00B06380"/>
    <w:rsid w:val="00B1009E"/>
    <w:rsid w:val="00B10238"/>
    <w:rsid w:val="00B16806"/>
    <w:rsid w:val="00B3111F"/>
    <w:rsid w:val="00B407A5"/>
    <w:rsid w:val="00B52256"/>
    <w:rsid w:val="00B712CF"/>
    <w:rsid w:val="00B751C7"/>
    <w:rsid w:val="00B857E9"/>
    <w:rsid w:val="00B85C10"/>
    <w:rsid w:val="00B8706D"/>
    <w:rsid w:val="00B949D4"/>
    <w:rsid w:val="00BA5241"/>
    <w:rsid w:val="00BC1AD9"/>
    <w:rsid w:val="00BD3A21"/>
    <w:rsid w:val="00BF4A36"/>
    <w:rsid w:val="00BF7E39"/>
    <w:rsid w:val="00C01E99"/>
    <w:rsid w:val="00C0668F"/>
    <w:rsid w:val="00C1128B"/>
    <w:rsid w:val="00C20C4F"/>
    <w:rsid w:val="00C51646"/>
    <w:rsid w:val="00C5268A"/>
    <w:rsid w:val="00C57269"/>
    <w:rsid w:val="00C61027"/>
    <w:rsid w:val="00C628F2"/>
    <w:rsid w:val="00C81B6B"/>
    <w:rsid w:val="00C84680"/>
    <w:rsid w:val="00C91691"/>
    <w:rsid w:val="00C9681D"/>
    <w:rsid w:val="00CA09B5"/>
    <w:rsid w:val="00CA3B7B"/>
    <w:rsid w:val="00CA4D27"/>
    <w:rsid w:val="00CA67CC"/>
    <w:rsid w:val="00CA7558"/>
    <w:rsid w:val="00CB44D7"/>
    <w:rsid w:val="00CE0B9A"/>
    <w:rsid w:val="00CF4C91"/>
    <w:rsid w:val="00CF7EFD"/>
    <w:rsid w:val="00D01F0B"/>
    <w:rsid w:val="00D10479"/>
    <w:rsid w:val="00D104B7"/>
    <w:rsid w:val="00D14668"/>
    <w:rsid w:val="00D170A3"/>
    <w:rsid w:val="00D231CA"/>
    <w:rsid w:val="00D31A78"/>
    <w:rsid w:val="00D33D9F"/>
    <w:rsid w:val="00D343A3"/>
    <w:rsid w:val="00D454F5"/>
    <w:rsid w:val="00D4562B"/>
    <w:rsid w:val="00D614CD"/>
    <w:rsid w:val="00D62E29"/>
    <w:rsid w:val="00D915A3"/>
    <w:rsid w:val="00D93AFB"/>
    <w:rsid w:val="00D94292"/>
    <w:rsid w:val="00D95837"/>
    <w:rsid w:val="00DB243B"/>
    <w:rsid w:val="00DB6303"/>
    <w:rsid w:val="00DB702E"/>
    <w:rsid w:val="00DC431D"/>
    <w:rsid w:val="00DC52E3"/>
    <w:rsid w:val="00DC77A6"/>
    <w:rsid w:val="00DE0478"/>
    <w:rsid w:val="00DE1E3F"/>
    <w:rsid w:val="00DF51C1"/>
    <w:rsid w:val="00DF74CF"/>
    <w:rsid w:val="00E11164"/>
    <w:rsid w:val="00E12831"/>
    <w:rsid w:val="00E25026"/>
    <w:rsid w:val="00E25222"/>
    <w:rsid w:val="00E253BE"/>
    <w:rsid w:val="00E301D7"/>
    <w:rsid w:val="00E30B1D"/>
    <w:rsid w:val="00E351D8"/>
    <w:rsid w:val="00E36674"/>
    <w:rsid w:val="00E42D90"/>
    <w:rsid w:val="00E43E01"/>
    <w:rsid w:val="00E62F88"/>
    <w:rsid w:val="00E70AA0"/>
    <w:rsid w:val="00E7450D"/>
    <w:rsid w:val="00E8657E"/>
    <w:rsid w:val="00E90541"/>
    <w:rsid w:val="00E90FA2"/>
    <w:rsid w:val="00E948FF"/>
    <w:rsid w:val="00E96B3B"/>
    <w:rsid w:val="00E97087"/>
    <w:rsid w:val="00EA137F"/>
    <w:rsid w:val="00EB3419"/>
    <w:rsid w:val="00EC0A7B"/>
    <w:rsid w:val="00EC127B"/>
    <w:rsid w:val="00EC371A"/>
    <w:rsid w:val="00ED5D8B"/>
    <w:rsid w:val="00EE52C5"/>
    <w:rsid w:val="00F03498"/>
    <w:rsid w:val="00F0752D"/>
    <w:rsid w:val="00F07F0B"/>
    <w:rsid w:val="00F21F2B"/>
    <w:rsid w:val="00F32659"/>
    <w:rsid w:val="00F338FD"/>
    <w:rsid w:val="00F33DD6"/>
    <w:rsid w:val="00F3648A"/>
    <w:rsid w:val="00F368B2"/>
    <w:rsid w:val="00F44B81"/>
    <w:rsid w:val="00F4528F"/>
    <w:rsid w:val="00F52DE0"/>
    <w:rsid w:val="00F5766A"/>
    <w:rsid w:val="00F8270F"/>
    <w:rsid w:val="00F82835"/>
    <w:rsid w:val="00FA169A"/>
    <w:rsid w:val="00FA239B"/>
    <w:rsid w:val="00FA70B5"/>
    <w:rsid w:val="00FA7E39"/>
    <w:rsid w:val="00FB4623"/>
    <w:rsid w:val="00FB75B7"/>
    <w:rsid w:val="00FC3BD9"/>
    <w:rsid w:val="00FC558C"/>
    <w:rsid w:val="00FD353A"/>
    <w:rsid w:val="00FE25BE"/>
    <w:rsid w:val="00FE2FB8"/>
    <w:rsid w:val="00FF4666"/>
    <w:rsid w:val="015A79BA"/>
    <w:rsid w:val="02006690"/>
    <w:rsid w:val="02732391"/>
    <w:rsid w:val="027A5F7E"/>
    <w:rsid w:val="02907F30"/>
    <w:rsid w:val="02D33308"/>
    <w:rsid w:val="030705B6"/>
    <w:rsid w:val="031E12C8"/>
    <w:rsid w:val="03A47FA1"/>
    <w:rsid w:val="03F97C93"/>
    <w:rsid w:val="047C1456"/>
    <w:rsid w:val="05087E50"/>
    <w:rsid w:val="05631463"/>
    <w:rsid w:val="05C1574D"/>
    <w:rsid w:val="066B50E3"/>
    <w:rsid w:val="06844C69"/>
    <w:rsid w:val="06F253F2"/>
    <w:rsid w:val="079B79E5"/>
    <w:rsid w:val="07AD2A72"/>
    <w:rsid w:val="07DF75F9"/>
    <w:rsid w:val="081A1750"/>
    <w:rsid w:val="08862B6E"/>
    <w:rsid w:val="088D2514"/>
    <w:rsid w:val="08DC35C4"/>
    <w:rsid w:val="08E72BD3"/>
    <w:rsid w:val="09036FEC"/>
    <w:rsid w:val="09151C99"/>
    <w:rsid w:val="09B207F9"/>
    <w:rsid w:val="09D95598"/>
    <w:rsid w:val="0A4E2763"/>
    <w:rsid w:val="0AE26D45"/>
    <w:rsid w:val="0B021542"/>
    <w:rsid w:val="0B856175"/>
    <w:rsid w:val="0BFC473C"/>
    <w:rsid w:val="0C451D45"/>
    <w:rsid w:val="0D035730"/>
    <w:rsid w:val="0D6A4E6F"/>
    <w:rsid w:val="0D6D5D30"/>
    <w:rsid w:val="0D956438"/>
    <w:rsid w:val="0E7956F8"/>
    <w:rsid w:val="0E871FE6"/>
    <w:rsid w:val="0EA30516"/>
    <w:rsid w:val="0EA43D46"/>
    <w:rsid w:val="0F842EAC"/>
    <w:rsid w:val="0F8D020F"/>
    <w:rsid w:val="0FB45D3D"/>
    <w:rsid w:val="0FDE6640"/>
    <w:rsid w:val="1014696E"/>
    <w:rsid w:val="104F0796"/>
    <w:rsid w:val="10565C33"/>
    <w:rsid w:val="1072146B"/>
    <w:rsid w:val="10B74C3E"/>
    <w:rsid w:val="115427F3"/>
    <w:rsid w:val="1175003C"/>
    <w:rsid w:val="11A021F8"/>
    <w:rsid w:val="11AD4E09"/>
    <w:rsid w:val="11FA756E"/>
    <w:rsid w:val="12BD684D"/>
    <w:rsid w:val="13C808EC"/>
    <w:rsid w:val="14050774"/>
    <w:rsid w:val="14075E94"/>
    <w:rsid w:val="141168EE"/>
    <w:rsid w:val="14194D6B"/>
    <w:rsid w:val="144B02A3"/>
    <w:rsid w:val="1457366A"/>
    <w:rsid w:val="14E57AA8"/>
    <w:rsid w:val="154C1250"/>
    <w:rsid w:val="155278BD"/>
    <w:rsid w:val="156E33B1"/>
    <w:rsid w:val="15723F6E"/>
    <w:rsid w:val="166A3074"/>
    <w:rsid w:val="16732FEB"/>
    <w:rsid w:val="16984B18"/>
    <w:rsid w:val="174D3772"/>
    <w:rsid w:val="176E7480"/>
    <w:rsid w:val="1865185A"/>
    <w:rsid w:val="187F72BD"/>
    <w:rsid w:val="18A93985"/>
    <w:rsid w:val="194C5F03"/>
    <w:rsid w:val="1A1A69C3"/>
    <w:rsid w:val="1AF9000C"/>
    <w:rsid w:val="1B972F4C"/>
    <w:rsid w:val="1BA11882"/>
    <w:rsid w:val="1BF61D47"/>
    <w:rsid w:val="1BF77ED7"/>
    <w:rsid w:val="1CC362EC"/>
    <w:rsid w:val="1CD4218B"/>
    <w:rsid w:val="1DF02255"/>
    <w:rsid w:val="1E5828D6"/>
    <w:rsid w:val="1E7D07B8"/>
    <w:rsid w:val="1E8A1A2E"/>
    <w:rsid w:val="1EA82186"/>
    <w:rsid w:val="1F2F0719"/>
    <w:rsid w:val="1F516372"/>
    <w:rsid w:val="1FD430C8"/>
    <w:rsid w:val="1FE32826"/>
    <w:rsid w:val="205572AD"/>
    <w:rsid w:val="20797D35"/>
    <w:rsid w:val="20AA4C2F"/>
    <w:rsid w:val="20D33A0F"/>
    <w:rsid w:val="20DB3B4A"/>
    <w:rsid w:val="20E33285"/>
    <w:rsid w:val="20E52AFB"/>
    <w:rsid w:val="20F17276"/>
    <w:rsid w:val="21972AFA"/>
    <w:rsid w:val="21FE5175"/>
    <w:rsid w:val="22551E62"/>
    <w:rsid w:val="230D1610"/>
    <w:rsid w:val="23A52A88"/>
    <w:rsid w:val="23CC50C2"/>
    <w:rsid w:val="24121125"/>
    <w:rsid w:val="24260853"/>
    <w:rsid w:val="249D5E4D"/>
    <w:rsid w:val="24E01D00"/>
    <w:rsid w:val="250B3654"/>
    <w:rsid w:val="25426026"/>
    <w:rsid w:val="25C24F65"/>
    <w:rsid w:val="264B4C9D"/>
    <w:rsid w:val="269221D6"/>
    <w:rsid w:val="269C0568"/>
    <w:rsid w:val="27563635"/>
    <w:rsid w:val="275668FA"/>
    <w:rsid w:val="27567996"/>
    <w:rsid w:val="27B45138"/>
    <w:rsid w:val="27DF3432"/>
    <w:rsid w:val="283A4D4A"/>
    <w:rsid w:val="28810946"/>
    <w:rsid w:val="28CD6757"/>
    <w:rsid w:val="295733FB"/>
    <w:rsid w:val="2B097491"/>
    <w:rsid w:val="2B52084C"/>
    <w:rsid w:val="2B5E7FE2"/>
    <w:rsid w:val="2BB36041"/>
    <w:rsid w:val="2BCA23E3"/>
    <w:rsid w:val="2C812E81"/>
    <w:rsid w:val="2C847689"/>
    <w:rsid w:val="2CE019B8"/>
    <w:rsid w:val="2D413713"/>
    <w:rsid w:val="2D6119E0"/>
    <w:rsid w:val="2DD82AC0"/>
    <w:rsid w:val="2DE41F76"/>
    <w:rsid w:val="2EC64439"/>
    <w:rsid w:val="2F7C65EB"/>
    <w:rsid w:val="2F836493"/>
    <w:rsid w:val="2FAC6382"/>
    <w:rsid w:val="2FDA6411"/>
    <w:rsid w:val="302F5C02"/>
    <w:rsid w:val="308974AE"/>
    <w:rsid w:val="30F44624"/>
    <w:rsid w:val="30F769A9"/>
    <w:rsid w:val="31510AA0"/>
    <w:rsid w:val="31F24B06"/>
    <w:rsid w:val="323D713F"/>
    <w:rsid w:val="325B51AB"/>
    <w:rsid w:val="33766BFC"/>
    <w:rsid w:val="33883A69"/>
    <w:rsid w:val="338D72AC"/>
    <w:rsid w:val="33E10184"/>
    <w:rsid w:val="348D5599"/>
    <w:rsid w:val="352765C3"/>
    <w:rsid w:val="356D1FFA"/>
    <w:rsid w:val="359C012F"/>
    <w:rsid w:val="35AC782A"/>
    <w:rsid w:val="360E19E5"/>
    <w:rsid w:val="36497307"/>
    <w:rsid w:val="368A5C17"/>
    <w:rsid w:val="36C903F0"/>
    <w:rsid w:val="37152C21"/>
    <w:rsid w:val="37251EAA"/>
    <w:rsid w:val="37590E1D"/>
    <w:rsid w:val="37B40348"/>
    <w:rsid w:val="37BD636B"/>
    <w:rsid w:val="384F6BCF"/>
    <w:rsid w:val="38A319F3"/>
    <w:rsid w:val="38D96215"/>
    <w:rsid w:val="392F3EDF"/>
    <w:rsid w:val="39704948"/>
    <w:rsid w:val="397D7CAF"/>
    <w:rsid w:val="39DD52FC"/>
    <w:rsid w:val="3ACF151E"/>
    <w:rsid w:val="3B8E0546"/>
    <w:rsid w:val="3BC61B12"/>
    <w:rsid w:val="3BE61DC6"/>
    <w:rsid w:val="3C7F5BC4"/>
    <w:rsid w:val="3CBB4585"/>
    <w:rsid w:val="3D54230E"/>
    <w:rsid w:val="3D7C4522"/>
    <w:rsid w:val="3DBA77ED"/>
    <w:rsid w:val="3E3402C7"/>
    <w:rsid w:val="3E373913"/>
    <w:rsid w:val="3F34383F"/>
    <w:rsid w:val="3F344F84"/>
    <w:rsid w:val="401C6F4F"/>
    <w:rsid w:val="40744F02"/>
    <w:rsid w:val="40921CAC"/>
    <w:rsid w:val="40D560F5"/>
    <w:rsid w:val="40E44823"/>
    <w:rsid w:val="41197DF9"/>
    <w:rsid w:val="415E1BCB"/>
    <w:rsid w:val="42E57412"/>
    <w:rsid w:val="42ED5017"/>
    <w:rsid w:val="42FD732F"/>
    <w:rsid w:val="43714570"/>
    <w:rsid w:val="43E251C4"/>
    <w:rsid w:val="44906FE6"/>
    <w:rsid w:val="44C2005E"/>
    <w:rsid w:val="44FE0999"/>
    <w:rsid w:val="45E235E0"/>
    <w:rsid w:val="45E2467F"/>
    <w:rsid w:val="46721C9D"/>
    <w:rsid w:val="46971761"/>
    <w:rsid w:val="46F6477A"/>
    <w:rsid w:val="4703068E"/>
    <w:rsid w:val="47887F0F"/>
    <w:rsid w:val="47FB7699"/>
    <w:rsid w:val="48241D53"/>
    <w:rsid w:val="48DF209C"/>
    <w:rsid w:val="490F0A07"/>
    <w:rsid w:val="49881686"/>
    <w:rsid w:val="4A0465FC"/>
    <w:rsid w:val="4B937695"/>
    <w:rsid w:val="4BF500B9"/>
    <w:rsid w:val="4BF71E55"/>
    <w:rsid w:val="4C453D06"/>
    <w:rsid w:val="4C967497"/>
    <w:rsid w:val="4CBC53B8"/>
    <w:rsid w:val="4CEE0AAB"/>
    <w:rsid w:val="4D6E7C93"/>
    <w:rsid w:val="4DB53509"/>
    <w:rsid w:val="4DB63D4A"/>
    <w:rsid w:val="4DF57B76"/>
    <w:rsid w:val="4E0C3F18"/>
    <w:rsid w:val="4E3605DF"/>
    <w:rsid w:val="4E9E6450"/>
    <w:rsid w:val="4EA5057F"/>
    <w:rsid w:val="4ED41BD5"/>
    <w:rsid w:val="4F105D44"/>
    <w:rsid w:val="4FE552FD"/>
    <w:rsid w:val="500028CE"/>
    <w:rsid w:val="51A32C5C"/>
    <w:rsid w:val="51A61200"/>
    <w:rsid w:val="51A8007B"/>
    <w:rsid w:val="520C1076"/>
    <w:rsid w:val="524B05B2"/>
    <w:rsid w:val="524F1D18"/>
    <w:rsid w:val="53211D72"/>
    <w:rsid w:val="536567ED"/>
    <w:rsid w:val="54981814"/>
    <w:rsid w:val="549C451F"/>
    <w:rsid w:val="54C93027"/>
    <w:rsid w:val="5587270E"/>
    <w:rsid w:val="559E664E"/>
    <w:rsid w:val="560F58BD"/>
    <w:rsid w:val="56513CD0"/>
    <w:rsid w:val="56A11110"/>
    <w:rsid w:val="57CC4DB3"/>
    <w:rsid w:val="58C240F5"/>
    <w:rsid w:val="58F45795"/>
    <w:rsid w:val="59637E84"/>
    <w:rsid w:val="59786976"/>
    <w:rsid w:val="59D042EC"/>
    <w:rsid w:val="5A1E1B66"/>
    <w:rsid w:val="5A2F5485"/>
    <w:rsid w:val="5AFB4DC0"/>
    <w:rsid w:val="5B602D42"/>
    <w:rsid w:val="5BB167FD"/>
    <w:rsid w:val="5BE5650E"/>
    <w:rsid w:val="5BE80ED6"/>
    <w:rsid w:val="5C0803F9"/>
    <w:rsid w:val="5C842DC1"/>
    <w:rsid w:val="5D0C5FA0"/>
    <w:rsid w:val="5D973196"/>
    <w:rsid w:val="5DD73A7F"/>
    <w:rsid w:val="5F8D7DD2"/>
    <w:rsid w:val="601C6FD5"/>
    <w:rsid w:val="617E34BB"/>
    <w:rsid w:val="619264D9"/>
    <w:rsid w:val="619E6E3B"/>
    <w:rsid w:val="620A1856"/>
    <w:rsid w:val="62446327"/>
    <w:rsid w:val="63820D69"/>
    <w:rsid w:val="64500F04"/>
    <w:rsid w:val="64557E5C"/>
    <w:rsid w:val="66007D67"/>
    <w:rsid w:val="6611214E"/>
    <w:rsid w:val="663F0B50"/>
    <w:rsid w:val="66CA0B26"/>
    <w:rsid w:val="67B03BB5"/>
    <w:rsid w:val="67E50312"/>
    <w:rsid w:val="67ED0982"/>
    <w:rsid w:val="68FA60D7"/>
    <w:rsid w:val="69257931"/>
    <w:rsid w:val="69281626"/>
    <w:rsid w:val="69C61397"/>
    <w:rsid w:val="6A547DC9"/>
    <w:rsid w:val="6A68609B"/>
    <w:rsid w:val="6A770B6E"/>
    <w:rsid w:val="6A8C1663"/>
    <w:rsid w:val="6ABF0D9A"/>
    <w:rsid w:val="6C105A58"/>
    <w:rsid w:val="6C2E6265"/>
    <w:rsid w:val="6C62671C"/>
    <w:rsid w:val="6CBB4F06"/>
    <w:rsid w:val="6CC40C48"/>
    <w:rsid w:val="6CD759A9"/>
    <w:rsid w:val="6CFB412E"/>
    <w:rsid w:val="6D095C70"/>
    <w:rsid w:val="6D4B1F5D"/>
    <w:rsid w:val="6D4C2109"/>
    <w:rsid w:val="6D8238A7"/>
    <w:rsid w:val="6E0F5BF9"/>
    <w:rsid w:val="6E8F7310"/>
    <w:rsid w:val="6EE164EE"/>
    <w:rsid w:val="6EE7034D"/>
    <w:rsid w:val="6EEA243B"/>
    <w:rsid w:val="6F483FA1"/>
    <w:rsid w:val="6F6957B8"/>
    <w:rsid w:val="6F9F3300"/>
    <w:rsid w:val="6FB01806"/>
    <w:rsid w:val="714F12B6"/>
    <w:rsid w:val="7150644C"/>
    <w:rsid w:val="71884AB7"/>
    <w:rsid w:val="71A519B8"/>
    <w:rsid w:val="731E7F79"/>
    <w:rsid w:val="732E3907"/>
    <w:rsid w:val="739771C4"/>
    <w:rsid w:val="73D16993"/>
    <w:rsid w:val="742130DF"/>
    <w:rsid w:val="749C6917"/>
    <w:rsid w:val="74C95BCE"/>
    <w:rsid w:val="74E12D4A"/>
    <w:rsid w:val="75011284"/>
    <w:rsid w:val="75200B56"/>
    <w:rsid w:val="75435570"/>
    <w:rsid w:val="75E20EFD"/>
    <w:rsid w:val="768267D8"/>
    <w:rsid w:val="76A86BF6"/>
    <w:rsid w:val="77046DA9"/>
    <w:rsid w:val="770F57AD"/>
    <w:rsid w:val="77120E84"/>
    <w:rsid w:val="775F2577"/>
    <w:rsid w:val="781A002A"/>
    <w:rsid w:val="79030FA2"/>
    <w:rsid w:val="796075AF"/>
    <w:rsid w:val="79A971C1"/>
    <w:rsid w:val="79AE06CE"/>
    <w:rsid w:val="7A026DB8"/>
    <w:rsid w:val="7B1227F8"/>
    <w:rsid w:val="7B5A38DF"/>
    <w:rsid w:val="7BCD5077"/>
    <w:rsid w:val="7BF40976"/>
    <w:rsid w:val="7C00467F"/>
    <w:rsid w:val="7C022EC7"/>
    <w:rsid w:val="7C42096C"/>
    <w:rsid w:val="7C711C34"/>
    <w:rsid w:val="7CD7133D"/>
    <w:rsid w:val="7CF168C4"/>
    <w:rsid w:val="7D001691"/>
    <w:rsid w:val="7D72325C"/>
    <w:rsid w:val="7D9D7924"/>
    <w:rsid w:val="7DDE038D"/>
    <w:rsid w:val="7E2B48C5"/>
    <w:rsid w:val="7E6150E3"/>
    <w:rsid w:val="7E9633BF"/>
    <w:rsid w:val="7F04016F"/>
    <w:rsid w:val="7F4A31D5"/>
    <w:rsid w:val="7FEE2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0" w:semiHidden="0" w:name="Body Text First Indent 2"/>
    <w:lsdException w:uiPriority="99" w:name="Note Heading"/>
    <w:lsdException w:qFormat="1" w:uiPriority="99" w:semiHidden="0" w:name="Body Text 2"/>
    <w:lsdException w:qFormat="1" w:unhideWhenUsed="0" w:uiPriority="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sz w:val="28"/>
    </w:rPr>
  </w:style>
  <w:style w:type="paragraph" w:styleId="3">
    <w:name w:val="Body Text 2"/>
    <w:basedOn w:val="1"/>
    <w:unhideWhenUsed/>
    <w:qFormat/>
    <w:uiPriority w:val="99"/>
    <w:pPr>
      <w:spacing w:after="120" w:line="480" w:lineRule="auto"/>
    </w:pPr>
  </w:style>
  <w:style w:type="paragraph" w:styleId="8">
    <w:name w:val="Normal Indent"/>
    <w:basedOn w:val="1"/>
    <w:qFormat/>
    <w:uiPriority w:val="0"/>
    <w:pPr>
      <w:ind w:firstLine="420"/>
    </w:pPr>
  </w:style>
  <w:style w:type="paragraph" w:styleId="9">
    <w:name w:val="annotation text"/>
    <w:basedOn w:val="1"/>
    <w:semiHidden/>
    <w:unhideWhenUsed/>
    <w:qFormat/>
    <w:uiPriority w:val="99"/>
    <w:pPr>
      <w:jc w:val="left"/>
    </w:pPr>
  </w:style>
  <w:style w:type="paragraph" w:styleId="10">
    <w:name w:val="Body Text 3"/>
    <w:basedOn w:val="1"/>
    <w:link w:val="44"/>
    <w:semiHidden/>
    <w:qFormat/>
    <w:uiPriority w:val="0"/>
    <w:pPr>
      <w:spacing w:after="120"/>
    </w:pPr>
    <w:rPr>
      <w:sz w:val="16"/>
      <w:szCs w:val="16"/>
    </w:rPr>
  </w:style>
  <w:style w:type="paragraph" w:styleId="11">
    <w:name w:val="Body Text Indent"/>
    <w:basedOn w:val="1"/>
    <w:link w:val="46"/>
    <w:unhideWhenUsed/>
    <w:qFormat/>
    <w:uiPriority w:val="99"/>
    <w:pPr>
      <w:ind w:firstLine="830" w:firstLineChars="352"/>
    </w:pPr>
    <w:rPr>
      <w:rFonts w:ascii="仿宋_GB2312" w:eastAsia="仿宋_GB2312"/>
      <w:sz w:val="32"/>
    </w:rPr>
  </w:style>
  <w:style w:type="paragraph" w:styleId="12">
    <w:name w:val="Plain Text"/>
    <w:basedOn w:val="1"/>
    <w:link w:val="34"/>
    <w:unhideWhenUsed/>
    <w:qFormat/>
    <w:uiPriority w:val="0"/>
    <w:rPr>
      <w:rFonts w:ascii="宋体" w:hAnsi="Courier New" w:cs="Courier New"/>
      <w:szCs w:val="21"/>
    </w:rPr>
  </w:style>
  <w:style w:type="paragraph" w:styleId="13">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4">
    <w:name w:val="Balloon Text"/>
    <w:basedOn w:val="1"/>
    <w:link w:val="35"/>
    <w:semiHidden/>
    <w:unhideWhenUsed/>
    <w:qFormat/>
    <w:uiPriority w:val="99"/>
    <w:rPr>
      <w:sz w:val="18"/>
      <w:szCs w:val="18"/>
    </w:rPr>
  </w:style>
  <w:style w:type="paragraph" w:styleId="15">
    <w:name w:val="footer"/>
    <w:basedOn w:val="1"/>
    <w:link w:val="32"/>
    <w:unhideWhenUsed/>
    <w:qFormat/>
    <w:uiPriority w:val="99"/>
    <w:pPr>
      <w:tabs>
        <w:tab w:val="center" w:pos="4153"/>
        <w:tab w:val="right" w:pos="8306"/>
      </w:tabs>
      <w:snapToGrid w:val="0"/>
      <w:jc w:val="left"/>
    </w:pPr>
    <w:rPr>
      <w:sz w:val="18"/>
    </w:rPr>
  </w:style>
  <w:style w:type="paragraph" w:styleId="16">
    <w:name w:val="header"/>
    <w:basedOn w:val="1"/>
    <w:link w:val="33"/>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style>
  <w:style w:type="paragraph" w:styleId="18">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9">
    <w:name w:val="Body Text First Indent"/>
    <w:basedOn w:val="2"/>
    <w:unhideWhenUsed/>
    <w:qFormat/>
    <w:uiPriority w:val="99"/>
    <w:pPr>
      <w:spacing w:after="120"/>
      <w:ind w:firstLine="420"/>
    </w:pPr>
    <w:rPr>
      <w:sz w:val="21"/>
    </w:rPr>
  </w:style>
  <w:style w:type="paragraph" w:styleId="20">
    <w:name w:val="Body Text First Indent 2"/>
    <w:basedOn w:val="11"/>
    <w:link w:val="47"/>
    <w:unhideWhenUsed/>
    <w:qFormat/>
    <w:uiPriority w:val="0"/>
    <w:pPr>
      <w:spacing w:after="120"/>
      <w:ind w:left="420" w:leftChars="200" w:firstLine="420" w:firstLineChars="200"/>
    </w:pPr>
    <w:rPr>
      <w:rFonts w:ascii="Times New Roman" w:eastAsia="宋体"/>
      <w:sz w:val="21"/>
    </w:rPr>
  </w:style>
  <w:style w:type="table" w:styleId="22">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4">
    <w:name w:val="Strong"/>
    <w:basedOn w:val="23"/>
    <w:qFormat/>
    <w:uiPriority w:val="22"/>
    <w:rPr>
      <w:b/>
      <w:bCs/>
    </w:rPr>
  </w:style>
  <w:style w:type="character" w:styleId="25">
    <w:name w:val="page number"/>
    <w:basedOn w:val="23"/>
    <w:unhideWhenUsed/>
    <w:qFormat/>
    <w:uiPriority w:val="0"/>
  </w:style>
  <w:style w:type="character" w:styleId="26">
    <w:name w:val="Hyperlink"/>
    <w:basedOn w:val="23"/>
    <w:unhideWhenUsed/>
    <w:qFormat/>
    <w:uiPriority w:val="99"/>
    <w:rPr>
      <w:color w:val="0000FF"/>
      <w:u w:val="single"/>
    </w:rPr>
  </w:style>
  <w:style w:type="character" w:styleId="27">
    <w:name w:val="annotation reference"/>
    <w:basedOn w:val="23"/>
    <w:semiHidden/>
    <w:unhideWhenUsed/>
    <w:qFormat/>
    <w:uiPriority w:val="99"/>
    <w:rPr>
      <w:sz w:val="21"/>
      <w:szCs w:val="21"/>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9">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30">
    <w:name w:val="Char"/>
    <w:basedOn w:val="1"/>
    <w:qFormat/>
    <w:uiPriority w:val="0"/>
    <w:pPr>
      <w:spacing w:line="480" w:lineRule="exact"/>
    </w:pPr>
    <w:rPr>
      <w:sz w:val="24"/>
      <w:szCs w:val="24"/>
    </w:rPr>
  </w:style>
  <w:style w:type="paragraph" w:customStyle="1" w:styleId="3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2">
    <w:name w:val="页脚 字符"/>
    <w:basedOn w:val="23"/>
    <w:link w:val="15"/>
    <w:qFormat/>
    <w:uiPriority w:val="99"/>
    <w:rPr>
      <w:sz w:val="18"/>
    </w:rPr>
  </w:style>
  <w:style w:type="character" w:customStyle="1" w:styleId="33">
    <w:name w:val="页眉 字符"/>
    <w:link w:val="16"/>
    <w:qFormat/>
    <w:uiPriority w:val="99"/>
    <w:rPr>
      <w:kern w:val="2"/>
      <w:sz w:val="18"/>
    </w:rPr>
  </w:style>
  <w:style w:type="character" w:customStyle="1" w:styleId="34">
    <w:name w:val="纯文本 字符"/>
    <w:basedOn w:val="23"/>
    <w:link w:val="12"/>
    <w:qFormat/>
    <w:uiPriority w:val="0"/>
    <w:rPr>
      <w:rFonts w:ascii="宋体" w:hAnsi="Courier New" w:cs="Courier New"/>
      <w:sz w:val="21"/>
      <w:szCs w:val="21"/>
    </w:rPr>
  </w:style>
  <w:style w:type="character" w:customStyle="1" w:styleId="35">
    <w:name w:val="批注框文本 字符"/>
    <w:basedOn w:val="23"/>
    <w:link w:val="14"/>
    <w:semiHidden/>
    <w:qFormat/>
    <w:uiPriority w:val="99"/>
    <w:rPr>
      <w:kern w:val="2"/>
      <w:sz w:val="18"/>
      <w:szCs w:val="18"/>
    </w:rPr>
  </w:style>
  <w:style w:type="character" w:customStyle="1" w:styleId="36">
    <w:name w:val="标题 1 字符"/>
    <w:basedOn w:val="23"/>
    <w:link w:val="4"/>
    <w:qFormat/>
    <w:uiPriority w:val="0"/>
    <w:rPr>
      <w:b/>
      <w:bCs/>
      <w:kern w:val="44"/>
      <w:sz w:val="44"/>
      <w:szCs w:val="44"/>
    </w:rPr>
  </w:style>
  <w:style w:type="character" w:customStyle="1" w:styleId="37">
    <w:name w:val="页眉 Char1"/>
    <w:basedOn w:val="23"/>
    <w:qFormat/>
    <w:uiPriority w:val="99"/>
    <w:rPr>
      <w:rFonts w:ascii="Calibri" w:hAnsi="Calibri" w:eastAsia="Calibri" w:cs="Calibri"/>
      <w:color w:val="000000"/>
      <w:sz w:val="18"/>
      <w:szCs w:val="18"/>
    </w:rPr>
  </w:style>
  <w:style w:type="character" w:customStyle="1" w:styleId="38">
    <w:name w:val="页脚 Char2"/>
    <w:basedOn w:val="23"/>
    <w:qFormat/>
    <w:uiPriority w:val="99"/>
    <w:rPr>
      <w:rFonts w:ascii="Calibri" w:hAnsi="Calibri" w:eastAsia="Calibri" w:cs="Calibri"/>
      <w:color w:val="000000"/>
      <w:sz w:val="18"/>
      <w:szCs w:val="18"/>
    </w:rPr>
  </w:style>
  <w:style w:type="character" w:customStyle="1" w:styleId="39">
    <w:name w:val="纯文本 Char4"/>
    <w:basedOn w:val="23"/>
    <w:qFormat/>
    <w:uiPriority w:val="0"/>
    <w:rPr>
      <w:rFonts w:ascii="宋体" w:hAnsi="Courier New" w:eastAsia="宋体" w:cs="Times New Roman"/>
      <w:sz w:val="24"/>
      <w:szCs w:val="20"/>
    </w:rPr>
  </w:style>
  <w:style w:type="paragraph" w:styleId="40">
    <w:name w:val="No Spacing"/>
    <w:qFormat/>
    <w:uiPriority w:val="1"/>
    <w:rPr>
      <w:rFonts w:ascii="Calibri" w:hAnsi="Calibri" w:eastAsia="宋体" w:cs="Times New Roman"/>
      <w:sz w:val="22"/>
      <w:szCs w:val="22"/>
      <w:lang w:val="en-US" w:eastAsia="zh-CN" w:bidi="ar-SA"/>
    </w:rPr>
  </w:style>
  <w:style w:type="paragraph" w:customStyle="1" w:styleId="41">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42">
    <w:name w:val="List Paragraph"/>
    <w:basedOn w:val="1"/>
    <w:qFormat/>
    <w:uiPriority w:val="99"/>
    <w:pPr>
      <w:ind w:firstLine="420" w:firstLineChars="200"/>
    </w:pPr>
  </w:style>
  <w:style w:type="table" w:customStyle="1" w:styleId="43">
    <w:name w:val="网格型1"/>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4">
    <w:name w:val="正文文本 3 字符"/>
    <w:basedOn w:val="23"/>
    <w:link w:val="10"/>
    <w:semiHidden/>
    <w:qFormat/>
    <w:uiPriority w:val="0"/>
    <w:rPr>
      <w:kern w:val="2"/>
      <w:sz w:val="16"/>
      <w:szCs w:val="16"/>
    </w:rPr>
  </w:style>
  <w:style w:type="paragraph" w:customStyle="1" w:styleId="45">
    <w:name w:val="样式 首行缩进:  2 字符"/>
    <w:basedOn w:val="1"/>
    <w:qFormat/>
    <w:uiPriority w:val="0"/>
    <w:pPr>
      <w:spacing w:line="400" w:lineRule="exact"/>
      <w:ind w:firstLine="200" w:firstLineChars="200"/>
    </w:pPr>
    <w:rPr>
      <w:rFonts w:cs="宋体"/>
      <w:sz w:val="24"/>
      <w:szCs w:val="24"/>
    </w:rPr>
  </w:style>
  <w:style w:type="character" w:customStyle="1" w:styleId="46">
    <w:name w:val="正文文本缩进 字符"/>
    <w:basedOn w:val="23"/>
    <w:link w:val="11"/>
    <w:qFormat/>
    <w:uiPriority w:val="99"/>
    <w:rPr>
      <w:rFonts w:ascii="仿宋_GB2312" w:eastAsia="仿宋_GB2312"/>
      <w:kern w:val="2"/>
      <w:sz w:val="32"/>
    </w:rPr>
  </w:style>
  <w:style w:type="character" w:customStyle="1" w:styleId="47">
    <w:name w:val="正文文本首行缩进 2 字符"/>
    <w:basedOn w:val="46"/>
    <w:link w:val="20"/>
    <w:qFormat/>
    <w:uiPriority w:val="0"/>
    <w:rPr>
      <w:rFonts w:ascii="仿宋_GB2312" w:eastAsia="仿宋_GB2312"/>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5F1CFD-4072-4809-8CD9-64D0089ED52D}">
  <ds:schemaRefs/>
</ds:datastoreItem>
</file>

<file path=docProps/app.xml><?xml version="1.0" encoding="utf-8"?>
<Properties xmlns="http://schemas.openxmlformats.org/officeDocument/2006/extended-properties" xmlns:vt="http://schemas.openxmlformats.org/officeDocument/2006/docPropsVTypes">
  <Template>Normal</Template>
  <Pages>54</Pages>
  <Words>4568</Words>
  <Characters>26041</Characters>
  <Lines>217</Lines>
  <Paragraphs>61</Paragraphs>
  <TotalTime>12</TotalTime>
  <ScaleCrop>false</ScaleCrop>
  <LinksUpToDate>false</LinksUpToDate>
  <CharactersWithSpaces>30548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2021-09-18T03:17:00Z</dcterms:created>
  <dc:creator>WT</dc:creator>
  <cp:lastModifiedBy>林煜韩</cp:lastModifiedBy>
  <cp:lastPrinted>2021-11-09T01:08:00Z</cp:lastPrinted>
  <dcterms:modified xsi:type="dcterms:W3CDTF">2021-11-10T01:31:51Z</dcterms:modified>
  <dc:title>询价文件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06C74E3EC1EB40FCBA653D8FC2B9339B</vt:lpwstr>
  </property>
</Properties>
</file>