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XJ-20211104-2</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numPr>
          <w:ilvl w:val="-1"/>
          <w:numId w:val="0"/>
        </w:numPr>
        <w:ind w:left="2244" w:leftChars="304" w:hanging="1606" w:hangingChars="500"/>
        <w:jc w:val="both"/>
        <w:rPr>
          <w:rFonts w:hint="default" w:ascii="仿宋" w:hAnsi="仿宋" w:eastAsia="仿宋" w:cs="仿宋_GB2312"/>
          <w:b/>
          <w:bCs/>
          <w:color w:val="auto"/>
          <w:sz w:val="28"/>
          <w:szCs w:val="28"/>
          <w:highlight w:val="none"/>
          <w:lang w:val="en-US"/>
        </w:rPr>
      </w:pPr>
      <w:r>
        <w:rPr>
          <w:rFonts w:hint="eastAsia" w:ascii="仿宋" w:hAnsi="仿宋" w:eastAsia="仿宋" w:cs="仿宋_GB2312"/>
          <w:b/>
          <w:bCs/>
          <w:color w:val="auto"/>
          <w:sz w:val="32"/>
          <w:szCs w:val="32"/>
          <w:highlight w:val="none"/>
        </w:rPr>
        <w:t>项目名称：广州市净水有限公司</w:t>
      </w:r>
      <w:r>
        <w:rPr>
          <w:rFonts w:hint="eastAsia" w:ascii="仿宋" w:hAnsi="仿宋" w:eastAsia="仿宋" w:cs="仿宋_GB2312"/>
          <w:b/>
          <w:bCs/>
          <w:color w:val="auto"/>
          <w:sz w:val="32"/>
          <w:szCs w:val="32"/>
          <w:highlight w:val="none"/>
          <w:lang w:val="en-US" w:eastAsia="zh-CN"/>
        </w:rPr>
        <w:t>石井分公司反应池廊道曝气管增加气阀项目</w:t>
      </w:r>
    </w:p>
    <w:p>
      <w:pPr>
        <w:spacing w:line="360" w:lineRule="auto"/>
        <w:jc w:val="left"/>
        <w:rPr>
          <w:rFonts w:hint="eastAsia" w:ascii="仿宋_GB2312" w:hAnsi="仿宋_GB2312" w:eastAsia="仿宋_GB2312" w:cs="仿宋_GB2312"/>
          <w:b/>
          <w:bCs/>
          <w:color w:val="auto"/>
          <w:sz w:val="28"/>
          <w:szCs w:val="28"/>
          <w:highlight w:val="none"/>
          <w:lang w:eastAsia="zh-CN"/>
        </w:rPr>
      </w:pP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发布日期：2021年</w:t>
      </w:r>
      <w:r>
        <w:rPr>
          <w:rFonts w:hint="eastAsia" w:ascii="仿宋" w:hAnsi="仿宋" w:eastAsia="仿宋" w:cs="仿宋_GB2312"/>
          <w:b/>
          <w:bCs/>
          <w:color w:val="auto"/>
          <w:sz w:val="28"/>
          <w:highlight w:val="none"/>
          <w:lang w:val="en-US" w:eastAsia="zh-CN"/>
        </w:rPr>
        <w:t>11</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4</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5"/>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numPr>
          <w:ilvl w:val="0"/>
          <w:numId w:val="0"/>
        </w:numPr>
        <w:spacing w:line="240" w:lineRule="auto"/>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rPr>
        <w:t>石井分公司反应池廊道曝气管增加气阀项目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XJ-20211104-2</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b w:val="0"/>
          <w:bCs w:val="0"/>
          <w:color w:val="auto"/>
          <w:sz w:val="28"/>
          <w:szCs w:val="28"/>
          <w:highlight w:val="none"/>
          <w:u w:val="single"/>
        </w:rPr>
        <w:t>广州市净水有限公司</w:t>
      </w:r>
      <w:r>
        <w:rPr>
          <w:rFonts w:hint="eastAsia" w:ascii="仿宋_GB2312" w:hAnsi="仿宋_GB2312" w:eastAsia="仿宋_GB2312" w:cs="仿宋_GB2312"/>
          <w:b w:val="0"/>
          <w:bCs w:val="0"/>
          <w:color w:val="auto"/>
          <w:sz w:val="28"/>
          <w:szCs w:val="28"/>
          <w:highlight w:val="none"/>
          <w:u w:val="single"/>
          <w:lang w:val="en-US" w:eastAsia="zh-CN"/>
        </w:rPr>
        <w:t>石井分公司反应池廊道曝气管增加气阀项目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515978.01</w:t>
      </w:r>
      <w:r>
        <w:rPr>
          <w:rFonts w:hint="eastAsia" w:ascii="仿宋_GB2312" w:hAnsi="仿宋_GB2312" w:eastAsia="仿宋_GB2312" w:cs="仿宋_GB2312"/>
          <w:color w:val="auto"/>
          <w:sz w:val="28"/>
          <w:szCs w:val="28"/>
          <w:highlight w:val="none"/>
          <w:u w:val="none"/>
        </w:rPr>
        <w:t>元人民币</w:t>
      </w:r>
      <w:r>
        <w:rPr>
          <w:rFonts w:hint="eastAsia" w:ascii="仿宋_GB2312" w:hAnsi="仿宋_GB2312" w:eastAsia="仿宋_GB2312" w:cs="仿宋_GB2312"/>
          <w:color w:val="auto"/>
          <w:sz w:val="28"/>
          <w:szCs w:val="28"/>
          <w:highlight w:val="none"/>
          <w:u w:val="none"/>
          <w:lang w:eastAsia="zh-CN"/>
        </w:rPr>
        <w:t>（其中不含税工程造价为473374.30元，税率为9%，绿色施工安全防护措施费为16553.83元，</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cs="仿宋_GB2312"/>
          <w:color w:val="auto"/>
          <w:kern w:val="2"/>
          <w:sz w:val="28"/>
          <w:szCs w:val="28"/>
          <w:highlight w:val="none"/>
          <w:u w:val="none"/>
        </w:rPr>
        <w:t>本工程为广州市净水有限公司石井分公司反应池廊道曝气管增加气阀项目，主要工作内容是</w:t>
      </w:r>
      <w:r>
        <w:rPr>
          <w:rFonts w:hint="eastAsia" w:ascii="仿宋_GB2312" w:hAnsi="仿宋_GB2312" w:cs="仿宋_GB2312"/>
          <w:color w:val="auto"/>
          <w:kern w:val="2"/>
          <w:sz w:val="28"/>
          <w:szCs w:val="28"/>
          <w:highlight w:val="none"/>
          <w:u w:val="none"/>
          <w:lang w:val="en-US" w:eastAsia="zh-CN"/>
        </w:rPr>
        <w:t>在16个反应池曝气支管上安装电动阀门、伸缩节并配备就地控制柜</w:t>
      </w:r>
      <w:r>
        <w:rPr>
          <w:rFonts w:hint="eastAsia" w:ascii="仿宋_GB2312" w:hAnsi="仿宋_GB2312" w:cs="仿宋_GB2312"/>
          <w:color w:val="auto"/>
          <w:kern w:val="2"/>
          <w:sz w:val="28"/>
          <w:szCs w:val="28"/>
          <w:highlight w:val="none"/>
          <w:u w:val="none"/>
          <w:lang w:eastAsia="zh-CN"/>
        </w:rPr>
        <w:t>。具体数量及参数如下：</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1)阀门</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名称：蝶阀</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规格：DN400</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压力：1.0MPA</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连接形式:法兰连接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阀芯、阀板、螺母  材质：304不锈钢，外壳材质：铸铁</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数量：16个</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2）伸缩节</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名称：不锈钢波纹伸缩节器</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规格：DN400</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压力：1.0MPA</w:t>
      </w:r>
    </w:p>
    <w:p>
      <w:pPr>
        <w:pStyle w:val="26"/>
        <w:numPr>
          <w:ilvl w:val="0"/>
          <w:numId w:val="0"/>
        </w:numPr>
        <w:spacing w:line="520" w:lineRule="exact"/>
        <w:ind w:firstLine="840" w:firstLineChars="300"/>
        <w:jc w:val="left"/>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连接形式:法兰连接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材质：304不锈钢</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数量：16个</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3）电动执行器</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名称：电动对夹式涡轮蝶阀</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主轴材质：304不锈钢 ，外壳材质：铸铁</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规格:DN400</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数量：16个</w:t>
      </w:r>
    </w:p>
    <w:p>
      <w:pPr>
        <w:pStyle w:val="26"/>
        <w:numPr>
          <w:ilvl w:val="0"/>
          <w:numId w:val="0"/>
        </w:numPr>
        <w:spacing w:line="520" w:lineRule="exact"/>
        <w:ind w:left="838" w:leftChars="399"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能接收开关量或脉冲信号：可输出4～20mA闸门开度信号，要求电动装置具有远程运行、停止等状态信号输出；</w:t>
      </w:r>
    </w:p>
    <w:p>
      <w:pPr>
        <w:pStyle w:val="26"/>
        <w:numPr>
          <w:ilvl w:val="0"/>
          <w:numId w:val="0"/>
        </w:numPr>
        <w:spacing w:line="520" w:lineRule="exact"/>
        <w:ind w:left="838" w:leftChars="399"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控制方式：手动控制及PLC集中控制：</w:t>
      </w:r>
    </w:p>
    <w:p>
      <w:pPr>
        <w:pStyle w:val="26"/>
        <w:numPr>
          <w:ilvl w:val="0"/>
          <w:numId w:val="0"/>
        </w:numPr>
        <w:spacing w:line="520" w:lineRule="exact"/>
        <w:ind w:left="838" w:leftChars="399"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手动控制：将选择开关放到就地机旁位置，操作人员就地开、关闸门。</w:t>
      </w:r>
    </w:p>
    <w:p>
      <w:pPr>
        <w:pStyle w:val="26"/>
        <w:numPr>
          <w:ilvl w:val="0"/>
          <w:numId w:val="0"/>
        </w:numPr>
        <w:spacing w:line="520" w:lineRule="exact"/>
        <w:ind w:left="838" w:leftChars="399"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PLC控制：将选择开关放到远程控制位置，由PLC远程开、关闸门。</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参照</w:t>
      </w:r>
      <w:r>
        <w:rPr>
          <w:rFonts w:hint="eastAsia" w:ascii="仿宋_GB2312" w:hAnsi="仿宋_GB2312" w:cs="仿宋_GB2312"/>
          <w:color w:val="auto"/>
          <w:kern w:val="2"/>
          <w:sz w:val="28"/>
          <w:szCs w:val="28"/>
          <w:highlight w:val="none"/>
          <w:u w:val="none"/>
          <w:lang w:val="en-US" w:eastAsia="zh-CN"/>
        </w:rPr>
        <w:t>或相当于天二通</w:t>
      </w:r>
      <w:r>
        <w:rPr>
          <w:rFonts w:hint="eastAsia" w:ascii="仿宋_GB2312" w:hAnsi="仿宋_GB2312" w:cs="仿宋_GB2312"/>
          <w:color w:val="auto"/>
          <w:kern w:val="2"/>
          <w:sz w:val="28"/>
          <w:szCs w:val="28"/>
          <w:highlight w:val="none"/>
          <w:u w:val="none"/>
          <w:lang w:eastAsia="zh-CN"/>
        </w:rPr>
        <w:t>、</w:t>
      </w:r>
      <w:r>
        <w:rPr>
          <w:rFonts w:hint="eastAsia" w:ascii="仿宋_GB2312" w:hAnsi="仿宋_GB2312" w:cs="仿宋_GB2312"/>
          <w:color w:val="auto"/>
          <w:kern w:val="2"/>
          <w:sz w:val="28"/>
          <w:szCs w:val="28"/>
          <w:highlight w:val="none"/>
          <w:u w:val="none"/>
          <w:lang w:val="en-US" w:eastAsia="zh-CN"/>
        </w:rPr>
        <w:t>奥托克</w:t>
      </w:r>
      <w:r>
        <w:rPr>
          <w:rFonts w:hint="eastAsia" w:ascii="仿宋_GB2312" w:hAnsi="仿宋_GB2312" w:cs="仿宋_GB2312"/>
          <w:color w:val="auto"/>
          <w:kern w:val="2"/>
          <w:sz w:val="28"/>
          <w:szCs w:val="28"/>
          <w:highlight w:val="none"/>
          <w:u w:val="none"/>
          <w:lang w:eastAsia="zh-CN"/>
        </w:rPr>
        <w:t>或同等及以上品牌。</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4）法兰</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名称：不锈钢法兰</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材质:304不锈钢</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规格:DN400</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连接形式:焊接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数量：16副</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5）配电箱</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名称：配电箱</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尺寸:500mm*400mm*200mm(高*宽*厚）离地1.5m</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材质:304不锈钢</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数量：16台</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控制箱室外落地式安装（带观察窗）</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电缆进出线为下进，下出线方式</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箱内塑料元件应无卤素，CFC，阻燃，自熄</w:t>
      </w:r>
    </w:p>
    <w:p>
      <w:pPr>
        <w:pStyle w:val="26"/>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numPr>
          <w:ilvl w:val="0"/>
          <w:numId w:val="0"/>
        </w:numPr>
        <w:ind w:firstLine="560" w:firstLineChars="200"/>
        <w:rPr>
          <w:rFonts w:hint="eastAsia" w:ascii="仿宋_GB2312" w:hAnsi="仿宋_GB2312" w:eastAsia="仿宋_GB2312" w:cs="仿宋_GB2312"/>
          <w:b w:val="0"/>
          <w:bCs w:val="0"/>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u w:val="single"/>
          <w:lang w:val="en-US" w:eastAsia="zh-CN"/>
          <w14:textFill>
            <w14:solidFill>
              <w14:schemeClr w14:val="tx1"/>
            </w14:solidFill>
          </w14:textFill>
        </w:rPr>
        <w:t>1.报价单位须是在中华人民共和国境内注册的独立法人或其他组织，具有独立法人资格，持有工商行政管理部门核发的营业执照，能开具增值税发票。</w:t>
      </w:r>
    </w:p>
    <w:p>
      <w:pPr>
        <w:pStyle w:val="26"/>
        <w:numPr>
          <w:ilvl w:val="0"/>
          <w:numId w:val="0"/>
        </w:numPr>
        <w:ind w:firstLine="560" w:firstLineChars="200"/>
        <w:rPr>
          <w:rFonts w:hint="eastAsia" w:ascii="仿宋_GB2312" w:hAnsi="仿宋_GB2312" w:cs="仿宋_GB2312"/>
          <w:b w:val="0"/>
          <w:bCs w:val="0"/>
          <w:color w:val="000000" w:themeColor="text1"/>
          <w:sz w:val="28"/>
          <w:szCs w:val="28"/>
          <w:highlight w:val="none"/>
          <w:u w:val="single"/>
          <w:lang w:val="en-US" w:eastAsia="zh-CN"/>
          <w14:textFill>
            <w14:solidFill>
              <w14:schemeClr w14:val="tx1"/>
            </w14:solidFill>
          </w14:textFill>
        </w:rPr>
      </w:pPr>
      <w:r>
        <w:rPr>
          <w:rFonts w:hint="eastAsia" w:ascii="仿宋_GB2312" w:hAnsi="仿宋_GB2312" w:cs="仿宋_GB2312"/>
          <w:b w:val="0"/>
          <w:bCs w:val="0"/>
          <w:color w:val="000000" w:themeColor="text1"/>
          <w:sz w:val="28"/>
          <w:szCs w:val="28"/>
          <w:highlight w:val="none"/>
          <w:u w:val="single"/>
          <w:lang w:val="en-US" w:eastAsia="zh-CN"/>
          <w14:textFill>
            <w14:solidFill>
              <w14:schemeClr w14:val="tx1"/>
            </w14:solidFill>
          </w14:textFill>
        </w:rPr>
        <w:t>2.具有建筑机电工程专业承包三级（乙级）（或以上）资质；同时具有建设主管部门颁发且在有效期内的《安全生产许可证》。</w:t>
      </w:r>
    </w:p>
    <w:p>
      <w:pPr>
        <w:numPr>
          <w:ilvl w:val="-1"/>
          <w:numId w:val="0"/>
        </w:numPr>
        <w:autoSpaceDE w:val="0"/>
        <w:autoSpaceDN w:val="0"/>
        <w:ind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2018年1月1日至今，最少具有一项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30万元以上阀门安装、改造或维修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业绩（提供合同复印件证明，包括但不限于项目名称、金额及实施内容、合同双方签字盖章、签订日期，并加盖单位公章）</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numPr>
          <w:ilvl w:val="0"/>
          <w:numId w:val="1"/>
        </w:num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现场踏勘(答疑会)时间、地点（也可由</w:t>
      </w:r>
      <w:r>
        <w:rPr>
          <w:rFonts w:hint="eastAsia" w:ascii="仿宋_GB2312" w:hAnsi="仿宋_GB2312" w:eastAsia="仿宋_GB2312" w:cs="仿宋_GB2312"/>
          <w:color w:val="auto"/>
          <w:sz w:val="28"/>
          <w:szCs w:val="28"/>
          <w:highlight w:val="none"/>
          <w:lang w:val="en-US" w:eastAsia="zh-CN"/>
        </w:rPr>
        <w:t>报价人</w:t>
      </w:r>
      <w:r>
        <w:rPr>
          <w:rFonts w:hint="eastAsia" w:ascii="仿宋_GB2312" w:hAnsi="仿宋_GB2312" w:eastAsia="仿宋_GB2312" w:cs="仿宋_GB2312"/>
          <w:color w:val="auto"/>
          <w:sz w:val="28"/>
          <w:szCs w:val="28"/>
          <w:highlight w:val="none"/>
          <w:lang w:val="zh-CN"/>
        </w:rPr>
        <w:t>自行踏勘现场）：</w:t>
      </w:r>
    </w:p>
    <w:p>
      <w:pPr>
        <w:autoSpaceDE w:val="0"/>
        <w:autoSpaceDN w:val="0"/>
        <w:spacing w:line="500" w:lineRule="exact"/>
        <w:ind w:firstLine="560" w:firstLineChars="200"/>
        <w:rPr>
          <w:rFonts w:hint="eastAsia" w:ascii="仿宋" w:hAnsi="仿宋" w:eastAsia="仿宋" w:cs="仿宋"/>
          <w:color w:val="000000"/>
          <w:sz w:val="28"/>
          <w:szCs w:val="28"/>
          <w:highlight w:val="none"/>
          <w:lang w:val="zh-CN"/>
        </w:rPr>
      </w:pPr>
      <w:r>
        <w:rPr>
          <w:rFonts w:hint="eastAsia" w:ascii="仿宋" w:hAnsi="仿宋" w:eastAsia="仿宋" w:cs="仿宋"/>
          <w:color w:val="000000"/>
          <w:sz w:val="28"/>
          <w:szCs w:val="28"/>
          <w:highlight w:val="none"/>
          <w:lang w:val="zh-CN"/>
        </w:rPr>
        <w:t>为保证</w:t>
      </w:r>
      <w:r>
        <w:rPr>
          <w:rFonts w:hint="eastAsia" w:ascii="仿宋" w:hAnsi="仿宋" w:eastAsia="仿宋" w:cs="仿宋"/>
          <w:color w:val="000000"/>
          <w:sz w:val="28"/>
          <w:szCs w:val="28"/>
          <w:highlight w:val="none"/>
          <w:lang w:val="en-US" w:eastAsia="zh-CN"/>
        </w:rPr>
        <w:t>各报价单位的技术</w:t>
      </w:r>
      <w:r>
        <w:rPr>
          <w:rFonts w:hint="eastAsia" w:ascii="仿宋" w:hAnsi="仿宋" w:eastAsia="仿宋" w:cs="仿宋"/>
          <w:color w:val="000000"/>
          <w:sz w:val="28"/>
          <w:szCs w:val="28"/>
          <w:highlight w:val="none"/>
          <w:lang w:val="zh-CN"/>
        </w:rPr>
        <w:t>能满足现场安装</w:t>
      </w:r>
      <w:r>
        <w:rPr>
          <w:rFonts w:hint="eastAsia" w:ascii="仿宋" w:hAnsi="仿宋" w:eastAsia="仿宋" w:cs="仿宋"/>
          <w:color w:val="000000"/>
          <w:sz w:val="28"/>
          <w:szCs w:val="28"/>
          <w:highlight w:val="none"/>
          <w:lang w:val="en-US" w:eastAsia="zh-CN"/>
        </w:rPr>
        <w:t>调试</w:t>
      </w:r>
      <w:r>
        <w:rPr>
          <w:rFonts w:hint="eastAsia" w:ascii="仿宋" w:hAnsi="仿宋" w:eastAsia="仿宋" w:cs="仿宋"/>
          <w:color w:val="000000"/>
          <w:sz w:val="28"/>
          <w:szCs w:val="28"/>
          <w:highlight w:val="none"/>
          <w:lang w:val="zh-CN"/>
        </w:rPr>
        <w:t>要求</w:t>
      </w:r>
      <w:r>
        <w:rPr>
          <w:rFonts w:hint="eastAsia" w:ascii="仿宋" w:hAnsi="仿宋" w:eastAsia="仿宋" w:cs="仿宋"/>
          <w:color w:val="000000"/>
          <w:sz w:val="28"/>
          <w:szCs w:val="28"/>
          <w:highlight w:val="none"/>
          <w:lang w:val="en-US" w:eastAsia="zh-CN"/>
        </w:rPr>
        <w:t>，本项目在提交响应文件前需要进行现场踏勘，未进行现场踏勘的，报价一律视为无效报价</w:t>
      </w:r>
      <w:r>
        <w:rPr>
          <w:rFonts w:hint="eastAsia" w:ascii="仿宋" w:hAnsi="仿宋" w:eastAsia="仿宋" w:cs="仿宋"/>
          <w:color w:val="000000"/>
          <w:sz w:val="28"/>
          <w:szCs w:val="28"/>
          <w:highlight w:val="none"/>
          <w:lang w:val="zh-CN"/>
        </w:rPr>
        <w:t>，一律视为无效报价，提交报价文件时需附上现场踏勘委派书（需求单位及报价单位均需盖章）复印件。由本项目承办单位在现场踏勘回执（见附件现场踏勘委派书）盖章确认。</w:t>
      </w:r>
    </w:p>
    <w:p>
      <w:pPr>
        <w:numPr>
          <w:ilvl w:val="0"/>
          <w:numId w:val="2"/>
        </w:numPr>
        <w:autoSpaceDE/>
        <w:autoSpaceDN/>
        <w:ind w:left="279" w:leftChars="133" w:firstLine="305" w:firstLineChars="109"/>
        <w:rPr>
          <w:rFonts w:hint="eastAsia" w:ascii="仿宋" w:hAnsi="仿宋" w:eastAsia="仿宋" w:cs="仿宋"/>
          <w:color w:val="000000"/>
          <w:sz w:val="28"/>
          <w:szCs w:val="28"/>
          <w:highlight w:val="none"/>
          <w:u w:val="none"/>
          <w:lang w:val="en-US" w:eastAsia="zh-CN"/>
        </w:rPr>
      </w:pPr>
      <w:r>
        <w:rPr>
          <w:rFonts w:hint="eastAsia" w:ascii="仿宋" w:hAnsi="仿宋" w:eastAsia="仿宋" w:cs="仿宋"/>
          <w:color w:val="000000"/>
          <w:sz w:val="28"/>
          <w:szCs w:val="28"/>
          <w:highlight w:val="none"/>
          <w:lang w:val="zh-CN"/>
        </w:rPr>
        <w:t>现场踏勘(答疑会)集合时间：</w:t>
      </w:r>
      <w:r>
        <w:rPr>
          <w:rFonts w:hint="eastAsia" w:ascii="仿宋" w:hAnsi="仿宋" w:eastAsia="仿宋" w:cs="仿宋"/>
          <w:color w:val="000000"/>
          <w:sz w:val="28"/>
          <w:szCs w:val="28"/>
          <w:highlight w:val="none"/>
          <w:lang w:val="en-US" w:eastAsia="zh-CN"/>
        </w:rPr>
        <w:t>2021年11月8日14</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15时</w:t>
      </w:r>
    </w:p>
    <w:p>
      <w:pPr>
        <w:numPr>
          <w:numId w:val="0"/>
        </w:numPr>
        <w:autoSpaceDE/>
        <w:autoSpaceDN/>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2. 现场踏勘(答疑会)集合地点：</w:t>
      </w:r>
      <w:r>
        <w:rPr>
          <w:rFonts w:hint="eastAsia" w:ascii="仿宋" w:hAnsi="仿宋" w:eastAsia="仿宋" w:cs="仿宋"/>
          <w:sz w:val="28"/>
          <w:szCs w:val="28"/>
          <w:highlight w:val="none"/>
          <w:lang w:val="en-US" w:eastAsia="zh-CN"/>
        </w:rPr>
        <w:t>广州市白云区夏花一路551号广州市净水有限公司石井分公司。</w:t>
      </w:r>
      <w:r>
        <w:rPr>
          <w:rFonts w:hint="eastAsia" w:ascii="仿宋" w:hAnsi="仿宋" w:eastAsia="仿宋" w:cs="仿宋"/>
          <w:sz w:val="28"/>
          <w:szCs w:val="28"/>
          <w:highlight w:val="none"/>
        </w:rPr>
        <w:t xml:space="preserve"> </w:t>
      </w:r>
    </w:p>
    <w:p>
      <w:pPr>
        <w:autoSpaceDE/>
        <w:autoSpaceDN/>
        <w:ind w:firstLine="588" w:firstLineChars="210"/>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zh-CN"/>
        </w:rPr>
        <w:t>. 现场踏勘(答疑会)时间：</w:t>
      </w:r>
      <w:r>
        <w:rPr>
          <w:rFonts w:hint="eastAsia" w:ascii="仿宋" w:hAnsi="仿宋" w:eastAsia="仿宋" w:cs="仿宋"/>
          <w:color w:val="000000"/>
          <w:sz w:val="28"/>
          <w:szCs w:val="28"/>
          <w:highlight w:val="none"/>
          <w:lang w:val="en-US" w:eastAsia="zh-CN"/>
        </w:rPr>
        <w:t>2021年11月8日15</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spacing w:line="520" w:lineRule="exact"/>
        <w:ind w:firstLine="588" w:firstLineChars="210"/>
        <w:rPr>
          <w:rFonts w:hint="eastAsia" w:ascii="仿宋" w:hAnsi="仿宋" w:eastAsia="仿宋" w:cs="仿宋"/>
          <w:color w:val="000000"/>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在202</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rPr>
          <w:rFonts w:hint="eastAsia" w:ascii="仿宋" w:hAnsi="仿宋" w:eastAsia="仿宋" w:cs="仿宋"/>
          <w:color w:val="000000"/>
          <w:sz w:val="28"/>
          <w:szCs w:val="28"/>
        </w:rPr>
      </w:pPr>
      <w:r>
        <w:rPr>
          <w:rFonts w:hint="eastAsia" w:ascii="仿宋" w:hAnsi="仿宋" w:eastAsia="仿宋" w:cs="仿宋"/>
          <w:color w:val="000000"/>
          <w:sz w:val="28"/>
          <w:szCs w:val="28"/>
        </w:rPr>
        <w:t>九、询价响应文件递交时间：202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时30分至</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时00分；询价响应文件递交截止时间：202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时00分。</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十、询价响应文件送达地点：广州市临江大道501号广州市净水有限公司</w:t>
      </w:r>
      <w:r>
        <w:rPr>
          <w:rFonts w:hint="eastAsia" w:ascii="仿宋" w:hAnsi="仿宋" w:eastAsia="仿宋" w:cs="仿宋"/>
          <w:color w:val="000000"/>
          <w:sz w:val="28"/>
          <w:szCs w:val="28"/>
          <w:lang w:eastAsia="zh-CN"/>
        </w:rPr>
        <w:t>。</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十一、评审时间：202</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时00分</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十二、评审地点：</w:t>
      </w:r>
      <w:r>
        <w:rPr>
          <w:rFonts w:hint="eastAsia" w:ascii="仿宋" w:hAnsi="仿宋" w:eastAsia="仿宋" w:cs="仿宋"/>
          <w:color w:val="000000"/>
          <w:sz w:val="28"/>
          <w:szCs w:val="28"/>
          <w:highlight w:val="none"/>
        </w:rPr>
        <w:t>广州市净水有限公司六楼</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rPr>
        <w:t>办</w:t>
      </w:r>
      <w:r>
        <w:rPr>
          <w:rFonts w:hint="eastAsia" w:ascii="仿宋" w:hAnsi="仿宋" w:eastAsia="仿宋" w:cs="仿宋"/>
          <w:color w:val="000000"/>
          <w:sz w:val="28"/>
          <w:szCs w:val="28"/>
        </w:rPr>
        <w:t xml:space="preserve"> </w:t>
      </w:r>
    </w:p>
    <w:p>
      <w:pPr>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十三、联系方式</w:t>
      </w:r>
    </w:p>
    <w:p>
      <w:pPr>
        <w:snapToGrid w:val="0"/>
        <w:spacing w:line="360" w:lineRule="auto"/>
        <w:ind w:firstLine="840" w:firstLineChars="3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询价</w:t>
      </w:r>
      <w:r>
        <w:rPr>
          <w:rFonts w:hint="eastAsia" w:ascii="仿宋" w:hAnsi="仿宋" w:eastAsia="仿宋" w:cs="仿宋"/>
          <w:color w:val="000000"/>
          <w:kern w:val="0"/>
          <w:sz w:val="28"/>
          <w:szCs w:val="28"/>
        </w:rPr>
        <w:t>人：</w:t>
      </w:r>
      <w:bookmarkStart w:id="0" w:name="_Hlk14424022"/>
      <w:r>
        <w:rPr>
          <w:rFonts w:hint="eastAsia" w:ascii="仿宋" w:hAnsi="仿宋" w:eastAsia="仿宋" w:cs="仿宋"/>
          <w:color w:val="000000"/>
          <w:sz w:val="28"/>
          <w:szCs w:val="28"/>
          <w:highlight w:val="none"/>
        </w:rPr>
        <w:t>广州市净水有限公司</w:t>
      </w:r>
      <w:bookmarkEnd w:id="0"/>
      <w:r>
        <w:rPr>
          <w:rFonts w:hint="eastAsia" w:ascii="仿宋" w:hAnsi="仿宋" w:eastAsia="仿宋" w:cs="仿宋"/>
          <w:color w:val="000000"/>
          <w:kern w:val="0"/>
          <w:sz w:val="28"/>
          <w:szCs w:val="28"/>
        </w:rPr>
        <w:t xml:space="preserve"> </w:t>
      </w:r>
    </w:p>
    <w:p>
      <w:pPr>
        <w:snapToGrid w:val="0"/>
        <w:spacing w:line="360" w:lineRule="auto"/>
        <w:ind w:firstLine="840" w:firstLineChars="3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联系地址：</w:t>
      </w:r>
      <w:r>
        <w:rPr>
          <w:rFonts w:hint="eastAsia" w:ascii="仿宋" w:hAnsi="仿宋" w:eastAsia="仿宋" w:cs="仿宋"/>
          <w:color w:val="000000"/>
          <w:kern w:val="0"/>
          <w:sz w:val="28"/>
          <w:szCs w:val="28"/>
          <w:lang w:val="en-US" w:eastAsia="zh-CN"/>
        </w:rPr>
        <w:t xml:space="preserve">广州市天河区临江大道501号 </w:t>
      </w:r>
    </w:p>
    <w:p>
      <w:pPr>
        <w:snapToGrid w:val="0"/>
        <w:spacing w:line="360" w:lineRule="auto"/>
        <w:ind w:firstLine="840" w:firstLineChars="300"/>
        <w:rPr>
          <w:rFonts w:hint="default" w:ascii="Times New Roman" w:hAnsi="Times New Roman" w:eastAsia="仿宋_GB2312" w:cs="Times New Roman"/>
          <w:color w:val="000000"/>
          <w:kern w:val="0"/>
          <w:sz w:val="28"/>
          <w:szCs w:val="28"/>
        </w:rPr>
      </w:pPr>
      <w:r>
        <w:rPr>
          <w:rFonts w:hint="eastAsia" w:ascii="仿宋" w:hAnsi="仿宋" w:eastAsia="仿宋" w:cs="仿宋"/>
          <w:color w:val="000000"/>
          <w:kern w:val="0"/>
          <w:sz w:val="28"/>
          <w:szCs w:val="28"/>
          <w:lang w:val="en-US" w:eastAsia="zh-CN"/>
        </w:rPr>
        <w:t xml:space="preserve">联系人：黄工          联系方式：020-62315524 </w:t>
      </w:r>
    </w:p>
    <w:p>
      <w:pPr>
        <w:ind w:firstLine="4340" w:firstLineChars="155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p>
    <w:p>
      <w:pPr>
        <w:ind w:firstLine="6020" w:firstLineChars="2150"/>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kern w:val="0"/>
          <w:sz w:val="28"/>
          <w:szCs w:val="28"/>
        </w:rPr>
        <w:t>广州市净水有限公司</w:t>
      </w:r>
    </w:p>
    <w:p>
      <w:pPr>
        <w:spacing w:line="520" w:lineRule="exact"/>
        <w:ind w:firstLine="3920" w:firstLineChars="1400"/>
        <w:rPr>
          <w:rFonts w:hint="eastAsia" w:ascii="仿宋_GB2312" w:hAnsi="仿宋_GB2312" w:eastAsia="仿宋_GB2312" w:cs="仿宋_GB2312"/>
          <w:color w:val="auto"/>
          <w:sz w:val="28"/>
          <w:szCs w:val="28"/>
          <w:highlight w:val="none"/>
        </w:rPr>
      </w:pP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eastAsia" w:eastAsia="仿宋_GB2312" w:cs="Times New Roman"/>
          <w:color w:val="000000"/>
          <w:sz w:val="28"/>
          <w:szCs w:val="28"/>
          <w:lang w:val="en-US" w:eastAsia="zh-CN"/>
        </w:rPr>
        <w:t xml:space="preserve">          </w:t>
      </w:r>
      <w:r>
        <w:rPr>
          <w:rFonts w:hint="eastAsia" w:ascii="仿宋" w:hAnsi="仿宋" w:eastAsia="仿宋" w:cs="仿宋"/>
          <w:color w:val="000000"/>
          <w:sz w:val="28"/>
          <w:szCs w:val="28"/>
          <w:lang w:val="en-US" w:eastAsia="zh-CN"/>
        </w:rPr>
        <w:t>2021</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w:t>
      </w: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r>
        <w:rPr>
          <w:rFonts w:hint="eastAsia" w:ascii="仿宋_GB2312" w:hAnsi="仿宋_GB2312" w:eastAsia="仿宋_GB2312" w:cs="仿宋_GB2312"/>
          <w:sz w:val="28"/>
          <w:szCs w:val="28"/>
          <w:highlight w:val="none"/>
          <w:lang w:val="en-US" w:eastAsia="zh-CN"/>
        </w:rPr>
        <w:t>石井分公司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color w:val="auto"/>
          <w:sz w:val="28"/>
          <w:szCs w:val="28"/>
          <w:highlight w:val="none"/>
          <w:u w:val="single"/>
          <w:lang w:val="en-US" w:eastAsia="zh-CN"/>
        </w:rPr>
        <w:t>石井分公司反应池廊道曝气管增加气阀项目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6"/>
        <w:rPr>
          <w:rFonts w:hint="eastAsia"/>
          <w:highlight w:val="none"/>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6"/>
        <w:rPr>
          <w:rFonts w:hint="eastAsia"/>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石井分公司（盖章）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经办人：张工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联系电话：020-66843464-8306</w:t>
            </w:r>
          </w:p>
        </w:tc>
      </w:tr>
    </w:tbl>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0"/>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0"/>
        <w:numPr>
          <w:ilvl w:val="0"/>
          <w:numId w:val="3"/>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numPr>
          <w:ilvl w:val="0"/>
          <w:numId w:val="0"/>
        </w:numPr>
        <w:spacing w:line="520" w:lineRule="exact"/>
        <w:ind w:firstLine="588" w:firstLineChars="210"/>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auto"/>
          <w:kern w:val="2"/>
          <w:sz w:val="28"/>
          <w:szCs w:val="28"/>
          <w:highlight w:val="none"/>
          <w:u w:val="none"/>
        </w:rPr>
        <w:t>本工程为广州市净水有限公司石井分公司反应池廊道曝气管增加气阀项目，主要工作内容是在16个反应池曝气支管上安装电动阀门、伸缩节并配备就地控制柜</w:t>
      </w:r>
      <w:r>
        <w:rPr>
          <w:rFonts w:hint="eastAsia" w:ascii="仿宋" w:hAnsi="仿宋" w:eastAsia="仿宋" w:cs="仿宋"/>
          <w:color w:val="auto"/>
          <w:kern w:val="2"/>
          <w:sz w:val="28"/>
          <w:szCs w:val="28"/>
          <w:highlight w:val="none"/>
          <w:u w:val="none"/>
          <w:lang w:eastAsia="zh-CN"/>
        </w:rPr>
        <w:t>。</w:t>
      </w:r>
    </w:p>
    <w:p>
      <w:pPr>
        <w:pStyle w:val="10"/>
        <w:numPr>
          <w:ilvl w:val="0"/>
          <w:numId w:val="3"/>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ind w:firstLine="560" w:firstLineChars="200"/>
        <w:jc w:val="left"/>
        <w:rPr>
          <w:rFonts w:hint="eastAsia" w:ascii="仿宋" w:hAnsi="仿宋" w:eastAsia="仿宋" w:cs="仿宋"/>
          <w:sz w:val="28"/>
          <w:szCs w:val="28"/>
          <w:highlight w:val="none"/>
          <w:u w:val="none"/>
        </w:rPr>
      </w:pPr>
      <w:r>
        <w:rPr>
          <w:rFonts w:hint="eastAsia" w:ascii="仿宋" w:hAnsi="仿宋" w:eastAsia="仿宋" w:cs="仿宋"/>
          <w:color w:val="auto"/>
          <w:kern w:val="2"/>
          <w:sz w:val="28"/>
          <w:szCs w:val="28"/>
          <w:highlight w:val="none"/>
          <w:u w:val="none"/>
          <w:lang w:val="en-US" w:eastAsia="zh-CN"/>
        </w:rPr>
        <w:t>根据图纸，结合现场勘察，以及曝气管为直径DN400，确定如下方案，每条支管新增电动阀门、伸缩节并配备就地控制柜，具体数量及参数如下：</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1)阀门</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名称：蝶阀</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规格：DN400</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压力：1.0MPA</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连接形式:法兰连接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阀芯、阀板、螺母  材质：304不锈钢，外壳材质：铸铁</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数量：16个</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2）伸缩节</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名称：不锈钢波纹伸缩节器</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规格：DN400</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压力：1.0MPA;</w:t>
      </w:r>
    </w:p>
    <w:p>
      <w:pPr>
        <w:pStyle w:val="26"/>
        <w:numPr>
          <w:ilvl w:val="0"/>
          <w:numId w:val="0"/>
        </w:numPr>
        <w:spacing w:line="520" w:lineRule="exact"/>
        <w:ind w:firstLine="840" w:firstLineChars="300"/>
        <w:jc w:val="left"/>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连接形式:法兰连接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材质：304不锈钢</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数量：16个</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3）电动执行器</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名称：电动对夹式涡轮蝶阀</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主轴材质：</w:t>
      </w:r>
      <w:r>
        <w:rPr>
          <w:rFonts w:hint="eastAsia" w:ascii="仿宋_GB2312" w:hAnsi="仿宋_GB2312" w:cs="仿宋_GB2312"/>
          <w:color w:val="auto"/>
          <w:kern w:val="2"/>
          <w:sz w:val="28"/>
          <w:szCs w:val="28"/>
          <w:highlight w:val="none"/>
          <w:u w:val="none"/>
          <w:lang w:val="en-US" w:eastAsia="zh-CN"/>
        </w:rPr>
        <w:t>304</w:t>
      </w:r>
      <w:r>
        <w:rPr>
          <w:rFonts w:hint="eastAsia" w:ascii="仿宋_GB2312" w:hAnsi="仿宋_GB2312" w:cs="仿宋_GB2312"/>
          <w:color w:val="auto"/>
          <w:kern w:val="2"/>
          <w:sz w:val="28"/>
          <w:szCs w:val="28"/>
          <w:highlight w:val="none"/>
          <w:u w:val="none"/>
          <w:lang w:eastAsia="zh-CN"/>
        </w:rPr>
        <w:t>不锈钢 ，外壳材质：铸铁</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规格:DN400</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连接形式:法兰连接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数量：16个</w:t>
      </w:r>
    </w:p>
    <w:p>
      <w:pPr>
        <w:pStyle w:val="26"/>
        <w:numPr>
          <w:ilvl w:val="0"/>
          <w:numId w:val="0"/>
        </w:numPr>
        <w:spacing w:line="520" w:lineRule="exact"/>
        <w:ind w:left="838" w:leftChars="399"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能接收开关量或脉冲信号：可输出4～20mA闸门开度信号，要求电动装置具有远程运行、停止等状态信号输出；</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控制方式：手动控制及PLC集中控制：</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手动控制：将选择开关放到就地机旁位置，操作人员就地开、关闸门。</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PLC控制：将选择开关放到远程控制位置，由PLC远程开、关闸门。</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参照</w:t>
      </w:r>
      <w:r>
        <w:rPr>
          <w:rFonts w:hint="eastAsia" w:ascii="仿宋_GB2312" w:hAnsi="仿宋_GB2312" w:cs="仿宋_GB2312"/>
          <w:color w:val="auto"/>
          <w:kern w:val="2"/>
          <w:sz w:val="28"/>
          <w:szCs w:val="28"/>
          <w:highlight w:val="none"/>
          <w:u w:val="none"/>
          <w:lang w:val="en-US" w:eastAsia="zh-CN"/>
        </w:rPr>
        <w:t>或相当于</w:t>
      </w:r>
      <w:r>
        <w:rPr>
          <w:rFonts w:hint="eastAsia" w:ascii="仿宋_GB2312" w:hAnsi="仿宋_GB2312" w:cs="仿宋_GB2312"/>
          <w:color w:val="auto"/>
          <w:kern w:val="2"/>
          <w:sz w:val="28"/>
          <w:szCs w:val="28"/>
          <w:highlight w:val="none"/>
          <w:u w:val="none"/>
          <w:lang w:eastAsia="zh-CN"/>
        </w:rPr>
        <w:t>天二通、奥托克或同等及以上品牌。</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4）法兰</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名称：不锈钢法兰</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材质:304不锈钢</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规格:DN400</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连接形式:焊接</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数量：16副</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5）配电箱</w:t>
      </w:r>
    </w:p>
    <w:p>
      <w:pPr>
        <w:pStyle w:val="26"/>
        <w:numPr>
          <w:ilvl w:val="0"/>
          <w:numId w:val="0"/>
        </w:numPr>
        <w:spacing w:line="520" w:lineRule="exact"/>
        <w:ind w:firstLine="0" w:firstLineChars="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 xml:space="preserve">    </w:t>
      </w:r>
      <w:r>
        <w:rPr>
          <w:rFonts w:hint="eastAsia" w:ascii="仿宋_GB2312" w:hAnsi="仿宋_GB2312" w:cs="仿宋_GB2312"/>
          <w:color w:val="auto"/>
          <w:kern w:val="2"/>
          <w:sz w:val="28"/>
          <w:szCs w:val="28"/>
          <w:highlight w:val="none"/>
          <w:u w:val="none"/>
          <w:lang w:val="en-US" w:eastAsia="zh-CN"/>
        </w:rPr>
        <w:t xml:space="preserve">  </w:t>
      </w:r>
      <w:r>
        <w:rPr>
          <w:rFonts w:hint="eastAsia" w:ascii="仿宋_GB2312" w:hAnsi="仿宋_GB2312" w:cs="仿宋_GB2312"/>
          <w:color w:val="auto"/>
          <w:kern w:val="2"/>
          <w:sz w:val="28"/>
          <w:szCs w:val="28"/>
          <w:highlight w:val="none"/>
          <w:u w:val="none"/>
          <w:lang w:eastAsia="zh-CN"/>
        </w:rPr>
        <w:t>名称：配电箱</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尺寸:500mm*400mm*200mm(高*宽*厚）离地1.5m</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材质:304不锈钢</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eastAsia="zh-CN"/>
        </w:rPr>
      </w:pPr>
      <w:r>
        <w:rPr>
          <w:rFonts w:hint="eastAsia" w:ascii="仿宋_GB2312" w:hAnsi="仿宋_GB2312" w:cs="仿宋_GB2312"/>
          <w:color w:val="auto"/>
          <w:kern w:val="2"/>
          <w:sz w:val="28"/>
          <w:szCs w:val="28"/>
          <w:highlight w:val="none"/>
          <w:u w:val="none"/>
          <w:lang w:eastAsia="zh-CN"/>
        </w:rPr>
        <w:t>数量：16台</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控制箱室外落地式安装（带观察窗）</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电缆进出线为下进，下出线方式</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箱内塑料元件应无卤素，CFC，阻燃，自熄</w:t>
      </w:r>
    </w:p>
    <w:p>
      <w:pPr>
        <w:pStyle w:val="26"/>
        <w:numPr>
          <w:ilvl w:val="0"/>
          <w:numId w:val="0"/>
        </w:numPr>
        <w:spacing w:line="520" w:lineRule="exact"/>
        <w:ind w:firstLine="840" w:firstLineChars="300"/>
        <w:rPr>
          <w:rFonts w:hint="eastAsia" w:ascii="仿宋_GB2312" w:hAnsi="仿宋_GB2312" w:cs="仿宋_GB2312"/>
          <w:color w:val="auto"/>
          <w:kern w:val="2"/>
          <w:sz w:val="28"/>
          <w:szCs w:val="28"/>
          <w:highlight w:val="none"/>
          <w:u w:val="none"/>
          <w:lang w:val="en-US" w:eastAsia="zh-CN"/>
        </w:rPr>
      </w:pPr>
      <w:r>
        <w:rPr>
          <w:rFonts w:hint="eastAsia" w:ascii="仿宋_GB2312" w:hAnsi="仿宋_GB2312" w:cs="仿宋_GB2312"/>
          <w:color w:val="auto"/>
          <w:kern w:val="2"/>
          <w:sz w:val="28"/>
          <w:szCs w:val="28"/>
          <w:highlight w:val="none"/>
          <w:u w:val="none"/>
          <w:lang w:val="en-US" w:eastAsia="zh-CN"/>
        </w:rPr>
        <w:t xml:space="preserve"> 安装位置如下图红色框框位置所示</w:t>
      </w:r>
    </w:p>
    <w:p>
      <w:pPr>
        <w:ind w:left="642" w:firstLine="0" w:firstLineChars="0"/>
        <w:jc w:val="left"/>
      </w:pPr>
      <w:r>
        <w:drawing>
          <wp:inline distT="0" distB="0" distL="114300" distR="114300">
            <wp:extent cx="5083810" cy="2838450"/>
            <wp:effectExtent l="0" t="0" r="25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083810" cy="2838450"/>
                    </a:xfrm>
                    <a:prstGeom prst="rect">
                      <a:avLst/>
                    </a:prstGeom>
                    <a:noFill/>
                    <a:ln>
                      <a:noFill/>
                    </a:ln>
                  </pic:spPr>
                </pic:pic>
              </a:graphicData>
            </a:graphic>
          </wp:inline>
        </w:drawing>
      </w:r>
    </w:p>
    <w:p>
      <w:pPr>
        <w:pStyle w:val="26"/>
        <w:rPr>
          <w:rFonts w:hint="eastAsia"/>
          <w:b/>
          <w:bCs/>
          <w:sz w:val="32"/>
          <w:szCs w:val="32"/>
          <w:highlight w:val="none"/>
          <w:lang w:val="en-US" w:eastAsia="zh-CN"/>
        </w:rPr>
      </w:pPr>
    </w:p>
    <w:p>
      <w:pPr>
        <w:pStyle w:val="26"/>
        <w:rPr>
          <w:rFonts w:hint="eastAsia" w:asciiTheme="minorEastAsia" w:hAnsiTheme="minorEastAsia" w:eastAsiaTheme="minorEastAsia" w:cstheme="minorEastAsia"/>
          <w:color w:val="auto"/>
          <w:sz w:val="24"/>
          <w:highlight w:val="none"/>
          <w:u w:val="single"/>
          <w:lang w:val="en-US" w:eastAsia="zh-CN"/>
        </w:rPr>
      </w:pPr>
      <w:r>
        <w:rPr>
          <w:rFonts w:hint="eastAsia"/>
          <w:b/>
          <w:bCs/>
          <w:sz w:val="32"/>
          <w:szCs w:val="32"/>
          <w:highlight w:val="none"/>
          <w:lang w:val="en-US" w:eastAsia="zh-CN"/>
        </w:rPr>
        <w:t>备件清单</w:t>
      </w:r>
    </w:p>
    <w:tbl>
      <w:tblPr>
        <w:tblStyle w:val="20"/>
        <w:tblpPr w:leftFromText="180" w:rightFromText="180" w:vertAnchor="text" w:horzAnchor="page" w:tblpX="1035" w:tblpY="87"/>
        <w:tblOverlap w:val="never"/>
        <w:tblW w:w="92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9"/>
        <w:gridCol w:w="2026"/>
        <w:gridCol w:w="2723"/>
        <w:gridCol w:w="1454"/>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9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序号</w:t>
            </w:r>
          </w:p>
        </w:tc>
        <w:tc>
          <w:tcPr>
            <w:tcW w:w="202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项目名称</w:t>
            </w:r>
          </w:p>
        </w:tc>
        <w:tc>
          <w:tcPr>
            <w:tcW w:w="272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项目特征描述</w:t>
            </w:r>
          </w:p>
        </w:tc>
        <w:tc>
          <w:tcPr>
            <w:tcW w:w="145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计量单位</w:t>
            </w:r>
          </w:p>
        </w:tc>
        <w:tc>
          <w:tcPr>
            <w:tcW w:w="205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2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72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99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2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72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5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整个项目</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钢管开孔</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304不锈钢伸缩节安装</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1.名称：不锈钢伸缩节</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2.材质:304不锈钢</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3.规格:DN400</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低压不锈钢法兰</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1.材质:304不锈钢</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2.型号、规格:DN400</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3.连接形式:焊接</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副</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低压齿轮、液压传动、电动阀门</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1.名称:电动对夹式涡轮蝶阀</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2.材质:不锈钢</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3.型号、规格:DN400</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4.连接形式:法兰连接       5.执行器</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个</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配电箱</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1.名称、型号:动力配电箱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2.规格:外形尺寸500mm×400mm×200mm(高×宽×厚)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3.离地1.5m</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台</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电缆保护管</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1.材质:PVC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2.规格:DN32mm</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电力电缆</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1.型号:铜芯电缆YJV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2.规格:5×2.5mm2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3.敷设方式:沿电缆沟敷设</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控制电缆</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1.型号:KVV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2.规格:7×1.5mm2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3.敷设方式:电缆敷设</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控制电缆</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1.型号:KVV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 xml:space="preserve">2.规格:4×1mm2  </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3.敷设方式:电缆敷设</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波纹管敷设</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1.材质:PVC</w:t>
            </w:r>
            <w:r>
              <w:rPr>
                <w:rFonts w:hint="eastAsia" w:ascii="仿宋" w:hAnsi="仿宋" w:eastAsia="仿宋" w:cs="仿宋"/>
                <w:i w:val="0"/>
                <w:color w:val="000000"/>
                <w:kern w:val="0"/>
                <w:sz w:val="20"/>
                <w:szCs w:val="20"/>
                <w:u w:val="none"/>
                <w:lang w:val="en-US" w:eastAsia="zh-CN" w:bidi="ar"/>
              </w:rPr>
              <w:br w:type="textWrapping"/>
            </w:r>
            <w:r>
              <w:rPr>
                <w:rFonts w:hint="eastAsia" w:ascii="仿宋" w:hAnsi="仿宋" w:eastAsia="仿宋" w:cs="仿宋"/>
                <w:i w:val="0"/>
                <w:color w:val="000000"/>
                <w:kern w:val="0"/>
                <w:sz w:val="20"/>
                <w:szCs w:val="20"/>
                <w:u w:val="none"/>
                <w:lang w:val="en-US" w:eastAsia="zh-CN" w:bidi="ar"/>
              </w:rPr>
              <w:t>2.规格:25</w:t>
            </w: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m</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措施项目</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活动塑料隔断</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202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脚手架搭拆费</w:t>
            </w:r>
          </w:p>
        </w:tc>
        <w:tc>
          <w:tcPr>
            <w:tcW w:w="2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仿宋" w:hAnsi="仿宋" w:eastAsia="仿宋" w:cs="仿宋"/>
                <w:i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w:t>
            </w:r>
          </w:p>
        </w:tc>
        <w:tc>
          <w:tcPr>
            <w:tcW w:w="205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r>
    </w:tbl>
    <w:p>
      <w:pPr>
        <w:jc w:val="left"/>
        <w:rPr>
          <w:rFonts w:hint="eastAsia" w:ascii="宋体" w:hAnsi="宋体" w:eastAsia="宋体" w:cs="宋体"/>
          <w:b/>
          <w:color w:val="auto"/>
          <w:sz w:val="24"/>
          <w:szCs w:val="24"/>
          <w:highlight w:val="none"/>
          <w:lang w:val="en-US" w:eastAsia="zh-CN"/>
        </w:rPr>
      </w:pPr>
    </w:p>
    <w:p>
      <w:pPr>
        <w:pStyle w:val="26"/>
        <w:rPr>
          <w:rFonts w:hint="default"/>
          <w:lang w:val="en-US" w:eastAsia="zh-CN"/>
        </w:rPr>
      </w:pPr>
    </w:p>
    <w:p>
      <w:pPr>
        <w:pStyle w:val="10"/>
        <w:numPr>
          <w:ilvl w:val="0"/>
          <w:numId w:val="3"/>
        </w:numPr>
        <w:adjustRightInd w:val="0"/>
        <w:snapToGrid w:val="0"/>
        <w:spacing w:line="360" w:lineRule="auto"/>
        <w:rPr>
          <w:rFonts w:hint="eastAsia" w:ascii="仿宋_GB2312" w:hAnsi="仿宋_GB2312" w:eastAsia="仿宋_GB2312" w:cs="仿宋_GB2312"/>
          <w:b/>
          <w:color w:val="auto"/>
          <w:sz w:val="28"/>
          <w:szCs w:val="28"/>
          <w:highlight w:val="none"/>
          <w:lang w:val="zh-CN" w:eastAsia="zh-CN"/>
        </w:rPr>
      </w:pPr>
      <w:r>
        <w:rPr>
          <w:rFonts w:hint="eastAsia" w:ascii="仿宋_GB2312" w:hAnsi="仿宋_GB2312" w:eastAsia="仿宋_GB2312" w:cs="仿宋_GB2312"/>
          <w:b/>
          <w:color w:val="auto"/>
          <w:sz w:val="28"/>
          <w:szCs w:val="28"/>
          <w:highlight w:val="none"/>
          <w:lang w:val="zh-CN" w:eastAsia="zh-CN"/>
        </w:rPr>
        <w:t>商务要求</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1.工期：60日。</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2.质量要求：详见合同范本。</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keepNext w:val="0"/>
        <w:keepLines w:val="0"/>
        <w:pageBreakBefore w:val="0"/>
        <w:widowControl w:val="0"/>
        <w:kinsoku/>
        <w:wordWrap/>
        <w:overflowPunct/>
        <w:topLinePunct w:val="0"/>
        <w:autoSpaceDE w:val="0"/>
        <w:autoSpaceDN w:val="0"/>
        <w:bidi w:val="0"/>
        <w:snapToGrid/>
        <w:spacing w:line="6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keepNext w:val="0"/>
        <w:keepLines w:val="0"/>
        <w:pageBreakBefore w:val="0"/>
        <w:widowControl w:val="0"/>
        <w:kinsoku/>
        <w:wordWrap/>
        <w:overflowPunct/>
        <w:topLinePunct w:val="0"/>
        <w:autoSpaceDE w:val="0"/>
        <w:autoSpaceDN w:val="0"/>
        <w:bidi w:val="0"/>
        <w:snapToGrid/>
        <w:spacing w:line="600" w:lineRule="exact"/>
        <w:ind w:left="0" w:leftChars="0" w:firstLine="560" w:firstLineChars="200"/>
        <w:textAlignment w:val="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kinsoku/>
        <w:wordWrap/>
        <w:overflowPunct/>
        <w:topLinePunct w:val="0"/>
        <w:autoSpaceDE w:val="0"/>
        <w:autoSpaceDN w:val="0"/>
        <w:bidi w:val="0"/>
        <w:snapToGrid/>
        <w:spacing w:line="600" w:lineRule="exact"/>
        <w:ind w:left="0" w:leftChars="0" w:firstLine="560" w:firstLineChars="200"/>
        <w:textAlignment w:val="auto"/>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5.保修期（保养期）：质保期为验收合格之日起1年。如遇系统设备故障等问题，在收到贵司通知后24小时内到达服务现场保修。</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6.询价人将自承包商履行完合同义务之日起二十个工作日内组织验收，验收要求、验收标准及方法如下：完工后设备运转正常，效果达到甲方要求才能通过验收。</w:t>
      </w:r>
    </w:p>
    <w:p>
      <w:pPr>
        <w:pStyle w:val="26"/>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7.付款方式：详见合同。</w:t>
      </w: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0"/>
        <w:adjustRightInd w:val="0"/>
        <w:snapToGrid w:val="0"/>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0"/>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一、概念释义</w:t>
      </w:r>
    </w:p>
    <w:p>
      <w:pPr>
        <w:pStyle w:val="10"/>
        <w:adjustRightInd w:val="0"/>
        <w:snapToGrid w:val="0"/>
        <w:spacing w:line="300" w:lineRule="auto"/>
        <w:ind w:left="560"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人”是指：</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color w:val="auto"/>
          <w:sz w:val="28"/>
          <w:szCs w:val="28"/>
          <w:highlight w:val="none"/>
        </w:rPr>
        <w:t>。</w:t>
      </w:r>
    </w:p>
    <w:p>
      <w:pPr>
        <w:pStyle w:val="10"/>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2.合格的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r>
        <w:rPr>
          <w:rFonts w:hint="eastAsia" w:ascii="仿宋_GB2312" w:hAnsi="仿宋_GB2312" w:eastAsia="仿宋_GB2312" w:cs="仿宋_GB2312"/>
          <w:color w:val="auto"/>
          <w:kern w:val="0"/>
          <w:sz w:val="28"/>
          <w:szCs w:val="28"/>
          <w:highlight w:val="none"/>
        </w:rPr>
        <w:t>符合询价文件规定资格</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kern w:val="0"/>
          <w:sz w:val="28"/>
          <w:szCs w:val="28"/>
          <w:highlight w:val="none"/>
        </w:rPr>
        <w:t>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3.“承包人”是指经法定程序确认并授以合同的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二、询价文件</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5．适用范围:本询价文件适用于本报价邀请中所述项目的询价。</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询价文件的构成</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6.1询价文件包括但不限于下列文件:</w:t>
      </w:r>
    </w:p>
    <w:p>
      <w:pPr>
        <w:pStyle w:val="10"/>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1）报价邀请函</w:t>
      </w:r>
    </w:p>
    <w:p>
      <w:pPr>
        <w:pStyle w:val="10"/>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 项目内容</w:t>
      </w:r>
    </w:p>
    <w:p>
      <w:pPr>
        <w:pStyle w:val="10"/>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单位须知</w:t>
      </w:r>
    </w:p>
    <w:p>
      <w:pPr>
        <w:pStyle w:val="10"/>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合同书格式</w:t>
      </w:r>
    </w:p>
    <w:p>
      <w:pPr>
        <w:pStyle w:val="10"/>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 询价响应文件格式</w:t>
      </w:r>
    </w:p>
    <w:p>
      <w:pPr>
        <w:pStyle w:val="10"/>
        <w:adjustRightInd w:val="0"/>
        <w:snapToGrid w:val="0"/>
        <w:spacing w:line="300" w:lineRule="auto"/>
        <w:ind w:firstLine="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 在询价过程中由</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人发出的修正和补充文件等</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单位的风险，有可能导致其询价响应被拒绝，或被认定为无效询价响应。</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 询价文件的澄清或修改</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0"/>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三、询价响应文件的编制和数量</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8．询价响应费用</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8.1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单位应承担所有与准备和参加询价响应有关的费用。不论询价的结果如何，</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人均无义务和责任承担这些费用。</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9．报价的语言及计量</w:t>
      </w:r>
    </w:p>
    <w:p>
      <w:pPr>
        <w:pStyle w:val="10"/>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单位提交的询价响应文件以及</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人就有关询价的所有来往函电均应使用中文。</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9.2除非询价文件中另有规定，报价单位在询价响应文件中及其与</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人的所有往来文件中的计量单位均应采用中华人民共和国法定计量单位。</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10．询价响应文件的构成</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单位编制的询价响应文件应包括但不少于本询价文件第四章《询价响应文件格式》的所有内容。</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 询价响应文件编制</w:t>
      </w:r>
    </w:p>
    <w:p>
      <w:pPr>
        <w:spacing w:line="300" w:lineRule="auto"/>
        <w:ind w:left="630" w:hanging="630" w:hangingChars="22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单位应按响应文件格式编制询价响应文件。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11.2</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单位必须对询价响应文件所提供的全部资料的真实性承担法律责任，并无条件接受（</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人）等对其中任何资料进行核实的要求。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单位必须对询价响应文件所提供的全部资料的真实性承担法律责任。</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11.3如果因为</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单位承担。</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12.3任何有选择性报价的报价，将被视为无效报价。</w:t>
      </w:r>
    </w:p>
    <w:p>
      <w:pPr>
        <w:pStyle w:val="10"/>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0"/>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0"/>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0"/>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 xml:space="preserve">13. </w:t>
      </w:r>
      <w:r>
        <w:rPr>
          <w:rFonts w:hint="eastAsia" w:ascii="仿宋_GB2312" w:hAnsi="仿宋_GB2312" w:eastAsia="仿宋_GB2312" w:cs="仿宋_GB2312"/>
          <w:color w:val="auto"/>
          <w:kern w:val="0"/>
          <w:sz w:val="28"/>
          <w:szCs w:val="28"/>
          <w:highlight w:val="none"/>
          <w:lang w:val="en-US" w:eastAsia="zh-CN"/>
        </w:rPr>
        <w:t>不接受</w:t>
      </w:r>
      <w:r>
        <w:rPr>
          <w:rFonts w:hint="eastAsia" w:ascii="仿宋_GB2312" w:hAnsi="仿宋_GB2312" w:eastAsia="仿宋_GB2312" w:cs="仿宋_GB2312"/>
          <w:color w:val="auto"/>
          <w:kern w:val="0"/>
          <w:sz w:val="28"/>
          <w:szCs w:val="28"/>
          <w:highlight w:val="none"/>
        </w:rPr>
        <w:t>联合体报价</w:t>
      </w:r>
      <w:r>
        <w:rPr>
          <w:rFonts w:hint="eastAsia" w:ascii="仿宋_GB2312" w:hAnsi="仿宋_GB2312" w:eastAsia="仿宋_GB2312" w:cs="仿宋_GB2312"/>
          <w:color w:val="auto"/>
          <w:kern w:val="0"/>
          <w:sz w:val="28"/>
          <w:szCs w:val="28"/>
          <w:highlight w:val="none"/>
          <w:lang w:eastAsia="zh-CN"/>
        </w:rPr>
        <w:t>。</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14.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单位资格证明文件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14.1</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单位应按询价文件的要求，提交证明其有资格参加询价和成交后有履行合同能力的文件，并作为其询价响应文件的组成部分，内容详见询价文件第四章《询价响应文件格式》中的“资格证明文件”。</w:t>
      </w:r>
    </w:p>
    <w:p>
      <w:pPr>
        <w:pStyle w:val="10"/>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14.2资格证明文件必须真实有效，复印件必须加盖单位印章。</w:t>
      </w:r>
    </w:p>
    <w:p>
      <w:pPr>
        <w:pStyle w:val="10"/>
        <w:adjustRightInd w:val="0"/>
        <w:snapToGrid w:val="0"/>
        <w:spacing w:line="30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15.1询价响应文件应在</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之日起</w:t>
      </w:r>
      <w:r>
        <w:rPr>
          <w:rFonts w:hint="eastAsia" w:ascii="仿宋_GB2312" w:hAnsi="仿宋_GB2312" w:eastAsia="仿宋_GB2312" w:cs="仿宋_GB2312"/>
          <w:color w:val="auto"/>
          <w:sz w:val="28"/>
          <w:szCs w:val="28"/>
          <w:highlight w:val="none"/>
          <w:u w:val="single"/>
        </w:rPr>
        <w:t>90</w:t>
      </w:r>
      <w:r>
        <w:rPr>
          <w:rFonts w:hint="eastAsia" w:ascii="仿宋_GB2312" w:hAnsi="仿宋_GB2312" w:eastAsia="仿宋_GB2312" w:cs="仿宋_GB2312"/>
          <w:color w:val="auto"/>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15.2特殊情况下，</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人可于报价有效期期满之前，要求</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16.1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单位应编制询价响应文件一式</w:t>
      </w:r>
      <w:r>
        <w:rPr>
          <w:rFonts w:hint="eastAsia" w:ascii="仿宋_GB2312" w:hAnsi="仿宋_GB2312" w:eastAsia="仿宋_GB2312" w:cs="仿宋_GB2312"/>
          <w:color w:val="auto"/>
          <w:kern w:val="0"/>
          <w:sz w:val="28"/>
          <w:szCs w:val="28"/>
          <w:highlight w:val="none"/>
          <w:u w:val="single"/>
          <w:lang w:val="en-US" w:eastAsia="zh-CN"/>
        </w:rPr>
        <w:t>2</w:t>
      </w:r>
      <w:r>
        <w:rPr>
          <w:rFonts w:hint="eastAsia" w:ascii="仿宋_GB2312" w:hAnsi="仿宋_GB2312" w:eastAsia="仿宋_GB2312" w:cs="仿宋_GB2312"/>
          <w:color w:val="auto"/>
          <w:kern w:val="0"/>
          <w:sz w:val="28"/>
          <w:szCs w:val="28"/>
          <w:highlight w:val="none"/>
        </w:rPr>
        <w:t>份，其中正本一份和副本</w:t>
      </w:r>
      <w:r>
        <w:rPr>
          <w:rFonts w:hint="eastAsia" w:ascii="仿宋_GB2312" w:hAnsi="仿宋_GB2312" w:eastAsia="仿宋_GB2312" w:cs="仿宋_GB2312"/>
          <w:color w:val="auto"/>
          <w:kern w:val="0"/>
          <w:sz w:val="28"/>
          <w:szCs w:val="28"/>
          <w:highlight w:val="none"/>
          <w:u w:val="single"/>
          <w:lang w:val="en-US" w:eastAsia="zh-CN"/>
        </w:rPr>
        <w:t>各一</w:t>
      </w:r>
      <w:r>
        <w:rPr>
          <w:rFonts w:hint="eastAsia" w:ascii="仿宋_GB2312" w:hAnsi="仿宋_GB2312" w:eastAsia="仿宋_GB2312" w:cs="仿宋_GB2312"/>
          <w:color w:val="auto"/>
          <w:kern w:val="0"/>
          <w:sz w:val="28"/>
          <w:szCs w:val="28"/>
          <w:highlight w:val="none"/>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 询价响应文件的密封和标记</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单位应将询价响应文件正本和副本用单独的信封密封，注明“正本”或“副本”字样。</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17.2每一密封信封均应：</w:t>
      </w:r>
    </w:p>
    <w:p>
      <w:pPr>
        <w:pStyle w:val="10"/>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（1）标明项目编号、项目名称，并注明“正本”或“副本”字样；</w:t>
      </w:r>
    </w:p>
    <w:p>
      <w:pPr>
        <w:pStyle w:val="10"/>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（2）注明“于（递交询价响应文件截止时间）之前不准启封”的字样。</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17.3如果信封未按本须知第17.1条和第17.2条要求密封的，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人对误投或过早启封概不负责。</w:t>
      </w:r>
    </w:p>
    <w:p>
      <w:pPr>
        <w:pStyle w:val="10"/>
        <w:adjustRightInd w:val="0"/>
        <w:snapToGrid w:val="0"/>
        <w:spacing w:line="300" w:lineRule="auto"/>
        <w:ind w:left="630"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17.4询价响应文件未密封的或在递交截止时间后递交的，</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18. 询价响应文件递交截止时间</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18.1</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18.2</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人和</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19. 询价响应文件的修改和撤回</w:t>
      </w:r>
    </w:p>
    <w:p>
      <w:pPr>
        <w:pStyle w:val="10"/>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19.1</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highlight w:val="none"/>
          <w:lang w:val="en-US" w:eastAsia="zh-CN"/>
        </w:rPr>
        <w:t>询价</w:t>
      </w:r>
      <w:r>
        <w:rPr>
          <w:rFonts w:hint="eastAsia" w:ascii="仿宋_GB2312" w:hAnsi="仿宋_GB2312" w:eastAsia="仿宋_GB2312" w:cs="仿宋_GB2312"/>
          <w:color w:val="auto"/>
          <w:kern w:val="0"/>
          <w:sz w:val="28"/>
          <w:szCs w:val="28"/>
          <w:highlight w:val="none"/>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19.2 </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单位在递交询价响应文件后，可以撤回其报价，但</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单位必须在规定的询价响应文件递交截止时间前以书面形式告知</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。从询价响应文件递交截止时间至</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单位承诺的报价有效期内，</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单位不得撤回其报价。</w:t>
      </w:r>
    </w:p>
    <w:p>
      <w:pPr>
        <w:pStyle w:val="10"/>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19.3 </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单位所提交的询价响应文件在询价结束后，无论成交与否都不退还。</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五、评审</w:t>
      </w:r>
    </w:p>
    <w:p>
      <w:pPr>
        <w:pStyle w:val="10"/>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 xml:space="preserve">20.1 </w:t>
      </w:r>
      <w:r>
        <w:rPr>
          <w:rFonts w:hint="eastAsia" w:ascii="仿宋_GB2312" w:hAnsi="仿宋_GB2312" w:eastAsia="仿宋_GB2312" w:cs="仿宋_GB2312"/>
          <w:color w:val="auto"/>
          <w:kern w:val="0"/>
          <w:sz w:val="28"/>
          <w:szCs w:val="28"/>
          <w:highlight w:val="none"/>
        </w:rPr>
        <w:t>评审由</w:t>
      </w:r>
      <w:r>
        <w:rPr>
          <w:rFonts w:hint="eastAsia" w:ascii="仿宋_GB2312" w:hAnsi="仿宋_GB2312" w:eastAsia="仿宋_GB2312" w:cs="仿宋_GB2312"/>
          <w:color w:val="auto"/>
          <w:sz w:val="28"/>
          <w:szCs w:val="28"/>
          <w:highlight w:val="none"/>
          <w:u w:val="single"/>
          <w:lang w:eastAsia="zh-CN"/>
        </w:rPr>
        <w:t>询价</w:t>
      </w:r>
      <w:r>
        <w:rPr>
          <w:rFonts w:hint="eastAsia" w:ascii="仿宋_GB2312" w:hAnsi="仿宋_GB2312" w:eastAsia="仿宋_GB2312" w:cs="仿宋_GB2312"/>
          <w:color w:val="auto"/>
          <w:sz w:val="28"/>
          <w:szCs w:val="28"/>
          <w:highlight w:val="none"/>
          <w:u w:val="single"/>
        </w:rPr>
        <w:t>人</w:t>
      </w:r>
      <w:r>
        <w:rPr>
          <w:rFonts w:hint="eastAsia" w:ascii="仿宋_GB2312" w:hAnsi="仿宋_GB2312" w:eastAsia="仿宋_GB2312" w:cs="仿宋_GB2312"/>
          <w:color w:val="auto"/>
          <w:kern w:val="0"/>
          <w:sz w:val="28"/>
          <w:szCs w:val="28"/>
          <w:highlight w:val="none"/>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20.3询价小组依法根据询价文件的规定对询价响应文件进行评审,并据此推荐成交候选人。</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20.4拆封询价响应文件时，出现下列情形之一的，不参与评审：</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（1）响应文件没密封完整的，或封面未注明报价单位名称、项目名称、日期等项目信息的；</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（2）响应文件中的法定代表人或授权代理人与报价响应文件登记表的信息不一致的。</w:t>
      </w:r>
    </w:p>
    <w:p>
      <w:pPr>
        <w:pStyle w:val="26"/>
        <w:rPr>
          <w:rFonts w:hint="eastAsia" w:ascii="仿宋_GB2312" w:hAnsi="仿宋_GB2312" w:cs="仿宋_GB2312"/>
          <w:color w:val="auto"/>
          <w:sz w:val="28"/>
          <w:szCs w:val="28"/>
          <w:highlight w:val="none"/>
        </w:rPr>
      </w:pPr>
      <w:r>
        <w:rPr>
          <w:rFonts w:hint="eastAsia" w:ascii="仿宋_GB2312" w:hAnsi="仿宋_GB2312" w:cs="仿宋_GB2312"/>
          <w:color w:val="auto"/>
          <w:sz w:val="28"/>
          <w:szCs w:val="28"/>
          <w:highlight w:val="none"/>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21.1参加询价的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w:t>
      </w:r>
      <w:r>
        <w:rPr>
          <w:rFonts w:hint="eastAsia" w:ascii="仿宋_GB2312" w:hAnsi="仿宋_GB2312" w:eastAsia="仿宋_GB2312" w:cs="仿宋_GB2312"/>
          <w:color w:val="auto"/>
          <w:kern w:val="0"/>
          <w:sz w:val="28"/>
          <w:szCs w:val="28"/>
          <w:highlight w:val="none"/>
          <w:lang w:val="en-US" w:eastAsia="zh-CN"/>
        </w:rPr>
        <w:t>经自行报名</w:t>
      </w:r>
      <w:r>
        <w:rPr>
          <w:rFonts w:hint="eastAsia" w:ascii="仿宋_GB2312" w:hAnsi="仿宋_GB2312" w:eastAsia="仿宋_GB2312" w:cs="仿宋_GB2312"/>
          <w:color w:val="auto"/>
          <w:kern w:val="0"/>
          <w:sz w:val="28"/>
          <w:szCs w:val="28"/>
          <w:highlight w:val="none"/>
        </w:rPr>
        <w:t>产生。由询价小组对参加询价的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21.2在询价过程中对询价文件未能实质响应的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单位不足三家时，询价小组可以从其他符合相应资格条件的</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单位名单中补充；补充后仍不足三家或者没有可供补充的合格</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人可以从已选出的候选</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21.3 在询价过程中，响应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单位提交的澄清文件由响应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单位法人代表或授权代表签署后生效，响应</w:t>
      </w:r>
      <w:r>
        <w:rPr>
          <w:rFonts w:hint="eastAsia" w:ascii="仿宋_GB2312" w:hAnsi="仿宋_GB2312" w:eastAsia="仿宋_GB2312" w:cs="仿宋_GB2312"/>
          <w:color w:val="auto"/>
          <w:kern w:val="0"/>
          <w:sz w:val="28"/>
          <w:szCs w:val="28"/>
          <w:highlight w:val="none"/>
          <w:lang w:eastAsia="zh-CN"/>
        </w:rPr>
        <w:t>报价</w:t>
      </w:r>
      <w:r>
        <w:rPr>
          <w:rFonts w:hint="eastAsia" w:ascii="仿宋_GB2312" w:hAnsi="仿宋_GB2312" w:eastAsia="仿宋_GB2312" w:cs="仿宋_GB2312"/>
          <w:color w:val="auto"/>
          <w:kern w:val="0"/>
          <w:sz w:val="28"/>
          <w:szCs w:val="28"/>
          <w:highlight w:val="none"/>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highlight w:val="none"/>
          <w:u w:val="none"/>
        </w:rPr>
      </w:pPr>
      <w:r>
        <w:rPr>
          <w:rFonts w:hint="eastAsia" w:ascii="仿宋_GB2312" w:hAnsi="仿宋_GB2312" w:eastAsia="仿宋_GB2312" w:cs="仿宋_GB2312"/>
          <w:color w:val="auto"/>
          <w:kern w:val="0"/>
          <w:sz w:val="28"/>
          <w:szCs w:val="28"/>
          <w:highlight w:val="none"/>
        </w:rPr>
        <w:t xml:space="preserve">21.4  </w:t>
      </w:r>
      <w:r>
        <w:rPr>
          <w:rFonts w:hint="eastAsia" w:ascii="仿宋_GB2312" w:hAnsi="仿宋_GB2312" w:eastAsia="仿宋_GB2312" w:cs="仿宋_GB2312"/>
          <w:b w:val="0"/>
          <w:bCs w:val="0"/>
          <w:color w:val="auto"/>
          <w:kern w:val="0"/>
          <w:sz w:val="28"/>
          <w:szCs w:val="28"/>
          <w:highlight w:val="none"/>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单位归列为推荐成交的候选对象，</w:t>
      </w:r>
      <w:r>
        <w:rPr>
          <w:rFonts w:hint="eastAsia" w:ascii="仿宋_GB2312" w:hAnsi="仿宋_GB2312" w:eastAsia="仿宋_GB2312" w:cs="仿宋_GB2312"/>
          <w:b w:val="0"/>
          <w:bCs w:val="0"/>
          <w:color w:val="auto"/>
          <w:kern w:val="0"/>
          <w:sz w:val="28"/>
          <w:szCs w:val="28"/>
          <w:highlight w:val="none"/>
          <w:lang w:eastAsia="zh-CN"/>
        </w:rPr>
        <w:t>询价</w:t>
      </w:r>
      <w:r>
        <w:rPr>
          <w:rFonts w:hint="eastAsia" w:ascii="仿宋_GB2312" w:hAnsi="仿宋_GB2312" w:eastAsia="仿宋_GB2312" w:cs="仿宋_GB2312"/>
          <w:b w:val="0"/>
          <w:bCs w:val="0"/>
          <w:color w:val="auto"/>
          <w:kern w:val="0"/>
          <w:sz w:val="28"/>
          <w:szCs w:val="28"/>
          <w:highlight w:val="none"/>
        </w:rPr>
        <w:t>人依照候选</w:t>
      </w:r>
      <w:r>
        <w:rPr>
          <w:rFonts w:hint="eastAsia" w:ascii="仿宋_GB2312" w:hAnsi="仿宋_GB2312" w:eastAsia="仿宋_GB2312" w:cs="仿宋_GB2312"/>
          <w:b w:val="0"/>
          <w:bCs w:val="0"/>
          <w:color w:val="auto"/>
          <w:kern w:val="0"/>
          <w:sz w:val="28"/>
          <w:szCs w:val="28"/>
          <w:highlight w:val="none"/>
          <w:lang w:eastAsia="zh-CN"/>
        </w:rPr>
        <w:t>报价</w:t>
      </w:r>
      <w:r>
        <w:rPr>
          <w:rFonts w:hint="eastAsia" w:ascii="仿宋_GB2312" w:hAnsi="仿宋_GB2312" w:eastAsia="仿宋_GB2312" w:cs="仿宋_GB2312"/>
          <w:b w:val="0"/>
          <w:bCs w:val="0"/>
          <w:color w:val="auto"/>
          <w:kern w:val="0"/>
          <w:sz w:val="28"/>
          <w:szCs w:val="28"/>
          <w:highlight w:val="none"/>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highlight w:val="none"/>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22.3超过最高限价的报价将被拒绝。</w:t>
      </w:r>
    </w:p>
    <w:p>
      <w:pPr>
        <w:spacing w:line="36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23.1根据符合</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23.2承包人确定后，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kern w:val="0"/>
          <w:sz w:val="28"/>
          <w:szCs w:val="28"/>
          <w:highlight w:val="none"/>
        </w:rPr>
        <w:t>向承包人发出《发包通知书》，</w:t>
      </w:r>
      <w:r>
        <w:rPr>
          <w:rFonts w:hint="eastAsia" w:ascii="仿宋_GB2312" w:hAnsi="仿宋_GB2312" w:eastAsia="仿宋_GB2312" w:cs="仿宋_GB2312"/>
          <w:color w:val="auto"/>
          <w:sz w:val="28"/>
          <w:szCs w:val="28"/>
          <w:highlight w:val="none"/>
        </w:rPr>
        <w:t>对承包人和</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人具有同等法律效力</w:t>
      </w:r>
      <w:r>
        <w:rPr>
          <w:rFonts w:hint="eastAsia" w:ascii="仿宋_GB2312" w:hAnsi="仿宋_GB2312" w:eastAsia="仿宋_GB2312" w:cs="仿宋_GB2312"/>
          <w:color w:val="auto"/>
          <w:kern w:val="0"/>
          <w:sz w:val="28"/>
          <w:szCs w:val="28"/>
          <w:highlight w:val="none"/>
        </w:rPr>
        <w:t>。</w:t>
      </w:r>
    </w:p>
    <w:p>
      <w:pPr>
        <w:pStyle w:val="10"/>
        <w:adjustRightInd w:val="0"/>
        <w:snapToGrid w:val="0"/>
        <w:spacing w:line="300" w:lineRule="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 xml:space="preserve">24.1 </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auto"/>
          <w:sz w:val="28"/>
          <w:szCs w:val="28"/>
          <w:highlight w:val="none"/>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人应将有关合同变更内容，以书面形式报公司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备案；因特殊情况需要中止或终止合同的，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人应将中止或终止合同的理由以及相应措施，以书面形式报公司</w:t>
      </w:r>
      <w:r>
        <w:rPr>
          <w:rFonts w:hint="eastAsia" w:ascii="仿宋_GB2312" w:hAnsi="仿宋_GB2312" w:eastAsia="仿宋_GB2312" w:cs="仿宋_GB2312"/>
          <w:color w:val="auto"/>
          <w:kern w:val="0"/>
          <w:sz w:val="28"/>
          <w:szCs w:val="28"/>
          <w:highlight w:val="none"/>
          <w:lang w:eastAsia="zh-CN"/>
        </w:rPr>
        <w:t>招标办</w:t>
      </w:r>
      <w:r>
        <w:rPr>
          <w:rFonts w:hint="eastAsia" w:ascii="仿宋_GB2312" w:hAnsi="仿宋_GB2312" w:eastAsia="仿宋_GB2312" w:cs="仿宋_GB2312"/>
          <w:color w:val="auto"/>
          <w:kern w:val="0"/>
          <w:sz w:val="28"/>
          <w:szCs w:val="28"/>
          <w:highlight w:val="none"/>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25.2 承包人因不可抗力或者自身原因不能履行承包合同的，</w:t>
      </w:r>
      <w:r>
        <w:rPr>
          <w:rFonts w:hint="eastAsia" w:ascii="仿宋_GB2312" w:hAnsi="仿宋_GB2312" w:eastAsia="仿宋_GB2312" w:cs="仿宋_GB2312"/>
          <w:color w:val="auto"/>
          <w:kern w:val="0"/>
          <w:sz w:val="28"/>
          <w:szCs w:val="28"/>
          <w:highlight w:val="none"/>
          <w:lang w:eastAsia="zh-CN"/>
        </w:rPr>
        <w:t>询价</w:t>
      </w:r>
      <w:r>
        <w:rPr>
          <w:rFonts w:hint="eastAsia" w:ascii="仿宋_GB2312" w:hAnsi="仿宋_GB2312" w:eastAsia="仿宋_GB2312" w:cs="仿宋_GB2312"/>
          <w:color w:val="auto"/>
          <w:kern w:val="0"/>
          <w:sz w:val="28"/>
          <w:szCs w:val="28"/>
          <w:highlight w:val="none"/>
        </w:rPr>
        <w:t>人</w:t>
      </w:r>
      <w:r>
        <w:rPr>
          <w:rFonts w:hint="eastAsia" w:ascii="仿宋_GB2312" w:hAnsi="仿宋_GB2312" w:eastAsia="仿宋_GB2312" w:cs="仿宋_GB2312"/>
          <w:color w:val="auto"/>
          <w:sz w:val="28"/>
          <w:szCs w:val="28"/>
          <w:highlight w:val="none"/>
        </w:rPr>
        <w:t>可以与排位在承包人之后第一位的成交候选</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单位签订承包</w:t>
      </w:r>
      <w:r>
        <w:rPr>
          <w:rFonts w:hint="eastAsia" w:ascii="仿宋_GB2312" w:hAnsi="仿宋_GB2312" w:eastAsia="仿宋_GB2312" w:cs="仿宋_GB2312"/>
          <w:color w:val="auto"/>
          <w:kern w:val="0"/>
          <w:sz w:val="28"/>
          <w:szCs w:val="28"/>
          <w:highlight w:val="none"/>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highlight w:val="none"/>
        </w:rPr>
      </w:pPr>
      <w:r>
        <w:rPr>
          <w:rFonts w:hint="eastAsia" w:ascii="仿宋_GB2312" w:hAnsi="仿宋_GB2312" w:eastAsia="仿宋_GB2312" w:cs="仿宋_GB2312"/>
          <w:color w:val="auto"/>
          <w:sz w:val="28"/>
          <w:szCs w:val="28"/>
          <w:highlight w:val="none"/>
        </w:rPr>
        <w:t>26. 如果</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人认为询价文件或询价过程或询价结果使其权益受到损害的，可向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人提出书面质疑。</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numPr>
          <w:ilvl w:val="0"/>
          <w:numId w:val="0"/>
        </w:numPr>
        <w:spacing w:line="240" w:lineRule="auto"/>
        <w:jc w:val="center"/>
        <w:rPr>
          <w:rFonts w:hint="eastAsia" w:ascii="仿宋_GB2312" w:hAnsi="仿宋_GB2312" w:eastAsia="仿宋_GB2312" w:cs="仿宋_GB2312"/>
          <w:b w:val="0"/>
          <w:bCs w:val="0"/>
          <w:color w:val="auto"/>
          <w:sz w:val="28"/>
          <w:szCs w:val="28"/>
          <w:highlight w:val="none"/>
          <w:u w:val="single"/>
        </w:rPr>
      </w:pPr>
      <w:r>
        <w:rPr>
          <w:rFonts w:hint="eastAsia" w:ascii="仿宋_GB2312" w:hAnsi="仿宋_GB2312" w:eastAsia="仿宋_GB2312" w:cs="仿宋_GB2312"/>
          <w:b w:val="0"/>
          <w:bCs w:val="0"/>
          <w:color w:val="auto"/>
          <w:sz w:val="28"/>
          <w:szCs w:val="28"/>
          <w:highlight w:val="none"/>
          <w:u w:val="single"/>
        </w:rPr>
        <w:t>广州市净水有限公司石井分公司反应池廊道曝气管增加气阀项目</w:t>
      </w:r>
    </w:p>
    <w:p>
      <w:pPr>
        <w:numPr>
          <w:ilvl w:val="0"/>
          <w:numId w:val="0"/>
        </w:numPr>
        <w:spacing w:line="24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0"/>
        <w:tblW w:w="9430" w:type="dxa"/>
        <w:jc w:val="center"/>
        <w:tblLayout w:type="fixed"/>
        <w:tblCellMar>
          <w:top w:w="0" w:type="dxa"/>
          <w:left w:w="108" w:type="dxa"/>
          <w:bottom w:w="0" w:type="dxa"/>
          <w:right w:w="108" w:type="dxa"/>
        </w:tblCellMar>
      </w:tblPr>
      <w:tblGrid>
        <w:gridCol w:w="669"/>
        <w:gridCol w:w="3255"/>
        <w:gridCol w:w="641"/>
        <w:gridCol w:w="1941"/>
        <w:gridCol w:w="1462"/>
        <w:gridCol w:w="146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6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9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c>
          <w:tcPr>
            <w:tcW w:w="14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仿宋" w:hAnsi="仿宋" w:eastAsia="仿宋" w:cs="仿宋_GB2312"/>
                <w:color w:val="000000"/>
                <w:szCs w:val="21"/>
                <w:highlight w:val="none"/>
                <w:lang w:val="en-US" w:eastAsia="zh-CN"/>
              </w:rPr>
            </w:pPr>
            <w:r>
              <w:rPr>
                <w:rFonts w:hint="eastAsia" w:ascii="仿宋" w:hAnsi="仿宋" w:eastAsia="仿宋" w:cs="仿宋_GB2312"/>
                <w:color w:val="000000"/>
                <w:szCs w:val="21"/>
                <w:highlight w:val="none"/>
                <w:lang w:val="en-US" w:eastAsia="zh-CN"/>
              </w:rPr>
              <w:t>联系方式</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325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6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41"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46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rPr>
          <w:rFonts w:hint="eastAsia" w:ascii="仿宋_GB2312" w:hAnsi="仿宋_GB2312" w:eastAsia="仿宋_GB2312" w:cs="仿宋_GB2312"/>
          <w:color w:val="auto"/>
          <w:highlight w:val="none"/>
          <w:u w:val="none"/>
          <w:lang w:val="en-US" w:eastAsia="zh-CN"/>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宋体" w:hAnsi="宋体"/>
          <w:color w:val="auto"/>
          <w:sz w:val="24"/>
          <w:highlight w:val="none"/>
        </w:rPr>
        <w:t>项目名称：</w:t>
      </w:r>
      <w:r>
        <w:rPr>
          <w:rFonts w:hint="eastAsia" w:ascii="宋体" w:hAnsi="宋体" w:eastAsia="宋体" w:cs="Times New Roman"/>
          <w:b w:val="0"/>
          <w:bCs w:val="0"/>
          <w:color w:val="auto"/>
          <w:sz w:val="24"/>
          <w:szCs w:val="20"/>
          <w:highlight w:val="none"/>
          <w:u w:val="single"/>
        </w:rPr>
        <w:t>广州市净水有限公司石井分公司反应池廊道曝气管增加气阀项目</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20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20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200"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olor w:val="auto"/>
                <w:sz w:val="24"/>
                <w:highlight w:val="none"/>
                <w:lang w:val="en-US"/>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eastAsia="宋体" w:cs="宋体"/>
                <w:color w:val="000000"/>
                <w:sz w:val="24"/>
                <w:szCs w:val="24"/>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5"/>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w:t>
      </w:r>
      <w:r>
        <w:rPr>
          <w:rFonts w:hint="eastAsia" w:ascii="宋体" w:hAnsi="宋体" w:cs="宋体"/>
          <w:b/>
          <w:sz w:val="30"/>
          <w:szCs w:val="30"/>
        </w:rPr>
        <w:t>石井分公司反应池廊道曝气管增加气阀项目</w:t>
      </w:r>
    </w:p>
    <w:p>
      <w:pPr>
        <w:pStyle w:val="2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1044" w:firstLineChars="200"/>
        <w:rPr>
          <w:rFonts w:ascii="宋体" w:hAnsi="宋体" w:cs="宋体"/>
          <w:b/>
          <w:sz w:val="24"/>
        </w:rPr>
      </w:pPr>
      <w:r>
        <w:rPr>
          <w:rFonts w:hint="eastAsia" w:ascii="宋体" w:hAnsi="宋体"/>
          <w:b/>
          <w:sz w:val="52"/>
          <w:lang w:eastAsia="zh-CN"/>
        </w:rPr>
        <w:br w:type="textWrapping"/>
      </w:r>
    </w:p>
    <w:p>
      <w:pPr>
        <w:spacing w:beforeLines="30" w:line="360" w:lineRule="auto"/>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rPr>
        <w:t>石井分公司反应池廊道曝气管增加气阀项目</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石井分公司反应池廊道曝气管增加气阀项目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广州市白云区夏花一路551号</w:t>
      </w:r>
      <w:r>
        <w:rPr>
          <w:rFonts w:hint="eastAsia" w:ascii="宋体" w:hAnsi="宋体" w:cs="宋体"/>
          <w:sz w:val="24"/>
          <w:u w:val="single"/>
        </w:rPr>
        <w:t>。</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16个反应池曝气支管上安装电动阀门、伸缩节并配备就地控制柜。</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0"/>
        <w:tblW w:w="106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3"/>
        <w:gridCol w:w="1704"/>
        <w:gridCol w:w="3351"/>
        <w:gridCol w:w="1205"/>
        <w:gridCol w:w="1815"/>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jc w:val="center"/>
        </w:trPr>
        <w:tc>
          <w:tcPr>
            <w:tcW w:w="933"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1704"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351"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205" w:type="dxa"/>
            <w:tcBorders>
              <w:right w:val="single" w:color="auto" w:sz="4" w:space="0"/>
            </w:tcBorders>
            <w:vAlign w:val="center"/>
          </w:tcPr>
          <w:p>
            <w:pPr>
              <w:spacing w:line="384" w:lineRule="auto"/>
              <w:jc w:val="center"/>
              <w:rPr>
                <w:rFonts w:hint="default" w:ascii="宋体" w:hAnsi="宋体" w:eastAsia="宋体" w:cs="宋体"/>
                <w:sz w:val="24"/>
                <w:lang w:val="en-US" w:eastAsia="zh-CN"/>
              </w:rPr>
            </w:pPr>
            <w:r>
              <w:rPr>
                <w:rFonts w:hint="eastAsia" w:ascii="宋体" w:hAnsi="宋体" w:cs="宋体"/>
                <w:sz w:val="24"/>
                <w:lang w:val="en-US" w:eastAsia="zh-CN"/>
              </w:rPr>
              <w:t>单位</w:t>
            </w:r>
          </w:p>
        </w:tc>
        <w:tc>
          <w:tcPr>
            <w:tcW w:w="181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1609"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933" w:type="dxa"/>
            <w:tcBorders>
              <w:right w:val="single" w:color="auto" w:sz="4" w:space="0"/>
            </w:tcBorders>
            <w:vAlign w:val="center"/>
          </w:tcPr>
          <w:p>
            <w:pPr>
              <w:spacing w:line="384"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c>
          <w:tcPr>
            <w:tcW w:w="1704" w:type="dxa"/>
            <w:tcBorders>
              <w:left w:val="single" w:color="auto" w:sz="4" w:space="0"/>
              <w:right w:val="single" w:color="auto" w:sz="4" w:space="0"/>
            </w:tcBorders>
            <w:vAlign w:val="center"/>
          </w:tcPr>
          <w:p>
            <w:pPr>
              <w:spacing w:line="384" w:lineRule="auto"/>
              <w:jc w:val="center"/>
              <w:rPr>
                <w:rFonts w:ascii="宋体" w:hAnsi="宋体" w:cs="宋体"/>
                <w:bCs/>
                <w:sz w:val="24"/>
              </w:rPr>
            </w:pPr>
            <w:r>
              <w:rPr>
                <w:rFonts w:hint="eastAsia" w:ascii="宋体" w:hAnsi="宋体" w:cs="宋体"/>
                <w:bCs/>
                <w:sz w:val="24"/>
              </w:rPr>
              <w:t>蝶阀</w:t>
            </w:r>
          </w:p>
        </w:tc>
        <w:tc>
          <w:tcPr>
            <w:tcW w:w="3351" w:type="dxa"/>
            <w:tcBorders>
              <w:left w:val="single" w:color="auto" w:sz="4" w:space="0"/>
            </w:tcBorders>
            <w:vAlign w:val="center"/>
          </w:tcPr>
          <w:p>
            <w:pPr>
              <w:spacing w:line="384" w:lineRule="auto"/>
              <w:jc w:val="center"/>
              <w:rPr>
                <w:rFonts w:hint="eastAsia" w:ascii="宋体" w:hAnsi="宋体" w:eastAsia="宋体" w:cs="宋体"/>
                <w:bCs/>
                <w:sz w:val="24"/>
                <w:lang w:eastAsia="zh-CN"/>
              </w:rPr>
            </w:pPr>
            <w:r>
              <w:rPr>
                <w:rFonts w:hint="eastAsia" w:ascii="宋体" w:hAnsi="宋体" w:cs="宋体"/>
                <w:bCs/>
                <w:sz w:val="24"/>
              </w:rPr>
              <w:t>DN400</w:t>
            </w:r>
            <w:r>
              <w:rPr>
                <w:rFonts w:hint="eastAsia" w:ascii="宋体" w:hAnsi="宋体" w:cs="宋体"/>
                <w:bCs/>
                <w:sz w:val="24"/>
                <w:lang w:eastAsia="zh-CN"/>
              </w:rPr>
              <w:t>、</w:t>
            </w:r>
            <w:r>
              <w:rPr>
                <w:rFonts w:hint="eastAsia" w:ascii="宋体" w:hAnsi="宋体" w:cs="宋体"/>
                <w:bCs/>
                <w:sz w:val="24"/>
                <w:lang w:val="en-US" w:eastAsia="zh-CN"/>
              </w:rPr>
              <w:t>P=</w:t>
            </w:r>
            <w:r>
              <w:rPr>
                <w:rFonts w:hint="eastAsia" w:ascii="宋体" w:hAnsi="宋体" w:eastAsia="宋体" w:cs="宋体"/>
                <w:bCs/>
                <w:sz w:val="24"/>
                <w:lang w:val="en-US" w:eastAsia="zh-CN"/>
              </w:rPr>
              <w:t>1.0MPA</w:t>
            </w:r>
            <w:r>
              <w:rPr>
                <w:rFonts w:hint="eastAsia" w:ascii="宋体" w:hAnsi="宋体" w:cs="宋体"/>
                <w:bCs/>
                <w:sz w:val="24"/>
                <w:lang w:val="en-US" w:eastAsia="zh-CN"/>
              </w:rPr>
              <w:t>、304不锈钢</w:t>
            </w:r>
          </w:p>
        </w:tc>
        <w:tc>
          <w:tcPr>
            <w:tcW w:w="1205" w:type="dxa"/>
            <w:tcBorders>
              <w:right w:val="single" w:color="auto" w:sz="4" w:space="0"/>
            </w:tcBorders>
            <w:vAlign w:val="center"/>
          </w:tcPr>
          <w:p>
            <w:pPr>
              <w:spacing w:line="384" w:lineRule="auto"/>
              <w:jc w:val="center"/>
              <w:rPr>
                <w:rFonts w:hint="default" w:ascii="宋体" w:hAnsi="宋体" w:cs="宋体"/>
                <w:bCs/>
                <w:sz w:val="24"/>
                <w:lang w:val="en-US" w:eastAsia="zh-CN"/>
              </w:rPr>
            </w:pPr>
            <w:r>
              <w:rPr>
                <w:rFonts w:hint="eastAsia" w:ascii="宋体" w:hAnsi="宋体" w:cs="宋体"/>
                <w:bCs/>
                <w:sz w:val="24"/>
                <w:lang w:val="en-US" w:eastAsia="zh-CN"/>
              </w:rPr>
              <w:t>个</w:t>
            </w:r>
          </w:p>
        </w:tc>
        <w:tc>
          <w:tcPr>
            <w:tcW w:w="1815" w:type="dxa"/>
            <w:tcBorders>
              <w:right w:val="single" w:color="auto" w:sz="4" w:space="0"/>
            </w:tcBorders>
            <w:vAlign w:val="center"/>
          </w:tcPr>
          <w:p>
            <w:pPr>
              <w:spacing w:line="384"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16</w:t>
            </w:r>
          </w:p>
        </w:tc>
        <w:tc>
          <w:tcPr>
            <w:tcW w:w="1609"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933" w:type="dxa"/>
            <w:tcBorders>
              <w:right w:val="single" w:color="auto" w:sz="4" w:space="0"/>
            </w:tcBorders>
            <w:vAlign w:val="center"/>
          </w:tcPr>
          <w:p>
            <w:pPr>
              <w:spacing w:line="384" w:lineRule="auto"/>
              <w:jc w:val="center"/>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2</w:t>
            </w:r>
          </w:p>
        </w:tc>
        <w:tc>
          <w:tcPr>
            <w:tcW w:w="1704"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r>
              <w:rPr>
                <w:rFonts w:hint="eastAsia" w:ascii="宋体" w:hAnsi="宋体" w:cs="宋体"/>
                <w:bCs/>
                <w:sz w:val="24"/>
                <w:highlight w:val="none"/>
              </w:rPr>
              <w:t>伸缩节</w:t>
            </w:r>
          </w:p>
        </w:tc>
        <w:tc>
          <w:tcPr>
            <w:tcW w:w="3351" w:type="dxa"/>
            <w:tcBorders>
              <w:left w:val="single" w:color="auto" w:sz="4" w:space="0"/>
            </w:tcBorders>
            <w:vAlign w:val="center"/>
          </w:tcPr>
          <w:p>
            <w:pPr>
              <w:spacing w:line="384" w:lineRule="auto"/>
              <w:jc w:val="center"/>
              <w:rPr>
                <w:rFonts w:ascii="宋体" w:hAnsi="宋体" w:cs="宋体"/>
                <w:bCs/>
                <w:sz w:val="24"/>
                <w:highlight w:val="none"/>
              </w:rPr>
            </w:pPr>
            <w:r>
              <w:rPr>
                <w:rFonts w:hint="eastAsia" w:ascii="宋体" w:hAnsi="宋体" w:cs="宋体"/>
                <w:bCs/>
                <w:sz w:val="24"/>
                <w:highlight w:val="none"/>
              </w:rPr>
              <w:t>DN400、P=1.0MPA、304不锈钢</w:t>
            </w:r>
          </w:p>
        </w:tc>
        <w:tc>
          <w:tcPr>
            <w:tcW w:w="120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个</w:t>
            </w:r>
          </w:p>
        </w:tc>
        <w:tc>
          <w:tcPr>
            <w:tcW w:w="1815" w:type="dxa"/>
            <w:tcBorders>
              <w:right w:val="single" w:color="auto" w:sz="4" w:space="0"/>
            </w:tcBorders>
            <w:vAlign w:val="center"/>
          </w:tcPr>
          <w:p>
            <w:pPr>
              <w:spacing w:line="384"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16</w:t>
            </w:r>
          </w:p>
        </w:tc>
        <w:tc>
          <w:tcPr>
            <w:tcW w:w="1609" w:type="dxa"/>
            <w:tcBorders>
              <w:left w:val="single" w:color="auto" w:sz="4" w:space="0"/>
            </w:tcBorders>
            <w:vAlign w:val="center"/>
          </w:tcPr>
          <w:p>
            <w:pPr>
              <w:spacing w:line="384" w:lineRule="auto"/>
              <w:jc w:val="center"/>
              <w:rPr>
                <w:rFonts w:ascii="宋体" w:hAnsi="宋体" w:cs="宋体"/>
                <w:bCs/>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1" w:hRule="exact"/>
          <w:jc w:val="center"/>
        </w:trPr>
        <w:tc>
          <w:tcPr>
            <w:tcW w:w="933"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3</w:t>
            </w:r>
          </w:p>
        </w:tc>
        <w:tc>
          <w:tcPr>
            <w:tcW w:w="1704" w:type="dxa"/>
            <w:tcBorders>
              <w:left w:val="single" w:color="auto" w:sz="4" w:space="0"/>
              <w:right w:val="single" w:color="auto" w:sz="4" w:space="0"/>
            </w:tcBorders>
            <w:vAlign w:val="center"/>
          </w:tcPr>
          <w:p>
            <w:pPr>
              <w:spacing w:line="384" w:lineRule="auto"/>
              <w:jc w:val="center"/>
              <w:rPr>
                <w:rFonts w:hint="eastAsia" w:ascii="宋体" w:hAnsi="宋体" w:cs="宋体"/>
                <w:bCs/>
                <w:sz w:val="24"/>
                <w:highlight w:val="none"/>
              </w:rPr>
            </w:pPr>
            <w:r>
              <w:rPr>
                <w:rFonts w:hint="eastAsia" w:ascii="宋体" w:hAnsi="宋体" w:cs="宋体"/>
                <w:bCs/>
                <w:sz w:val="24"/>
                <w:highlight w:val="none"/>
              </w:rPr>
              <w:t>电动执行器</w:t>
            </w:r>
          </w:p>
        </w:tc>
        <w:tc>
          <w:tcPr>
            <w:tcW w:w="3351" w:type="dxa"/>
            <w:tcBorders>
              <w:left w:val="single" w:color="auto" w:sz="4" w:space="0"/>
            </w:tcBorders>
            <w:vAlign w:val="center"/>
          </w:tcPr>
          <w:p>
            <w:pPr>
              <w:spacing w:line="384" w:lineRule="auto"/>
              <w:jc w:val="center"/>
              <w:rPr>
                <w:rFonts w:hint="eastAsia" w:ascii="宋体" w:hAnsi="宋体" w:eastAsia="宋体" w:cs="宋体"/>
                <w:bCs/>
                <w:sz w:val="24"/>
                <w:highlight w:val="none"/>
                <w:lang w:eastAsia="zh-CN"/>
              </w:rPr>
            </w:pPr>
            <w:r>
              <w:rPr>
                <w:rFonts w:hint="eastAsia" w:ascii="宋体" w:hAnsi="宋体" w:cs="宋体"/>
                <w:bCs/>
                <w:sz w:val="24"/>
                <w:highlight w:val="none"/>
              </w:rPr>
              <w:t>DN400</w:t>
            </w:r>
            <w:r>
              <w:rPr>
                <w:rFonts w:hint="eastAsia" w:ascii="宋体" w:hAnsi="宋体" w:cs="宋体"/>
                <w:bCs/>
                <w:sz w:val="24"/>
                <w:highlight w:val="none"/>
                <w:lang w:eastAsia="zh-CN"/>
              </w:rPr>
              <w:t>；</w:t>
            </w:r>
            <w:r>
              <w:rPr>
                <w:rFonts w:hint="eastAsia" w:ascii="宋体" w:hAnsi="宋体" w:cs="宋体"/>
                <w:sz w:val="24"/>
              </w:rPr>
              <w:t>能接收开关量或脉冲信号：可输出4～20mA闸门开度信号</w:t>
            </w:r>
          </w:p>
        </w:tc>
        <w:tc>
          <w:tcPr>
            <w:tcW w:w="120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个</w:t>
            </w:r>
          </w:p>
        </w:tc>
        <w:tc>
          <w:tcPr>
            <w:tcW w:w="181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16</w:t>
            </w:r>
          </w:p>
        </w:tc>
        <w:tc>
          <w:tcPr>
            <w:tcW w:w="1609" w:type="dxa"/>
            <w:tcBorders>
              <w:left w:val="single" w:color="auto" w:sz="4" w:space="0"/>
            </w:tcBorders>
            <w:vAlign w:val="center"/>
          </w:tcPr>
          <w:p>
            <w:pPr>
              <w:spacing w:line="384" w:lineRule="auto"/>
              <w:jc w:val="center"/>
              <w:rPr>
                <w:rFonts w:ascii="宋体" w:hAnsi="宋体" w:cs="宋体"/>
                <w:bCs/>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933"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4</w:t>
            </w:r>
          </w:p>
        </w:tc>
        <w:tc>
          <w:tcPr>
            <w:tcW w:w="1704" w:type="dxa"/>
            <w:tcBorders>
              <w:left w:val="single" w:color="auto" w:sz="4" w:space="0"/>
              <w:right w:val="single" w:color="auto" w:sz="4" w:space="0"/>
            </w:tcBorders>
            <w:vAlign w:val="center"/>
          </w:tcPr>
          <w:p>
            <w:pPr>
              <w:spacing w:line="384" w:lineRule="auto"/>
              <w:jc w:val="center"/>
              <w:rPr>
                <w:rFonts w:hint="eastAsia" w:ascii="宋体" w:hAnsi="宋体" w:cs="宋体"/>
                <w:bCs/>
                <w:sz w:val="24"/>
                <w:highlight w:val="none"/>
              </w:rPr>
            </w:pPr>
            <w:r>
              <w:rPr>
                <w:rFonts w:hint="eastAsia" w:ascii="宋体" w:hAnsi="宋体" w:cs="宋体"/>
                <w:bCs/>
                <w:sz w:val="24"/>
                <w:highlight w:val="none"/>
              </w:rPr>
              <w:t>法兰</w:t>
            </w:r>
          </w:p>
        </w:tc>
        <w:tc>
          <w:tcPr>
            <w:tcW w:w="3351" w:type="dxa"/>
            <w:tcBorders>
              <w:left w:val="single" w:color="auto" w:sz="4" w:space="0"/>
            </w:tcBorders>
            <w:vAlign w:val="center"/>
          </w:tcPr>
          <w:p>
            <w:pPr>
              <w:spacing w:line="384" w:lineRule="auto"/>
              <w:jc w:val="center"/>
              <w:rPr>
                <w:rFonts w:hint="eastAsia" w:ascii="宋体" w:hAnsi="宋体" w:cs="宋体"/>
                <w:bCs/>
                <w:sz w:val="24"/>
                <w:highlight w:val="none"/>
              </w:rPr>
            </w:pPr>
            <w:r>
              <w:rPr>
                <w:rFonts w:hint="eastAsia" w:ascii="宋体" w:hAnsi="宋体" w:cs="宋体"/>
                <w:bCs/>
                <w:sz w:val="24"/>
              </w:rPr>
              <w:t>DN400</w:t>
            </w:r>
            <w:r>
              <w:rPr>
                <w:rFonts w:hint="eastAsia" w:ascii="宋体" w:hAnsi="宋体" w:cs="宋体"/>
                <w:bCs/>
                <w:sz w:val="24"/>
                <w:lang w:val="en-US" w:eastAsia="zh-CN"/>
              </w:rPr>
              <w:t>、304不锈钢</w:t>
            </w:r>
          </w:p>
        </w:tc>
        <w:tc>
          <w:tcPr>
            <w:tcW w:w="120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副</w:t>
            </w:r>
          </w:p>
        </w:tc>
        <w:tc>
          <w:tcPr>
            <w:tcW w:w="181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16</w:t>
            </w:r>
          </w:p>
        </w:tc>
        <w:tc>
          <w:tcPr>
            <w:tcW w:w="1609" w:type="dxa"/>
            <w:tcBorders>
              <w:left w:val="single" w:color="auto" w:sz="4" w:space="0"/>
            </w:tcBorders>
            <w:vAlign w:val="center"/>
          </w:tcPr>
          <w:p>
            <w:pPr>
              <w:spacing w:line="384" w:lineRule="auto"/>
              <w:jc w:val="center"/>
              <w:rPr>
                <w:rFonts w:ascii="宋体" w:hAnsi="宋体" w:cs="宋体"/>
                <w:bCs/>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933"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5</w:t>
            </w:r>
          </w:p>
        </w:tc>
        <w:tc>
          <w:tcPr>
            <w:tcW w:w="1704" w:type="dxa"/>
            <w:tcBorders>
              <w:left w:val="single" w:color="auto" w:sz="4" w:space="0"/>
              <w:right w:val="single" w:color="auto" w:sz="4" w:space="0"/>
            </w:tcBorders>
            <w:vAlign w:val="center"/>
          </w:tcPr>
          <w:p>
            <w:pPr>
              <w:spacing w:line="384" w:lineRule="auto"/>
              <w:jc w:val="center"/>
              <w:rPr>
                <w:rFonts w:hint="eastAsia" w:ascii="宋体" w:hAnsi="宋体" w:cs="宋体"/>
                <w:bCs/>
                <w:sz w:val="24"/>
                <w:highlight w:val="none"/>
              </w:rPr>
            </w:pPr>
            <w:r>
              <w:rPr>
                <w:rFonts w:hint="eastAsia" w:ascii="宋体" w:hAnsi="宋体" w:cs="宋体"/>
                <w:bCs/>
                <w:sz w:val="24"/>
                <w:highlight w:val="none"/>
              </w:rPr>
              <w:t>配电箱</w:t>
            </w:r>
          </w:p>
        </w:tc>
        <w:tc>
          <w:tcPr>
            <w:tcW w:w="3351" w:type="dxa"/>
            <w:tcBorders>
              <w:left w:val="single" w:color="auto" w:sz="4" w:space="0"/>
            </w:tcBorders>
            <w:vAlign w:val="center"/>
          </w:tcPr>
          <w:p>
            <w:pPr>
              <w:spacing w:line="384" w:lineRule="auto"/>
              <w:jc w:val="center"/>
              <w:rPr>
                <w:rFonts w:hint="eastAsia" w:ascii="宋体" w:hAnsi="宋体" w:cs="宋体"/>
                <w:bCs/>
                <w:sz w:val="24"/>
                <w:highlight w:val="none"/>
              </w:rPr>
            </w:pPr>
            <w:r>
              <w:rPr>
                <w:rFonts w:hint="eastAsia" w:ascii="宋体" w:hAnsi="宋体" w:cs="宋体"/>
                <w:bCs/>
                <w:sz w:val="24"/>
                <w:highlight w:val="none"/>
              </w:rPr>
              <w:t>500mm*400mm*200mm</w:t>
            </w:r>
          </w:p>
        </w:tc>
        <w:tc>
          <w:tcPr>
            <w:tcW w:w="120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套</w:t>
            </w:r>
          </w:p>
        </w:tc>
        <w:tc>
          <w:tcPr>
            <w:tcW w:w="1815" w:type="dxa"/>
            <w:tcBorders>
              <w:right w:val="single" w:color="auto" w:sz="4" w:space="0"/>
            </w:tcBorders>
            <w:vAlign w:val="center"/>
          </w:tcPr>
          <w:p>
            <w:pPr>
              <w:spacing w:line="384" w:lineRule="auto"/>
              <w:jc w:val="center"/>
              <w:rPr>
                <w:rFonts w:hint="default" w:ascii="宋体" w:hAnsi="宋体" w:cs="宋体"/>
                <w:bCs/>
                <w:sz w:val="24"/>
                <w:highlight w:val="none"/>
                <w:lang w:val="en-US" w:eastAsia="zh-CN"/>
              </w:rPr>
            </w:pPr>
            <w:r>
              <w:rPr>
                <w:rFonts w:hint="eastAsia" w:ascii="宋体" w:hAnsi="宋体" w:cs="宋体"/>
                <w:bCs/>
                <w:sz w:val="24"/>
                <w:highlight w:val="none"/>
                <w:lang w:val="en-US" w:eastAsia="zh-CN"/>
              </w:rPr>
              <w:t>16</w:t>
            </w:r>
          </w:p>
        </w:tc>
        <w:tc>
          <w:tcPr>
            <w:tcW w:w="1609" w:type="dxa"/>
            <w:tcBorders>
              <w:left w:val="single" w:color="auto" w:sz="4" w:space="0"/>
            </w:tcBorders>
            <w:vAlign w:val="center"/>
          </w:tcPr>
          <w:p>
            <w:pPr>
              <w:spacing w:line="384" w:lineRule="auto"/>
              <w:jc w:val="center"/>
              <w:rPr>
                <w:rFonts w:hint="default" w:ascii="宋体" w:hAnsi="宋体" w:eastAsia="宋体" w:cs="宋体"/>
                <w:bCs/>
                <w:sz w:val="24"/>
                <w:highlight w:val="none"/>
                <w:lang w:val="en-US" w:eastAsia="zh-CN"/>
              </w:rPr>
            </w:pPr>
            <w:r>
              <w:rPr>
                <w:rFonts w:hint="eastAsia" w:ascii="宋体" w:hAnsi="宋体" w:cs="宋体"/>
                <w:bCs/>
                <w:sz w:val="24"/>
                <w:highlight w:val="none"/>
                <w:lang w:val="en-US" w:eastAsia="zh-CN"/>
              </w:rPr>
              <w:t>304不锈钢</w:t>
            </w: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lang w:eastAsia="zh-CN"/>
        </w:rPr>
        <w:t>（</w:t>
      </w:r>
      <w:r>
        <w:rPr>
          <w:rFonts w:hint="eastAsia" w:ascii="宋体" w:hAnsi="宋体" w:cs="宋体"/>
          <w:sz w:val="24"/>
          <w:highlight w:val="none"/>
          <w:u w:val="none"/>
          <w:lang w:val="en-US" w:eastAsia="zh-CN"/>
        </w:rPr>
        <w:t>1）</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合同签订后10个工作日内</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60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7</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（3）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0"/>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lang w:val="en-US" w:eastAsia="zh-CN"/>
        </w:rPr>
        <w:t>/</w:t>
      </w:r>
      <w:r>
        <w:rPr>
          <w:rFonts w:hint="eastAsia" w:ascii="宋体" w:hAnsi="宋体" w:cs="宋体"/>
          <w:sz w:val="24"/>
          <w:u w:val="single"/>
        </w:rPr>
        <w:t>元，（大写：</w:t>
      </w:r>
      <w:r>
        <w:rPr>
          <w:rFonts w:hint="eastAsia" w:ascii="宋体" w:hAnsi="宋体" w:cs="宋体"/>
          <w:sz w:val="24"/>
          <w:u w:val="single"/>
          <w:lang w:val="en-US"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0"/>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0"/>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广州市净水有限公司石井分公司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w:t>
      </w:r>
      <w:r>
        <w:rPr>
          <w:rFonts w:hint="eastAsia" w:ascii="宋体" w:hAnsi="宋体" w:cs="宋体"/>
          <w:sz w:val="24"/>
          <w:u w:val="single"/>
        </w:rPr>
        <w:t>（大写人民币：</w:t>
      </w:r>
      <w:r>
        <w:rPr>
          <w:rFonts w:hint="eastAsia" w:ascii="宋体" w:hAnsi="宋体" w:cs="宋体"/>
          <w:sz w:val="24"/>
          <w:u w:val="single"/>
          <w:lang w:val="en-US"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（1）符合甲方要求（详见附件7保函格式）的银行独立保函，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hint="eastAsia" w:hAnsi="宋体" w:cs="宋体"/>
          <w:sz w:val="24"/>
          <w:szCs w:val="24"/>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    </w:t>
      </w:r>
    </w:p>
    <w:p>
      <w:pPr>
        <w:numPr>
          <w:ilvl w:val="0"/>
          <w:numId w:val="6"/>
        </w:numPr>
        <w:spacing w:before="120" w:afterLines="50" w:line="384" w:lineRule="auto"/>
        <w:ind w:firstLine="482" w:firstLineChars="200"/>
        <w:jc w:val="left"/>
        <w:rPr>
          <w:rFonts w:ascii="宋体" w:hAnsi="宋体" w:cs="宋体"/>
          <w:b/>
          <w:bCs/>
          <w:sz w:val="24"/>
        </w:rPr>
      </w:pPr>
      <w:bookmarkStart w:id="1" w:name="_Toc518992994"/>
      <w:bookmarkStart w:id="2" w:name="_Toc474245220"/>
      <w:bookmarkStart w:id="3" w:name="_Toc520190034"/>
      <w:r>
        <w:rPr>
          <w:rFonts w:hint="eastAsia" w:ascii="宋体" w:hAnsi="宋体" w:cs="宋体"/>
          <w:b/>
          <w:bCs/>
          <w:sz w:val="24"/>
        </w:rPr>
        <w:t>质量保证</w:t>
      </w:r>
      <w:bookmarkEnd w:id="1"/>
      <w:bookmarkEnd w:id="2"/>
      <w:bookmarkEnd w:id="3"/>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4" w:name="_Toc107447255"/>
      <w:bookmarkStart w:id="5" w:name="_Toc183666531"/>
      <w:bookmarkStart w:id="6" w:name="_Toc518993000"/>
      <w:bookmarkStart w:id="7" w:name="_Toc474245226"/>
      <w:bookmarkStart w:id="8" w:name="_Toc306350467"/>
      <w:bookmarkStart w:id="9" w:name="_Toc107446862"/>
      <w:bookmarkStart w:id="10" w:name="_Toc520190040"/>
      <w:bookmarkStart w:id="11" w:name="_Toc19692"/>
      <w:r>
        <w:rPr>
          <w:rFonts w:hint="eastAsia" w:ascii="宋体" w:hAnsi="宋体" w:cs="宋体"/>
          <w:b/>
          <w:bCs/>
          <w:sz w:val="24"/>
        </w:rPr>
        <w:t>第十一条不可抗力</w:t>
      </w:r>
      <w:bookmarkEnd w:id="4"/>
      <w:bookmarkEnd w:id="5"/>
      <w:bookmarkEnd w:id="6"/>
      <w:bookmarkEnd w:id="7"/>
      <w:bookmarkEnd w:id="8"/>
      <w:bookmarkEnd w:id="9"/>
      <w:bookmarkEnd w:id="10"/>
      <w:bookmarkEnd w:id="11"/>
    </w:p>
    <w:p>
      <w:pPr>
        <w:widowControl/>
        <w:autoSpaceDE w:val="0"/>
        <w:autoSpaceDN w:val="0"/>
        <w:adjustRightInd w:val="0"/>
        <w:spacing w:line="384" w:lineRule="auto"/>
        <w:ind w:firstLine="480" w:firstLineChars="200"/>
        <w:rPr>
          <w:rFonts w:ascii="宋体" w:hAnsi="宋体" w:cs="宋体"/>
          <w:bCs/>
          <w:sz w:val="24"/>
        </w:rPr>
      </w:pPr>
      <w:bookmarkStart w:id="12" w:name="_Toc183666532"/>
      <w:bookmarkStart w:id="13" w:name="_Toc12010"/>
      <w:bookmarkStart w:id="14" w:name="_Toc306350468"/>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5" w:name="_Toc520190041"/>
      <w:bookmarkStart w:id="16" w:name="_Toc107446864"/>
      <w:bookmarkStart w:id="17" w:name="_Toc518993001"/>
      <w:bookmarkStart w:id="18" w:name="_Toc107447257"/>
      <w:bookmarkStart w:id="19" w:name="_Toc474245227"/>
      <w:bookmarkStart w:id="20" w:name="_Toc11817229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2"/>
      <w:bookmarkEnd w:id="13"/>
      <w:bookmarkEnd w:id="14"/>
      <w:bookmarkEnd w:id="15"/>
      <w:bookmarkEnd w:id="16"/>
      <w:bookmarkEnd w:id="17"/>
      <w:bookmarkEnd w:id="18"/>
      <w:bookmarkEnd w:id="19"/>
      <w:bookmarkEnd w:id="20"/>
    </w:p>
    <w:p>
      <w:pPr>
        <w:spacing w:line="384" w:lineRule="auto"/>
        <w:ind w:firstLine="482"/>
        <w:rPr>
          <w:rFonts w:ascii="宋体" w:hAnsi="宋体" w:cs="宋体"/>
          <w:bCs/>
          <w:sz w:val="24"/>
        </w:rPr>
      </w:pPr>
      <w:bookmarkStart w:id="21" w:name="_Toc306350469"/>
      <w:bookmarkStart w:id="22"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1"/>
      <w:bookmarkEnd w:id="22"/>
      <w:bookmarkStart w:id="23" w:name="_Toc520190043"/>
      <w:bookmarkStart w:id="24" w:name="_Toc518993003"/>
      <w:bookmarkStart w:id="25"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6" w:name="_Toc107446871"/>
      <w:bookmarkStart w:id="27" w:name="_Toc107447264"/>
      <w:r>
        <w:rPr>
          <w:rFonts w:hint="eastAsia" w:ascii="宋体" w:hAnsi="宋体" w:cs="宋体"/>
          <w:b/>
          <w:bCs/>
          <w:sz w:val="24"/>
        </w:rPr>
        <w:t>合同生效及其他</w:t>
      </w:r>
      <w:bookmarkEnd w:id="23"/>
      <w:bookmarkEnd w:id="24"/>
      <w:bookmarkEnd w:id="25"/>
      <w:bookmarkEnd w:id="26"/>
      <w:bookmarkEnd w:id="27"/>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lang w:val="en-US" w:eastAsia="zh-CN"/>
        </w:rPr>
        <w:t>陆</w:t>
      </w:r>
      <w:r>
        <w:rPr>
          <w:rFonts w:hint="eastAsia" w:ascii="宋体" w:hAnsi="宋体" w:cs="宋体"/>
          <w:sz w:val="24"/>
        </w:rPr>
        <w:t>份，其中：甲方</w:t>
      </w:r>
      <w:r>
        <w:rPr>
          <w:rFonts w:hint="eastAsia" w:ascii="宋体" w:hAnsi="宋体" w:cs="宋体"/>
          <w:sz w:val="24"/>
          <w:lang w:val="en-US" w:eastAsia="zh-CN"/>
        </w:rPr>
        <w:t>肆</w:t>
      </w:r>
      <w:r>
        <w:rPr>
          <w:rFonts w:hint="eastAsia" w:ascii="宋体" w:hAnsi="宋体" w:cs="宋体"/>
          <w:sz w:val="24"/>
        </w:rPr>
        <w:t>份，乙方</w:t>
      </w:r>
      <w:r>
        <w:rPr>
          <w:rFonts w:hint="eastAsia" w:ascii="宋体" w:hAnsi="宋体" w:cs="宋体"/>
          <w:sz w:val="24"/>
          <w:lang w:val="en-US" w:eastAsia="zh-CN"/>
        </w:rPr>
        <w:t>贰</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p>
    <w:p>
      <w:pPr>
        <w:spacing w:line="384" w:lineRule="auto"/>
        <w:rPr>
          <w:rFonts w:hint="eastAsia" w:asciiTheme="minorEastAsia" w:hAnsiTheme="minorEastAsia" w:eastAsiaTheme="minorEastAsia" w:cstheme="minorEastAsia"/>
          <w:b w:val="0"/>
          <w:bCs w:val="0"/>
          <w:sz w:val="24"/>
          <w:szCs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7.</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pStyle w:val="19"/>
      </w:pPr>
    </w:p>
    <w:p>
      <w:pPr>
        <w:spacing w:line="360" w:lineRule="auto"/>
        <w:rPr>
          <w:rFonts w:ascii="宋体" w:hAnsi="宋体" w:cs="宋体"/>
          <w:b/>
          <w:bCs/>
          <w:szCs w:val="21"/>
        </w:rPr>
      </w:pPr>
    </w:p>
    <w:p>
      <w:pPr>
        <w:spacing w:line="360" w:lineRule="auto"/>
        <w:jc w:val="both"/>
        <w:rPr>
          <w:rFonts w:hint="eastAsia" w:ascii="宋体" w:hAnsi="宋体" w:cs="宋体"/>
          <w:b/>
          <w:bCs/>
          <w:color w:val="auto"/>
          <w:szCs w:val="21"/>
        </w:rPr>
      </w:pPr>
      <w:bookmarkStart w:id="28" w:name="_Toc389815031"/>
      <w:bookmarkStart w:id="29" w:name="_Toc387080836"/>
      <w:bookmarkStart w:id="30"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石井分公司反应池廊道曝气管增加气阀项目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石井分公司反应池廊道曝气管增加气阀项目+</w:t>
      </w:r>
      <w:r>
        <w:rPr>
          <w:rFonts w:hint="eastAsia" w:ascii="仿宋_GB2312" w:hAnsi="仿宋_GB2312" w:eastAsia="仿宋_GB2312" w:cs="仿宋_GB2312"/>
          <w:b w:val="0"/>
          <w:bCs/>
          <w:color w:val="auto"/>
          <w:sz w:val="28"/>
          <w:szCs w:val="28"/>
          <w:highlight w:val="none"/>
          <w:u w:val="single"/>
          <w:lang w:val="en-US" w:eastAsia="zh-CN"/>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0"/>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rPr>
          <w:rFonts w:hint="eastAsia" w:ascii="仿宋_GB2312" w:hAnsi="仿宋_GB2312" w:eastAsia="仿宋_GB2312" w:cs="仿宋_GB2312"/>
          <w:b w:val="0"/>
          <w:bCs/>
          <w:color w:val="auto"/>
          <w:sz w:val="28"/>
          <w:szCs w:val="28"/>
          <w:highlight w:val="none"/>
        </w:rPr>
      </w:pPr>
    </w:p>
    <w:p>
      <w:pPr>
        <w:pStyle w:val="19"/>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0"/>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428"/>
        <w:gridCol w:w="775"/>
        <w:gridCol w:w="222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854"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7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2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77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77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222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428"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3000"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70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pStyle w:val="19"/>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8"/>
      <w:bookmarkEnd w:id="29"/>
      <w:bookmarkEnd w:id="30"/>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1"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3"/>
          <w:rFonts w:asciiTheme="minorEastAsia" w:hAnsiTheme="minorEastAsia" w:eastAsiaTheme="minorEastAsia"/>
          <w:b w:val="0"/>
          <w:u w:val="single"/>
        </w:rPr>
      </w:pPr>
    </w:p>
    <w:bookmarkEnd w:id="31"/>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石井分公司反应池廊道曝气管增加气阀项目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hint="eastAsia" w:asciiTheme="minorEastAsia" w:hAnsiTheme="minorEastAsia" w:eastAsiaTheme="minorEastAsia"/>
          <w:sz w:val="24"/>
          <w:u w:val="single"/>
          <w:lang w:val="en-US" w:eastAsia="zh-CN"/>
        </w:rPr>
        <w:t>10</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19"/>
        <w:rPr>
          <w:rFonts w:ascii="宋体" w:hAnsi="宋体" w:cs="宋体"/>
          <w:b/>
          <w:bCs/>
          <w:szCs w:val="21"/>
        </w:rPr>
      </w:pPr>
    </w:p>
    <w:p>
      <w:pPr>
        <w:pStyle w:val="19"/>
        <w:rPr>
          <w:rFonts w:ascii="宋体" w:hAnsi="宋体" w:cs="宋体"/>
          <w:b/>
          <w:bCs/>
          <w:szCs w:val="21"/>
        </w:rPr>
      </w:pPr>
    </w:p>
    <w:p>
      <w:pPr>
        <w:pStyle w:val="19"/>
        <w:rPr>
          <w:rFonts w:ascii="宋体" w:hAnsi="宋体" w:cs="宋体"/>
          <w:b/>
          <w:bCs/>
          <w:szCs w:val="21"/>
        </w:rPr>
      </w:pPr>
    </w:p>
    <w:p>
      <w:pPr>
        <w:pStyle w:val="19"/>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jc w:val="center"/>
        <w:rPr>
          <w:rFonts w:hint="eastAsia" w:ascii="宋体" w:hAnsi="宋体" w:cs="宋体"/>
          <w:b/>
          <w:sz w:val="28"/>
          <w:szCs w:val="28"/>
          <w:lang w:val="en-US" w:eastAsia="zh-CN"/>
        </w:rPr>
      </w:pPr>
      <w:r>
        <w:rPr>
          <w:rFonts w:hint="eastAsia" w:ascii="宋体" w:hAnsi="宋体" w:cs="宋体"/>
          <w:b/>
          <w:sz w:val="28"/>
          <w:szCs w:val="28"/>
        </w:rPr>
        <w:t>工程</w:t>
      </w:r>
      <w:r>
        <w:rPr>
          <w:rFonts w:hint="eastAsia" w:ascii="宋体" w:hAnsi="宋体" w:cs="宋体"/>
          <w:b/>
          <w:sz w:val="28"/>
          <w:szCs w:val="28"/>
          <w:lang w:val="en-US" w:eastAsia="zh-CN"/>
        </w:rPr>
        <w:t>报价</w:t>
      </w: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1"/>
        <w:gridCol w:w="4543"/>
        <w:gridCol w:w="73"/>
        <w:gridCol w:w="1867"/>
        <w:gridCol w:w="615"/>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7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867"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5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5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5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3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cs="宋体"/>
          <w:sz w:val="24"/>
        </w:rPr>
      </w:pPr>
    </w:p>
    <w:p>
      <w:pPr>
        <w:pStyle w:val="19"/>
        <w:rPr>
          <w:rFonts w:ascii="宋体" w:hAnsi="宋体" w:cs="宋体"/>
          <w:sz w:val="24"/>
        </w:rPr>
      </w:pPr>
    </w:p>
    <w:p>
      <w:pPr>
        <w:pStyle w:val="19"/>
        <w:ind w:left="0" w:leftChars="0" w:firstLine="0" w:firstLineChars="0"/>
        <w:rPr>
          <w:rFonts w:ascii="宋体" w:hAnsi="宋体" w:cs="宋体"/>
          <w:sz w:val="24"/>
        </w:rPr>
      </w:pPr>
    </w:p>
    <w:tbl>
      <w:tblPr>
        <w:tblStyle w:val="20"/>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3"/>
        <w:gridCol w:w="1309"/>
        <w:gridCol w:w="1316"/>
        <w:gridCol w:w="2561"/>
        <w:gridCol w:w="89"/>
        <w:gridCol w:w="469"/>
        <w:gridCol w:w="819"/>
        <w:gridCol w:w="276"/>
        <w:gridCol w:w="726"/>
        <w:gridCol w:w="1036"/>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trPr>
        <w:tc>
          <w:tcPr>
            <w:tcW w:w="9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739"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65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6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080807014001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钢管开孔</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1.类型:钢管开孔</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030804003001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304不锈钢伸缩节安装</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1.名称：不锈钢伸缩节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3.规格:DN400</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030810004001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低压不锈钢法兰</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1.名称:电动对夹式涡轮蝶阀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3.型号、规格:DN400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4.连接形式:法兰连接       5.执行器：天二通执行器</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1.名称、型号:动力配电箱XL-10-3／35型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2.规格:外形尺寸500mm×400mm×200mm(高×宽×厚)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3.离地1.5m</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2.规格:DN32mm</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1.型号:铜芯电缆YJV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2.规格:5×2.5mm2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3.敷设方式:沿电缆沟敷设</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1.型号:KVV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2.规格:7×1.5mm2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3.敷设方式:电缆敷设</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1.型号:KVV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2.规格:4×1mm2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3.敷设方式:电缆敷设</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031003010001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波纹管敷设</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活动塑料隔断</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118"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11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3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9"/>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5"/>
        <w:gridCol w:w="1479"/>
        <w:gridCol w:w="1423"/>
        <w:gridCol w:w="1431"/>
        <w:gridCol w:w="880"/>
        <w:gridCol w:w="2024"/>
        <w:gridCol w:w="2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020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585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202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23"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7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0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32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7"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16553.83</w:t>
            </w: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8"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4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7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3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858"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0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1"/>
        <w:gridCol w:w="3778"/>
        <w:gridCol w:w="924"/>
        <w:gridCol w:w="969"/>
        <w:gridCol w:w="907"/>
        <w:gridCol w:w="804"/>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20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87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6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06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7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1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6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0"/>
        <w:gridCol w:w="2329"/>
        <w:gridCol w:w="2565"/>
        <w:gridCol w:w="190"/>
        <w:gridCol w:w="1596"/>
        <w:gridCol w:w="17"/>
        <w:gridCol w:w="1012"/>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80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9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8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8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8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19"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8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18"/>
        <w:rPr>
          <w:rFonts w:hint="eastAsia"/>
          <w:lang w:eastAsia="zh-CN"/>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pStyle w:val="19"/>
        <w:rPr>
          <w:rFonts w:hint="eastAsia" w:ascii="宋体" w:hAnsi="宋体" w:cs="宋体"/>
          <w:color w:val="000000" w:themeColor="text1"/>
          <w:szCs w:val="21"/>
          <w:highlight w:val="none"/>
          <w:lang w:eastAsia="zh-CN"/>
          <w14:textFill>
            <w14:solidFill>
              <w14:schemeClr w14:val="tx1"/>
            </w14:solidFill>
          </w14:textFill>
        </w:rPr>
      </w:pPr>
    </w:p>
    <w:p>
      <w:pPr>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19"/>
        <w:rPr>
          <w:rFonts w:hint="eastAsia"/>
        </w:rPr>
      </w:pPr>
    </w:p>
    <w:p>
      <w:pPr>
        <w:pStyle w:val="19"/>
        <w:rPr>
          <w:rFonts w:hint="eastAsia"/>
        </w:rPr>
      </w:pPr>
    </w:p>
    <w:p>
      <w:pPr>
        <w:pStyle w:val="5"/>
        <w:spacing w:line="360" w:lineRule="auto"/>
        <w:jc w:val="both"/>
        <w:rPr>
          <w:rFonts w:hint="eastAsia" w:ascii="仿宋_GB2312" w:hAnsi="仿宋_GB2312" w:eastAsia="仿宋_GB2312" w:cs="仿宋_GB2312"/>
          <w:color w:val="auto"/>
          <w:sz w:val="28"/>
          <w:szCs w:val="28"/>
          <w:highlight w:val="none"/>
        </w:rPr>
      </w:pPr>
    </w:p>
    <w:p>
      <w:pPr>
        <w:pStyle w:val="5"/>
        <w:spacing w:line="360" w:lineRule="auto"/>
        <w:jc w:val="both"/>
        <w:rPr>
          <w:rFonts w:hint="eastAsia" w:ascii="仿宋_GB2312" w:hAnsi="仿宋_GB2312" w:eastAsia="仿宋_GB2312" w:cs="仿宋_GB2312"/>
          <w:color w:val="auto"/>
          <w:sz w:val="28"/>
          <w:szCs w:val="28"/>
          <w:highlight w:val="none"/>
        </w:rPr>
      </w:pPr>
    </w:p>
    <w:p>
      <w:pPr>
        <w:pStyle w:val="5"/>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0"/>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bCs w:val="0"/>
          <w:color w:val="auto"/>
          <w:spacing w:val="100"/>
          <w:w w:val="110"/>
          <w:kern w:val="0"/>
          <w:sz w:val="28"/>
          <w:szCs w:val="28"/>
          <w:highlight w:val="none"/>
          <w:u w:val="single"/>
        </w:rPr>
        <w:t>广州市净水有限公司石井分公司反应池廊道曝气管增加气阀项目</w:t>
      </w:r>
    </w:p>
    <w:p>
      <w:pPr>
        <w:pStyle w:val="10"/>
        <w:jc w:val="center"/>
        <w:rPr>
          <w:rFonts w:hint="eastAsia" w:ascii="仿宋_GB2312" w:hAnsi="仿宋_GB2312" w:eastAsia="仿宋_GB2312" w:cs="仿宋_GB2312"/>
          <w:b/>
          <w:color w:val="auto"/>
          <w:sz w:val="28"/>
          <w:szCs w:val="28"/>
          <w:highlight w:val="none"/>
        </w:rPr>
      </w:pPr>
    </w:p>
    <w:p>
      <w:pPr>
        <w:pStyle w:val="10"/>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0"/>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0"/>
        <w:jc w:val="center"/>
        <w:rPr>
          <w:rFonts w:hint="eastAsia" w:ascii="仿宋_GB2312" w:hAnsi="仿宋_GB2312" w:eastAsia="仿宋_GB2312" w:cs="仿宋_GB2312"/>
          <w:b/>
          <w:color w:val="auto"/>
          <w:sz w:val="28"/>
          <w:szCs w:val="28"/>
          <w:highlight w:val="none"/>
        </w:rPr>
      </w:pPr>
    </w:p>
    <w:p>
      <w:pPr>
        <w:pStyle w:val="10"/>
        <w:jc w:val="center"/>
        <w:rPr>
          <w:rFonts w:hint="eastAsia" w:ascii="仿宋_GB2312" w:hAnsi="仿宋_GB2312" w:eastAsia="仿宋_GB2312" w:cs="仿宋_GB2312"/>
          <w:b/>
          <w:color w:val="auto"/>
          <w:sz w:val="28"/>
          <w:szCs w:val="28"/>
          <w:highlight w:val="none"/>
        </w:rPr>
      </w:pPr>
    </w:p>
    <w:p>
      <w:pPr>
        <w:pStyle w:val="10"/>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9"/>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ascii="宋体" w:hAnsi="宋体" w:eastAsia="宋体" w:cs="Times New Roman"/>
          <w:b w:val="0"/>
          <w:bCs w:val="0"/>
          <w:color w:val="auto"/>
          <w:sz w:val="24"/>
          <w:szCs w:val="20"/>
          <w:highlight w:val="none"/>
          <w:u w:val="single"/>
        </w:rPr>
        <w:t>广州市净水有限公司石井分公司反应池廊道曝气管增加气阀项目</w:t>
      </w:r>
    </w:p>
    <w:p>
      <w:pPr>
        <w:pStyle w:val="10"/>
        <w:ind w:firstLine="843" w:firstLineChars="300"/>
        <w:rPr>
          <w:rFonts w:hint="eastAsia" w:ascii="仿宋_GB2312" w:hAnsi="仿宋_GB2312" w:eastAsia="仿宋_GB2312" w:cs="仿宋_GB2312"/>
          <w:b/>
          <w:color w:val="auto"/>
          <w:sz w:val="28"/>
          <w:szCs w:val="28"/>
          <w:highlight w:val="none"/>
        </w:rPr>
      </w:pPr>
    </w:p>
    <w:p>
      <w:pPr>
        <w:pStyle w:val="10"/>
        <w:ind w:firstLine="843" w:firstLineChars="300"/>
        <w:rPr>
          <w:rFonts w:hint="eastAsia" w:ascii="仿宋_GB2312" w:hAnsi="仿宋_GB2312" w:eastAsia="仿宋_GB2312" w:cs="仿宋_GB2312"/>
          <w:b/>
          <w:color w:val="auto"/>
          <w:sz w:val="28"/>
          <w:szCs w:val="28"/>
          <w:highlight w:val="none"/>
        </w:rPr>
      </w:pPr>
    </w:p>
    <w:p>
      <w:pPr>
        <w:pStyle w:val="10"/>
        <w:ind w:firstLine="843" w:firstLineChars="300"/>
        <w:rPr>
          <w:rFonts w:hint="eastAsia" w:ascii="仿宋_GB2312" w:hAnsi="仿宋_GB2312" w:eastAsia="仿宋_GB2312" w:cs="仿宋_GB2312"/>
          <w:b/>
          <w:color w:val="auto"/>
          <w:sz w:val="28"/>
          <w:szCs w:val="28"/>
          <w:highlight w:val="none"/>
        </w:rPr>
      </w:pPr>
    </w:p>
    <w:p>
      <w:pPr>
        <w:pStyle w:val="10"/>
        <w:ind w:firstLine="843" w:firstLineChars="300"/>
        <w:rPr>
          <w:rFonts w:hint="eastAsia" w:ascii="仿宋_GB2312" w:hAnsi="仿宋_GB2312" w:eastAsia="仿宋_GB2312" w:cs="仿宋_GB2312"/>
          <w:b/>
          <w:color w:val="auto"/>
          <w:sz w:val="28"/>
          <w:szCs w:val="28"/>
          <w:highlight w:val="none"/>
        </w:rPr>
      </w:pPr>
    </w:p>
    <w:p>
      <w:pPr>
        <w:pStyle w:val="10"/>
        <w:ind w:firstLine="843" w:firstLineChars="300"/>
        <w:rPr>
          <w:rFonts w:hint="eastAsia" w:ascii="仿宋_GB2312" w:hAnsi="仿宋_GB2312" w:eastAsia="仿宋_GB2312" w:cs="仿宋_GB2312"/>
          <w:b/>
          <w:color w:val="auto"/>
          <w:sz w:val="28"/>
          <w:szCs w:val="28"/>
          <w:highlight w:val="none"/>
        </w:rPr>
      </w:pPr>
    </w:p>
    <w:p>
      <w:pPr>
        <w:pStyle w:val="10"/>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headerReference r:id="rId5" w:type="default"/>
          <w:footerReference r:id="rId6"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6"/>
              <w:rPr>
                <w:rFonts w:hint="eastAsia"/>
                <w:highlight w:val="none"/>
              </w:rPr>
            </w:pPr>
          </w:p>
          <w:p>
            <w:pPr>
              <w:spacing w:line="360" w:lineRule="auto"/>
              <w:jc w:val="left"/>
              <w:rPr>
                <w:rFonts w:ascii="宋体" w:hAnsi="宋体"/>
                <w:sz w:val="24"/>
                <w:szCs w:val="24"/>
                <w:highlight w:val="none"/>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6"/>
        <w:rPr>
          <w:highlight w:val="none"/>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default" w:ascii="仿宋_GB2312" w:hAnsi="仿宋_GB2312" w:eastAsia="仿宋" w:cs="仿宋_GB2312"/>
          <w:sz w:val="28"/>
          <w:szCs w:val="28"/>
          <w:lang w:val="en-US" w:eastAsia="zh-CN"/>
        </w:rPr>
      </w:pPr>
      <w:r>
        <w:rPr>
          <w:rFonts w:hint="eastAsia" w:ascii="仿宋" w:hAnsi="仿宋" w:eastAsia="仿宋" w:cs="仿宋_GB2312"/>
          <w:color w:val="000000"/>
          <w:sz w:val="28"/>
          <w:szCs w:val="28"/>
          <w:highlight w:val="none"/>
        </w:rPr>
        <w:t>　　</w:t>
      </w:r>
      <w:r>
        <w:rPr>
          <w:rFonts w:hint="eastAsia" w:ascii="仿宋" w:hAnsi="仿宋" w:eastAsia="仿宋" w:cs="仿宋_GB2312"/>
          <w:color w:val="000000"/>
          <w:sz w:val="28"/>
          <w:szCs w:val="28"/>
          <w:highlight w:val="none"/>
          <w:lang w:val="en-US" w:eastAsia="zh-CN"/>
        </w:rPr>
        <w:t>联系电话：</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 w:hAnsi="仿宋" w:eastAsia="仿宋" w:cs="仿宋_GB2312"/>
          <w:color w:val="000000"/>
          <w:sz w:val="24"/>
          <w:szCs w:val="24"/>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rPr>
        <w:t>1.法定代表人为企业事业单位、国家机关、社会团体的主要行政负责人。</w:t>
      </w:r>
    </w:p>
    <w:p>
      <w:pPr>
        <w:spacing w:line="480" w:lineRule="exact"/>
        <w:rPr>
          <w:rFonts w:ascii="仿宋" w:hAnsi="仿宋" w:eastAsia="仿宋" w:cs="仿宋_GB2312"/>
          <w:color w:val="000000"/>
          <w:sz w:val="24"/>
          <w:szCs w:val="24"/>
        </w:rPr>
      </w:pPr>
      <w:r>
        <w:rPr>
          <w:rFonts w:ascii="仿宋" w:hAnsi="仿宋" w:eastAsia="仿宋" w:cs="仿宋_GB2312"/>
          <w:color w:val="000000"/>
          <w:sz w:val="24"/>
          <w:szCs w:val="24"/>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ascii="仿宋" w:hAnsi="仿宋" w:eastAsia="仿宋" w:cs="仿宋_GB2312"/>
          <w:color w:val="000000"/>
          <w:sz w:val="24"/>
          <w:szCs w:val="24"/>
        </w:rPr>
        <w:t>3.将此证明书提交对方作为合同附件</w:t>
      </w:r>
      <w:r>
        <w:rPr>
          <w:rFonts w:hint="eastAsia" w:ascii="仿宋" w:hAnsi="仿宋" w:eastAsia="仿宋" w:cs="仿宋_GB2312"/>
          <w:b/>
          <w:color w:val="000000"/>
          <w:sz w:val="24"/>
          <w:szCs w:val="24"/>
        </w:rPr>
        <w:t>。</w:t>
      </w:r>
    </w:p>
    <w:p>
      <w:pPr>
        <w:spacing w:line="480" w:lineRule="exact"/>
        <w:ind w:firstLine="720" w:firstLineChars="300"/>
        <w:rPr>
          <w:rFonts w:ascii="仿宋" w:hAnsi="仿宋" w:eastAsia="仿宋" w:cs="仿宋_GB2312"/>
          <w:color w:val="000000"/>
          <w:sz w:val="24"/>
          <w:szCs w:val="24"/>
        </w:rPr>
      </w:pPr>
      <w:r>
        <w:rPr>
          <w:rFonts w:ascii="仿宋" w:hAnsi="仿宋" w:eastAsia="仿宋" w:cs="仿宋_GB2312"/>
          <w:color w:val="000000"/>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ascii="仿宋" w:hAnsi="仿宋" w:eastAsia="仿宋" w:cs="仿宋_GB2312"/>
          <w:color w:val="000000"/>
          <w:sz w:val="24"/>
          <w:szCs w:val="24"/>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18"/>
        <w:ind w:left="0" w:leftChars="0" w:firstLine="0" w:firstLineChars="0"/>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80" w:lineRule="exact"/>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pStyle w:val="26"/>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9"/>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7"/>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7"/>
        <w:keepNext w:val="0"/>
        <w:keepLines w:val="0"/>
        <w:pageBreakBefore w:val="0"/>
        <w:widowControl w:val="0"/>
        <w:kinsoku/>
        <w:wordWrap/>
        <w:overflowPunct/>
        <w:bidi w:val="0"/>
        <w:adjustRightInd w:val="0"/>
        <w:spacing w:line="360" w:lineRule="auto"/>
        <w:ind w:firstLine="496"/>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7"/>
        <w:keepNext w:val="0"/>
        <w:keepLines w:val="0"/>
        <w:pageBreakBefore w:val="0"/>
        <w:widowControl w:val="0"/>
        <w:kinsoku/>
        <w:wordWrap/>
        <w:overflowPunct/>
        <w:bidi w:val="0"/>
        <w:adjustRightInd w:val="0"/>
        <w:spacing w:line="360" w:lineRule="auto"/>
        <w:ind w:firstLine="496"/>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ind w:left="-539" w:leftChars="-257" w:firstLine="1006" w:firstLineChars="406"/>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7"/>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p>
    <w:p>
      <w:pPr>
        <w:jc w:val="center"/>
        <w:rPr>
          <w:rFonts w:hint="eastAsia" w:ascii="仿宋_GB2312" w:hAnsi="仿宋_GB2312" w:eastAsia="仿宋_GB2312"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pStyle w:val="26"/>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6"/>
        <w:jc w:val="center"/>
        <w:rPr>
          <w:rFonts w:hint="eastAsia" w:ascii="宋体" w:hAnsi="宋体" w:eastAsia="宋体" w:cs="宋体"/>
          <w:b/>
          <w:bCs/>
          <w:color w:val="auto"/>
          <w:szCs w:val="21"/>
          <w:highlight w:val="none"/>
          <w:lang w:val="en-US" w:eastAsia="zh-CN"/>
        </w:rPr>
      </w:pPr>
      <w:r>
        <w:rPr>
          <w:rFonts w:hint="eastAsia"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项目报价</w:t>
      </w:r>
    </w:p>
    <w:p>
      <w:pPr>
        <w:pStyle w:val="26"/>
        <w:jc w:val="center"/>
        <w:rPr>
          <w:rFonts w:hint="eastAsia" w:ascii="宋体" w:hAnsi="宋体" w:eastAsia="宋体" w:cs="宋体"/>
          <w:b/>
          <w:bCs/>
          <w:color w:val="auto"/>
          <w:szCs w:val="21"/>
          <w:highlight w:val="none"/>
          <w:lang w:val="en-US" w:eastAsia="zh-CN"/>
        </w:rPr>
      </w:pPr>
    </w:p>
    <w:p>
      <w:pPr>
        <w:pStyle w:val="26"/>
        <w:rPr>
          <w:rFonts w:ascii="宋体" w:hAnsi="Times New Roman" w:cs="宋体"/>
          <w:b w:val="0"/>
          <w:sz w:val="24"/>
          <w:szCs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1"/>
        <w:gridCol w:w="4543"/>
        <w:gridCol w:w="73"/>
        <w:gridCol w:w="1867"/>
        <w:gridCol w:w="615"/>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1020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867"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5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5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5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3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3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cs="宋体"/>
          <w:sz w:val="24"/>
        </w:rPr>
      </w:pPr>
    </w:p>
    <w:p>
      <w:pPr>
        <w:pStyle w:val="19"/>
        <w:rPr>
          <w:rFonts w:ascii="宋体" w:hAnsi="宋体" w:cs="宋体"/>
          <w:sz w:val="24"/>
        </w:rPr>
      </w:pPr>
    </w:p>
    <w:p>
      <w:pPr>
        <w:pStyle w:val="19"/>
        <w:ind w:left="0" w:leftChars="0" w:firstLine="0" w:firstLineChars="0"/>
        <w:rPr>
          <w:rFonts w:ascii="宋体" w:hAnsi="宋体" w:cs="宋体"/>
          <w:sz w:val="24"/>
        </w:rPr>
      </w:pPr>
    </w:p>
    <w:tbl>
      <w:tblPr>
        <w:tblStyle w:val="20"/>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3"/>
        <w:gridCol w:w="1309"/>
        <w:gridCol w:w="1316"/>
        <w:gridCol w:w="2561"/>
        <w:gridCol w:w="89"/>
        <w:gridCol w:w="469"/>
        <w:gridCol w:w="819"/>
        <w:gridCol w:w="276"/>
        <w:gridCol w:w="726"/>
        <w:gridCol w:w="1036"/>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trPr>
        <w:tc>
          <w:tcPr>
            <w:tcW w:w="98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739"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653"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46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0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1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5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4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44"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5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080807014001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钢管开孔</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1.类型:钢管开孔</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030804003001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304不锈钢伸缩节安装</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1.名称：不锈钢伸缩节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3.规格:DN400</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030810004001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低压不锈钢法兰</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1.材质:304不锈钢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2.型号、规格:DN400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3.连接形式:焊接</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副</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030807004001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低压齿轮、液压传动、电动阀门</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1.名称:电动对夹式涡轮蝶阀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2.材质:不锈钢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3.型号、规格:DN400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4.连接形式:法兰连接       5.执行器：天二通执行器</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030404017001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1.名称、型号:动力配电箱XL-10-3／35型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2.规格:外形尺寸500mm×400mm×200mm(高×宽×厚)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3.离地1.5m</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1.材质:PVC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2.规格:DN32mm</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030408001001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1.型号:铜芯电缆YJV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2.规格:5×2.5mm2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3.敷设方式:沿电缆沟敷设</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1.型号:KVV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2.规格:7×1.5mm2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3.敷设方式:电缆敷设</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030408002002</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控制电缆</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1.型号:KVV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2.规格:4×1mm2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3.敷设方式:电缆敷设</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031003010001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波纹管敷设</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2.规格:25</w:t>
            </w: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活动塑料隔断</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55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3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6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118"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8118"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3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19"/>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5"/>
        <w:gridCol w:w="1479"/>
        <w:gridCol w:w="1423"/>
        <w:gridCol w:w="1431"/>
        <w:gridCol w:w="880"/>
        <w:gridCol w:w="2024"/>
        <w:gridCol w:w="2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8" w:hRule="atLeast"/>
        </w:trPr>
        <w:tc>
          <w:tcPr>
            <w:tcW w:w="1020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5" w:hRule="atLeast"/>
        </w:trPr>
        <w:tc>
          <w:tcPr>
            <w:tcW w:w="585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202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23"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570" w:hRule="atLeast"/>
        </w:trPr>
        <w:tc>
          <w:tcPr>
            <w:tcW w:w="6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7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20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232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After w:w="0" w:type="auto"/>
          <w:trHeight w:val="1427"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16553.83</w:t>
            </w: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57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57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2865"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578"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795" w:hRule="atLeast"/>
        </w:trPr>
        <w:tc>
          <w:tcPr>
            <w:tcW w:w="64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7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142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431"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108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36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After w:w="0" w:type="auto"/>
          <w:trHeight w:val="360" w:hRule="atLeast"/>
        </w:trPr>
        <w:tc>
          <w:tcPr>
            <w:tcW w:w="6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0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wAfter w:w="0" w:type="auto"/>
          <w:trHeight w:val="360" w:hRule="atLeast"/>
        </w:trPr>
        <w:tc>
          <w:tcPr>
            <w:tcW w:w="5858"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02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32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1"/>
        <w:gridCol w:w="3778"/>
        <w:gridCol w:w="924"/>
        <w:gridCol w:w="969"/>
        <w:gridCol w:w="907"/>
        <w:gridCol w:w="804"/>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20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7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87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6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6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7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9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711"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176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8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7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1"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93"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11"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6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pPr>
        <w:spacing w:line="360" w:lineRule="auto"/>
        <w:rPr>
          <w:rFonts w:ascii="宋体" w:hAnsi="宋体" w:cs="宋体"/>
          <w:sz w:val="24"/>
        </w:rPr>
      </w:pPr>
    </w:p>
    <w:tbl>
      <w:tblPr>
        <w:tblStyle w:val="20"/>
        <w:tblW w:w="10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0"/>
        <w:gridCol w:w="2329"/>
        <w:gridCol w:w="2565"/>
        <w:gridCol w:w="190"/>
        <w:gridCol w:w="1596"/>
        <w:gridCol w:w="17"/>
        <w:gridCol w:w="1012"/>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20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80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工程名称：石井分公司反应池廊道曝气管增加气阀项目</w:t>
            </w:r>
          </w:p>
        </w:tc>
        <w:tc>
          <w:tcPr>
            <w:tcW w:w="180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9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3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5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9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02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8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8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1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5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8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19"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8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26"/>
        <w:jc w:val="both"/>
        <w:rPr>
          <w:rFonts w:hint="eastAsia" w:hAnsi="宋体" w:eastAsia="宋体" w:cs="宋体"/>
          <w:b/>
          <w:bCs/>
          <w:color w:val="auto"/>
          <w:szCs w:val="21"/>
          <w:highlight w:val="none"/>
          <w:lang w:val="en-US" w:eastAsia="zh-CN"/>
        </w:rPr>
      </w:pPr>
    </w:p>
    <w:p>
      <w:pPr>
        <w:pStyle w:val="26"/>
        <w:jc w:val="center"/>
        <w:rPr>
          <w:rFonts w:hint="eastAsia" w:hAnsi="宋体" w:eastAsia="宋体" w:cs="宋体"/>
          <w:b/>
          <w:bCs/>
          <w:color w:val="auto"/>
          <w:szCs w:val="21"/>
          <w:highlight w:val="none"/>
          <w:lang w:val="en-US" w:eastAsia="zh-CN"/>
        </w:rPr>
      </w:pPr>
    </w:p>
    <w:p>
      <w:pPr>
        <w:pStyle w:val="26"/>
        <w:jc w:val="center"/>
        <w:rPr>
          <w:rFonts w:hint="default" w:ascii="宋体" w:hAnsi="宋体" w:eastAsia="宋体" w:cs="宋体"/>
          <w:b/>
          <w:bCs/>
          <w:color w:val="auto"/>
          <w:szCs w:val="21"/>
          <w:highlight w:val="none"/>
          <w:lang w:val="en-US" w:eastAsia="zh-CN"/>
        </w:rPr>
      </w:pPr>
      <w:r>
        <w:rPr>
          <w:rFonts w:hint="eastAsia" w:ascii="仿宋" w:hAnsi="仿宋" w:eastAsia="仿宋" w:cs="仿宋"/>
          <w:b/>
          <w:bCs/>
          <w:color w:val="auto"/>
          <w:sz w:val="28"/>
          <w:szCs w:val="28"/>
          <w:highlight w:val="none"/>
          <w:lang w:val="en-US" w:eastAsia="zh-CN"/>
        </w:rPr>
        <w:t>6.现场踏勘委派书</w:t>
      </w:r>
    </w:p>
    <w:p>
      <w:pPr>
        <w:pStyle w:val="26"/>
        <w:jc w:val="center"/>
        <w:rPr>
          <w:rFonts w:hint="eastAsia" w:hAnsi="宋体" w:eastAsia="宋体" w:cs="宋体"/>
          <w:b/>
          <w:bCs/>
          <w:color w:val="auto"/>
          <w:szCs w:val="21"/>
          <w:highlight w:val="none"/>
          <w:lang w:val="en-US" w:eastAsia="zh-CN"/>
        </w:rPr>
      </w:pPr>
    </w:p>
    <w:p>
      <w:pPr>
        <w:pStyle w:val="26"/>
        <w:jc w:val="both"/>
        <w:rPr>
          <w:rFonts w:hint="default" w:ascii="宋体" w:hAnsi="宋体" w:eastAsia="宋体" w:cs="宋体"/>
          <w:b/>
          <w:bCs/>
          <w:color w:val="auto"/>
          <w:szCs w:val="21"/>
          <w:highlight w:val="none"/>
          <w:lang w:val="en-US" w:eastAsia="zh-CN"/>
        </w:rPr>
      </w:pPr>
    </w:p>
    <w:p>
      <w:pPr>
        <w:pStyle w:val="17"/>
        <w:rPr>
          <w:rFonts w:hint="eastAsia" w:ascii="仿宋_GB2312" w:hAnsi="仿宋_GB2312" w:eastAsia="仿宋_GB2312" w:cs="仿宋_GB2312"/>
          <w:sz w:val="28"/>
          <w:szCs w:val="28"/>
          <w:lang w:val="en-US" w:eastAsia="zh-CN"/>
        </w:rPr>
      </w:pPr>
    </w:p>
    <w:p>
      <w:pPr>
        <w:pStyle w:val="17"/>
        <w:rPr>
          <w:rFonts w:hint="eastAsia" w:ascii="仿宋_GB2312" w:hAnsi="仿宋_GB2312" w:eastAsia="仿宋_GB2312" w:cs="仿宋_GB2312"/>
          <w:sz w:val="28"/>
          <w:szCs w:val="28"/>
          <w:lang w:val="en-US" w:eastAsia="zh-CN"/>
        </w:rPr>
      </w:pPr>
    </w:p>
    <w:p>
      <w:pPr>
        <w:pStyle w:val="1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7响应</w:t>
      </w: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val="en-US" w:eastAsia="zh-CN"/>
        </w:rPr>
        <w:t>书</w:t>
      </w:r>
      <w:bookmarkStart w:id="32" w:name="_GoBack"/>
      <w:bookmarkEnd w:id="32"/>
    </w:p>
    <w:p>
      <w:pPr>
        <w:pStyle w:val="26"/>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26"/>
        <w:ind w:firstLine="1027" w:firstLineChars="367"/>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w:t>
      </w:r>
      <w:r>
        <w:rPr>
          <w:rFonts w:hint="eastAsia" w:ascii="仿宋_GB2312" w:hAnsi="仿宋_GB2312" w:cs="仿宋_GB2312"/>
          <w:b w:val="0"/>
          <w:bCs/>
          <w:color w:val="auto"/>
          <w:kern w:val="2"/>
          <w:sz w:val="28"/>
          <w:szCs w:val="28"/>
          <w:lang w:eastAsia="zh-CN"/>
        </w:rPr>
        <w:t>，</w:t>
      </w:r>
      <w:r>
        <w:rPr>
          <w:rFonts w:hint="eastAsia" w:ascii="仿宋_GB2312" w:hAnsi="仿宋_GB2312" w:cs="仿宋_GB2312"/>
          <w:b w:val="0"/>
          <w:bCs/>
          <w:color w:val="auto"/>
          <w:kern w:val="2"/>
          <w:sz w:val="28"/>
          <w:szCs w:val="28"/>
        </w:rPr>
        <w:t>由于我方提供资料不实或与需求书中所有条款不符而造成的责任和后果由我方承担。我方承诺，所提供报价货物/设备均为制造商全新原装产品</w:t>
      </w:r>
      <w:r>
        <w:rPr>
          <w:rFonts w:hint="eastAsia" w:ascii="仿宋_GB2312" w:hAnsi="仿宋_GB2312" w:cs="仿宋_GB2312"/>
          <w:b w:val="0"/>
          <w:bCs/>
          <w:color w:val="auto"/>
          <w:kern w:val="2"/>
          <w:sz w:val="28"/>
          <w:szCs w:val="28"/>
          <w:lang w:eastAsia="zh-CN"/>
        </w:rPr>
        <w:t>，如遇系统设备故障等问题，在收到贵司通知后</w:t>
      </w:r>
      <w:r>
        <w:rPr>
          <w:rFonts w:hint="eastAsia" w:ascii="仿宋_GB2312" w:hAnsi="仿宋_GB2312" w:cs="仿宋_GB2312"/>
          <w:b w:val="0"/>
          <w:bCs/>
          <w:color w:val="auto"/>
          <w:kern w:val="2"/>
          <w:sz w:val="28"/>
          <w:szCs w:val="28"/>
          <w:lang w:val="en-US" w:eastAsia="zh-CN"/>
        </w:rPr>
        <w:t>24小时内</w:t>
      </w:r>
      <w:r>
        <w:rPr>
          <w:rFonts w:hint="eastAsia" w:ascii="仿宋_GB2312" w:hAnsi="仿宋_GB2312" w:cs="仿宋_GB2312"/>
          <w:b w:val="0"/>
          <w:bCs/>
          <w:color w:val="auto"/>
          <w:kern w:val="2"/>
          <w:sz w:val="28"/>
          <w:szCs w:val="28"/>
          <w:lang w:eastAsia="zh-CN"/>
        </w:rPr>
        <w:t>到达服务现场</w:t>
      </w:r>
      <w:r>
        <w:rPr>
          <w:rFonts w:hint="eastAsia" w:ascii="仿宋_GB2312" w:hAnsi="仿宋_GB2312" w:cs="仿宋_GB2312"/>
          <w:b w:val="0"/>
          <w:bCs/>
          <w:color w:val="auto"/>
          <w:kern w:val="2"/>
          <w:sz w:val="28"/>
          <w:szCs w:val="28"/>
          <w:lang w:val="en-US" w:eastAsia="zh-CN"/>
        </w:rPr>
        <w:t>保修</w:t>
      </w:r>
      <w:r>
        <w:rPr>
          <w:rFonts w:hint="eastAsia" w:ascii="仿宋_GB2312" w:hAnsi="仿宋_GB2312" w:cs="仿宋_GB2312"/>
          <w:b w:val="0"/>
          <w:bCs/>
          <w:color w:val="auto"/>
          <w:kern w:val="2"/>
          <w:sz w:val="28"/>
          <w:szCs w:val="28"/>
        </w:rPr>
        <w:t xml:space="preserve">。 </w:t>
      </w:r>
    </w:p>
    <w:p>
      <w:pPr>
        <w:pStyle w:val="26"/>
        <w:ind w:firstLine="562"/>
        <w:jc w:val="both"/>
        <w:rPr>
          <w:rFonts w:ascii="仿宋_GB2312" w:hAnsi="仿宋_GB2312" w:cs="仿宋_GB2312"/>
          <w:b w:val="0"/>
          <w:bCs/>
          <w:color w:val="auto"/>
          <w:kern w:val="2"/>
          <w:sz w:val="28"/>
          <w:szCs w:val="28"/>
        </w:rPr>
      </w:pPr>
    </w:p>
    <w:p>
      <w:pPr>
        <w:pStyle w:val="26"/>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6"/>
        <w:ind w:firstLine="7126" w:firstLineChars="2545"/>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r>
        <w:rPr>
          <w:rFonts w:hint="eastAsia" w:ascii="仿宋_GB2312" w:hAnsi="仿宋_GB2312" w:cs="仿宋_GB2312"/>
          <w:b/>
          <w:color w:val="auto"/>
          <w:kern w:val="2"/>
          <w:sz w:val="28"/>
          <w:szCs w:val="28"/>
        </w:rPr>
        <w:t xml:space="preserve"> </w:t>
      </w:r>
    </w:p>
    <w:p>
      <w:pPr>
        <w:pStyle w:val="26"/>
        <w:jc w:val="right"/>
        <w:rPr>
          <w:rFonts w:hint="eastAsia" w:ascii="仿宋_GB2312" w:hAnsi="仿宋_GB2312" w:eastAsia="仿宋_GB2312" w:cs="仿宋_GB2312"/>
          <w:b/>
          <w:color w:val="auto"/>
          <w:kern w:val="2"/>
          <w:sz w:val="28"/>
          <w:szCs w:val="28"/>
          <w:highlight w:val="none"/>
          <w:lang w:val="en-US" w:eastAsia="zh-CN"/>
        </w:rPr>
      </w:pPr>
    </w:p>
    <w:sectPr>
      <w:headerReference r:id="rId7" w:type="default"/>
      <w:footerReference r:id="rId8"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4"/>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077DF7"/>
    <w:multiLevelType w:val="singleLevel"/>
    <w:tmpl w:val="E6077DF7"/>
    <w:lvl w:ilvl="0" w:tentative="0">
      <w:start w:val="7"/>
      <w:numFmt w:val="chineseCounting"/>
      <w:suff w:val="nothing"/>
      <w:lvlText w:val="%1、"/>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539606"/>
    <w:multiLevelType w:val="singleLevel"/>
    <w:tmpl w:val="37539606"/>
    <w:lvl w:ilvl="0" w:tentative="0">
      <w:start w:val="1"/>
      <w:numFmt w:val="decimal"/>
      <w:suff w:val="space"/>
      <w:lvlText w:val="%1."/>
      <w:lvlJc w:val="left"/>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1E70C5"/>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490"/>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4417"/>
    <w:rsid w:val="01C419B3"/>
    <w:rsid w:val="01FB385B"/>
    <w:rsid w:val="02657F1A"/>
    <w:rsid w:val="02694E34"/>
    <w:rsid w:val="02732391"/>
    <w:rsid w:val="027A5F7E"/>
    <w:rsid w:val="02907F30"/>
    <w:rsid w:val="02BC35E1"/>
    <w:rsid w:val="030705B6"/>
    <w:rsid w:val="03114785"/>
    <w:rsid w:val="031C1438"/>
    <w:rsid w:val="03330381"/>
    <w:rsid w:val="03454BBA"/>
    <w:rsid w:val="0366555F"/>
    <w:rsid w:val="03A57563"/>
    <w:rsid w:val="03CC2F77"/>
    <w:rsid w:val="03F97C93"/>
    <w:rsid w:val="04600DDB"/>
    <w:rsid w:val="04CB1767"/>
    <w:rsid w:val="04E919D7"/>
    <w:rsid w:val="05087E50"/>
    <w:rsid w:val="0546607E"/>
    <w:rsid w:val="05AE4904"/>
    <w:rsid w:val="05E8505A"/>
    <w:rsid w:val="05F740DE"/>
    <w:rsid w:val="065A3ABE"/>
    <w:rsid w:val="066B50E3"/>
    <w:rsid w:val="06C801D7"/>
    <w:rsid w:val="06F253F2"/>
    <w:rsid w:val="072C1C5C"/>
    <w:rsid w:val="075D5CC5"/>
    <w:rsid w:val="07C66A2F"/>
    <w:rsid w:val="07DF75F9"/>
    <w:rsid w:val="07E57986"/>
    <w:rsid w:val="086C2AE2"/>
    <w:rsid w:val="08862B6E"/>
    <w:rsid w:val="088D2514"/>
    <w:rsid w:val="089912BC"/>
    <w:rsid w:val="08C51F37"/>
    <w:rsid w:val="09036FEC"/>
    <w:rsid w:val="0970539F"/>
    <w:rsid w:val="09A62117"/>
    <w:rsid w:val="09B207F9"/>
    <w:rsid w:val="09E1175A"/>
    <w:rsid w:val="0A4E2763"/>
    <w:rsid w:val="0AAF7703"/>
    <w:rsid w:val="0AE55BD1"/>
    <w:rsid w:val="0B021542"/>
    <w:rsid w:val="0B856175"/>
    <w:rsid w:val="0C451D45"/>
    <w:rsid w:val="0C5058F0"/>
    <w:rsid w:val="0C585F2A"/>
    <w:rsid w:val="0C8E0E1D"/>
    <w:rsid w:val="0CF22393"/>
    <w:rsid w:val="0D673482"/>
    <w:rsid w:val="0D6A4E6F"/>
    <w:rsid w:val="0DEC38AE"/>
    <w:rsid w:val="0E21336A"/>
    <w:rsid w:val="0E7956F8"/>
    <w:rsid w:val="0E871FE6"/>
    <w:rsid w:val="0F4D59FA"/>
    <w:rsid w:val="0F8D020F"/>
    <w:rsid w:val="0F8E0D32"/>
    <w:rsid w:val="0FB2052C"/>
    <w:rsid w:val="100C2F3C"/>
    <w:rsid w:val="11A021F8"/>
    <w:rsid w:val="11B75B21"/>
    <w:rsid w:val="12A329EC"/>
    <w:rsid w:val="12BD684D"/>
    <w:rsid w:val="12C63CBB"/>
    <w:rsid w:val="131F4BAE"/>
    <w:rsid w:val="133B18AF"/>
    <w:rsid w:val="135E720A"/>
    <w:rsid w:val="138769F5"/>
    <w:rsid w:val="13BA46A3"/>
    <w:rsid w:val="13C808EC"/>
    <w:rsid w:val="13F25014"/>
    <w:rsid w:val="14050774"/>
    <w:rsid w:val="14075E94"/>
    <w:rsid w:val="141168EE"/>
    <w:rsid w:val="1457366A"/>
    <w:rsid w:val="146400B5"/>
    <w:rsid w:val="14C60611"/>
    <w:rsid w:val="14E57AA8"/>
    <w:rsid w:val="155278BD"/>
    <w:rsid w:val="156E33B1"/>
    <w:rsid w:val="15964015"/>
    <w:rsid w:val="163A61D2"/>
    <w:rsid w:val="164815D5"/>
    <w:rsid w:val="165002AB"/>
    <w:rsid w:val="16732FEB"/>
    <w:rsid w:val="16984B18"/>
    <w:rsid w:val="16C31D73"/>
    <w:rsid w:val="17697CDA"/>
    <w:rsid w:val="176E7480"/>
    <w:rsid w:val="18376EC9"/>
    <w:rsid w:val="187F72BD"/>
    <w:rsid w:val="189758D7"/>
    <w:rsid w:val="18A93985"/>
    <w:rsid w:val="18C064A5"/>
    <w:rsid w:val="18E2599F"/>
    <w:rsid w:val="1903757C"/>
    <w:rsid w:val="194C5F03"/>
    <w:rsid w:val="19C52BDB"/>
    <w:rsid w:val="19DE07BD"/>
    <w:rsid w:val="1A974BD2"/>
    <w:rsid w:val="1B09627F"/>
    <w:rsid w:val="1B0D336F"/>
    <w:rsid w:val="1B972F4C"/>
    <w:rsid w:val="1BA42ECF"/>
    <w:rsid w:val="1BCA4E83"/>
    <w:rsid w:val="1C4B510B"/>
    <w:rsid w:val="1CC362EC"/>
    <w:rsid w:val="1CD2205E"/>
    <w:rsid w:val="1CF04822"/>
    <w:rsid w:val="1D4478A7"/>
    <w:rsid w:val="1D586AD4"/>
    <w:rsid w:val="1D5D73F0"/>
    <w:rsid w:val="1D60788B"/>
    <w:rsid w:val="1DCF4B0C"/>
    <w:rsid w:val="1E295D8B"/>
    <w:rsid w:val="1E35342E"/>
    <w:rsid w:val="1E5828D6"/>
    <w:rsid w:val="1E6E49A2"/>
    <w:rsid w:val="1E8A1A2E"/>
    <w:rsid w:val="1EA82186"/>
    <w:rsid w:val="1ED04B1F"/>
    <w:rsid w:val="1ED237BD"/>
    <w:rsid w:val="1EF42B3D"/>
    <w:rsid w:val="1F516372"/>
    <w:rsid w:val="1F7477E8"/>
    <w:rsid w:val="1FD430C8"/>
    <w:rsid w:val="1FFC1228"/>
    <w:rsid w:val="202955FD"/>
    <w:rsid w:val="205572AD"/>
    <w:rsid w:val="207C7DD1"/>
    <w:rsid w:val="20D33A0F"/>
    <w:rsid w:val="20E33285"/>
    <w:rsid w:val="216D3010"/>
    <w:rsid w:val="22551E62"/>
    <w:rsid w:val="230D1610"/>
    <w:rsid w:val="23340AC0"/>
    <w:rsid w:val="23790E8C"/>
    <w:rsid w:val="23A52A88"/>
    <w:rsid w:val="240A193D"/>
    <w:rsid w:val="24121125"/>
    <w:rsid w:val="24260853"/>
    <w:rsid w:val="24344489"/>
    <w:rsid w:val="247C5DE2"/>
    <w:rsid w:val="250B3654"/>
    <w:rsid w:val="254976EF"/>
    <w:rsid w:val="25C24F65"/>
    <w:rsid w:val="263B6B37"/>
    <w:rsid w:val="267105D5"/>
    <w:rsid w:val="269221D6"/>
    <w:rsid w:val="269C0568"/>
    <w:rsid w:val="26EB6F1B"/>
    <w:rsid w:val="26EF4E61"/>
    <w:rsid w:val="27363163"/>
    <w:rsid w:val="274506F1"/>
    <w:rsid w:val="27563635"/>
    <w:rsid w:val="27567996"/>
    <w:rsid w:val="27B45138"/>
    <w:rsid w:val="27D10221"/>
    <w:rsid w:val="27DF3432"/>
    <w:rsid w:val="28351ACB"/>
    <w:rsid w:val="2846167D"/>
    <w:rsid w:val="28810946"/>
    <w:rsid w:val="288B72CF"/>
    <w:rsid w:val="295733FB"/>
    <w:rsid w:val="295A4291"/>
    <w:rsid w:val="29CD3945"/>
    <w:rsid w:val="2A4915BE"/>
    <w:rsid w:val="2A7A1EE4"/>
    <w:rsid w:val="2B52084C"/>
    <w:rsid w:val="2B5E7FE2"/>
    <w:rsid w:val="2B7560B8"/>
    <w:rsid w:val="2B923E3B"/>
    <w:rsid w:val="2B9B31BB"/>
    <w:rsid w:val="2BA5707F"/>
    <w:rsid w:val="2BB36041"/>
    <w:rsid w:val="2BC069C8"/>
    <w:rsid w:val="2BCA23E3"/>
    <w:rsid w:val="2BFE241E"/>
    <w:rsid w:val="2C521DCD"/>
    <w:rsid w:val="2C7A79A0"/>
    <w:rsid w:val="2C882DBB"/>
    <w:rsid w:val="2D413713"/>
    <w:rsid w:val="2D5B0BE5"/>
    <w:rsid w:val="2D6119E0"/>
    <w:rsid w:val="2D751C63"/>
    <w:rsid w:val="2DFD6013"/>
    <w:rsid w:val="2E103226"/>
    <w:rsid w:val="2EA96212"/>
    <w:rsid w:val="2EC64439"/>
    <w:rsid w:val="2ECD4B5B"/>
    <w:rsid w:val="2EF813C7"/>
    <w:rsid w:val="2FDA6411"/>
    <w:rsid w:val="30507723"/>
    <w:rsid w:val="308974AE"/>
    <w:rsid w:val="308A27C8"/>
    <w:rsid w:val="30AF3EC1"/>
    <w:rsid w:val="30F44624"/>
    <w:rsid w:val="3128434B"/>
    <w:rsid w:val="31510AA0"/>
    <w:rsid w:val="31B24425"/>
    <w:rsid w:val="320345DB"/>
    <w:rsid w:val="320459D8"/>
    <w:rsid w:val="323D713F"/>
    <w:rsid w:val="325B51AB"/>
    <w:rsid w:val="33233306"/>
    <w:rsid w:val="33766BFC"/>
    <w:rsid w:val="338909EE"/>
    <w:rsid w:val="33C84ECF"/>
    <w:rsid w:val="34117711"/>
    <w:rsid w:val="348D5599"/>
    <w:rsid w:val="352765C3"/>
    <w:rsid w:val="359F29EC"/>
    <w:rsid w:val="3632051D"/>
    <w:rsid w:val="36497307"/>
    <w:rsid w:val="366C745A"/>
    <w:rsid w:val="36871A02"/>
    <w:rsid w:val="36C64F4A"/>
    <w:rsid w:val="37152C21"/>
    <w:rsid w:val="37590E1D"/>
    <w:rsid w:val="375F12EE"/>
    <w:rsid w:val="37936580"/>
    <w:rsid w:val="37B53DD3"/>
    <w:rsid w:val="37BD636B"/>
    <w:rsid w:val="384E25FA"/>
    <w:rsid w:val="384F6BCF"/>
    <w:rsid w:val="38863CC9"/>
    <w:rsid w:val="38A319F3"/>
    <w:rsid w:val="38D92A9D"/>
    <w:rsid w:val="392F3EDF"/>
    <w:rsid w:val="39704948"/>
    <w:rsid w:val="397D7CAF"/>
    <w:rsid w:val="39A93780"/>
    <w:rsid w:val="39C50B61"/>
    <w:rsid w:val="39DD52FC"/>
    <w:rsid w:val="3A500FE0"/>
    <w:rsid w:val="3B433D4E"/>
    <w:rsid w:val="3B6107FA"/>
    <w:rsid w:val="3B827730"/>
    <w:rsid w:val="3B8E0546"/>
    <w:rsid w:val="3BB63B8E"/>
    <w:rsid w:val="3C55404C"/>
    <w:rsid w:val="3D4A66B5"/>
    <w:rsid w:val="3D813D58"/>
    <w:rsid w:val="3DB90322"/>
    <w:rsid w:val="3DBA77ED"/>
    <w:rsid w:val="3DBE33D4"/>
    <w:rsid w:val="3E3402C7"/>
    <w:rsid w:val="3E510195"/>
    <w:rsid w:val="3F34383F"/>
    <w:rsid w:val="3F344F84"/>
    <w:rsid w:val="3F59270C"/>
    <w:rsid w:val="3FD74469"/>
    <w:rsid w:val="40132C0E"/>
    <w:rsid w:val="40256764"/>
    <w:rsid w:val="402C6663"/>
    <w:rsid w:val="406C1D65"/>
    <w:rsid w:val="4098068C"/>
    <w:rsid w:val="40D560F5"/>
    <w:rsid w:val="415E1BCB"/>
    <w:rsid w:val="417E6EB4"/>
    <w:rsid w:val="41983858"/>
    <w:rsid w:val="42B305AB"/>
    <w:rsid w:val="42E57412"/>
    <w:rsid w:val="42ED5017"/>
    <w:rsid w:val="430B467A"/>
    <w:rsid w:val="43714570"/>
    <w:rsid w:val="44061FF7"/>
    <w:rsid w:val="445B0477"/>
    <w:rsid w:val="448F4250"/>
    <w:rsid w:val="44AA7B02"/>
    <w:rsid w:val="44C2005E"/>
    <w:rsid w:val="44D568DD"/>
    <w:rsid w:val="453C7167"/>
    <w:rsid w:val="4545024C"/>
    <w:rsid w:val="454B678F"/>
    <w:rsid w:val="45986B83"/>
    <w:rsid w:val="45E235E0"/>
    <w:rsid w:val="46721C9D"/>
    <w:rsid w:val="46E32220"/>
    <w:rsid w:val="46F6477A"/>
    <w:rsid w:val="4703068E"/>
    <w:rsid w:val="47152F13"/>
    <w:rsid w:val="478034D8"/>
    <w:rsid w:val="47FB7699"/>
    <w:rsid w:val="487E1357"/>
    <w:rsid w:val="48D24C23"/>
    <w:rsid w:val="48DF209C"/>
    <w:rsid w:val="48F7693B"/>
    <w:rsid w:val="49776CC7"/>
    <w:rsid w:val="4A0465FC"/>
    <w:rsid w:val="4A130E0E"/>
    <w:rsid w:val="4A1C3426"/>
    <w:rsid w:val="4B424034"/>
    <w:rsid w:val="4B772FA8"/>
    <w:rsid w:val="4BBE0681"/>
    <w:rsid w:val="4C425D2B"/>
    <w:rsid w:val="4C967497"/>
    <w:rsid w:val="4CFF69FB"/>
    <w:rsid w:val="4D324B04"/>
    <w:rsid w:val="4DB53509"/>
    <w:rsid w:val="4DF57B76"/>
    <w:rsid w:val="4DF83FAA"/>
    <w:rsid w:val="4E0C3F18"/>
    <w:rsid w:val="4E3605DF"/>
    <w:rsid w:val="4E38166B"/>
    <w:rsid w:val="4E8828C7"/>
    <w:rsid w:val="4E916F1E"/>
    <w:rsid w:val="4EA5057F"/>
    <w:rsid w:val="4EA53229"/>
    <w:rsid w:val="4EB80597"/>
    <w:rsid w:val="4EBE1998"/>
    <w:rsid w:val="4F105D44"/>
    <w:rsid w:val="4FE552FD"/>
    <w:rsid w:val="4FED7CB1"/>
    <w:rsid w:val="4FEE6D73"/>
    <w:rsid w:val="4FF957E4"/>
    <w:rsid w:val="501732D5"/>
    <w:rsid w:val="50256E98"/>
    <w:rsid w:val="50302F6B"/>
    <w:rsid w:val="50371FAD"/>
    <w:rsid w:val="503F04BD"/>
    <w:rsid w:val="50A646EA"/>
    <w:rsid w:val="50C71AA8"/>
    <w:rsid w:val="51197EB5"/>
    <w:rsid w:val="51492143"/>
    <w:rsid w:val="515065EC"/>
    <w:rsid w:val="51A32C5C"/>
    <w:rsid w:val="51A61200"/>
    <w:rsid w:val="51C504D9"/>
    <w:rsid w:val="53211D72"/>
    <w:rsid w:val="533258C9"/>
    <w:rsid w:val="53E55647"/>
    <w:rsid w:val="53E81D15"/>
    <w:rsid w:val="541E0197"/>
    <w:rsid w:val="5435526A"/>
    <w:rsid w:val="545134B4"/>
    <w:rsid w:val="54C93027"/>
    <w:rsid w:val="55052FFC"/>
    <w:rsid w:val="551345ED"/>
    <w:rsid w:val="554843AB"/>
    <w:rsid w:val="55573F75"/>
    <w:rsid w:val="556F3D22"/>
    <w:rsid w:val="5587270E"/>
    <w:rsid w:val="559E664E"/>
    <w:rsid w:val="55BF180D"/>
    <w:rsid w:val="55EE7B52"/>
    <w:rsid w:val="560F58BD"/>
    <w:rsid w:val="56513CD0"/>
    <w:rsid w:val="56764808"/>
    <w:rsid w:val="56A11110"/>
    <w:rsid w:val="56E0532C"/>
    <w:rsid w:val="570E14DB"/>
    <w:rsid w:val="57635274"/>
    <w:rsid w:val="57B35161"/>
    <w:rsid w:val="58695C9B"/>
    <w:rsid w:val="586C22D1"/>
    <w:rsid w:val="58937D37"/>
    <w:rsid w:val="589C78CC"/>
    <w:rsid w:val="58E4489B"/>
    <w:rsid w:val="58F45795"/>
    <w:rsid w:val="59637E84"/>
    <w:rsid w:val="59786976"/>
    <w:rsid w:val="59C83A10"/>
    <w:rsid w:val="59D05787"/>
    <w:rsid w:val="5A082520"/>
    <w:rsid w:val="5A2F5485"/>
    <w:rsid w:val="5A742760"/>
    <w:rsid w:val="5A8E5F10"/>
    <w:rsid w:val="5AFB4DC0"/>
    <w:rsid w:val="5AFE66DB"/>
    <w:rsid w:val="5B527557"/>
    <w:rsid w:val="5BB167FD"/>
    <w:rsid w:val="5BE80ED6"/>
    <w:rsid w:val="5C0803F9"/>
    <w:rsid w:val="5C842DC1"/>
    <w:rsid w:val="5CC743C6"/>
    <w:rsid w:val="5D1862A9"/>
    <w:rsid w:val="5D506906"/>
    <w:rsid w:val="5D553919"/>
    <w:rsid w:val="5DDD0E0F"/>
    <w:rsid w:val="5DF205D3"/>
    <w:rsid w:val="5E0E5596"/>
    <w:rsid w:val="5E1E0C90"/>
    <w:rsid w:val="5E6E3037"/>
    <w:rsid w:val="5EFC7FF2"/>
    <w:rsid w:val="5F375441"/>
    <w:rsid w:val="5F4D3E49"/>
    <w:rsid w:val="5F8D7DD2"/>
    <w:rsid w:val="5FF94530"/>
    <w:rsid w:val="5FF97102"/>
    <w:rsid w:val="60764B6E"/>
    <w:rsid w:val="60C83CBC"/>
    <w:rsid w:val="613E6D41"/>
    <w:rsid w:val="617E34BB"/>
    <w:rsid w:val="619C1492"/>
    <w:rsid w:val="62446327"/>
    <w:rsid w:val="62494027"/>
    <w:rsid w:val="62506D30"/>
    <w:rsid w:val="62B103F9"/>
    <w:rsid w:val="638076F1"/>
    <w:rsid w:val="63A14619"/>
    <w:rsid w:val="64184AB5"/>
    <w:rsid w:val="64ED4183"/>
    <w:rsid w:val="6523093A"/>
    <w:rsid w:val="655B672E"/>
    <w:rsid w:val="657022AA"/>
    <w:rsid w:val="66007D67"/>
    <w:rsid w:val="661C132F"/>
    <w:rsid w:val="662F31CE"/>
    <w:rsid w:val="663F0B50"/>
    <w:rsid w:val="66CA0B26"/>
    <w:rsid w:val="66D31C83"/>
    <w:rsid w:val="672F5C76"/>
    <w:rsid w:val="67E50312"/>
    <w:rsid w:val="67ED0982"/>
    <w:rsid w:val="68311342"/>
    <w:rsid w:val="6869162C"/>
    <w:rsid w:val="689B0CC3"/>
    <w:rsid w:val="68FA60D7"/>
    <w:rsid w:val="68FF450D"/>
    <w:rsid w:val="69C61397"/>
    <w:rsid w:val="6A68609B"/>
    <w:rsid w:val="6A786D8C"/>
    <w:rsid w:val="6A8C1663"/>
    <w:rsid w:val="6AA829C0"/>
    <w:rsid w:val="6ABF0D9A"/>
    <w:rsid w:val="6AEE01FE"/>
    <w:rsid w:val="6B4A2FEC"/>
    <w:rsid w:val="6B545E9A"/>
    <w:rsid w:val="6BE200B0"/>
    <w:rsid w:val="6C105A58"/>
    <w:rsid w:val="6C2E6265"/>
    <w:rsid w:val="6C62671C"/>
    <w:rsid w:val="6C716CAB"/>
    <w:rsid w:val="6C8B5DD7"/>
    <w:rsid w:val="6CAD2F20"/>
    <w:rsid w:val="6CD759A9"/>
    <w:rsid w:val="6D095C70"/>
    <w:rsid w:val="6D0A3EF1"/>
    <w:rsid w:val="6D4B1F5D"/>
    <w:rsid w:val="6D8238A7"/>
    <w:rsid w:val="6DE83A45"/>
    <w:rsid w:val="6DF15CE0"/>
    <w:rsid w:val="6E0F5BF9"/>
    <w:rsid w:val="6E3B51EA"/>
    <w:rsid w:val="6E5D35DE"/>
    <w:rsid w:val="6E8F7310"/>
    <w:rsid w:val="6F3B470B"/>
    <w:rsid w:val="6F483FA1"/>
    <w:rsid w:val="6F6555EF"/>
    <w:rsid w:val="6F9F3300"/>
    <w:rsid w:val="6FF042A6"/>
    <w:rsid w:val="700D30AD"/>
    <w:rsid w:val="70430549"/>
    <w:rsid w:val="706B30FB"/>
    <w:rsid w:val="713044A5"/>
    <w:rsid w:val="71884AB7"/>
    <w:rsid w:val="71911BDC"/>
    <w:rsid w:val="71C46775"/>
    <w:rsid w:val="72A24C32"/>
    <w:rsid w:val="732E3907"/>
    <w:rsid w:val="737946A1"/>
    <w:rsid w:val="73824840"/>
    <w:rsid w:val="73D16993"/>
    <w:rsid w:val="74007D31"/>
    <w:rsid w:val="74C95BCE"/>
    <w:rsid w:val="75004840"/>
    <w:rsid w:val="75011284"/>
    <w:rsid w:val="75200B56"/>
    <w:rsid w:val="75435570"/>
    <w:rsid w:val="756A6D28"/>
    <w:rsid w:val="758F2EF4"/>
    <w:rsid w:val="75C37EFB"/>
    <w:rsid w:val="75C7300D"/>
    <w:rsid w:val="767A4BA1"/>
    <w:rsid w:val="76AF2406"/>
    <w:rsid w:val="77046DA9"/>
    <w:rsid w:val="77155F0B"/>
    <w:rsid w:val="781A002A"/>
    <w:rsid w:val="78387B4C"/>
    <w:rsid w:val="787C595B"/>
    <w:rsid w:val="78A01C2B"/>
    <w:rsid w:val="78AD7B0B"/>
    <w:rsid w:val="78CF47A2"/>
    <w:rsid w:val="796075AF"/>
    <w:rsid w:val="79720CE5"/>
    <w:rsid w:val="79A971C1"/>
    <w:rsid w:val="7A026DB8"/>
    <w:rsid w:val="7ACA2EB7"/>
    <w:rsid w:val="7B1227F8"/>
    <w:rsid w:val="7B127D8F"/>
    <w:rsid w:val="7B953066"/>
    <w:rsid w:val="7BA113CB"/>
    <w:rsid w:val="7C00467F"/>
    <w:rsid w:val="7C42096C"/>
    <w:rsid w:val="7C4D3921"/>
    <w:rsid w:val="7C4E418C"/>
    <w:rsid w:val="7C711C34"/>
    <w:rsid w:val="7CC942A7"/>
    <w:rsid w:val="7D001691"/>
    <w:rsid w:val="7D72325C"/>
    <w:rsid w:val="7D956BC0"/>
    <w:rsid w:val="7D9D7924"/>
    <w:rsid w:val="7DC629E4"/>
    <w:rsid w:val="7DCB15E2"/>
    <w:rsid w:val="7DDE038D"/>
    <w:rsid w:val="7E090419"/>
    <w:rsid w:val="7E6150E3"/>
    <w:rsid w:val="7E9633BF"/>
    <w:rsid w:val="7EC20525"/>
    <w:rsid w:val="7F04016F"/>
    <w:rsid w:val="7F34148F"/>
    <w:rsid w:val="7F4B5751"/>
    <w:rsid w:val="7F554F9E"/>
    <w:rsid w:val="7FAB6F4D"/>
    <w:rsid w:val="7FE2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2"/>
      <w:sz w:val="21"/>
      <w:lang w:val="en-US" w:eastAsia="zh-CN" w:bidi="ar-SA"/>
    </w:rPr>
  </w:style>
  <w:style w:type="paragraph" w:styleId="7">
    <w:name w:val="annotation text"/>
    <w:basedOn w:val="1"/>
    <w:qFormat/>
    <w:uiPriority w:val="0"/>
    <w:pPr>
      <w:jc w:val="left"/>
    </w:pPr>
  </w:style>
  <w:style w:type="paragraph" w:styleId="8">
    <w:name w:val="Body Text"/>
    <w:basedOn w:val="1"/>
    <w:unhideWhenUsed/>
    <w:qFormat/>
    <w:uiPriority w:val="99"/>
    <w:rPr>
      <w:sz w:val="28"/>
    </w:rPr>
  </w:style>
  <w:style w:type="paragraph" w:styleId="9">
    <w:name w:val="Body Text Indent"/>
    <w:basedOn w:val="1"/>
    <w:unhideWhenUsed/>
    <w:qFormat/>
    <w:uiPriority w:val="99"/>
    <w:pPr>
      <w:ind w:firstLine="830" w:firstLineChars="352"/>
    </w:pPr>
    <w:rPr>
      <w:rFonts w:ascii="仿宋_GB2312" w:eastAsia="仿宋_GB2312"/>
      <w:sz w:val="32"/>
    </w:rPr>
  </w:style>
  <w:style w:type="paragraph" w:styleId="10">
    <w:name w:val="Plain Text"/>
    <w:basedOn w:val="1"/>
    <w:link w:val="32"/>
    <w:unhideWhenUsed/>
    <w:qFormat/>
    <w:uiPriority w:val="0"/>
    <w:rPr>
      <w:rFonts w:ascii="宋体" w:hAnsi="Courier New" w:cs="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3"/>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rPr>
  </w:style>
  <w:style w:type="paragraph" w:styleId="14">
    <w:name w:val="header"/>
    <w:basedOn w:val="1"/>
    <w:link w:val="3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8"/>
    <w:unhideWhenUsed/>
    <w:qFormat/>
    <w:uiPriority w:val="99"/>
    <w:pPr>
      <w:widowControl w:val="0"/>
      <w:spacing w:after="120" w:line="240" w:lineRule="auto"/>
      <w:ind w:firstLine="420"/>
    </w:pPr>
    <w:rPr>
      <w:kern w:val="2"/>
      <w:sz w:val="21"/>
    </w:rPr>
  </w:style>
  <w:style w:type="paragraph" w:styleId="19">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Char"/>
    <w:basedOn w:val="1"/>
    <w:qFormat/>
    <w:uiPriority w:val="0"/>
    <w:pPr>
      <w:spacing w:line="480" w:lineRule="exact"/>
    </w:pPr>
    <w:rPr>
      <w:sz w:val="24"/>
      <w:szCs w:val="24"/>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页脚 Char"/>
    <w:basedOn w:val="22"/>
    <w:link w:val="13"/>
    <w:qFormat/>
    <w:uiPriority w:val="99"/>
    <w:rPr>
      <w:sz w:val="18"/>
    </w:rPr>
  </w:style>
  <w:style w:type="character" w:customStyle="1" w:styleId="31">
    <w:name w:val="页眉 Char"/>
    <w:link w:val="14"/>
    <w:qFormat/>
    <w:uiPriority w:val="99"/>
    <w:rPr>
      <w:kern w:val="2"/>
      <w:sz w:val="18"/>
    </w:rPr>
  </w:style>
  <w:style w:type="character" w:customStyle="1" w:styleId="32">
    <w:name w:val="纯文本 Char"/>
    <w:basedOn w:val="22"/>
    <w:link w:val="10"/>
    <w:qFormat/>
    <w:uiPriority w:val="0"/>
    <w:rPr>
      <w:rFonts w:ascii="宋体" w:hAnsi="Courier New" w:cs="Courier New"/>
      <w:sz w:val="21"/>
      <w:szCs w:val="21"/>
    </w:rPr>
  </w:style>
  <w:style w:type="character" w:customStyle="1" w:styleId="33">
    <w:name w:val="批注框文本 Char"/>
    <w:basedOn w:val="22"/>
    <w:link w:val="12"/>
    <w:semiHidden/>
    <w:qFormat/>
    <w:uiPriority w:val="99"/>
    <w:rPr>
      <w:kern w:val="2"/>
      <w:sz w:val="18"/>
      <w:szCs w:val="18"/>
    </w:rPr>
  </w:style>
  <w:style w:type="character" w:customStyle="1" w:styleId="34">
    <w:name w:val="标题 1 Char"/>
    <w:basedOn w:val="22"/>
    <w:link w:val="3"/>
    <w:qFormat/>
    <w:uiPriority w:val="0"/>
    <w:rPr>
      <w:b/>
      <w:bCs/>
      <w:kern w:val="44"/>
      <w:sz w:val="44"/>
      <w:szCs w:val="44"/>
    </w:rPr>
  </w:style>
  <w:style w:type="character" w:customStyle="1" w:styleId="35">
    <w:name w:val="页眉 Char1"/>
    <w:basedOn w:val="22"/>
    <w:qFormat/>
    <w:uiPriority w:val="99"/>
    <w:rPr>
      <w:rFonts w:ascii="Calibri" w:hAnsi="Calibri" w:eastAsia="Calibri" w:cs="Calibri"/>
      <w:color w:val="000000"/>
      <w:sz w:val="18"/>
      <w:szCs w:val="18"/>
    </w:rPr>
  </w:style>
  <w:style w:type="character" w:customStyle="1" w:styleId="36">
    <w:name w:val="页脚 Char2"/>
    <w:basedOn w:val="22"/>
    <w:qFormat/>
    <w:uiPriority w:val="99"/>
    <w:rPr>
      <w:rFonts w:ascii="Calibri" w:hAnsi="Calibri" w:eastAsia="Calibri" w:cs="Calibri"/>
      <w:color w:val="000000"/>
      <w:sz w:val="18"/>
      <w:szCs w:val="18"/>
    </w:rPr>
  </w:style>
  <w:style w:type="character" w:customStyle="1" w:styleId="37">
    <w:name w:val="纯文本 Char4"/>
    <w:basedOn w:val="22"/>
    <w:qFormat/>
    <w:uiPriority w:val="0"/>
    <w:rPr>
      <w:rFonts w:ascii="宋体" w:hAnsi="Courier New" w:eastAsia="宋体" w:cs="Times New Roman"/>
      <w:sz w:val="24"/>
      <w:szCs w:val="20"/>
    </w:rPr>
  </w:style>
  <w:style w:type="paragraph" w:styleId="38">
    <w:name w:val="No Spacing"/>
    <w:qFormat/>
    <w:uiPriority w:val="1"/>
    <w:rPr>
      <w:rFonts w:ascii="Calibri" w:hAnsi="Calibri" w:eastAsia="宋体" w:cs="Times New Roman"/>
      <w:sz w:val="22"/>
      <w:szCs w:val="22"/>
      <w:lang w:val="en-US" w:eastAsia="zh-CN" w:bidi="ar-SA"/>
    </w:rPr>
  </w:style>
  <w:style w:type="paragraph" w:customStyle="1" w:styleId="39">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0">
    <w:name w:val="List Paragraph"/>
    <w:basedOn w:val="1"/>
    <w:qFormat/>
    <w:uiPriority w:val="99"/>
    <w:pPr>
      <w:ind w:firstLine="420" w:firstLineChars="200"/>
    </w:pPr>
  </w:style>
  <w:style w:type="table" w:customStyle="1" w:styleId="41">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font11"/>
    <w:basedOn w:val="22"/>
    <w:qFormat/>
    <w:uiPriority w:val="0"/>
    <w:rPr>
      <w:rFonts w:hint="eastAsia" w:ascii="宋体" w:hAnsi="宋体" w:eastAsia="宋体" w:cs="宋体"/>
      <w:color w:val="000000"/>
      <w:sz w:val="18"/>
      <w:szCs w:val="18"/>
      <w:u w:val="none"/>
    </w:rPr>
  </w:style>
  <w:style w:type="paragraph" w:customStyle="1" w:styleId="43">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4">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1</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2021-10-26T03:07:00Z</cp:lastPrinted>
  <dcterms:modified xsi:type="dcterms:W3CDTF">2021-11-04T04:11:17Z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