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_GB2312" w:hAnsi="仿宋_GB2312" w:eastAsia="仿宋_GB2312" w:cs="仿宋_GB2312"/>
          <w:color w:val="auto"/>
          <w:sz w:val="72"/>
          <w:highlight w:val="none"/>
        </w:rPr>
      </w:pPr>
      <w:r>
        <w:rPr>
          <w:rFonts w:hint="eastAsia" w:ascii="仿宋_GB2312" w:hAnsi="仿宋_GB2312" w:eastAsia="仿宋_GB2312" w:cs="仿宋_GB2312"/>
          <w:b/>
          <w:bCs/>
          <w:color w:val="auto"/>
          <w:sz w:val="72"/>
          <w:highlight w:val="none"/>
        </w:rPr>
        <w:t>询价文件</w:t>
      </w:r>
    </w:p>
    <w:p>
      <w:pPr>
        <w:spacing w:line="500" w:lineRule="exact"/>
        <w:jc w:val="center"/>
        <w:rPr>
          <w:rFonts w:ascii="仿宋_GB2312" w:hAnsi="仿宋_GB2312" w:eastAsia="仿宋_GB2312" w:cs="仿宋_GB2312"/>
          <w:bCs/>
          <w:color w:val="auto"/>
          <w:highlight w:val="none"/>
        </w:rPr>
      </w:pPr>
    </w:p>
    <w:p>
      <w:pPr>
        <w:spacing w:line="500" w:lineRule="exact"/>
        <w:jc w:val="left"/>
        <w:rPr>
          <w:rFonts w:ascii="仿宋" w:hAnsi="仿宋" w:eastAsia="仿宋" w:cs="仿宋_GB2312"/>
          <w:b/>
          <w:color w:val="auto"/>
          <w:sz w:val="32"/>
          <w:szCs w:val="32"/>
          <w:highlight w:val="none"/>
        </w:rPr>
      </w:pPr>
    </w:p>
    <w:p>
      <w:pPr>
        <w:spacing w:line="500" w:lineRule="exact"/>
        <w:jc w:val="left"/>
        <w:rPr>
          <w:rFonts w:ascii="仿宋" w:hAnsi="仿宋" w:eastAsia="仿宋" w:cs="仿宋_GB2312"/>
          <w:b/>
          <w:color w:val="auto"/>
          <w:sz w:val="32"/>
          <w:szCs w:val="32"/>
          <w:highlight w:val="none"/>
        </w:rPr>
      </w:pPr>
      <w:r>
        <w:rPr>
          <w:rFonts w:hint="eastAsia" w:ascii="仿宋" w:hAnsi="仿宋" w:eastAsia="仿宋" w:cs="仿宋_GB2312"/>
          <w:b/>
          <w:color w:val="auto"/>
          <w:sz w:val="32"/>
          <w:szCs w:val="32"/>
          <w:highlight w:val="none"/>
        </w:rPr>
        <w:t>项目编号：</w:t>
      </w:r>
      <w:r>
        <w:rPr>
          <w:rFonts w:hint="eastAsia" w:ascii="仿宋" w:hAnsi="仿宋" w:eastAsia="仿宋" w:cs="仿宋_GB2312"/>
          <w:b/>
          <w:color w:val="auto"/>
          <w:sz w:val="32"/>
          <w:szCs w:val="32"/>
          <w:highlight w:val="none"/>
          <w:lang w:val="en-US" w:eastAsia="zh-CN"/>
        </w:rPr>
        <w:t>XJ-20211104-1</w:t>
      </w:r>
      <w:r>
        <w:rPr>
          <w:b/>
          <w:color w:val="auto"/>
          <w:sz w:val="32"/>
          <w:szCs w:val="32"/>
          <w:highlight w:val="none"/>
        </w:rPr>
        <w:fldChar w:fldCharType="begin"/>
      </w:r>
      <w:r>
        <w:rPr>
          <w:b/>
          <w:color w:val="auto"/>
          <w:sz w:val="32"/>
          <w:szCs w:val="32"/>
          <w:highlight w:val="none"/>
        </w:rPr>
        <w:instrText xml:space="preserve"> DOCVARIABLE  采购编号  \* MERGEFORMAT </w:instrText>
      </w:r>
      <w:r>
        <w:rPr>
          <w:b/>
          <w:color w:val="auto"/>
          <w:sz w:val="32"/>
          <w:szCs w:val="32"/>
          <w:highlight w:val="none"/>
        </w:rPr>
        <w:fldChar w:fldCharType="end"/>
      </w:r>
    </w:p>
    <w:p>
      <w:pPr>
        <w:spacing w:line="500" w:lineRule="exact"/>
        <w:jc w:val="left"/>
        <w:rPr>
          <w:rFonts w:ascii="仿宋_GB2312" w:hAnsi="仿宋_GB2312" w:eastAsia="仿宋_GB2312" w:cs="仿宋_GB2312"/>
          <w:b/>
          <w:bCs/>
          <w:color w:val="auto"/>
          <w:highlight w:val="none"/>
        </w:rPr>
      </w:pPr>
      <w:r>
        <w:rPr>
          <w:rFonts w:hint="eastAsia" w:ascii="仿宋" w:hAnsi="仿宋" w:eastAsia="仿宋" w:cs="仿宋_GB2312"/>
          <w:b/>
          <w:color w:val="auto"/>
          <w:sz w:val="32"/>
          <w:szCs w:val="32"/>
          <w:highlight w:val="none"/>
        </w:rPr>
        <w:t>项目名称：</w:t>
      </w:r>
      <w:r>
        <w:rPr>
          <w:rFonts w:hint="eastAsia" w:ascii="仿宋" w:hAnsi="仿宋" w:eastAsia="仿宋" w:cs="仿宋_GB2312"/>
          <w:b/>
          <w:color w:val="auto"/>
          <w:sz w:val="32"/>
          <w:szCs w:val="32"/>
          <w:highlight w:val="none"/>
          <w:lang w:val="en-US" w:eastAsia="zh-CN"/>
        </w:rPr>
        <w:t>广州市净水有限公司</w:t>
      </w:r>
      <w:r>
        <w:rPr>
          <w:rFonts w:hint="eastAsia" w:ascii="仿宋" w:hAnsi="仿宋" w:eastAsia="仿宋" w:cs="仿宋_GB2312"/>
          <w:b/>
          <w:color w:val="auto"/>
          <w:sz w:val="32"/>
          <w:szCs w:val="32"/>
          <w:highlight w:val="none"/>
        </w:rPr>
        <w:t>备用中心视频会议系统硬件采购</w:t>
      </w: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bCs/>
          <w:color w:val="auto"/>
          <w:sz w:val="28"/>
          <w:highlight w:val="none"/>
        </w:rPr>
      </w:pPr>
    </w:p>
    <w:p>
      <w:pPr>
        <w:spacing w:line="360" w:lineRule="auto"/>
        <w:jc w:val="center"/>
        <w:rPr>
          <w:rFonts w:ascii="仿宋_GB2312" w:hAnsi="仿宋_GB2312" w:eastAsia="仿宋_GB2312" w:cs="仿宋_GB2312"/>
          <w:b/>
          <w:bCs/>
          <w:color w:val="auto"/>
          <w:sz w:val="36"/>
          <w:highlight w:val="none"/>
        </w:rPr>
      </w:pPr>
      <w:r>
        <w:rPr>
          <w:rFonts w:hint="eastAsia" w:ascii="仿宋_GB2312" w:hAnsi="仿宋_GB2312" w:eastAsia="仿宋_GB2312" w:cs="仿宋_GB2312"/>
          <w:b/>
          <w:bCs/>
          <w:color w:val="auto"/>
          <w:sz w:val="36"/>
          <w:highlight w:val="none"/>
        </w:rPr>
        <w:t>广州市净水有限公司 编制</w:t>
      </w:r>
    </w:p>
    <w:p>
      <w:pPr>
        <w:spacing w:line="360" w:lineRule="auto"/>
        <w:jc w:val="center"/>
        <w:rPr>
          <w:rFonts w:ascii="仿宋_GB2312" w:hAnsi="仿宋_GB2312" w:eastAsia="仿宋_GB2312" w:cs="仿宋_GB2312"/>
          <w:b/>
          <w:bCs/>
          <w:color w:val="auto"/>
          <w:sz w:val="28"/>
          <w:szCs w:val="28"/>
          <w:highlight w:val="none"/>
        </w:rPr>
      </w:pPr>
    </w:p>
    <w:p>
      <w:pPr>
        <w:spacing w:line="360" w:lineRule="auto"/>
        <w:jc w:val="center"/>
        <w:rPr>
          <w:rFonts w:ascii="仿宋_GB2312" w:hAnsi="仿宋_GB2312" w:eastAsia="仿宋_GB2312" w:cs="仿宋_GB2312"/>
          <w:b/>
          <w:bCs/>
          <w:color w:val="auto"/>
          <w:sz w:val="28"/>
          <w:highlight w:val="none"/>
        </w:rPr>
      </w:pPr>
      <w:r>
        <w:rPr>
          <w:rFonts w:hint="eastAsia" w:ascii="仿宋_GB2312" w:hAnsi="仿宋_GB2312" w:eastAsia="仿宋_GB2312" w:cs="仿宋_GB2312"/>
          <w:b/>
          <w:bCs/>
          <w:color w:val="auto"/>
          <w:sz w:val="28"/>
          <w:highlight w:val="none"/>
        </w:rPr>
        <w:t>发布日期：20</w:t>
      </w:r>
      <w:r>
        <w:rPr>
          <w:rFonts w:ascii="仿宋_GB2312" w:hAnsi="仿宋_GB2312" w:eastAsia="仿宋_GB2312" w:cs="仿宋_GB2312"/>
          <w:b/>
          <w:bCs/>
          <w:color w:val="auto"/>
          <w:sz w:val="28"/>
          <w:highlight w:val="none"/>
        </w:rPr>
        <w:t>2</w:t>
      </w:r>
      <w:r>
        <w:rPr>
          <w:rFonts w:hint="eastAsia" w:ascii="仿宋_GB2312" w:hAnsi="仿宋_GB2312" w:eastAsia="仿宋_GB2312" w:cs="仿宋_GB2312"/>
          <w:b/>
          <w:bCs/>
          <w:color w:val="auto"/>
          <w:sz w:val="28"/>
          <w:highlight w:val="none"/>
        </w:rPr>
        <w:t>1年</w:t>
      </w:r>
      <w:r>
        <w:rPr>
          <w:rFonts w:hint="eastAsia" w:ascii="仿宋_GB2312" w:hAnsi="仿宋_GB2312" w:eastAsia="仿宋_GB2312" w:cs="仿宋_GB2312"/>
          <w:b/>
          <w:bCs/>
          <w:color w:val="auto"/>
          <w:sz w:val="28"/>
          <w:highlight w:val="none"/>
          <w:lang w:val="en-US" w:eastAsia="zh-CN"/>
        </w:rPr>
        <w:t>11</w:t>
      </w:r>
      <w:r>
        <w:rPr>
          <w:rFonts w:hint="eastAsia" w:ascii="仿宋_GB2312" w:hAnsi="仿宋_GB2312" w:eastAsia="仿宋_GB2312" w:cs="仿宋_GB2312"/>
          <w:b/>
          <w:bCs/>
          <w:color w:val="auto"/>
          <w:sz w:val="28"/>
          <w:highlight w:val="none"/>
        </w:rPr>
        <w:t>月</w:t>
      </w:r>
      <w:r>
        <w:rPr>
          <w:rFonts w:hint="eastAsia" w:ascii="仿宋_GB2312" w:hAnsi="仿宋_GB2312" w:eastAsia="仿宋_GB2312" w:cs="仿宋_GB2312"/>
          <w:b/>
          <w:bCs/>
          <w:color w:val="auto"/>
          <w:sz w:val="28"/>
          <w:highlight w:val="none"/>
          <w:lang w:val="en-US" w:eastAsia="zh-CN"/>
        </w:rPr>
        <w:t>4</w:t>
      </w:r>
      <w:r>
        <w:rPr>
          <w:rFonts w:hint="eastAsia" w:ascii="仿宋_GB2312" w:hAnsi="仿宋_GB2312" w:eastAsia="仿宋_GB2312" w:cs="仿宋_GB2312"/>
          <w:b/>
          <w:bCs/>
          <w:color w:val="auto"/>
          <w:sz w:val="28"/>
          <w:highlight w:val="none"/>
        </w:rPr>
        <w:t>日</w:t>
      </w:r>
    </w:p>
    <w:p>
      <w:pPr>
        <w:pageBreakBefore/>
        <w:jc w:val="center"/>
        <w:rPr>
          <w:rFonts w:ascii="仿宋_GB2312" w:hAnsi="仿宋_GB2312" w:eastAsia="仿宋_GB2312" w:cs="仿宋_GB2312"/>
          <w:b/>
          <w:bCs/>
          <w:caps/>
          <w:color w:val="auto"/>
          <w:sz w:val="28"/>
          <w:szCs w:val="28"/>
          <w:highlight w:val="none"/>
        </w:rPr>
      </w:pPr>
      <w:r>
        <w:rPr>
          <w:rFonts w:hint="eastAsia" w:ascii="仿宋_GB2312" w:hAnsi="仿宋_GB2312" w:eastAsia="仿宋_GB2312" w:cs="仿宋_GB2312"/>
          <w:b/>
          <w:bCs/>
          <w:color w:val="auto"/>
          <w:sz w:val="28"/>
          <w:szCs w:val="28"/>
          <w:highlight w:val="none"/>
        </w:rPr>
        <w:t>目      录</w:t>
      </w:r>
      <w:r>
        <w:rPr>
          <w:rFonts w:hint="eastAsia" w:ascii="仿宋_GB2312" w:hAnsi="仿宋_GB2312" w:eastAsia="仿宋_GB2312" w:cs="仿宋_GB2312"/>
          <w:b/>
          <w:bCs/>
          <w:caps/>
          <w:color w:val="auto"/>
          <w:sz w:val="28"/>
          <w:szCs w:val="28"/>
          <w:highlight w:val="none"/>
        </w:rPr>
        <w:br w:type="textWrapping"/>
      </w:r>
    </w:p>
    <w:p>
      <w:pPr>
        <w:pStyle w:val="20"/>
        <w:tabs>
          <w:tab w:val="right" w:leader="dot" w:pos="9174"/>
        </w:tabs>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第一部分  报价邀请函</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第二部分  项目内容</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第三部分  报价须知</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第四部分  合同书格式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b/>
          <w:color w:val="auto"/>
          <w:sz w:val="28"/>
          <w:szCs w:val="28"/>
          <w:highlight w:val="none"/>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pStyle w:val="24"/>
        <w:rPr>
          <w:rFonts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第一部分报价邀请函</w:t>
      </w:r>
    </w:p>
    <w:p>
      <w:pPr>
        <w:ind w:firstLine="478" w:firstLineChars="171"/>
        <w:rPr>
          <w:rFonts w:ascii="仿宋_GB2312" w:hAnsi="仿宋_GB2312" w:eastAsia="仿宋_GB2312" w:cs="仿宋_GB2312"/>
          <w:color w:val="auto"/>
          <w:kern w:val="0"/>
          <w:sz w:val="28"/>
          <w:szCs w:val="28"/>
          <w:highlight w:val="none"/>
        </w:rPr>
      </w:pPr>
    </w:p>
    <w:p>
      <w:pP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各报价单位:</w:t>
      </w:r>
    </w:p>
    <w:p>
      <w:pPr>
        <w:ind w:firstLine="560" w:firstLineChars="20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现我公司对</w:t>
      </w:r>
      <w:r>
        <w:rPr>
          <w:rFonts w:hint="eastAsia" w:ascii="仿宋_GB2312" w:hAnsi="仿宋_GB2312" w:eastAsia="仿宋_GB2312" w:cs="仿宋_GB2312"/>
          <w:color w:val="auto"/>
          <w:sz w:val="28"/>
          <w:szCs w:val="28"/>
          <w:highlight w:val="none"/>
          <w:u w:val="single"/>
        </w:rPr>
        <w:t>备用中心视频会议系统硬件采购</w:t>
      </w:r>
      <w:r>
        <w:rPr>
          <w:rFonts w:hint="eastAsia" w:ascii="仿宋_GB2312" w:hAnsi="仿宋_GB2312" w:eastAsia="仿宋_GB2312" w:cs="仿宋_GB2312"/>
          <w:color w:val="auto"/>
          <w:sz w:val="28"/>
          <w:szCs w:val="28"/>
          <w:highlight w:val="none"/>
        </w:rPr>
        <w:t>进行询价，</w:t>
      </w:r>
      <w:r>
        <w:rPr>
          <w:rFonts w:hint="eastAsia" w:ascii="仿宋_GB2312" w:hAnsi="仿宋_GB2312" w:eastAsia="仿宋_GB2312" w:cs="仿宋_GB2312"/>
          <w:color w:val="auto"/>
          <w:sz w:val="28"/>
          <w:szCs w:val="28"/>
          <w:highlight w:val="none"/>
          <w:lang w:val="zh-CN"/>
        </w:rPr>
        <w:t>欢迎符合资格条件</w:t>
      </w:r>
      <w:r>
        <w:rPr>
          <w:rFonts w:hint="eastAsia" w:ascii="仿宋_GB2312" w:hAnsi="仿宋_GB2312" w:eastAsia="仿宋_GB2312" w:cs="仿宋_GB2312"/>
          <w:color w:val="auto"/>
          <w:sz w:val="28"/>
          <w:szCs w:val="28"/>
          <w:highlight w:val="none"/>
        </w:rPr>
        <w:t>的报价单位参加。</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一、资金计划：</w:t>
      </w:r>
      <w:r>
        <w:rPr>
          <w:rFonts w:hint="eastAsia" w:ascii="仿宋_GB2312" w:hAnsi="仿宋_GB2312" w:eastAsia="仿宋_GB2312" w:cs="仿宋_GB2312"/>
          <w:color w:val="auto"/>
          <w:sz w:val="28"/>
          <w:szCs w:val="28"/>
          <w:highlight w:val="none"/>
        </w:rPr>
        <w:t>企业自有资金</w:t>
      </w:r>
    </w:p>
    <w:p>
      <w:pPr>
        <w:autoSpaceDE w:val="0"/>
        <w:autoSpaceDN w:val="0"/>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zh-CN"/>
        </w:rPr>
        <w:t>、项目编号：</w:t>
      </w:r>
      <w:r>
        <w:rPr>
          <w:rFonts w:hint="eastAsia" w:ascii="仿宋_GB2312" w:hAnsi="仿宋_GB2312" w:eastAsia="仿宋_GB2312" w:cs="仿宋_GB2312"/>
          <w:color w:val="auto"/>
          <w:sz w:val="28"/>
          <w:szCs w:val="28"/>
          <w:highlight w:val="none"/>
        </w:rPr>
        <w:t>XJ-2021</w:t>
      </w:r>
      <w:r>
        <w:rPr>
          <w:rFonts w:hint="eastAsia" w:ascii="仿宋_GB2312" w:hAnsi="仿宋_GB2312" w:eastAsia="仿宋_GB2312" w:cs="仿宋_GB2312"/>
          <w:color w:val="auto"/>
          <w:sz w:val="28"/>
          <w:szCs w:val="28"/>
          <w:highlight w:val="none"/>
          <w:lang w:val="en-US" w:eastAsia="zh-CN"/>
        </w:rPr>
        <w:t>1104-1</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三</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u w:val="single"/>
          <w:lang w:val="en-US" w:eastAsia="zh-CN"/>
        </w:rPr>
        <w:t>广州市净水有限公司</w:t>
      </w:r>
      <w:r>
        <w:rPr>
          <w:rFonts w:hint="eastAsia" w:ascii="仿宋_GB2312" w:hAnsi="仿宋_GB2312" w:eastAsia="仿宋_GB2312" w:cs="仿宋_GB2312"/>
          <w:color w:val="auto"/>
          <w:sz w:val="28"/>
          <w:szCs w:val="28"/>
          <w:highlight w:val="none"/>
          <w:u w:val="single"/>
        </w:rPr>
        <w:t>备用中心视频会议系统硬件采购</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四、最高限价：</w:t>
      </w:r>
      <w:r>
        <w:rPr>
          <w:rFonts w:hint="eastAsia" w:ascii="仿宋_GB2312" w:hAnsi="仿宋_GB2312" w:eastAsia="仿宋_GB2312" w:cs="仿宋_GB2312"/>
          <w:color w:val="auto"/>
          <w:sz w:val="28"/>
          <w:szCs w:val="28"/>
          <w:highlight w:val="none"/>
          <w:u w:val="single"/>
        </w:rPr>
        <w:t>25.1071</w:t>
      </w:r>
      <w:r>
        <w:rPr>
          <w:rFonts w:hint="eastAsia" w:ascii="仿宋_GB2312" w:hAnsi="仿宋_GB2312" w:eastAsia="仿宋_GB2312" w:cs="仿宋_GB2312"/>
          <w:color w:val="auto"/>
          <w:sz w:val="28"/>
          <w:szCs w:val="28"/>
          <w:highlight w:val="none"/>
          <w:u w:val="single"/>
          <w:lang w:val="zh-CN"/>
        </w:rPr>
        <w:t>万元</w:t>
      </w:r>
      <w:r>
        <w:rPr>
          <w:rFonts w:hint="eastAsia" w:ascii="仿宋_GB2312" w:hAnsi="仿宋_GB2312" w:eastAsia="仿宋_GB2312" w:cs="仿宋_GB2312"/>
          <w:color w:val="auto"/>
          <w:sz w:val="28"/>
          <w:szCs w:val="28"/>
          <w:highlight w:val="none"/>
          <w:lang w:val="zh-CN"/>
        </w:rPr>
        <w:t xml:space="preserve"> </w:t>
      </w:r>
      <w:r>
        <w:rPr>
          <w:rFonts w:hint="eastAsia" w:ascii="仿宋_GB2312" w:hAnsi="仿宋_GB2312" w:eastAsia="仿宋_GB2312" w:cs="仿宋_GB2312"/>
          <w:color w:val="auto"/>
          <w:sz w:val="28"/>
          <w:szCs w:val="28"/>
          <w:highlight w:val="none"/>
          <w:lang w:val="zh-CN"/>
        </w:rPr>
        <w:tab/>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w:t>
      </w:r>
    </w:p>
    <w:p>
      <w:pPr>
        <w:spacing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本项目计划</w:t>
      </w:r>
      <w:r>
        <w:rPr>
          <w:rFonts w:hint="eastAsia" w:ascii="仿宋_GB2312" w:hAnsi="仿宋_GB2312" w:eastAsia="仿宋_GB2312" w:cs="仿宋_GB2312"/>
          <w:color w:val="auto"/>
          <w:sz w:val="28"/>
          <w:szCs w:val="28"/>
          <w:highlight w:val="none"/>
          <w:lang w:val="en-US" w:eastAsia="zh-CN"/>
        </w:rPr>
        <w:t>对</w:t>
      </w:r>
      <w:r>
        <w:rPr>
          <w:rFonts w:hint="eastAsia" w:ascii="仿宋_GB2312" w:hAnsi="仿宋_GB2312" w:eastAsia="仿宋_GB2312" w:cs="仿宋_GB2312"/>
          <w:color w:val="auto"/>
          <w:sz w:val="28"/>
          <w:szCs w:val="28"/>
          <w:highlight w:val="none"/>
        </w:rPr>
        <w:t>石井净水分公司备用中心视频会议设备</w:t>
      </w:r>
      <w:r>
        <w:rPr>
          <w:rFonts w:hint="eastAsia" w:ascii="仿宋_GB2312" w:hAnsi="仿宋_GB2312" w:eastAsia="仿宋_GB2312" w:cs="仿宋_GB2312"/>
          <w:color w:val="auto"/>
          <w:sz w:val="28"/>
          <w:szCs w:val="28"/>
          <w:highlight w:val="none"/>
          <w:lang w:val="en-US" w:eastAsia="zh-CN"/>
        </w:rPr>
        <w:t>采购，及沥滘调度中心设备补充</w:t>
      </w:r>
      <w:r>
        <w:rPr>
          <w:rFonts w:hint="eastAsia" w:ascii="仿宋_GB2312" w:hAnsi="仿宋_GB2312" w:eastAsia="仿宋_GB2312" w:cs="仿宋_GB2312"/>
          <w:color w:val="auto"/>
          <w:sz w:val="28"/>
          <w:szCs w:val="28"/>
          <w:highlight w:val="none"/>
        </w:rPr>
        <w:t>，完善公司会议系统，保障公司及所属各单位会议系统互联互通。</w:t>
      </w:r>
    </w:p>
    <w:p>
      <w:pPr>
        <w:spacing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为保证能匹配</w:t>
      </w:r>
      <w:r>
        <w:rPr>
          <w:rFonts w:hint="eastAsia" w:ascii="仿宋_GB2312" w:hAnsi="仿宋_GB2312" w:eastAsia="仿宋_GB2312" w:cs="仿宋_GB2312"/>
          <w:color w:val="auto"/>
          <w:sz w:val="28"/>
          <w:szCs w:val="28"/>
          <w:highlight w:val="none"/>
          <w:lang w:val="en-US" w:eastAsia="zh-CN"/>
        </w:rPr>
        <w:t>对接</w:t>
      </w:r>
      <w:r>
        <w:rPr>
          <w:rFonts w:hint="eastAsia" w:ascii="仿宋_GB2312" w:hAnsi="仿宋_GB2312" w:eastAsia="仿宋_GB2312" w:cs="仿宋_GB2312"/>
          <w:color w:val="auto"/>
          <w:sz w:val="28"/>
          <w:szCs w:val="28"/>
          <w:highlight w:val="none"/>
        </w:rPr>
        <w:t>集团公司、公司会议系统各功能，系统须实现如下场景应用：</w:t>
      </w:r>
    </w:p>
    <w:p>
      <w:pPr>
        <w:spacing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1、集团视频会议的接入</w:t>
      </w:r>
    </w:p>
    <w:p>
      <w:pPr>
        <w:spacing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采用可以接入集团华为视频会议系统的视频会议平台，视频会议终端通过专线加入集团视频会议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各会场通过专线与MCU连接形成集团视频会议。</w:t>
      </w:r>
    </w:p>
    <w:p>
      <w:pPr>
        <w:spacing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2、净水公司视频会议的接入</w:t>
      </w:r>
    </w:p>
    <w:p>
      <w:pPr>
        <w:spacing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用可以接入净水公司本部的itc视频会议平台，系统接入后公司本部及石井净水分公司的视频会议终端都可申请为公司视频会议的主会场，石井净水分公司通过专线连接MCU，石井净水分公司会议室可作为公司内部视频会议的主会场召开会议。</w:t>
      </w:r>
    </w:p>
    <w:p>
      <w:pPr>
        <w:spacing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设备配置及需求：</w:t>
      </w:r>
    </w:p>
    <w:p>
      <w:pPr>
        <w:ind w:firstLine="280" w:firstLineChars="100"/>
        <w:rPr>
          <w:rFonts w:ascii="仿宋_GB2312" w:eastAsia="仿宋_GB2312"/>
          <w:color w:val="auto"/>
          <w:sz w:val="28"/>
          <w:szCs w:val="28"/>
          <w:highlight w:val="none"/>
        </w:rPr>
      </w:pPr>
      <w:r>
        <w:rPr>
          <w:rFonts w:hint="eastAsia" w:ascii="仿宋_GB2312" w:eastAsia="仿宋_GB2312"/>
          <w:color w:val="auto"/>
          <w:sz w:val="28"/>
          <w:szCs w:val="28"/>
          <w:highlight w:val="none"/>
        </w:rPr>
        <w:t>1、一台集团</w:t>
      </w:r>
      <w:r>
        <w:rPr>
          <w:rFonts w:hint="eastAsia" w:ascii="仿宋" w:hAnsi="仿宋" w:eastAsia="仿宋"/>
          <w:color w:val="auto"/>
          <w:sz w:val="28"/>
          <w:szCs w:val="28"/>
          <w:highlight w:val="none"/>
        </w:rPr>
        <w:t>视频会议终端</w:t>
      </w:r>
      <w:r>
        <w:rPr>
          <w:rFonts w:hint="eastAsia" w:ascii="仿宋_GB2312" w:eastAsia="仿宋_GB2312"/>
          <w:color w:val="auto"/>
          <w:sz w:val="28"/>
          <w:szCs w:val="28"/>
          <w:highlight w:val="none"/>
        </w:rPr>
        <w:t>设备、一台公司</w:t>
      </w:r>
      <w:r>
        <w:rPr>
          <w:rFonts w:hint="eastAsia" w:ascii="仿宋" w:hAnsi="仿宋" w:eastAsia="仿宋"/>
          <w:color w:val="auto"/>
          <w:sz w:val="28"/>
          <w:szCs w:val="28"/>
          <w:highlight w:val="none"/>
        </w:rPr>
        <w:t>视频会议终端</w:t>
      </w:r>
      <w:r>
        <w:rPr>
          <w:rFonts w:hint="eastAsia" w:ascii="仿宋_GB2312" w:eastAsia="仿宋_GB2312"/>
          <w:color w:val="auto"/>
          <w:sz w:val="28"/>
          <w:szCs w:val="28"/>
          <w:highlight w:val="none"/>
        </w:rPr>
        <w:t>设备；</w:t>
      </w:r>
    </w:p>
    <w:p>
      <w:pPr>
        <w:ind w:firstLine="280" w:firstLineChars="100"/>
        <w:rPr>
          <w:rFonts w:ascii="仿宋_GB2312" w:eastAsia="仿宋_GB2312"/>
          <w:color w:val="auto"/>
          <w:sz w:val="28"/>
          <w:szCs w:val="28"/>
          <w:highlight w:val="none"/>
        </w:rPr>
      </w:pPr>
      <w:r>
        <w:rPr>
          <w:rFonts w:hint="eastAsia" w:ascii="仿宋_GB2312" w:eastAsia="仿宋_GB2312"/>
          <w:color w:val="auto"/>
          <w:sz w:val="28"/>
          <w:szCs w:val="28"/>
          <w:highlight w:val="none"/>
        </w:rPr>
        <w:t>2、一套矩阵切换设备、一套数字会议设备、一套集中控制设备、三台高清</w:t>
      </w:r>
      <w:r>
        <w:rPr>
          <w:rFonts w:hint="eastAsia" w:ascii="仿宋" w:hAnsi="仿宋" w:eastAsia="仿宋"/>
          <w:color w:val="auto"/>
          <w:sz w:val="28"/>
          <w:szCs w:val="28"/>
          <w:highlight w:val="none"/>
        </w:rPr>
        <w:t>摄像机及一套移动端视频会议软件</w:t>
      </w:r>
      <w:r>
        <w:rPr>
          <w:rFonts w:hint="eastAsia" w:ascii="仿宋_GB2312" w:eastAsia="仿宋_GB2312"/>
          <w:color w:val="auto"/>
          <w:sz w:val="28"/>
          <w:szCs w:val="28"/>
          <w:highlight w:val="none"/>
        </w:rPr>
        <w:t>；</w:t>
      </w:r>
    </w:p>
    <w:p>
      <w:pPr>
        <w:ind w:firstLine="280" w:firstLineChars="100"/>
        <w:rPr>
          <w:rFonts w:eastAsia="仿宋_GB2312"/>
          <w:color w:val="auto"/>
          <w:highlight w:val="none"/>
        </w:rPr>
      </w:pPr>
      <w:r>
        <w:rPr>
          <w:rFonts w:hint="eastAsia" w:ascii="仿宋_GB2312" w:eastAsia="仿宋_GB2312"/>
          <w:color w:val="auto"/>
          <w:sz w:val="28"/>
          <w:szCs w:val="28"/>
          <w:highlight w:val="none"/>
        </w:rPr>
        <w:t>3、使用网线、电源线、音视频线等辅材将设备组成视频会议系统。</w:t>
      </w:r>
    </w:p>
    <w:p>
      <w:pPr>
        <w:rPr>
          <w:color w:val="auto"/>
          <w:sz w:val="28"/>
          <w:szCs w:val="28"/>
          <w:highlight w:val="none"/>
        </w:rPr>
      </w:pPr>
      <w:r>
        <w:rPr>
          <w:rFonts w:hint="eastAsia" w:ascii="仿宋_GB2312" w:eastAsia="仿宋_GB2312"/>
          <w:color w:val="auto"/>
          <w:sz w:val="28"/>
          <w:szCs w:val="28"/>
          <w:highlight w:val="none"/>
        </w:rPr>
        <w:t xml:space="preserve">具体技术参数要求见项目内容的“技术服务要求”。    </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六、报价单位资格要求：</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u w:val="single"/>
        </w:rPr>
        <w:t>报价单位须是中华人民共和国境内</w:t>
      </w:r>
      <w:r>
        <w:rPr>
          <w:rFonts w:hint="eastAsia" w:ascii="仿宋_GB2312" w:hAnsi="仿宋_GB2312" w:eastAsia="仿宋_GB2312" w:cs="仿宋_GB2312"/>
          <w:color w:val="auto"/>
          <w:sz w:val="28"/>
          <w:szCs w:val="28"/>
          <w:highlight w:val="none"/>
          <w:u w:val="single"/>
          <w:lang w:val="en-US" w:eastAsia="zh-CN"/>
        </w:rPr>
        <w:t>注册的</w:t>
      </w:r>
      <w:r>
        <w:rPr>
          <w:rFonts w:hint="eastAsia" w:ascii="仿宋_GB2312" w:hAnsi="仿宋_GB2312" w:eastAsia="仿宋_GB2312" w:cs="仿宋_GB2312"/>
          <w:color w:val="auto"/>
          <w:sz w:val="28"/>
          <w:szCs w:val="28"/>
          <w:highlight w:val="none"/>
          <w:u w:val="single"/>
        </w:rPr>
        <w:t>法人或者其他组织，</w:t>
      </w:r>
      <w:r>
        <w:rPr>
          <w:rFonts w:hint="eastAsia" w:ascii="仿宋_GB2312" w:hAnsi="仿宋_GB2312" w:eastAsia="仿宋_GB2312" w:cs="仿宋_GB2312"/>
          <w:color w:val="auto"/>
          <w:sz w:val="28"/>
          <w:szCs w:val="28"/>
          <w:highlight w:val="none"/>
          <w:u w:val="single"/>
          <w:lang w:val="en-US" w:eastAsia="zh-CN"/>
        </w:rPr>
        <w:t>具有独立法人资格，</w:t>
      </w:r>
      <w:r>
        <w:rPr>
          <w:rFonts w:hint="eastAsia" w:ascii="仿宋_GB2312" w:hAnsi="仿宋_GB2312" w:eastAsia="仿宋_GB2312" w:cs="仿宋_GB2312"/>
          <w:color w:val="auto"/>
          <w:sz w:val="28"/>
          <w:szCs w:val="28"/>
          <w:highlight w:val="none"/>
          <w:u w:val="single"/>
        </w:rPr>
        <w:t>持有工商行政管理核发的有效营业执照，按国家法律经营，且能开具增值税专用发票。</w:t>
      </w:r>
    </w:p>
    <w:p>
      <w:pPr>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u w:val="single"/>
        </w:rPr>
        <w:t>销售业绩要求：2018年1月1日至今最少具有一项类似</w:t>
      </w:r>
      <w:r>
        <w:rPr>
          <w:rFonts w:hint="eastAsia" w:ascii="仿宋_GB2312" w:hAnsi="仿宋_GB2312" w:eastAsia="仿宋_GB2312" w:cs="仿宋_GB2312"/>
          <w:color w:val="auto"/>
          <w:sz w:val="28"/>
          <w:szCs w:val="28"/>
          <w:highlight w:val="none"/>
          <w:u w:val="single"/>
          <w:lang w:val="en-US" w:eastAsia="zh-CN"/>
        </w:rPr>
        <w:t>会议系统</w:t>
      </w:r>
      <w:r>
        <w:rPr>
          <w:rFonts w:hint="eastAsia" w:ascii="仿宋_GB2312" w:hAnsi="仿宋_GB2312" w:eastAsia="仿宋_GB2312" w:cs="仿宋_GB2312"/>
          <w:color w:val="auto"/>
          <w:sz w:val="28"/>
          <w:szCs w:val="28"/>
          <w:highlight w:val="none"/>
          <w:u w:val="single"/>
        </w:rPr>
        <w:t>项目业绩案例（提供合同复印件证明，包括但不限于项目名称、金额及实施内容、合同双方签字盖章、签订日期，并加盖单位公章）。</w:t>
      </w:r>
    </w:p>
    <w:p>
      <w:pPr>
        <w:autoSpaceDE w:val="0"/>
        <w:autoSpaceDN w:val="0"/>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七</w:t>
      </w:r>
      <w:r>
        <w:rPr>
          <w:rFonts w:hint="eastAsia" w:ascii="仿宋_GB2312" w:hAnsi="仿宋_GB2312" w:eastAsia="仿宋_GB2312" w:cs="仿宋_GB2312"/>
          <w:color w:val="auto"/>
          <w:sz w:val="28"/>
          <w:szCs w:val="28"/>
          <w:highlight w:val="none"/>
          <w:lang w:val="zh-CN"/>
        </w:rPr>
        <w:t>、现场踏勘(答疑会)时间、地点（也可由报价单位自行踏勘现场）：</w:t>
      </w:r>
    </w:p>
    <w:p>
      <w:pPr>
        <w:autoSpaceDE w:val="0"/>
        <w:autoSpaceDN w:val="0"/>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1. 现场踏勘(答疑会)集合时间：/</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八、询价文件的获取：在2021年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时00分前，在广州市净水有限公司门户网站免费下载。</w:t>
      </w:r>
    </w:p>
    <w:p>
      <w:pPr>
        <w:ind w:firstLine="588" w:firstLineChars="210"/>
        <w:rPr>
          <w:rFonts w:ascii="仿宋_GB2312" w:hAnsi="Times New Roman" w:eastAsia="仿宋_GB2312" w:cs="Times New Roman"/>
          <w:color w:val="auto"/>
          <w:sz w:val="32"/>
          <w:szCs w:val="20"/>
          <w:u w:val="single"/>
        </w:rPr>
      </w:pPr>
      <w:r>
        <w:rPr>
          <w:rFonts w:hint="eastAsia" w:ascii="仿宋_GB2312" w:hAnsi="仿宋_GB2312" w:eastAsia="仿宋_GB2312" w:cs="仿宋_GB2312"/>
          <w:color w:val="auto"/>
          <w:sz w:val="28"/>
          <w:szCs w:val="28"/>
          <w:highlight w:val="none"/>
        </w:rPr>
        <w:t>九、询价响应文件递交时间：2021年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时30分至1</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时00分；询价响应文件递交截止时间：2021年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时00分。递交响应文件时须提供授权委托人身份证原件备查。</w:t>
      </w:r>
    </w:p>
    <w:p>
      <w:pPr>
        <w:ind w:firstLine="588" w:firstLineChars="21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十、询价响应文件送达地点：广州市天河区临江大道501号广州市净水有限公司。</w:t>
      </w:r>
      <w:r>
        <w:rPr>
          <w:rFonts w:hint="eastAsia" w:ascii="仿宋_GB2312" w:hAnsi="仿宋_GB2312" w:eastAsia="仿宋_GB2312" w:cs="仿宋_GB2312"/>
          <w:color w:val="000000"/>
          <w:sz w:val="28"/>
          <w:szCs w:val="28"/>
        </w:rPr>
        <w:t>（注：基于疫情防控形势，授权委托人须通过“广州净水公司”微信公众号（提前或现场）预约，填写访客预约信息（包括：1.行程14天内未有中高风险区域记录的行程截图；2.穗康码为绿码</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ind w:firstLine="588" w:firstLineChars="21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十一、评审时间：2021年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时00分</w:t>
      </w:r>
    </w:p>
    <w:p>
      <w:pPr>
        <w:ind w:firstLine="588" w:firstLineChars="21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十二、评审地点：广州市净水有限公司六楼招标办                    </w:t>
      </w:r>
    </w:p>
    <w:p>
      <w:pPr>
        <w:ind w:firstLine="588" w:firstLineChars="21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十三、询价人的联系方式</w:t>
      </w:r>
    </w:p>
    <w:p>
      <w:pPr>
        <w:snapToGrid w:val="0"/>
        <w:spacing w:line="360" w:lineRule="auto"/>
        <w:ind w:firstLine="630" w:firstLineChars="225"/>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询价人：广州市净水有限公司</w:t>
      </w:r>
    </w:p>
    <w:p>
      <w:pPr>
        <w:snapToGrid w:val="0"/>
        <w:spacing w:line="360" w:lineRule="auto"/>
        <w:ind w:firstLine="630" w:firstLineChars="225"/>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联系地址：广州市天河区临江大道501号            </w:t>
      </w:r>
    </w:p>
    <w:p>
      <w:pPr>
        <w:snapToGrid w:val="0"/>
        <w:spacing w:line="360" w:lineRule="auto"/>
        <w:ind w:firstLine="630" w:firstLineChars="225"/>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联系人：</w:t>
      </w:r>
      <w:r>
        <w:rPr>
          <w:rFonts w:hint="eastAsia" w:ascii="仿宋_GB2312" w:hAnsi="仿宋_GB2312" w:eastAsia="仿宋_GB2312" w:cs="仿宋_GB2312"/>
          <w:color w:val="auto"/>
          <w:sz w:val="28"/>
          <w:szCs w:val="28"/>
          <w:highlight w:val="none"/>
          <w:lang w:val="en-US" w:eastAsia="zh-CN"/>
        </w:rPr>
        <w:t>黄</w:t>
      </w:r>
      <w:r>
        <w:rPr>
          <w:rFonts w:hint="eastAsia" w:ascii="仿宋_GB2312" w:hAnsi="仿宋_GB2312" w:eastAsia="仿宋_GB2312" w:cs="仿宋_GB2312"/>
          <w:color w:val="auto"/>
          <w:sz w:val="28"/>
          <w:szCs w:val="28"/>
          <w:highlight w:val="none"/>
        </w:rPr>
        <w:t>工          联系方式：020-</w:t>
      </w:r>
      <w:r>
        <w:rPr>
          <w:rFonts w:hint="eastAsia" w:ascii="仿宋_GB2312" w:hAnsi="仿宋_GB2312" w:eastAsia="仿宋_GB2312" w:cs="仿宋_GB2312"/>
          <w:color w:val="auto"/>
          <w:sz w:val="28"/>
          <w:szCs w:val="28"/>
          <w:highlight w:val="none"/>
          <w:lang w:val="en-US" w:eastAsia="zh-CN"/>
        </w:rPr>
        <w:t>62315524</w:t>
      </w:r>
    </w:p>
    <w:p>
      <w:pPr>
        <w:ind w:firstLine="4340" w:firstLineChars="15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广州市净水有限公司</w:t>
      </w:r>
    </w:p>
    <w:p>
      <w:pPr>
        <w:ind w:firstLine="3920" w:firstLineChars="14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2021年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w:t>
      </w:r>
    </w:p>
    <w:p>
      <w:pPr>
        <w:rPr>
          <w:rFonts w:ascii="仿宋_GB2312" w:hAnsi="仿宋_GB2312" w:eastAsia="仿宋_GB2312" w:cs="仿宋_GB2312"/>
          <w:color w:val="auto"/>
          <w:sz w:val="28"/>
          <w:szCs w:val="28"/>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第二部分</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lang w:val="zh-CN"/>
        </w:rPr>
        <w:t>项目内容</w:t>
      </w:r>
    </w:p>
    <w:p>
      <w:pPr>
        <w:pStyle w:val="15"/>
        <w:adjustRightInd w:val="0"/>
        <w:snapToGrid w:val="0"/>
        <w:spacing w:line="300" w:lineRule="auto"/>
        <w:rPr>
          <w:rFonts w:ascii="仿宋_GB2312" w:hAnsi="仿宋_GB2312" w:eastAsia="仿宋_GB2312" w:cs="仿宋_GB2312"/>
          <w:b/>
          <w:color w:val="auto"/>
          <w:sz w:val="28"/>
          <w:szCs w:val="28"/>
          <w:highlight w:val="none"/>
          <w:lang w:val="zh-CN"/>
        </w:rPr>
      </w:pPr>
    </w:p>
    <w:p>
      <w:pPr>
        <w:pStyle w:val="4"/>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一、目标需求：</w:t>
      </w:r>
    </w:p>
    <w:p>
      <w:pPr>
        <w:pStyle w:val="5"/>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（一）目标:</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本项目为广州市净水有限公司石井净水分公司建立备用应急视频会议中心，主要达成的目标如下：</w:t>
      </w:r>
    </w:p>
    <w:p>
      <w:pPr>
        <w:ind w:firstLine="280" w:firstLineChars="100"/>
        <w:rPr>
          <w:rFonts w:ascii="仿宋_GB2312" w:eastAsia="仿宋_GB2312"/>
          <w:color w:val="auto"/>
          <w:sz w:val="28"/>
          <w:szCs w:val="28"/>
          <w:highlight w:val="none"/>
        </w:rPr>
      </w:pPr>
      <w:r>
        <w:rPr>
          <w:rFonts w:hint="eastAsia" w:ascii="仿宋_GB2312" w:eastAsia="仿宋_GB2312"/>
          <w:color w:val="auto"/>
          <w:sz w:val="28"/>
          <w:szCs w:val="28"/>
          <w:highlight w:val="none"/>
        </w:rPr>
        <w:t>1、一台集团华为</w:t>
      </w:r>
      <w:r>
        <w:rPr>
          <w:rFonts w:hint="eastAsia" w:ascii="仿宋" w:hAnsi="仿宋" w:eastAsia="仿宋"/>
          <w:color w:val="auto"/>
          <w:sz w:val="28"/>
          <w:szCs w:val="28"/>
          <w:highlight w:val="none"/>
        </w:rPr>
        <w:t>视频会议终端</w:t>
      </w:r>
      <w:r>
        <w:rPr>
          <w:rFonts w:hint="eastAsia" w:ascii="仿宋_GB2312" w:eastAsia="仿宋_GB2312"/>
          <w:color w:val="auto"/>
          <w:sz w:val="28"/>
          <w:szCs w:val="28"/>
          <w:highlight w:val="none"/>
        </w:rPr>
        <w:t>设备、一台公司itc</w:t>
      </w:r>
      <w:r>
        <w:rPr>
          <w:rFonts w:hint="eastAsia" w:ascii="仿宋" w:hAnsi="仿宋" w:eastAsia="仿宋"/>
          <w:color w:val="auto"/>
          <w:sz w:val="28"/>
          <w:szCs w:val="28"/>
          <w:highlight w:val="none"/>
        </w:rPr>
        <w:t>视频会议终端</w:t>
      </w:r>
      <w:r>
        <w:rPr>
          <w:rFonts w:hint="eastAsia" w:ascii="仿宋_GB2312" w:eastAsia="仿宋_GB2312"/>
          <w:color w:val="auto"/>
          <w:sz w:val="28"/>
          <w:szCs w:val="28"/>
          <w:highlight w:val="none"/>
        </w:rPr>
        <w:t>设备；</w:t>
      </w:r>
    </w:p>
    <w:p>
      <w:pPr>
        <w:ind w:firstLine="280" w:firstLineChars="100"/>
        <w:rPr>
          <w:rFonts w:ascii="仿宋_GB2312" w:eastAsia="仿宋_GB2312"/>
          <w:color w:val="auto"/>
          <w:sz w:val="28"/>
          <w:szCs w:val="28"/>
          <w:highlight w:val="none"/>
        </w:rPr>
      </w:pPr>
      <w:r>
        <w:rPr>
          <w:rFonts w:hint="eastAsia" w:ascii="仿宋_GB2312" w:eastAsia="仿宋_GB2312"/>
          <w:color w:val="auto"/>
          <w:sz w:val="28"/>
          <w:szCs w:val="28"/>
          <w:highlight w:val="none"/>
        </w:rPr>
        <w:t>2、一套矩阵切换设备、一套数字会议设备、一套集中控制设备、三台高清</w:t>
      </w:r>
      <w:r>
        <w:rPr>
          <w:rFonts w:hint="eastAsia" w:ascii="仿宋" w:hAnsi="仿宋" w:eastAsia="仿宋"/>
          <w:color w:val="auto"/>
          <w:sz w:val="28"/>
          <w:szCs w:val="28"/>
          <w:highlight w:val="none"/>
        </w:rPr>
        <w:t>摄像机及一套移动端视频会议软件</w:t>
      </w:r>
      <w:r>
        <w:rPr>
          <w:rFonts w:hint="eastAsia" w:ascii="仿宋_GB2312" w:eastAsia="仿宋_GB2312"/>
          <w:color w:val="auto"/>
          <w:sz w:val="28"/>
          <w:szCs w:val="28"/>
          <w:highlight w:val="none"/>
        </w:rPr>
        <w:t>；</w:t>
      </w:r>
    </w:p>
    <w:p>
      <w:pPr>
        <w:ind w:firstLine="280" w:firstLineChars="100"/>
        <w:rPr>
          <w:rFonts w:eastAsia="仿宋_GB2312"/>
          <w:color w:val="auto"/>
          <w:highlight w:val="none"/>
        </w:rPr>
      </w:pPr>
      <w:r>
        <w:rPr>
          <w:rFonts w:hint="eastAsia" w:ascii="仿宋_GB2312" w:eastAsia="仿宋_GB2312"/>
          <w:color w:val="auto"/>
          <w:sz w:val="28"/>
          <w:szCs w:val="28"/>
          <w:highlight w:val="none"/>
        </w:rPr>
        <w:t>3、使用网线、电源线、音视频线等辅材将设备组成视频会议系统。</w:t>
      </w:r>
    </w:p>
    <w:p>
      <w:pPr>
        <w:pStyle w:val="4"/>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二、技术服务要求</w:t>
      </w:r>
    </w:p>
    <w:p>
      <w:pPr>
        <w:pStyle w:val="5"/>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（一）技术要求：</w:t>
      </w:r>
    </w:p>
    <w:p>
      <w:pPr>
        <w:ind w:firstLine="560" w:firstLineChars="200"/>
        <w:rPr>
          <w:color w:val="auto"/>
          <w:highlight w:val="none"/>
        </w:rPr>
      </w:pPr>
      <w:r>
        <w:rPr>
          <w:rFonts w:hint="eastAsia" w:ascii="仿宋_GB2312" w:hAnsi="仿宋_GB2312" w:eastAsia="仿宋_GB2312" w:cs="仿宋_GB2312"/>
          <w:color w:val="auto"/>
          <w:sz w:val="28"/>
          <w:szCs w:val="28"/>
          <w:highlight w:val="none"/>
        </w:rPr>
        <w:t>新购设备及配件须完全符合技术参数以的要求及数量的要求，</w:t>
      </w:r>
      <w:r>
        <w:rPr>
          <w:rFonts w:hint="eastAsia" w:ascii="仿宋_GB2312" w:eastAsia="仿宋_GB2312"/>
          <w:color w:val="auto"/>
          <w:sz w:val="28"/>
          <w:szCs w:val="28"/>
          <w:highlight w:val="none"/>
        </w:rPr>
        <w:t>所用设备品牌及厂商必须经询价人认可，产品必须检验合格</w:t>
      </w:r>
      <w:r>
        <w:rPr>
          <w:rFonts w:hint="eastAsia" w:ascii="仿宋_GB2312" w:hAnsi="仿宋_GB2312" w:eastAsia="仿宋_GB2312" w:cs="仿宋_GB2312"/>
          <w:color w:val="auto"/>
          <w:sz w:val="28"/>
          <w:szCs w:val="28"/>
          <w:highlight w:val="none"/>
        </w:rPr>
        <w:t>。</w:t>
      </w:r>
    </w:p>
    <w:p>
      <w:pPr>
        <w:pStyle w:val="26"/>
        <w:adjustRightInd w:val="0"/>
        <w:snapToGrid w:val="0"/>
        <w:spacing w:after="156" w:afterLines="50" w:line="360" w:lineRule="auto"/>
        <w:ind w:firstLine="562" w:firstLineChars="200"/>
        <w:rPr>
          <w:rFonts w:ascii="仿宋" w:hAnsi="仿宋" w:eastAsia="仿宋"/>
          <w:b/>
          <w:bCs/>
          <w:color w:val="auto"/>
          <w:sz w:val="28"/>
          <w:szCs w:val="28"/>
          <w:highlight w:val="none"/>
        </w:rPr>
      </w:pPr>
      <w:r>
        <w:rPr>
          <w:rFonts w:hint="eastAsia" w:ascii="仿宋_GB2312" w:eastAsia="仿宋_GB2312"/>
          <w:b/>
          <w:bCs/>
          <w:color w:val="auto"/>
          <w:sz w:val="28"/>
          <w:szCs w:val="28"/>
          <w:highlight w:val="none"/>
        </w:rPr>
        <w:t>技术参数要求</w:t>
      </w:r>
      <w:r>
        <w:rPr>
          <w:rFonts w:hint="eastAsia" w:ascii="仿宋" w:hAnsi="仿宋" w:eastAsia="仿宋"/>
          <w:b/>
          <w:bCs/>
          <w:color w:val="auto"/>
          <w:sz w:val="28"/>
          <w:szCs w:val="28"/>
          <w:highlight w:val="none"/>
        </w:rPr>
        <w:t>：</w:t>
      </w:r>
    </w:p>
    <w:tbl>
      <w:tblPr>
        <w:tblStyle w:val="28"/>
        <w:tblpPr w:leftFromText="180" w:rightFromText="180" w:vertAnchor="text" w:horzAnchor="page" w:tblpX="1212" w:tblpY="430"/>
        <w:tblOverlap w:val="never"/>
        <w:tblW w:w="9399" w:type="dxa"/>
        <w:tblInd w:w="0" w:type="dxa"/>
        <w:tblLayout w:type="fixed"/>
        <w:tblCellMar>
          <w:top w:w="0" w:type="dxa"/>
          <w:left w:w="108" w:type="dxa"/>
          <w:bottom w:w="0" w:type="dxa"/>
          <w:right w:w="108" w:type="dxa"/>
        </w:tblCellMar>
      </w:tblPr>
      <w:tblGrid>
        <w:gridCol w:w="550"/>
        <w:gridCol w:w="1189"/>
        <w:gridCol w:w="745"/>
        <w:gridCol w:w="4800"/>
        <w:gridCol w:w="511"/>
        <w:gridCol w:w="422"/>
        <w:gridCol w:w="1175"/>
        <w:gridCol w:w="7"/>
      </w:tblGrid>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序号</w:t>
            </w:r>
          </w:p>
        </w:tc>
        <w:tc>
          <w:tcPr>
            <w:tcW w:w="118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设备或材料名称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推荐品牌</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技术说明</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数量</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单位</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说明</w:t>
            </w:r>
          </w:p>
        </w:tc>
      </w:tr>
      <w:tr>
        <w:tblPrEx>
          <w:tblCellMar>
            <w:top w:w="0" w:type="dxa"/>
            <w:left w:w="108" w:type="dxa"/>
            <w:bottom w:w="0" w:type="dxa"/>
            <w:right w:w="108" w:type="dxa"/>
          </w:tblCellMar>
        </w:tblPrEx>
        <w:trPr>
          <w:trHeight w:val="567" w:hRule="atLeast"/>
        </w:trPr>
        <w:tc>
          <w:tcPr>
            <w:tcW w:w="8217"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left"/>
              <w:textAlignment w:val="center"/>
              <w:rPr>
                <w:rFonts w:hint="eastAsia" w:ascii="宋体" w:hAnsi="宋体" w:eastAsia="宋体" w:cs="宋体"/>
                <w:b/>
                <w:bCs/>
                <w:color w:val="auto"/>
                <w:kern w:val="0"/>
                <w:sz w:val="20"/>
                <w:szCs w:val="20"/>
                <w:highlight w:val="none"/>
                <w:lang w:eastAsia="zh-CN" w:bidi="ar"/>
              </w:rPr>
            </w:pPr>
            <w:r>
              <w:rPr>
                <w:rFonts w:hint="eastAsia" w:ascii="宋体" w:hAnsi="宋体" w:cs="宋体"/>
                <w:b/>
                <w:bCs/>
                <w:color w:val="auto"/>
                <w:kern w:val="0"/>
                <w:sz w:val="20"/>
                <w:szCs w:val="20"/>
                <w:highlight w:val="none"/>
                <w:lang w:bidi="ar"/>
              </w:rPr>
              <w:t>1、高清视频终端</w:t>
            </w:r>
            <w:r>
              <w:rPr>
                <w:rFonts w:hint="eastAsia" w:ascii="宋体" w:hAnsi="宋体" w:cs="宋体"/>
                <w:b/>
                <w:bCs/>
                <w:color w:val="auto"/>
                <w:kern w:val="0"/>
                <w:sz w:val="20"/>
                <w:szCs w:val="20"/>
                <w:highlight w:val="none"/>
                <w:lang w:eastAsia="zh-CN" w:bidi="ar"/>
              </w:rPr>
              <w:t>（</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kern w:val="0"/>
                <w:sz w:val="20"/>
                <w:szCs w:val="20"/>
                <w:highlight w:val="none"/>
                <w:lang w:bidi="ar"/>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8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高清视频终端</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 xml:space="preserve"> </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全新H.265编解码能力，最高可支持4K*2K 30fps超高清视频体验；结合VME（Video Motion Enhancement）技术，提升视频质量，节省50%带宽；支持AAC-LD双声道宽频语音和Opus，拥有回声抵消和噪声抑制技术，提供高保真语音效果；</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内置AI智能语音助理，提供便捷，贴心会议操控服务；</w:t>
            </w:r>
          </w:p>
          <w:p>
            <w:pPr>
              <w:pStyle w:val="26"/>
              <w:ind w:firstLine="0" w:firstLineChars="0"/>
              <w:rPr>
                <w:rFonts w:ascii="宋体" w:hAnsi="宋体" w:cs="宋体"/>
                <w:color w:val="auto"/>
                <w:sz w:val="16"/>
                <w:szCs w:val="16"/>
                <w:highlight w:val="none"/>
              </w:rPr>
            </w:pPr>
            <w:r>
              <w:rPr>
                <w:rFonts w:hint="eastAsia" w:ascii="宋体" w:hAnsi="宋体" w:cs="宋体"/>
                <w:color w:val="auto"/>
                <w:sz w:val="16"/>
                <w:szCs w:val="16"/>
                <w:highlight w:val="none"/>
              </w:rPr>
              <w:t>1、4K超高清视频，色彩细腻，层次丰富，尽享精致临场体验。</w:t>
            </w:r>
          </w:p>
          <w:p>
            <w:pPr>
              <w:pStyle w:val="26"/>
              <w:numPr>
                <w:ilvl w:val="0"/>
                <w:numId w:val="1"/>
              </w:numPr>
              <w:ind w:firstLine="0" w:firstLineChars="0"/>
              <w:rPr>
                <w:rFonts w:ascii="宋体" w:hAnsi="宋体" w:cs="宋体"/>
                <w:color w:val="auto"/>
                <w:sz w:val="16"/>
                <w:szCs w:val="16"/>
                <w:highlight w:val="none"/>
              </w:rPr>
            </w:pPr>
            <w:r>
              <w:rPr>
                <w:rFonts w:hint="eastAsia" w:ascii="宋体" w:hAnsi="宋体" w:cs="宋体"/>
                <w:color w:val="auto"/>
                <w:sz w:val="16"/>
                <w:szCs w:val="16"/>
                <w:highlight w:val="none"/>
              </w:rPr>
              <w:t>H.265编解码+VME技术，超强网络适应性，视频30%抗丢包，4K30fps最低2Mbps带宽。</w:t>
            </w:r>
          </w:p>
          <w:p>
            <w:pPr>
              <w:pStyle w:val="26"/>
              <w:numPr>
                <w:ilvl w:val="0"/>
                <w:numId w:val="1"/>
              </w:numPr>
              <w:ind w:firstLine="0" w:firstLineChars="0"/>
              <w:rPr>
                <w:rFonts w:ascii="宋体" w:hAnsi="宋体" w:cs="宋体"/>
                <w:color w:val="auto"/>
                <w:sz w:val="16"/>
                <w:szCs w:val="16"/>
                <w:highlight w:val="none"/>
              </w:rPr>
            </w:pPr>
            <w:r>
              <w:rPr>
                <w:rFonts w:hint="eastAsia" w:ascii="宋体" w:hAnsi="宋体" w:cs="宋体"/>
                <w:color w:val="auto"/>
                <w:sz w:val="16"/>
                <w:szCs w:val="16"/>
                <w:highlight w:val="none"/>
              </w:rPr>
              <w:t>支持主流音视频接口，可灵活外接阵列麦克风，扬声器，投影仪，LCD/LED大屏显示设备等。</w:t>
            </w:r>
          </w:p>
          <w:p>
            <w:pPr>
              <w:pStyle w:val="26"/>
              <w:ind w:firstLine="0" w:firstLineChars="0"/>
              <w:rPr>
                <w:rFonts w:ascii="宋体" w:hAnsi="宋体" w:cs="宋体"/>
                <w:color w:val="auto"/>
                <w:sz w:val="20"/>
                <w:szCs w:val="20"/>
                <w:highlight w:val="none"/>
              </w:rPr>
            </w:pPr>
            <w:r>
              <w:rPr>
                <w:rFonts w:hint="eastAsia" w:ascii="宋体" w:hAnsi="宋体" w:cs="宋体"/>
                <w:color w:val="auto"/>
                <w:sz w:val="16"/>
                <w:szCs w:val="16"/>
                <w:highlight w:val="none"/>
              </w:rPr>
              <w:t>4、支持长距离多合一接口HT-RX输入。</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auto"/>
                <w:sz w:val="20"/>
                <w:szCs w:val="20"/>
                <w:highlight w:val="none"/>
                <w:lang w:eastAsia="zh-CN"/>
              </w:rPr>
            </w:pPr>
            <w:r>
              <w:rPr>
                <w:rFonts w:hint="eastAsia" w:ascii="宋体" w:hAnsi="宋体" w:cs="宋体"/>
                <w:color w:val="auto"/>
                <w:kern w:val="0"/>
                <w:sz w:val="18"/>
                <w:szCs w:val="18"/>
                <w:highlight w:val="none"/>
                <w:lang w:bidi="ar"/>
              </w:rPr>
              <w:t>配套集团视频会议系统</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系</w:t>
            </w:r>
            <w:r>
              <w:rPr>
                <w:rFonts w:hint="eastAsia" w:ascii="宋体" w:hAnsi="宋体" w:cs="宋体"/>
                <w:color w:val="auto"/>
                <w:kern w:val="0"/>
                <w:sz w:val="18"/>
                <w:szCs w:val="18"/>
                <w:highlight w:val="none"/>
                <w:lang w:eastAsia="zh-CN" w:bidi="ar"/>
              </w:rPr>
              <w:t>统需要匹配</w:t>
            </w:r>
            <w:r>
              <w:rPr>
                <w:rFonts w:hint="eastAsia" w:ascii="宋体" w:hAnsi="宋体" w:cs="宋体"/>
                <w:color w:val="auto"/>
                <w:kern w:val="0"/>
                <w:sz w:val="18"/>
                <w:szCs w:val="18"/>
                <w:highlight w:val="none"/>
                <w:lang w:bidi="ar"/>
              </w:rPr>
              <w:t>集团视频会议系统</w:t>
            </w:r>
            <w:r>
              <w:rPr>
                <w:rFonts w:hint="eastAsia" w:ascii="宋体" w:hAnsi="宋体" w:cs="宋体"/>
                <w:color w:val="auto"/>
                <w:kern w:val="0"/>
                <w:sz w:val="18"/>
                <w:szCs w:val="18"/>
                <w:highlight w:val="none"/>
                <w:lang w:eastAsia="zh-CN" w:bidi="ar"/>
              </w:rPr>
              <w:t>。不允许改造。）</w:t>
            </w: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18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高清视频终端</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itc</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1.采用分体式结构，内置硬件视频处理单元，采用嵌入式Linux操作系统，非Windows/安卓操作系统。</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2.支持ITU-T H.323、SIP标准协议，具有良好的兼容性；支持H.239、BFCP双流协议，主辅流皆可达到1080P。</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支持辅流批注功能，发送辅流和接收辅流时都可在辅流画面上进行实时批注；可设置三种不同粗细的画笔，设置五种画笔颜色，设置圆形、方形、箭头、线条等批注图形；发送辅流时可设置是否开放批注权限给与会成员共同批注。支持无线辅流功能，电脑只需安装一个软件，通过网络连接到终端即可实现无线共享辅流功能，无需外接硬件设备；</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4.支持通过2.4G遥控器、web、触控、鼠标键盘等方式来操控终端，支持遥控器飞鼠操控模式。</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5.主屏支持输出4K分辨率信号，单屏最大支持25路视频画面，支持单屏双显、双屏双显应用功能，可实现多画面布局，支持画中画等多种常用布局类型。</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6.终端内置会议签到、电子白板、电子投票、文件共享等数据会议功能，满足远程培训、教学等场景应用需求。支持视频轮询功能，可选择轮询窗口、轮询时间间隔、参与轮询人员；支持语音激励功能，可设置语音激励窗口，发言声音最大的会场自动切换到该窗口上。支持横幅功能，可在会议画面上添加横幅，并可设置是否启用横幅及横幅的字体大小、字体颜色、背景颜色。支持滚动消息功能，可发送滚动消息，并可设置是否启用滚动消息及滚动消息的字体大小、字体颜色、背景颜色和滚动次数。</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7.支持终端申请主席对会议中的其他参会终端从直播模式转到会议模式或者从会议模式转到直播模式，支持终端主动向主席申请从直播模式转到会议模式，会议模式支持电子白板、文件共享、电子投票、会议签到等功能。</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8.支持 IP 网络丢包时修复机制，30%网络丢包时，声音清晰连续，视频清晰流畅，无卡顿、无马赛克；80%网络丢包时，声音清晰流畅，可准确理解。</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9.支持IPV4和IPV6协议，支持NAT穿越，具备跨越路由器及防火墙的能力，保证系统安全。</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10.内嵌软件支持H.264HP等视频编解码技术、G7.11、G.722等音频编解码技术。</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11.内嵌软件支持“主流+辅流”双流方式传输视频会议画面。</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12.内嵌软件支持WEB管理，符合不同用户的使用习惯。</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配套公司视频会议系统</w:t>
            </w:r>
            <w:r>
              <w:rPr>
                <w:rFonts w:hint="eastAsia" w:ascii="宋体" w:hAnsi="宋体" w:cs="宋体"/>
                <w:color w:val="auto"/>
                <w:kern w:val="0"/>
                <w:sz w:val="15"/>
                <w:szCs w:val="15"/>
                <w:highlight w:val="none"/>
                <w:lang w:eastAsia="zh-CN" w:bidi="ar"/>
              </w:rPr>
              <w:t>（</w:t>
            </w:r>
            <w:r>
              <w:rPr>
                <w:rFonts w:hint="eastAsia" w:ascii="宋体" w:hAnsi="宋体" w:cs="宋体"/>
                <w:color w:val="auto"/>
                <w:kern w:val="0"/>
                <w:sz w:val="15"/>
                <w:szCs w:val="15"/>
                <w:highlight w:val="none"/>
                <w:lang w:val="en-US" w:eastAsia="zh-CN" w:bidi="ar"/>
              </w:rPr>
              <w:t>主体设备</w:t>
            </w:r>
            <w:r>
              <w:rPr>
                <w:rFonts w:hint="eastAsia" w:ascii="宋体" w:hAnsi="宋体" w:cs="宋体"/>
                <w:color w:val="auto"/>
                <w:kern w:val="0"/>
                <w:sz w:val="15"/>
                <w:szCs w:val="15"/>
                <w:highlight w:val="none"/>
                <w:lang w:eastAsia="zh-CN" w:bidi="ar"/>
              </w:rPr>
              <w:t>）</w:t>
            </w:r>
          </w:p>
        </w:tc>
      </w:tr>
      <w:tr>
        <w:tblPrEx>
          <w:tblCellMar>
            <w:top w:w="0" w:type="dxa"/>
            <w:left w:w="108" w:type="dxa"/>
            <w:bottom w:w="0" w:type="dxa"/>
            <w:right w:w="108" w:type="dxa"/>
          </w:tblCellMar>
        </w:tblPrEx>
        <w:trPr>
          <w:gridAfter w:val="1"/>
          <w:wAfter w:w="7" w:type="dxa"/>
          <w:trHeight w:val="567" w:hRule="atLeast"/>
        </w:trPr>
        <w:tc>
          <w:tcPr>
            <w:tcW w:w="8217"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pStyle w:val="26"/>
              <w:ind w:firstLine="0" w:firstLineChars="0"/>
              <w:jc w:val="left"/>
              <w:rPr>
                <w:color w:val="auto"/>
                <w:highlight w:val="none"/>
              </w:rPr>
            </w:pPr>
            <w:r>
              <w:rPr>
                <w:rFonts w:hint="eastAsia" w:ascii="宋体" w:hAnsi="宋体" w:cs="宋体"/>
                <w:b/>
                <w:bCs/>
                <w:color w:val="auto"/>
                <w:sz w:val="20"/>
                <w:szCs w:val="20"/>
                <w:highlight w:val="none"/>
              </w:rPr>
              <w:t>2、矩阵切换系统</w:t>
            </w:r>
          </w:p>
        </w:tc>
        <w:tc>
          <w:tcPr>
            <w:tcW w:w="11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宋体" w:hAnsi="宋体" w:cs="宋体"/>
                <w:b/>
                <w:bCs/>
                <w:color w:val="auto"/>
                <w:kern w:val="0"/>
                <w:sz w:val="20"/>
                <w:szCs w:val="20"/>
                <w:highlight w:val="none"/>
                <w:lang w:bidi="ar"/>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无缝高清矩阵切换器</w:t>
            </w:r>
          </w:p>
        </w:tc>
        <w:tc>
          <w:tcPr>
            <w:tcW w:w="74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1.采用纯硬件标准化机箱设计，支持配置8×8路信号切换，支持HDMI、DVI、VGA、SDI、HDBaseT、光纤的任意输入/输出信号卡，其中DVI输入卡兼容CVBS，YUV,S-VIDEO信号，VGA输入/输出卡均兼容CVBS，YUV,S-VIDEO。</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2.采用板卡模块化设计，支持接入2块输入卡、2块输出卡、1块控制卡；通过定制配置各类相同或不同的输入输出卡可以组成单一接口类型或多接口类型的矩阵，如HDMI矩阵，DVI矩阵，VGA矩阵，YUV矩阵，Video矩阵等。</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3.支持1080P分辨率，最大可支持4Kx2K。支持断电记忆功能，免除上电重复设置动作。支持智能温控，控制矩阵风扇的运行；系统内可存储多组预切换指令，调用时可以一键切换。</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4.支持接入1块控制板卡，具有1路RS-232,1路RS-485,1路TCP/IP端口（PC软件）</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5.HDBaseT输入输出信号支持双向 RS-232 和双向 IR 信号传输，可对RS-232和IR 信号选择随视频信号切换，或分离切换模式，支持扩展POC模块对外设供电。</w:t>
            </w:r>
          </w:p>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6.支持KVM坐席管理功能，通过一套键盘鼠标显示器切换、管理多台计算机设备。</w:t>
            </w:r>
          </w:p>
        </w:tc>
        <w:tc>
          <w:tcPr>
            <w:tcW w:w="5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嵌入式控制面板</w:t>
            </w:r>
          </w:p>
        </w:tc>
        <w:tc>
          <w:tcPr>
            <w:tcW w:w="74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1.可编程嵌入式控制面板是触摸按键面板，可以远程控制矩阵主机切换、保存、调用的控制面板，可在会议室，办公室等控制矩阵设备切换。</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2.由矩阵主机远程供电，无需配独立适配器。</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3.支持编程图片、图形、文字、按键等更具人性化的界面。</w:t>
            </w:r>
          </w:p>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4.采用高灵敏度电阻触屏，操作反应速度更快。</w:t>
            </w:r>
          </w:p>
        </w:tc>
        <w:tc>
          <w:tcPr>
            <w:tcW w:w="511"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HDMI高清输入卡</w:t>
            </w:r>
          </w:p>
        </w:tc>
        <w:tc>
          <w:tcPr>
            <w:tcW w:w="74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1.支持4路HDMI-A母接口和3.5mm音频座；</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2.支持快速无缝切换，无闪烁，无黑屏；</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3.支持断电现场切换记忆保护功能，特有ESD静电保护功能；</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4.支持模拟音频与HDMI内嵌音频选择输入；</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 xml:space="preserve">5.兼容HDMI1.3a的标准，HDCP1.3协议，DVI1.0协议； </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6.最大支持分辨率：1920X1200P@60；</w:t>
            </w:r>
          </w:p>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7.支持热插拔，即插即用。</w:t>
            </w:r>
          </w:p>
        </w:tc>
        <w:tc>
          <w:tcPr>
            <w:tcW w:w="511"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2"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块</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HDMI高清输出卡</w:t>
            </w:r>
          </w:p>
        </w:tc>
        <w:tc>
          <w:tcPr>
            <w:tcW w:w="74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1.支持4路HDMI-A母接口和3.5mm音频座；</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2.支持快速无缝切换，无闪烁，无黑屏；</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3.支持断电现场切换记忆保护功能，特有ESD静电保护功能；</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4.支持模拟音频与HDMI内嵌音频同时输出；</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5.兼容HDMI1.3a的标准，HDCP1.3协议，DVI1.0协议；</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6.支持倍线功能，最高分辨率支持1080P；</w:t>
            </w:r>
          </w:p>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7.支持热插拔，即插即用。</w:t>
            </w:r>
          </w:p>
        </w:tc>
        <w:tc>
          <w:tcPr>
            <w:tcW w:w="51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块</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567" w:hRule="atLeast"/>
        </w:trPr>
        <w:tc>
          <w:tcPr>
            <w:tcW w:w="8217"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left"/>
              <w:rPr>
                <w:rFonts w:ascii="宋体" w:hAnsi="宋体" w:cs="宋体"/>
                <w:color w:val="auto"/>
                <w:sz w:val="20"/>
                <w:szCs w:val="20"/>
                <w:highlight w:val="none"/>
              </w:rPr>
            </w:pPr>
            <w:r>
              <w:rPr>
                <w:rFonts w:hint="eastAsia" w:ascii="宋体" w:hAnsi="宋体" w:cs="宋体"/>
                <w:b/>
                <w:bCs/>
                <w:color w:val="auto"/>
                <w:kern w:val="0"/>
                <w:sz w:val="20"/>
                <w:szCs w:val="20"/>
                <w:highlight w:val="none"/>
                <w:lang w:bidi="ar"/>
              </w:rPr>
              <w:t>3、数字会议系统</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b/>
                <w:bCs/>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数字会议主机</w:t>
            </w:r>
          </w:p>
        </w:tc>
        <w:tc>
          <w:tcPr>
            <w:tcW w:w="74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1.采用128位AES加密技术，支持WPA/WPA2无线安全技术，防止窃听和非授权访问，提供更高的会议系统机密性。</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内置高性能双CPU处理器，超强的处理能力，内核具有96位、50MIPS数字音频DSP处理器，立体声音频ADC和DAC，支持8KHz至96KHz范围内的采样速率，并支持数字音量控制。支持输出音频音量大小可调节，支持均衡和消噪等处理算法，提供更好的音质体验。</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采用独创的数字处理和传输技术，20Hz~20KHz带宽的非压缩音频传输，采用超五类线屏蔽线传输，确保会议信息长距离可靠传输，同时提供完美音质。具有WIFI网络接口，可以通过连接POE网络交换机扩充无线AP数量，提供更大的无线覆盖范围。</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4.支持WiFi会议系统和全数字会议系统同时使用，具有超大系统容量，具有4路会议单元输出接口，系统最大支持4096台有线会议单元，300台无线会议单元。系统最大支持同时开8个有线话筒和6个无线话筒。</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5.支持四种话筒管理模式：FIFO/ NORMAL/VOICE(声控)/APPLY。</w:t>
            </w:r>
          </w:p>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6.具有1路RS-485接口，支持一台摄像机实现摄像跟踪，支持PELCO-D、VISCA控制协议。配合摄像跟踪主机达到多路视频自动跟踪功能。</w:t>
            </w:r>
          </w:p>
        </w:tc>
        <w:tc>
          <w:tcPr>
            <w:tcW w:w="5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无线会议话筒</w:t>
            </w:r>
          </w:p>
        </w:tc>
        <w:tc>
          <w:tcPr>
            <w:tcW w:w="74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w:t>
            </w:r>
          </w:p>
        </w:tc>
        <w:tc>
          <w:tcPr>
            <w:tcW w:w="48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1.话筒采用48KHz采样率,清晰明亮。</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2.采用先进处理芯片架构，及独特的处理算法，话筒开机连接时间只需5秒。</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3.具有智能检测故障功能，提示用户AP故障、主机通信故障、信号强度过低等情况。</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4.支持通过Type-C口充电，具有智能指标状态，支持18W快充。</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5.采用128位AES加密技术，支持 WPA/WPA2 无线安全技术，防止窃听和非授权访问，提供更高的会议系统机密性。</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6.主席具备优先权功能，可关闭正在发言的所有代表话筒。</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7.内置锂电池，电池容量支持14小时持续发言。</w:t>
            </w:r>
          </w:p>
        </w:tc>
        <w:tc>
          <w:tcPr>
            <w:tcW w:w="5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话筒信号发射器</w:t>
            </w:r>
          </w:p>
        </w:tc>
        <w:tc>
          <w:tcPr>
            <w:tcW w:w="74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w:t>
            </w:r>
          </w:p>
        </w:tc>
        <w:tc>
          <w:tcPr>
            <w:tcW w:w="48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 吸顶式的设计，精致美观，空间占用率低，与室内公共区域的整体环境相融合。采用PoE供电方式，安装使用简捷方便。</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 网络吞吐量：采用802.11n和802.11ac双频双空间流技术，提供最高约1.2Gbps的千兆WiFi接入，满足室内大容量，高吞吐量的应用需求。</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 无线安全：支持包括OPEN，WEP, WPA，WPA2，WPA-PSK，WPA2-PSK，802.11i在内的多种认证加密标准，并提供MAC, WEB, 802.1x认证，钓鱼AP检测，无线用户隔离和无线用户黑白名单等安全特性，为用户提供一个安全的网络应用环境。</w:t>
            </w:r>
          </w:p>
        </w:tc>
        <w:tc>
          <w:tcPr>
            <w:tcW w:w="5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交换机</w:t>
            </w:r>
          </w:p>
        </w:tc>
        <w:tc>
          <w:tcPr>
            <w:tcW w:w="74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w:t>
            </w:r>
          </w:p>
        </w:tc>
        <w:tc>
          <w:tcPr>
            <w:tcW w:w="48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1.端口描述：9个10/100Mbps RJ45端口，其中1-8端口支持PoE功能2.传输模式：全双工/半双工自适应3.网络标准：IEEE 802.3、IEEE 802.3u、IEEE 802.3x、IEEE 802.af、IEEE 802.at。</w:t>
            </w:r>
          </w:p>
        </w:tc>
        <w:tc>
          <w:tcPr>
            <w:tcW w:w="5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无线话筒充电箱</w:t>
            </w:r>
          </w:p>
        </w:tc>
        <w:tc>
          <w:tcPr>
            <w:tcW w:w="74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w:t>
            </w:r>
          </w:p>
        </w:tc>
        <w:tc>
          <w:tcPr>
            <w:tcW w:w="48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1．充电器可同时插满所有USB接口，供设备批量充电</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2．使用USB线充电，一端连接充电器一端连接会议单元。</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3．根据设备的耐受电流大小充电器会自动匹配合适的电流大小给设备充电，同时有过流保护功能，保证被充电单元的安全。</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4．智能自动电路保护，所有USB插口均具有短路保护功能和自恢复功能。</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5．输入电压：100-240V AC 50/60Hz。</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6．充电接口（USB）：10个/100W。</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7．充电电压：5V。</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8．充电电流：2A（最大）。</w:t>
            </w:r>
          </w:p>
        </w:tc>
        <w:tc>
          <w:tcPr>
            <w:tcW w:w="5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抑制器</w:t>
            </w:r>
          </w:p>
        </w:tc>
        <w:tc>
          <w:tcPr>
            <w:tcW w:w="74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w:t>
            </w:r>
          </w:p>
        </w:tc>
        <w:tc>
          <w:tcPr>
            <w:tcW w:w="48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1.48kHz采样频率，32bit DPS处理器（300兆主频），24bitA/D及D/A转换。</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2.5档全自动移频模式选择，适用于各种场景及麦克风类型。</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3.采用2英寸IPS真彩显示屏，分辨率320*240。支持中/英文菜单显示。</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4.48个陷波器状态LED指示灯实时显示，每通道12个静态+12个动态陷波器。</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5.采用单键飞梭快捷操作，快速实现模式、直通、锁定及中英文选择功能。</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6.移频器±10Hz可调（1Hz步进），陷波器增益、Q值、数量可调。</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7.独立每通道增益、噪声门、压限器、移频、陷波、高低通、7段PEQ功能设置。</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8.提供USB和RS-485通讯接口，连接PC上位机及中控设备。</w:t>
            </w:r>
          </w:p>
        </w:tc>
        <w:tc>
          <w:tcPr>
            <w:tcW w:w="5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音频处理器</w:t>
            </w:r>
          </w:p>
        </w:tc>
        <w:tc>
          <w:tcPr>
            <w:tcW w:w="74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8路输入4路输出的数字音频处理器，采用DSP音频处理技术，为用户提供卓越的声音品质；内置反馈抑制、回声消除、噪声消除等功能，还原高品质声音。主要应用于中大型场所，可以满足远程视频会议、指挥中心等公共扩声系统等多方面的应用需求。</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1.数字音频处理器支持≥8路平衡式话筒/线路输入通道，采用裸线接口端子，平衡接法；支持≥4路平衡式线路输出，采用裸线接口端子，平衡接法。</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2、输入通道支持前级放大、信号发生器、扩展器、压缩器、5段参量均衡、AM自动混音功能、AFC自适应反馈消除、AEC回声消除、ANC噪声消除。</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3.输出通道支持31段参量均衡器、延时器、分频器、高低通滤波器、限幅器。</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4.支持24bit/48KHz的声音，支持输入通道48V幻象供电。</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5.支持通过ipad或iPhone或安卓手机APP软件进行操作控制、切换8个不同场景。面板具备USB接口，支持多媒体存储，可进行播放或存储录播。</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6.配置双向RS-232接口，可用于控制外部设备；配置RS-485接口，可实现自动摄像跟踪功能。配置8通道可编程GPIO控制接口（可自定义输入输出）。</w:t>
            </w:r>
          </w:p>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7.支持断电自动保护记忆功能。支持通道拷贝、粘贴、联控功能。支持通过浏览器访问设备，下载自带管理控制软件；可工作在XP/Windows7.8.10等系统环境下。</w:t>
            </w:r>
          </w:p>
        </w:tc>
        <w:tc>
          <w:tcPr>
            <w:tcW w:w="5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电源时序器</w:t>
            </w:r>
          </w:p>
        </w:tc>
        <w:tc>
          <w:tcPr>
            <w:tcW w:w="74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1.支持8通道电源时序打开/关闭，每路动作延时时间：1秒，支持远程控制（上电+24V直流信号）8通道电源时序打开/关闭—当电源开关锁处于off位置时有效。支持配置CH1和CH2通道为受控或不受控状态。</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2.当远程控制有效时同时控制后板ALARM（报警）端口导通—起到级联控制ALARM（报警）功能。</w:t>
            </w:r>
          </w:p>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3.单个通道最大负载功率2200W，所有通道负载总功率达6000W。输出连接器：多用途电源插座。</w:t>
            </w:r>
          </w:p>
        </w:tc>
        <w:tc>
          <w:tcPr>
            <w:tcW w:w="51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trHeight w:val="567" w:hRule="atLeast"/>
        </w:trPr>
        <w:tc>
          <w:tcPr>
            <w:tcW w:w="8217"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left"/>
              <w:rPr>
                <w:rFonts w:ascii="宋体" w:hAnsi="宋体" w:cs="宋体"/>
                <w:color w:val="auto"/>
                <w:sz w:val="20"/>
                <w:szCs w:val="20"/>
                <w:highlight w:val="none"/>
              </w:rPr>
            </w:pPr>
            <w:r>
              <w:rPr>
                <w:rFonts w:hint="eastAsia" w:ascii="宋体" w:hAnsi="宋体" w:cs="宋体"/>
                <w:b/>
                <w:bCs/>
                <w:color w:val="auto"/>
                <w:kern w:val="0"/>
                <w:sz w:val="20"/>
                <w:szCs w:val="20"/>
                <w:highlight w:val="none"/>
                <w:lang w:bidi="ar"/>
              </w:rPr>
              <w:t>4、集中控制系统</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网络中控主机</w:t>
            </w:r>
          </w:p>
        </w:tc>
        <w:tc>
          <w:tcPr>
            <w:tcW w:w="74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1.采用标准19英寸机柜设计，面板具有指示灯，可直观反馈串口、红外、设备的工作状态；支持通过IOS平台/安卓平台等移动设备终端进行集中式管控。</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2.面板有≥4.3英寸触摸彩屏，可查看IP地址、修改IP地址。具备1路TF卡接口，实现项目中的程序导入或导出。（提供功能演示视频供评标查证，未提供本项演示的视为非实质性响应）</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3.支持不同操作端对中控进行管控，支持操作状态双向反馈功能。支持多台网络中控主机实现级联控制，达到互联、互控的效果。</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4.采用可编程控制平台，交互式的控制结构，中英文可编程界面。全面支持第三方设备及控制协议，支持用户自定义编程设置任何控制协议或者控制代码。</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5.采用32位Cortex-A8 ARM架构内嵌式处理器（配置不可低于此），处理速度最高可达720MHz。主机内置≥256MDPR及8GEMMC的大容量FLASH 存储器。</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6.内嵌智能红外学习功能模块，无须配置专业学习器。可导入各种常用的电器设备的红外代码库到主机，并实现控制。支持串口环出功能，主机的8路串口均可实现任意一个输入都可以从另外一个串口环出。</w:t>
            </w:r>
          </w:p>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7.主机具备≥8路独立可编程串口，可收发RS-232，RS-485及RS-422信号，≥8路独立可编程IR红外发射口，≥8路数字I/0输入输出控制口，带保护电路，≥8路弱电继电器控制接口，≥1个NET网络控制接口，可做外部功能扩展使用，可并接256个网络设备。</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安卓平板电脑</w:t>
            </w:r>
          </w:p>
        </w:tc>
        <w:tc>
          <w:tcPr>
            <w:tcW w:w="74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会议系统配套，Android系统</w:t>
            </w:r>
          </w:p>
        </w:tc>
        <w:tc>
          <w:tcPr>
            <w:tcW w:w="51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18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无线路由器</w:t>
            </w:r>
          </w:p>
        </w:tc>
        <w:tc>
          <w:tcPr>
            <w:tcW w:w="74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双频5G路由器，智能千兆wifi信号放大器</w:t>
            </w:r>
          </w:p>
        </w:tc>
        <w:tc>
          <w:tcPr>
            <w:tcW w:w="5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控制器</w:t>
            </w:r>
          </w:p>
        </w:tc>
        <w:tc>
          <w:tcPr>
            <w:tcW w:w="74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1.协议兼容：搭配可编程中控主机使用，全面支持第三方设备控制。</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2.手动控制：在机器的正前方，有8个轻触开关，紧急情况下可以手动控制继电器的开关，在现场出现特发情况时可以使用这一功能，很好的保护其他的设备。</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3.具有8路继电器，每路继电器都有三连接点的接线柱，具有常开与常闭的功能；具有1路零线端子接口。</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4.具有8路独立电源开关控制，单路电流支持20A。</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5.具有复位按键，支持恢复到出厂的默认设置。</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6.具有设备运行状态指示灯及8个继电器的开关状态指示灯。</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7.具有1路网络接口，支持通过网络实现远程控制。</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8.机器具备ID识别，通过中控网络控制多台时，可通过ID识别。</w:t>
            </w:r>
          </w:p>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9.具有键盘锁（LOCK）功能，防止误操作，便于用于维护管理。</w:t>
            </w:r>
          </w:p>
        </w:tc>
        <w:tc>
          <w:tcPr>
            <w:tcW w:w="511"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无线投屏器</w:t>
            </w:r>
          </w:p>
        </w:tc>
        <w:tc>
          <w:tcPr>
            <w:tcW w:w="74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w:t>
            </w:r>
          </w:p>
        </w:tc>
        <w:tc>
          <w:tcPr>
            <w:tcW w:w="480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企业级无线投屏器hdmi传输器手机电脑同屏设备 适用投影仪、一体机LED大屏拼接屏（单分屏+投屏发射器*1）</w:t>
            </w:r>
          </w:p>
        </w:tc>
        <w:tc>
          <w:tcPr>
            <w:tcW w:w="511"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18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编程软件</w:t>
            </w:r>
          </w:p>
        </w:tc>
        <w:tc>
          <w:tcPr>
            <w:tcW w:w="74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会议系统配套。</w:t>
            </w:r>
          </w:p>
        </w:tc>
        <w:tc>
          <w:tcPr>
            <w:tcW w:w="51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trHeight w:val="567" w:hRule="atLeast"/>
        </w:trPr>
        <w:tc>
          <w:tcPr>
            <w:tcW w:w="8217"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ascii="宋体" w:hAnsi="宋体" w:cs="宋体"/>
                <w:color w:val="auto"/>
                <w:sz w:val="20"/>
                <w:szCs w:val="20"/>
                <w:highlight w:val="none"/>
              </w:rPr>
            </w:pPr>
            <w:r>
              <w:rPr>
                <w:rFonts w:hint="eastAsia" w:ascii="宋体" w:hAnsi="宋体" w:cs="宋体"/>
                <w:b/>
                <w:bCs/>
                <w:color w:val="auto"/>
                <w:kern w:val="0"/>
                <w:sz w:val="20"/>
                <w:szCs w:val="20"/>
                <w:highlight w:val="none"/>
                <w:lang w:bidi="ar"/>
              </w:rPr>
              <w:t>5、远程视频会议系统</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摄像机</w:t>
            </w:r>
          </w:p>
        </w:tc>
        <w:tc>
          <w:tcPr>
            <w:tcW w:w="74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1.支持H.264HP的视频会议摄像机，可实现全高清1080p超低带宽传输。</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2.采用1/2.8英寸、207万有效像素的高品质HD CMOS传感器，可实现最大1920x1080高分辨率的优质图像。</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3.1080P下输出帧率可达60fps。</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4.支持AAC音频编码，音质更佳，带宽占用更小。</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5.支持本地存储功能，无需NVR即可实现U盘本地直接录制。</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6.超高性噪比的全新CMOS图像传感器可有效降低在低照度情况下的图像噪声，同时应用2D和3D降噪算法，大幅降低了图像噪声，即便是超低照度情况下，依然保持画面干净清晰，图像信噪比高达55dB以上。</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7.支持HDMI高清输出，另配备3G-SDI接口，有效传输距离最高长达150米（1080p30）。HDMI、SDI、网络三路可同时输出。</w:t>
            </w:r>
          </w:p>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8.采用高品质超长焦镜头，光学变焦达到20倍，并支持16倍数字变焦。</w:t>
            </w:r>
          </w:p>
        </w:tc>
        <w:tc>
          <w:tcPr>
            <w:tcW w:w="5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HDMI转USB输入盒</w:t>
            </w:r>
          </w:p>
        </w:tc>
        <w:tc>
          <w:tcPr>
            <w:tcW w:w="74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免驱HDMI转USB3.0，高清视频会议采集卡。</w:t>
            </w:r>
          </w:p>
        </w:tc>
        <w:tc>
          <w:tcPr>
            <w:tcW w:w="511"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视频会议终端媒体软件</w:t>
            </w:r>
          </w:p>
        </w:tc>
        <w:tc>
          <w:tcPr>
            <w:tcW w:w="74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1、支持ITU-T H.323标准协议，有良好的兼容性，支持VCS协议。</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2、支持QCIF、CIF、4CIF、720P、1080P视频分辨率（软终端可达到的最高视频分辨率为所使用的USB摄像头最高支持的分辨率）。</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3、支持H.264HP视频编解码协议，支持G.711、G.722等音频编解码协议。</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4、集成通信录、通话记录功能模块。</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5、支持切换模板、主席控制等常用功能。</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6、支持会议签到、电子白板、电子投票、文件共享等数据会议功能，满足远程培训、教学等场景应用需求。</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7、支持多画面布局，单屏支持25路画面同时显示。</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8、支持语音优先，支持Qos策略。</w:t>
            </w:r>
          </w:p>
          <w:p>
            <w:pPr>
              <w:widowControl/>
              <w:jc w:val="left"/>
              <w:textAlignment w:val="center"/>
              <w:rPr>
                <w:rFonts w:ascii="宋体" w:hAnsi="宋体" w:cs="宋体"/>
                <w:color w:val="auto"/>
                <w:sz w:val="20"/>
                <w:szCs w:val="20"/>
                <w:highlight w:val="none"/>
              </w:rPr>
            </w:pPr>
            <w:r>
              <w:rPr>
                <w:rFonts w:hint="eastAsia" w:ascii="宋体" w:hAnsi="宋体" w:cs="宋体"/>
                <w:color w:val="auto"/>
                <w:sz w:val="16"/>
                <w:szCs w:val="16"/>
                <w:highlight w:val="none"/>
              </w:rPr>
              <w:t>9、安装于windows平台PC电脑，支持接入USB摄像机视频设备。</w:t>
            </w:r>
          </w:p>
        </w:tc>
        <w:tc>
          <w:tcPr>
            <w:tcW w:w="51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1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82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6、HDMI网传设备</w:t>
            </w:r>
          </w:p>
        </w:tc>
        <w:tc>
          <w:tcPr>
            <w:tcW w:w="11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超高清KVM发送器</w:t>
            </w:r>
          </w:p>
        </w:tc>
        <w:tc>
          <w:tcPr>
            <w:tcW w:w="74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w:t>
            </w:r>
          </w:p>
        </w:tc>
        <w:tc>
          <w:tcPr>
            <w:tcW w:w="48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1.输入接口支持有1x HDMI TYPE-A；1x DVI-D，1x3.5mm音频，输出接口支持有1x HDBaseT网口；1x HDMI TYPE-A监视输出口，1 x USB TYPE B接口（KVM接口），支持1个红外接口，1路RS232接口，自带显示屏及面板操作按键。</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2.使用先进的HDBaseT传输技术，10.2Gbps传输速率，信号无压缩、无损耗、无延时。</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3.支持HDMI 1.4标准（兼容DVI 1.0）和HDCP 1.4标准。最大分辨率支持4Kx2K @30Hz，输出分辨率与输入分辨率完全直通。</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4.HDMI线可支持15米，传输距离远，双绞线长度支持100米，支持通过双绞线POE远程供电。</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5.支持将音频数据嵌入视频数据，音视频信号同步传输。支持RS232串口数据的双向透传，波特率最高可达256000bps。支持红外信号的双向透传功能，并且支持38KHz载波调制。</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6.支持KVM功能，可透传鼠标键盘数据，支持通过鼠标键盘的快捷键切换矩阵。</w:t>
            </w:r>
          </w:p>
        </w:tc>
        <w:tc>
          <w:tcPr>
            <w:tcW w:w="51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超高清KVM接收器</w:t>
            </w:r>
          </w:p>
        </w:tc>
        <w:tc>
          <w:tcPr>
            <w:tcW w:w="74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w:t>
            </w:r>
          </w:p>
        </w:tc>
        <w:tc>
          <w:tcPr>
            <w:tcW w:w="48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1.输入接口支持有1x HDBaseT网口，输出接口支持有1x HDMI TYPE-A；1x DVI-D，1x3.5mm音频，2 x USB TYPE A接口（KVM接口），支持1个红外接口，1路RS232接口，自带显示屏及面板操作按键。</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2.使用先进的HDBaseT传输技术，10.2Gbps传输速率，信号无压缩、无损耗、无延时。</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3.支持HDMI 1.4标准（兼容DVI 1.0）和HDCP 1.4标准。最大分辨率支持4Kx2K @30Hz，输出分辨率与输入分辨率完全直通。</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4.HDMI线可支持15米，传输距离远，双绞线长度支持100米，支持通过双绞线POE远程供电。</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5.支持从视频中实时提取音频数据，同步输出。支持RS232串口数据的双向透传，波特率最高可达256000bps。支持红外信号的双向透传功能，并且支持38KHz载波调制。</w:t>
            </w:r>
          </w:p>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6.支持KVM功能，可透传鼠标键盘数据，支持通过鼠标键盘的快捷键切换矩阵。</w:t>
            </w:r>
          </w:p>
        </w:tc>
        <w:tc>
          <w:tcPr>
            <w:tcW w:w="51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1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567" w:hRule="atLeast"/>
        </w:trPr>
        <w:tc>
          <w:tcPr>
            <w:tcW w:w="8217"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left"/>
              <w:rPr>
                <w:rFonts w:ascii="宋体" w:hAnsi="宋体" w:cs="宋体"/>
                <w:color w:val="auto"/>
                <w:sz w:val="20"/>
                <w:szCs w:val="20"/>
                <w:highlight w:val="none"/>
              </w:rPr>
            </w:pPr>
            <w:r>
              <w:rPr>
                <w:rFonts w:hint="eastAsia" w:ascii="宋体" w:hAnsi="宋体" w:cs="宋体"/>
                <w:b/>
                <w:bCs/>
                <w:color w:val="auto"/>
                <w:kern w:val="0"/>
                <w:sz w:val="20"/>
                <w:szCs w:val="20"/>
                <w:highlight w:val="none"/>
                <w:lang w:bidi="ar"/>
              </w:rPr>
              <w:t>7、其他</w:t>
            </w:r>
          </w:p>
        </w:tc>
        <w:tc>
          <w:tcPr>
            <w:tcW w:w="1182"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摄像头三脚架</w:t>
            </w:r>
          </w:p>
        </w:tc>
        <w:tc>
          <w:tcPr>
            <w:tcW w:w="74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75CM-200CM高度可选，中轴升降+中轴锁+液压云台+手柄控制，方便快捷稳定高效。</w:t>
            </w:r>
          </w:p>
        </w:tc>
        <w:tc>
          <w:tcPr>
            <w:tcW w:w="511" w:type="dxa"/>
            <w:tcBorders>
              <w:top w:val="nil"/>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2" w:type="dxa"/>
            <w:tcBorders>
              <w:top w:val="nil"/>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机柜</w:t>
            </w:r>
          </w:p>
        </w:tc>
        <w:tc>
          <w:tcPr>
            <w:tcW w:w="74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标准19英寸网络服务器机柜,加厚,黑色，</w:t>
            </w:r>
            <w:r>
              <w:rPr>
                <w:rFonts w:hint="eastAsia" w:ascii="宋体" w:hAnsi="宋体" w:cs="宋体"/>
                <w:bCs/>
                <w:color w:val="auto"/>
                <w:sz w:val="16"/>
                <w:szCs w:val="16"/>
                <w:highlight w:val="none"/>
              </w:rPr>
              <w:t>前钢化玻璃门，后钢板门</w:t>
            </w:r>
          </w:p>
        </w:tc>
        <w:tc>
          <w:tcPr>
            <w:tcW w:w="511" w:type="dxa"/>
            <w:tcBorders>
              <w:top w:val="nil"/>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nil"/>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3</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sz w:val="20"/>
                <w:szCs w:val="20"/>
                <w:highlight w:val="none"/>
              </w:rPr>
              <w:t>辅助材料</w:t>
            </w:r>
          </w:p>
        </w:tc>
        <w:tc>
          <w:tcPr>
            <w:tcW w:w="74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配套视频线、音频线、电源线、网线、管材等</w:t>
            </w:r>
          </w:p>
        </w:tc>
        <w:tc>
          <w:tcPr>
            <w:tcW w:w="51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1</w:t>
            </w:r>
          </w:p>
        </w:tc>
        <w:tc>
          <w:tcPr>
            <w:tcW w:w="42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r>
        <w:tblPrEx>
          <w:tblCellMar>
            <w:top w:w="0" w:type="dxa"/>
            <w:left w:w="108" w:type="dxa"/>
            <w:bottom w:w="0" w:type="dxa"/>
            <w:right w:w="108" w:type="dxa"/>
          </w:tblCellMar>
        </w:tblPrEx>
        <w:trPr>
          <w:gridAfter w:val="1"/>
          <w:wAfter w:w="7" w:type="dxa"/>
          <w:trHeight w:val="567" w:hRule="atLeast"/>
        </w:trPr>
        <w:tc>
          <w:tcPr>
            <w:tcW w:w="5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4</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技术服务</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无</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highlight w:val="none"/>
              </w:rPr>
            </w:pPr>
            <w:r>
              <w:rPr>
                <w:rFonts w:hint="eastAsia" w:ascii="宋体" w:hAnsi="宋体" w:cs="宋体"/>
                <w:color w:val="auto"/>
                <w:sz w:val="16"/>
                <w:szCs w:val="16"/>
                <w:highlight w:val="none"/>
              </w:rPr>
              <w:t>安装、调试、培训、一年期维保服务</w:t>
            </w:r>
          </w:p>
        </w:tc>
        <w:tc>
          <w:tcPr>
            <w:tcW w:w="511"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p>
        </w:tc>
      </w:tr>
    </w:tbl>
    <w:p>
      <w:pPr>
        <w:pStyle w:val="5"/>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（二）服务要求：</w:t>
      </w:r>
    </w:p>
    <w:p>
      <w:pPr>
        <w:ind w:left="420" w:leftChars="200" w:firstLine="145" w:firstLineChars="52"/>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项目必须提供的具体服务内容如下：</w:t>
      </w: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质保期服务内容</w:t>
      </w:r>
    </w:p>
    <w:p>
      <w:pPr>
        <w:ind w:firstLine="560" w:firstLineChars="200"/>
        <w:rPr>
          <w:rFonts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u w:val="none"/>
        </w:rPr>
        <w:t>报价人明确承诺:本项目硬件部分（即高清视频终端、矩阵切换系统、数字会议系统、中控系统等）需提供一年售后技术服务，本项目软件部分（即视频会议软件）提供一年售后技术服务。</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rPr>
        <w:t>2.</w:t>
      </w:r>
      <w:r>
        <w:rPr>
          <w:rFonts w:hint="eastAsia" w:ascii="仿宋_GB2312" w:hAnsi="仿宋_GB2312" w:eastAsia="仿宋_GB2312" w:cs="仿宋_GB2312"/>
          <w:color w:val="auto"/>
          <w:sz w:val="28"/>
          <w:szCs w:val="28"/>
          <w:highlight w:val="none"/>
          <w:u w:val="none"/>
        </w:rPr>
        <w:t>配套公司视频会议系统部分为本项目标的主体，报价单位需提供主体设备厂家</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ITC</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原厂授权文件和原厂售后服务承诺。</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3.报价人产品属于国家规定“三包”范围的，其产品质量保证期不得低于“三包”规定。</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4.报价人的质量保证期承诺优于国家“三包”规定的，按承包人实际承诺执行。</w:t>
      </w:r>
    </w:p>
    <w:p>
      <w:pPr>
        <w:pStyle w:val="26"/>
        <w:ind w:firstLine="0" w:firstLineChars="0"/>
        <w:rPr>
          <w:color w:val="auto"/>
          <w:highlight w:val="none"/>
        </w:rPr>
      </w:pP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售后服务内容</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1.承包人在质量保证期内应当为询价人提供以下技术支持和服务:</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A、电话咨询</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承包人应当为询价人提供其单位以及原厂的技术援助电话，解答询价人在使用中遇到的问题，及时为询价人提出解决问题的建议。</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B、现场响应</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2.质保期外服务要求</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A、质量保证期过后，承包人应同样提供免费电话咨询服务，并应承诺提供产品上门维护服务。</w:t>
      </w:r>
    </w:p>
    <w:p>
      <w:pPr>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B、质量保证期过后，询价人需要继续由承包人提供售后服务的，该承包人应以优惠价格提供售后服务。</w:t>
      </w:r>
    </w:p>
    <w:p>
      <w:pPr>
        <w:pStyle w:val="26"/>
        <w:ind w:firstLine="321"/>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三、项目商务要求</w:t>
      </w:r>
    </w:p>
    <w:p>
      <w:pPr>
        <w:autoSpaceDE w:val="0"/>
        <w:autoSpaceDN w:val="0"/>
        <w:ind w:left="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1.总包及分包规定：</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乙方不得转包、分包。否则，甲方有权单方面终止合同，拒收其货物，由此而造成的经济损失由乙方负责赔偿。</w:t>
      </w:r>
    </w:p>
    <w:p>
      <w:pPr>
        <w:autoSpaceDE w:val="0"/>
        <w:autoSpaceDN w:val="0"/>
        <w:ind w:left="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.付款方式：</w:t>
      </w:r>
    </w:p>
    <w:p>
      <w:pPr>
        <w:autoSpaceDE w:val="0"/>
        <w:autoSpaceDN w:val="0"/>
        <w:ind w:left="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（1）采用支票、银行汇票形式。</w:t>
      </w:r>
    </w:p>
    <w:p>
      <w:pPr>
        <w:autoSpaceDE w:val="0"/>
        <w:autoSpaceDN w:val="0"/>
        <w:ind w:left="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（2）报价人在收款前需提交相应金额增值税专用发票给需求单位。</w:t>
      </w:r>
    </w:p>
    <w:p>
      <w:pPr>
        <w:pStyle w:val="26"/>
        <w:ind w:firstLine="560" w:firstLineChars="200"/>
        <w:rPr>
          <w:color w:val="auto"/>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.承包方式：总价包干</w:t>
      </w:r>
      <w:r>
        <w:rPr>
          <w:rFonts w:hint="eastAsia" w:ascii="仿宋" w:hAnsi="仿宋" w:eastAsia="仿宋" w:cs="仿宋_GB2312"/>
          <w:color w:val="auto"/>
          <w:sz w:val="28"/>
          <w:szCs w:val="28"/>
          <w:highlight w:val="none"/>
        </w:rPr>
        <w:t>。</w:t>
      </w:r>
    </w:p>
    <w:p>
      <w:pPr>
        <w:pStyle w:val="15"/>
        <w:adjustRightInd w:val="0"/>
        <w:snapToGrid w:val="0"/>
        <w:spacing w:line="300" w:lineRule="auto"/>
        <w:ind w:firstLine="562"/>
        <w:jc w:val="center"/>
        <w:outlineLvl w:val="0"/>
        <w:rPr>
          <w:rFonts w:ascii="仿宋_GB2312" w:hAnsi="仿宋_GB2312" w:eastAsia="仿宋_GB2312" w:cs="仿宋_GB2312"/>
          <w:b/>
          <w:color w:val="auto"/>
          <w:sz w:val="28"/>
          <w:szCs w:val="28"/>
          <w:highlight w:val="none"/>
          <w:lang w:val="zh-CN"/>
        </w:rPr>
      </w:pPr>
    </w:p>
    <w:p>
      <w:pPr>
        <w:pStyle w:val="15"/>
        <w:adjustRightInd w:val="0"/>
        <w:snapToGrid w:val="0"/>
        <w:spacing w:line="300" w:lineRule="auto"/>
        <w:ind w:firstLine="562"/>
        <w:jc w:val="center"/>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zh-CN"/>
        </w:rPr>
        <w:t xml:space="preserve">第三部分 </w:t>
      </w:r>
      <w:r>
        <w:rPr>
          <w:rFonts w:hint="eastAsia" w:ascii="仿宋_GB2312" w:hAnsi="仿宋_GB2312" w:eastAsia="仿宋_GB2312" w:cs="仿宋_GB2312"/>
          <w:b/>
          <w:color w:val="auto"/>
          <w:sz w:val="28"/>
          <w:szCs w:val="28"/>
          <w:highlight w:val="none"/>
        </w:rPr>
        <w:t xml:space="preserve"> 报价须知</w:t>
      </w:r>
    </w:p>
    <w:p>
      <w:pPr>
        <w:pStyle w:val="15"/>
        <w:adjustRightInd w:val="0"/>
        <w:snapToGrid w:val="0"/>
        <w:spacing w:line="300" w:lineRule="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一、概念释义</w:t>
      </w:r>
    </w:p>
    <w:p>
      <w:pPr>
        <w:pStyle w:val="15"/>
        <w:adjustRightInd w:val="0"/>
        <w:snapToGrid w:val="0"/>
        <w:spacing w:line="300" w:lineRule="auto"/>
        <w:ind w:left="560" w:hanging="560" w:hanging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1.“询价人”是指：广州市净水有限公司。</w:t>
      </w:r>
    </w:p>
    <w:p>
      <w:pPr>
        <w:pStyle w:val="15"/>
        <w:tabs>
          <w:tab w:val="left" w:pos="360"/>
        </w:tabs>
        <w:adjustRightInd w:val="0"/>
        <w:snapToGrid w:val="0"/>
        <w:spacing w:line="300" w:lineRule="auto"/>
        <w:ind w:left="560" w:hanging="560" w:hanging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2.合格的报价单位:</w:t>
      </w:r>
      <w:r>
        <w:rPr>
          <w:rFonts w:hint="eastAsia" w:ascii="仿宋_GB2312" w:hAnsi="仿宋_GB2312" w:eastAsia="仿宋_GB2312" w:cs="仿宋_GB2312"/>
          <w:color w:val="auto"/>
          <w:kern w:val="0"/>
          <w:sz w:val="28"/>
          <w:szCs w:val="28"/>
          <w:highlight w:val="none"/>
        </w:rPr>
        <w:t>符合询价文件规定资格</w:t>
      </w:r>
      <w:r>
        <w:rPr>
          <w:rFonts w:hint="eastAsia" w:ascii="仿宋_GB2312" w:hAnsi="仿宋_GB2312" w:eastAsia="仿宋_GB2312" w:cs="仿宋_GB2312"/>
          <w:color w:val="auto"/>
          <w:sz w:val="28"/>
          <w:szCs w:val="28"/>
          <w:highlight w:val="none"/>
          <w:lang w:val="zh-CN"/>
        </w:rPr>
        <w:t>要求</w:t>
      </w:r>
      <w:r>
        <w:rPr>
          <w:rFonts w:hint="eastAsia" w:ascii="仿宋_GB2312" w:hAnsi="仿宋_GB2312" w:eastAsia="仿宋_GB2312" w:cs="仿宋_GB2312"/>
          <w:color w:val="auto"/>
          <w:kern w:val="0"/>
          <w:sz w:val="28"/>
          <w:szCs w:val="28"/>
          <w:highlight w:val="none"/>
        </w:rPr>
        <w:t>的报价单位。</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3.“承包人”是指经法定程序确认并授以合同的报价单位。</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二、询价文件</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5．适用范围:本询价文件适用于本报价邀请中所述项目的询价。</w:t>
      </w:r>
    </w:p>
    <w:p>
      <w:pPr>
        <w:pStyle w:val="15"/>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 询价文件的构成</w:t>
      </w:r>
    </w:p>
    <w:p>
      <w:pPr>
        <w:pStyle w:val="15"/>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6.1询价文件包括但不限于下列文件:</w:t>
      </w:r>
    </w:p>
    <w:p>
      <w:pPr>
        <w:pStyle w:val="15"/>
        <w:adjustRightInd w:val="0"/>
        <w:snapToGrid w:val="0"/>
        <w:spacing w:line="300" w:lineRule="auto"/>
        <w:ind w:firstLine="3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1）报价邀请函</w:t>
      </w:r>
    </w:p>
    <w:p>
      <w:pPr>
        <w:pStyle w:val="15"/>
        <w:adjustRightInd w:val="0"/>
        <w:snapToGrid w:val="0"/>
        <w:spacing w:line="300" w:lineRule="auto"/>
        <w:ind w:firstLine="3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项目内容</w:t>
      </w:r>
    </w:p>
    <w:p>
      <w:pPr>
        <w:pStyle w:val="15"/>
        <w:adjustRightInd w:val="0"/>
        <w:snapToGrid w:val="0"/>
        <w:spacing w:line="300" w:lineRule="auto"/>
        <w:ind w:firstLine="3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 报价单位须知</w:t>
      </w:r>
    </w:p>
    <w:p>
      <w:pPr>
        <w:pStyle w:val="15"/>
        <w:adjustRightInd w:val="0"/>
        <w:snapToGrid w:val="0"/>
        <w:spacing w:line="300" w:lineRule="auto"/>
        <w:ind w:firstLine="3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合同书格式</w:t>
      </w:r>
    </w:p>
    <w:p>
      <w:pPr>
        <w:pStyle w:val="15"/>
        <w:adjustRightInd w:val="0"/>
        <w:snapToGrid w:val="0"/>
        <w:spacing w:line="300" w:lineRule="auto"/>
        <w:ind w:firstLine="3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 询价响应文件格式</w:t>
      </w:r>
    </w:p>
    <w:p>
      <w:pPr>
        <w:pStyle w:val="15"/>
        <w:adjustRightInd w:val="0"/>
        <w:snapToGrid w:val="0"/>
        <w:spacing w:line="300" w:lineRule="auto"/>
        <w:ind w:firstLine="3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 在询价过程中由询价人发出的修正和补充文件等</w:t>
      </w:r>
    </w:p>
    <w:p>
      <w:pPr>
        <w:pStyle w:val="15"/>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 询价文件的澄清或修改</w:t>
      </w:r>
    </w:p>
    <w:p>
      <w:pPr>
        <w:pStyle w:val="15"/>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5"/>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7.3 询价文件的修改或澄清将以书面形式通知所有获取询价文件的报价单位，并对其具有约束力。</w:t>
      </w:r>
    </w:p>
    <w:p>
      <w:pPr>
        <w:pStyle w:val="15"/>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 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7.5 书面形式包括但不限于以纸质、电子邮件、门户网站信息公告等形式。三、询价响应文件的编制和数量</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8．询价响应费用</w:t>
      </w:r>
    </w:p>
    <w:p>
      <w:pPr>
        <w:pStyle w:val="15"/>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8.1 报价单位应承担所有与准备和参加询价响应有关的费用。不论询价的结果如何，询价人均无义务和责任承担这些费用。</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9．报价的语言及计量</w:t>
      </w:r>
    </w:p>
    <w:p>
      <w:pPr>
        <w:pStyle w:val="15"/>
        <w:adjustRightInd w:val="0"/>
        <w:snapToGrid w:val="0"/>
        <w:spacing w:line="300" w:lineRule="auto"/>
        <w:ind w:left="360" w:hanging="3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10．询价响应文件的构成</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10.1报价单位编制的询价响应文件应包括但不少于本询价文件第五部分《询价响应文件格式》的所有内容。</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 询价响应文件编制</w:t>
      </w:r>
    </w:p>
    <w:p>
      <w:pPr>
        <w:spacing w:line="300" w:lineRule="auto"/>
        <w:ind w:left="630" w:hanging="630" w:hangingChars="225"/>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11.1报价单位应按响应文件格式编制询价响应文件。</w:t>
      </w:r>
    </w:p>
    <w:p>
      <w:pPr>
        <w:pStyle w:val="15"/>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 报价</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12.3任何有选择性报价的报价，将被视为无效报价。</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12.4 报价人不得存在以下情形之一：</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（1）与询价人存在利害关系且可能影响询价公正性；</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（2）法定代表人或单位负责人为同一个人或者存在控股、管理关系的不同单位,同时参加同一项目或同一子项目；</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（3）为本询价项目提供过设计、编制技术规范和其他文件的咨询服务；</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（4）被依法暂停或者取消投标资格；</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（5）被责令停产停业、暂扣或者吊销许可证、暂扣或者吊销执照；</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（6）进入清算程序，或被宣告破产，或其他丧失履约能力的情形；</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（7）在参加本项目前3年内在存在重大违法记录；</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（8）被“全国企业信用信息公示系统”（网址：http://www.gsxt.gov.cn/）列入经营异常名录和严重违法企业名单；</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（9）被《信用中国》网站（www.creditchina.gov.cn）公示存在不良信用记录；</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（10）本项目截止时间前的半年中，在询价人组织的招标、询价活动中有被查实提供虚假材料的。 </w:t>
      </w:r>
    </w:p>
    <w:p>
      <w:pPr>
        <w:pStyle w:val="15"/>
        <w:adjustRightInd w:val="0"/>
        <w:snapToGrid w:val="0"/>
        <w:spacing w:line="300" w:lineRule="auto"/>
        <w:ind w:left="562" w:leftChars="1" w:hanging="560" w:hanging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13. 联合体报价</w:t>
      </w:r>
    </w:p>
    <w:p>
      <w:pPr>
        <w:pStyle w:val="15"/>
        <w:adjustRightInd w:val="0"/>
        <w:snapToGrid w:val="0"/>
        <w:spacing w:line="300" w:lineRule="auto"/>
        <w:ind w:left="562" w:leftChars="1" w:hanging="560" w:hanging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13.1本项目不接受联合体参加报价。</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 报价单位资格证明文件</w:t>
      </w:r>
    </w:p>
    <w:p>
      <w:pPr>
        <w:pStyle w:val="15"/>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14.2资格证明文件必须真实有效，复印件必须加盖单位印章。</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 报价有效期</w:t>
      </w:r>
    </w:p>
    <w:p>
      <w:pPr>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15.1询价响应文件应在递交响应文件截止时间之日起</w:t>
      </w:r>
      <w:r>
        <w:rPr>
          <w:rFonts w:hint="eastAsia" w:ascii="仿宋_GB2312" w:hAnsi="仿宋_GB2312" w:eastAsia="仿宋_GB2312" w:cs="仿宋_GB2312"/>
          <w:color w:val="auto"/>
          <w:sz w:val="28"/>
          <w:szCs w:val="28"/>
          <w:highlight w:val="none"/>
          <w:u w:val="single"/>
        </w:rPr>
        <w:t>90</w:t>
      </w:r>
      <w:r>
        <w:rPr>
          <w:rFonts w:hint="eastAsia" w:ascii="仿宋_GB2312" w:hAnsi="仿宋_GB2312" w:eastAsia="仿宋_GB2312"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16.1 报价单位应编制询价响应文件一式</w:t>
      </w:r>
      <w:r>
        <w:rPr>
          <w:rFonts w:hint="eastAsia" w:ascii="仿宋_GB2312" w:hAnsi="仿宋_GB2312" w:eastAsia="仿宋_GB2312" w:cs="仿宋_GB2312"/>
          <w:color w:val="auto"/>
          <w:kern w:val="0"/>
          <w:sz w:val="28"/>
          <w:szCs w:val="28"/>
          <w:highlight w:val="none"/>
          <w:u w:val="single"/>
        </w:rPr>
        <w:t>2</w:t>
      </w:r>
      <w:r>
        <w:rPr>
          <w:rFonts w:hint="eastAsia" w:ascii="仿宋_GB2312" w:hAnsi="仿宋_GB2312" w:eastAsia="仿宋_GB2312" w:cs="仿宋_GB2312"/>
          <w:color w:val="auto"/>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四、询价响应文件的递交</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 询价响应文件的密封和标记</w:t>
      </w:r>
    </w:p>
    <w:p>
      <w:pPr>
        <w:pStyle w:val="15"/>
        <w:adjustRightInd w:val="0"/>
        <w:snapToGrid w:val="0"/>
        <w:spacing w:line="300" w:lineRule="auto"/>
        <w:ind w:left="630"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17.1报价单位应将询价响应文件正本和副本用单独的信封密封，注明“正本”或“副本”字样。</w:t>
      </w:r>
    </w:p>
    <w:p>
      <w:pPr>
        <w:pStyle w:val="15"/>
        <w:adjustRightInd w:val="0"/>
        <w:snapToGrid w:val="0"/>
        <w:spacing w:line="300" w:lineRule="auto"/>
        <w:ind w:left="630"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17.2每一密封信封均应：</w:t>
      </w:r>
    </w:p>
    <w:p>
      <w:pPr>
        <w:pStyle w:val="15"/>
        <w:adjustRightInd w:val="0"/>
        <w:snapToGrid w:val="0"/>
        <w:spacing w:line="300" w:lineRule="auto"/>
        <w:ind w:left="1439" w:leftChars="343" w:hanging="719" w:hangingChars="257"/>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（1）标明项目编号、项目名称，并注明“正本”或“副本”字样；</w:t>
      </w:r>
    </w:p>
    <w:p>
      <w:pPr>
        <w:pStyle w:val="15"/>
        <w:adjustRightInd w:val="0"/>
        <w:snapToGrid w:val="0"/>
        <w:spacing w:line="300" w:lineRule="auto"/>
        <w:ind w:left="1439" w:leftChars="343" w:hanging="719" w:hangingChars="257"/>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（2）注明“于（递交询价响应文件截止时间）之前不准启封”的字样。</w:t>
      </w:r>
    </w:p>
    <w:p>
      <w:pPr>
        <w:pStyle w:val="15"/>
        <w:adjustRightInd w:val="0"/>
        <w:snapToGrid w:val="0"/>
        <w:spacing w:line="300" w:lineRule="auto"/>
        <w:ind w:left="630"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18. 询价响应文件递交截止时间</w:t>
      </w:r>
    </w:p>
    <w:p>
      <w:pPr>
        <w:pStyle w:val="15"/>
        <w:adjustRightInd w:val="0"/>
        <w:snapToGrid w:val="0"/>
        <w:spacing w:line="300" w:lineRule="auto"/>
        <w:ind w:left="630"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5"/>
        <w:adjustRightInd w:val="0"/>
        <w:snapToGrid w:val="0"/>
        <w:spacing w:line="300" w:lineRule="auto"/>
        <w:ind w:left="630"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300" w:lineRule="auto"/>
        <w:ind w:right="32"/>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19. 询价响应文件的修改和撤回</w:t>
      </w:r>
    </w:p>
    <w:p>
      <w:pPr>
        <w:pStyle w:val="15"/>
        <w:adjustRightInd w:val="0"/>
        <w:snapToGrid w:val="0"/>
        <w:spacing w:line="300" w:lineRule="auto"/>
        <w:ind w:left="630"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auto"/>
          <w:sz w:val="28"/>
          <w:szCs w:val="28"/>
          <w:highlight w:val="none"/>
          <w:u w:val="single"/>
        </w:rPr>
        <w:t>（询价人）</w:t>
      </w:r>
      <w:r>
        <w:rPr>
          <w:rFonts w:hint="eastAsia" w:ascii="仿宋_GB2312" w:hAnsi="仿宋_GB2312" w:eastAsia="仿宋_GB2312" w:cs="仿宋_GB2312"/>
          <w:color w:val="auto"/>
          <w:kern w:val="0"/>
          <w:sz w:val="28"/>
          <w:szCs w:val="28"/>
          <w:highlight w:val="none"/>
        </w:rPr>
        <w:t>。从询价响应文件递交截止时间至报价单位承诺的报价有效期内，报价单位不得撤回其报价。</w:t>
      </w:r>
    </w:p>
    <w:p>
      <w:pPr>
        <w:pStyle w:val="15"/>
        <w:adjustRightInd w:val="0"/>
        <w:snapToGrid w:val="0"/>
        <w:spacing w:line="300" w:lineRule="auto"/>
        <w:ind w:left="420" w:right="32"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19.3 报价单位所提交的询价响应文件在询价结束后，无论成交与否都不退还。</w:t>
      </w:r>
    </w:p>
    <w:p>
      <w:pPr>
        <w:pStyle w:val="15"/>
        <w:adjustRightInd w:val="0"/>
        <w:snapToGrid w:val="0"/>
        <w:spacing w:line="300" w:lineRule="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五、评审</w:t>
      </w:r>
    </w:p>
    <w:p>
      <w:pPr>
        <w:pStyle w:val="15"/>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 询价小组</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 xml:space="preserve">20.1 </w:t>
      </w:r>
      <w:r>
        <w:rPr>
          <w:rFonts w:hint="eastAsia" w:ascii="仿宋_GB2312" w:hAnsi="仿宋_GB2312" w:eastAsia="仿宋_GB2312" w:cs="仿宋_GB2312"/>
          <w:color w:val="auto"/>
          <w:kern w:val="0"/>
          <w:sz w:val="28"/>
          <w:szCs w:val="28"/>
          <w:highlight w:val="none"/>
        </w:rPr>
        <w:t>评审由</w:t>
      </w:r>
      <w:r>
        <w:rPr>
          <w:rFonts w:hint="eastAsia" w:ascii="仿宋_GB2312" w:hAnsi="仿宋_GB2312" w:eastAsia="仿宋_GB2312" w:cs="仿宋_GB2312"/>
          <w:color w:val="auto"/>
          <w:sz w:val="28"/>
          <w:szCs w:val="28"/>
          <w:highlight w:val="none"/>
          <w:u w:val="single"/>
        </w:rPr>
        <w:t>询价人</w:t>
      </w:r>
      <w:r>
        <w:rPr>
          <w:rFonts w:hint="eastAsia" w:ascii="仿宋_GB2312" w:hAnsi="仿宋_GB2312" w:eastAsia="仿宋_GB2312"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（2）响应文件中的法定代表人或授权代理人与报价响应文件登记表的信息不一致的。</w:t>
      </w:r>
    </w:p>
    <w:p>
      <w:pPr>
        <w:pStyle w:val="26"/>
        <w:ind w:firstLine="280"/>
        <w:rPr>
          <w:color w:val="auto"/>
          <w:highlight w:val="none"/>
        </w:rPr>
      </w:pPr>
      <w:r>
        <w:rPr>
          <w:rFonts w:hint="eastAsia" w:ascii="仿宋" w:hAnsi="仿宋" w:eastAsia="仿宋" w:cs="仿宋_GB2312"/>
          <w:color w:val="auto"/>
          <w:kern w:val="0"/>
          <w:sz w:val="28"/>
          <w:szCs w:val="28"/>
          <w:highlight w:val="none"/>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color w:val="auto"/>
          <w:kern w:val="0"/>
          <w:sz w:val="28"/>
          <w:szCs w:val="28"/>
          <w:highlight w:val="none"/>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22.报价的评审</w:t>
      </w:r>
    </w:p>
    <w:p>
      <w:pPr>
        <w:autoSpaceDE w:val="0"/>
        <w:autoSpaceDN w:val="0"/>
        <w:adjustRightInd w:val="0"/>
        <w:snapToGrid w:val="0"/>
        <w:spacing w:line="300" w:lineRule="auto"/>
        <w:ind w:left="630"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22.3超过最高限价的报价将被拒绝。</w:t>
      </w:r>
    </w:p>
    <w:p>
      <w:pPr>
        <w:spacing w:line="25" w:lineRule="atLeas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六、确定承包人</w:t>
      </w:r>
    </w:p>
    <w:p>
      <w:pPr>
        <w:autoSpaceDE w:val="0"/>
        <w:autoSpaceDN w:val="0"/>
        <w:adjustRightInd w:val="0"/>
        <w:snapToGrid w:val="0"/>
        <w:spacing w:line="25" w:lineRule="atLeast"/>
        <w:ind w:left="630"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23.2承包人确定后，询价人</w:t>
      </w:r>
      <w:r>
        <w:rPr>
          <w:rFonts w:hint="eastAsia" w:ascii="仿宋_GB2312" w:hAnsi="仿宋_GB2312" w:eastAsia="仿宋_GB2312" w:cs="仿宋_GB2312"/>
          <w:color w:val="auto"/>
          <w:kern w:val="0"/>
          <w:sz w:val="28"/>
          <w:szCs w:val="28"/>
          <w:highlight w:val="none"/>
        </w:rPr>
        <w:t>向承包人发出《发包通知书》，</w:t>
      </w:r>
      <w:r>
        <w:rPr>
          <w:rFonts w:hint="eastAsia" w:ascii="仿宋_GB2312" w:hAnsi="仿宋_GB2312" w:eastAsia="仿宋_GB2312" w:cs="仿宋_GB2312"/>
          <w:color w:val="auto"/>
          <w:sz w:val="28"/>
          <w:szCs w:val="28"/>
          <w:highlight w:val="none"/>
        </w:rPr>
        <w:t>对承包人和询价人具有同等法律效力</w:t>
      </w:r>
      <w:r>
        <w:rPr>
          <w:rFonts w:hint="eastAsia" w:ascii="仿宋_GB2312" w:hAnsi="仿宋_GB2312" w:eastAsia="仿宋_GB2312" w:cs="仿宋_GB2312"/>
          <w:color w:val="auto"/>
          <w:kern w:val="0"/>
          <w:sz w:val="28"/>
          <w:szCs w:val="28"/>
          <w:highlight w:val="none"/>
        </w:rPr>
        <w:t>。</w:t>
      </w:r>
    </w:p>
    <w:p>
      <w:pPr>
        <w:pStyle w:val="15"/>
        <w:adjustRightInd w:val="0"/>
        <w:snapToGrid w:val="0"/>
        <w:spacing w:line="300" w:lineRule="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七、 合同的订立和履行</w:t>
      </w: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24. 合同的订立</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highlight w:val="none"/>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 合同的履行</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25.2 承包人因不可抗力或者自身原因不能履行承包合同的，询价人</w:t>
      </w:r>
      <w:r>
        <w:rPr>
          <w:rFonts w:hint="eastAsia" w:ascii="仿宋_GB2312" w:hAnsi="仿宋_GB2312" w:eastAsia="仿宋_GB2312" w:cs="仿宋_GB2312"/>
          <w:color w:val="auto"/>
          <w:sz w:val="28"/>
          <w:szCs w:val="28"/>
          <w:highlight w:val="none"/>
        </w:rPr>
        <w:t>可以与排位在承包人之后第一位的成交候选报价单位签订承包</w:t>
      </w:r>
      <w:r>
        <w:rPr>
          <w:rFonts w:hint="eastAsia" w:ascii="仿宋_GB2312" w:hAnsi="仿宋_GB2312" w:eastAsia="仿宋_GB2312"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auto"/>
          <w:highlight w:val="none"/>
        </w:rPr>
        <w:sectPr>
          <w:pgSz w:w="11906" w:h="16838"/>
          <w:pgMar w:top="1089" w:right="1466" w:bottom="1089" w:left="1077" w:header="851" w:footer="992" w:gutter="0"/>
          <w:cols w:space="720" w:num="1"/>
          <w:docGrid w:type="lines" w:linePitch="312" w:charSpace="0"/>
        </w:sectPr>
      </w:pPr>
      <w:bookmarkStart w:id="0" w:name="_Toc179632599"/>
      <w:bookmarkStart w:id="1" w:name="_Toc371433002"/>
      <w:bookmarkStart w:id="2" w:name="_Toc144974548"/>
      <w:bookmarkStart w:id="3" w:name="_Toc247085739"/>
      <w:bookmarkStart w:id="4" w:name="_Toc152042358"/>
      <w:bookmarkStart w:id="5" w:name="_Toc152045581"/>
    </w:p>
    <w:p>
      <w:pPr>
        <w:pStyle w:val="4"/>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 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val="0"/>
          <w:bCs w:val="0"/>
          <w:color w:val="auto"/>
          <w:sz w:val="28"/>
          <w:szCs w:val="28"/>
          <w:highlight w:val="none"/>
        </w:rPr>
        <w:t>广州市净水有限公司备用中心视频会议</w:t>
      </w:r>
      <w:r>
        <w:rPr>
          <w:rFonts w:hint="eastAsia" w:ascii="仿宋_GB2312" w:hAnsi="仿宋_GB2312" w:eastAsia="仿宋_GB2312" w:cs="仿宋_GB2312"/>
          <w:b w:val="0"/>
          <w:bCs w:val="0"/>
          <w:color w:val="auto"/>
          <w:sz w:val="28"/>
          <w:szCs w:val="28"/>
          <w:highlight w:val="none"/>
          <w:lang w:val="en-US" w:eastAsia="zh-CN"/>
        </w:rPr>
        <w:t>系统硬件采购</w:t>
      </w:r>
      <w:r>
        <w:rPr>
          <w:rFonts w:hint="eastAsia" w:ascii="仿宋_GB2312" w:hAnsi="仿宋_GB2312" w:eastAsia="仿宋_GB2312" w:cs="仿宋_GB2312"/>
          <w:b w:val="0"/>
          <w:bCs w:val="0"/>
          <w:color w:val="auto"/>
          <w:sz w:val="28"/>
          <w:szCs w:val="28"/>
          <w:highlight w:val="none"/>
        </w:rPr>
        <w:t>报价记录表</w:t>
      </w:r>
    </w:p>
    <w:p>
      <w:pPr>
        <w:spacing w:line="500" w:lineRule="exact"/>
        <w:ind w:firstLine="3990" w:firstLineChars="1900"/>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   年    月    日    时    分</w:t>
      </w:r>
    </w:p>
    <w:tbl>
      <w:tblPr>
        <w:tblStyle w:val="2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bl>
    <w:p>
      <w:pPr>
        <w:spacing w:line="440" w:lineRule="exact"/>
        <w:rPr>
          <w:rFonts w:ascii="仿宋_GB2312" w:hAnsi="仿宋_GB2312" w:eastAsia="仿宋_GB2312" w:cs="仿宋_GB2312"/>
          <w:color w:val="auto"/>
          <w:highlight w:val="none"/>
        </w:rPr>
      </w:pPr>
    </w:p>
    <w:p>
      <w:pPr>
        <w:spacing w:line="440" w:lineRule="exact"/>
        <w:ind w:firstLine="420" w:firstLineChars="200"/>
        <w:rPr>
          <w:rFonts w:hint="eastAsia"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highlight w:val="none"/>
        </w:rPr>
        <w:t xml:space="preserve">经办人：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记录人：</w:t>
      </w:r>
      <w:r>
        <w:rPr>
          <w:rFonts w:hint="eastAsia" w:ascii="仿宋_GB2312" w:hAnsi="仿宋_GB2312" w:eastAsia="仿宋_GB2312" w:cs="仿宋_GB2312"/>
          <w:color w:val="auto"/>
          <w:highlight w:val="none"/>
          <w:lang w:val="en-US" w:eastAsia="zh-CN"/>
        </w:rPr>
        <w:t xml:space="preserve"> </w:t>
      </w:r>
    </w:p>
    <w:p>
      <w:pPr>
        <w:spacing w:line="440" w:lineRule="exact"/>
        <w:ind w:firstLine="1260" w:firstLineChars="600"/>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年   月    日</w:t>
      </w:r>
    </w:p>
    <w:p>
      <w:pPr>
        <w:ind w:firstLine="720" w:firstLineChars="300"/>
        <w:rPr>
          <w:rFonts w:ascii="仿宋_GB2312" w:hAnsi="仿宋_GB2312" w:eastAsia="仿宋_GB2312" w:cs="仿宋_GB2312"/>
          <w:color w:val="auto"/>
          <w:sz w:val="24"/>
          <w:highlight w:val="none"/>
        </w:rPr>
        <w:sectPr>
          <w:pgSz w:w="11906" w:h="16838"/>
          <w:pgMar w:top="1089" w:right="1466" w:bottom="1089" w:left="1077" w:header="851" w:footer="992" w:gutter="0"/>
          <w:cols w:space="720" w:num="1"/>
          <w:docGrid w:type="lines" w:linePitch="312" w:charSpace="0"/>
        </w:sectPr>
      </w:pPr>
    </w:p>
    <w:p>
      <w:pPr>
        <w:pStyle w:val="4"/>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附件二</w:t>
      </w:r>
    </w:p>
    <w:p>
      <w:pPr>
        <w:jc w:val="center"/>
        <w:rPr>
          <w:rFonts w:ascii="仿宋_GB2312" w:hAnsi="仿宋_GB2312" w:eastAsia="仿宋_GB2312" w:cs="仿宋_GB2312"/>
          <w:b/>
          <w:bCs/>
          <w:color w:val="auto"/>
          <w:sz w:val="32"/>
          <w:szCs w:val="40"/>
          <w:highlight w:val="none"/>
        </w:rPr>
      </w:pPr>
      <w:r>
        <w:rPr>
          <w:rFonts w:hint="eastAsia" w:ascii="仿宋_GB2312" w:hAnsi="仿宋_GB2312" w:eastAsia="仿宋_GB2312" w:cs="仿宋_GB2312"/>
          <w:b/>
          <w:bCs/>
          <w:color w:val="auto"/>
          <w:sz w:val="32"/>
          <w:szCs w:val="40"/>
          <w:highlight w:val="none"/>
        </w:rPr>
        <w:t>广州市净水有限公司非公开招标项目评审记录表</w:t>
      </w: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8"/>
          <w:szCs w:val="28"/>
          <w:highlight w:val="none"/>
        </w:rPr>
        <w:t>项目名称：广州市净水有限公司备用中心视频会议</w:t>
      </w:r>
      <w:r>
        <w:rPr>
          <w:rFonts w:hint="eastAsia" w:ascii="仿宋_GB2312" w:hAnsi="仿宋_GB2312" w:eastAsia="仿宋_GB2312" w:cs="仿宋_GB2312"/>
          <w:color w:val="auto"/>
          <w:sz w:val="28"/>
          <w:szCs w:val="28"/>
          <w:highlight w:val="none"/>
          <w:lang w:val="en-US" w:eastAsia="zh-CN"/>
        </w:rPr>
        <w:t>系统硬件采购</w:t>
      </w:r>
    </w:p>
    <w:tbl>
      <w:tblPr>
        <w:tblStyle w:val="28"/>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eastAsia="仿宋" w:cs="仿宋"/>
                <w:color w:val="auto"/>
                <w:sz w:val="28"/>
                <w:szCs w:val="28"/>
                <w:highlight w:val="none"/>
              </w:rPr>
            </w:pPr>
            <w:r>
              <w:rPr>
                <w:rFonts w:hint="eastAsia" w:ascii="仿宋" w:eastAsia="仿宋" w:cs="仿宋"/>
                <w:color w:val="auto"/>
                <w:sz w:val="28"/>
                <w:szCs w:val="28"/>
                <w:highlight w:val="none"/>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auto"/>
                <w:sz w:val="28"/>
                <w:szCs w:val="28"/>
                <w:highlight w:val="none"/>
              </w:rPr>
            </w:pPr>
            <w:r>
              <w:rPr>
                <w:rFonts w:hint="eastAsia" w:ascii="仿宋" w:eastAsia="仿宋" w:cs="仿宋"/>
                <w:b/>
                <w:color w:val="auto"/>
                <w:sz w:val="28"/>
                <w:szCs w:val="28"/>
                <w:highlight w:val="none"/>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auto"/>
                <w:sz w:val="28"/>
                <w:szCs w:val="28"/>
                <w:highlight w:val="none"/>
              </w:rPr>
            </w:pPr>
            <w:r>
              <w:rPr>
                <w:rFonts w:hint="eastAsia" w:ascii="仿宋" w:eastAsia="仿宋" w:cs="仿宋"/>
                <w:b/>
                <w:color w:val="auto"/>
                <w:sz w:val="28"/>
                <w:szCs w:val="28"/>
                <w:highlight w:val="none"/>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eastAsia="仿宋" w:cs="仿宋"/>
                <w:color w:val="auto"/>
                <w:sz w:val="28"/>
                <w:szCs w:val="28"/>
                <w:highlight w:val="none"/>
              </w:rPr>
            </w:pPr>
            <w:r>
              <w:rPr>
                <w:rFonts w:hint="eastAsia" w:ascii="仿宋" w:eastAsia="仿宋" w:cs="仿宋"/>
                <w:color w:val="auto"/>
                <w:sz w:val="28"/>
                <w:szCs w:val="28"/>
                <w:highlight w:val="none"/>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eastAsia="仿宋" w:cs="仿宋"/>
                <w:color w:val="auto"/>
                <w:sz w:val="28"/>
                <w:szCs w:val="28"/>
                <w:highlight w:val="none"/>
              </w:rPr>
            </w:pPr>
            <w:r>
              <w:rPr>
                <w:rFonts w:hint="eastAsia" w:asci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vAlign w:val="center"/>
          </w:tcPr>
          <w:p>
            <w:pPr>
              <w:rPr>
                <w:color w:val="auto"/>
                <w:highlight w:val="none"/>
              </w:rPr>
            </w:pPr>
          </w:p>
        </w:tc>
        <w:tc>
          <w:tcPr>
            <w:tcW w:w="4154"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1082"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0"/>
                <w:szCs w:val="20"/>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0"/>
                <w:szCs w:val="20"/>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0"/>
                <w:szCs w:val="20"/>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0"/>
                <w:szCs w:val="20"/>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auto"/>
                <w:sz w:val="28"/>
                <w:szCs w:val="28"/>
                <w:highlight w:val="none"/>
              </w:rPr>
            </w:pPr>
            <w:r>
              <w:rPr>
                <w:rFonts w:hint="eastAsia" w:ascii="仿宋" w:eastAsia="仿宋" w:cs="仿宋"/>
                <w:color w:val="auto"/>
                <w:sz w:val="28"/>
                <w:szCs w:val="28"/>
                <w:highlight w:val="none"/>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8"/>
                <w:szCs w:val="28"/>
                <w:highlight w:val="none"/>
              </w:rPr>
            </w:pPr>
            <w:r>
              <w:rPr>
                <w:rFonts w:hint="eastAsia" w:ascii="宋体" w:hAnsi="宋体" w:eastAsia="宋体" w:cs="宋体"/>
                <w:color w:val="000000"/>
                <w:sz w:val="24"/>
                <w:szCs w:val="24"/>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auto"/>
                <w:sz w:val="28"/>
                <w:szCs w:val="28"/>
                <w:highlight w:val="none"/>
              </w:rPr>
            </w:pPr>
            <w:r>
              <w:rPr>
                <w:rFonts w:hint="eastAsia" w:ascii="仿宋" w:eastAsia="仿宋" w:cs="仿宋"/>
                <w:color w:val="auto"/>
                <w:sz w:val="28"/>
                <w:szCs w:val="28"/>
                <w:highlight w:val="none"/>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8"/>
                <w:szCs w:val="28"/>
                <w:highlight w:val="none"/>
              </w:rPr>
            </w:pPr>
            <w:r>
              <w:rPr>
                <w:rFonts w:hint="eastAsia" w:ascii="宋体" w:hAnsi="宋体" w:eastAsia="宋体" w:cs="宋体"/>
                <w:color w:val="000000"/>
                <w:sz w:val="24"/>
                <w:szCs w:val="24"/>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auto"/>
                <w:sz w:val="28"/>
                <w:szCs w:val="28"/>
                <w:highlight w:val="none"/>
              </w:rPr>
            </w:pPr>
            <w:r>
              <w:rPr>
                <w:rFonts w:hint="eastAsia" w:ascii="仿宋" w:eastAsia="仿宋" w:cs="仿宋"/>
                <w:color w:val="auto"/>
                <w:sz w:val="28"/>
                <w:szCs w:val="28"/>
                <w:highlight w:val="none"/>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8"/>
                <w:szCs w:val="28"/>
                <w:highlight w:val="none"/>
              </w:rPr>
            </w:pPr>
            <w:r>
              <w:rPr>
                <w:rFonts w:hint="eastAsia" w:ascii="宋体" w:hAnsi="宋体" w:eastAsia="宋体" w:cs="宋体"/>
                <w:color w:val="000000"/>
                <w:sz w:val="24"/>
                <w:szCs w:val="24"/>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auto"/>
                <w:sz w:val="28"/>
                <w:szCs w:val="28"/>
                <w:highlight w:val="none"/>
              </w:rPr>
            </w:pPr>
            <w:r>
              <w:rPr>
                <w:rFonts w:hint="eastAsia" w:ascii="仿宋" w:eastAsia="仿宋" w:cs="仿宋"/>
                <w:color w:val="auto"/>
                <w:sz w:val="28"/>
                <w:szCs w:val="28"/>
                <w:highlight w:val="none"/>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8"/>
                <w:szCs w:val="28"/>
                <w:highlight w:val="none"/>
              </w:rPr>
            </w:pPr>
            <w:r>
              <w:rPr>
                <w:rFonts w:hint="eastAsia" w:ascii="宋体" w:hAnsi="宋体" w:eastAsia="宋体" w:cs="宋体"/>
                <w:color w:val="000000"/>
                <w:sz w:val="24"/>
                <w:szCs w:val="24"/>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auto"/>
                <w:sz w:val="28"/>
                <w:szCs w:val="28"/>
                <w:highlight w:val="none"/>
              </w:rPr>
            </w:pPr>
            <w:r>
              <w:rPr>
                <w:rFonts w:hint="eastAsia" w:ascii="仿宋" w:eastAsia="仿宋" w:cs="仿宋"/>
                <w:color w:val="auto"/>
                <w:sz w:val="28"/>
                <w:szCs w:val="28"/>
                <w:highlight w:val="none"/>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hint="default" w:ascii="仿宋" w:eastAsia="仿宋" w:cs="仿宋"/>
                <w:color w:val="auto"/>
                <w:sz w:val="28"/>
                <w:szCs w:val="28"/>
                <w:highlight w:val="none"/>
                <w:lang w:val="en-US" w:eastAsia="zh-CN"/>
              </w:rPr>
            </w:pPr>
            <w:r>
              <w:rPr>
                <w:rFonts w:hint="eastAsia" w:ascii="宋体" w:hAnsi="宋体" w:eastAsia="宋体" w:cs="宋体"/>
                <w:color w:val="000000"/>
                <w:sz w:val="24"/>
                <w:szCs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auto"/>
                <w:sz w:val="28"/>
                <w:szCs w:val="28"/>
                <w:highlight w:val="none"/>
              </w:rPr>
            </w:pPr>
            <w:r>
              <w:rPr>
                <w:rFonts w:hint="eastAsia" w:ascii="仿宋" w:eastAsia="仿宋" w:cs="仿宋"/>
                <w:color w:val="auto"/>
                <w:sz w:val="28"/>
                <w:szCs w:val="28"/>
                <w:highlight w:val="none"/>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8"/>
                <w:szCs w:val="28"/>
                <w:highlight w:val="none"/>
              </w:rPr>
            </w:pPr>
            <w:r>
              <w:rPr>
                <w:rFonts w:hint="eastAsia" w:ascii="宋体" w:hAnsi="宋体" w:eastAsia="宋体" w:cs="宋体"/>
                <w:color w:val="000000"/>
                <w:sz w:val="24"/>
                <w:szCs w:val="24"/>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auto"/>
                <w:sz w:val="28"/>
                <w:szCs w:val="28"/>
                <w:highlight w:val="none"/>
              </w:rPr>
            </w:pPr>
            <w:r>
              <w:rPr>
                <w:rFonts w:hint="eastAsia" w:ascii="仿宋" w:eastAsia="仿宋" w:cs="仿宋"/>
                <w:color w:val="auto"/>
                <w:sz w:val="28"/>
                <w:szCs w:val="28"/>
                <w:highlight w:val="none"/>
              </w:rPr>
              <w:t>7</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8"/>
                <w:szCs w:val="28"/>
                <w:highlight w:val="none"/>
              </w:rPr>
            </w:pPr>
            <w:r>
              <w:rPr>
                <w:rFonts w:hint="eastAsia" w:ascii="宋体" w:hAnsi="宋体" w:eastAsia="宋体" w:cs="宋体"/>
                <w:color w:val="000000"/>
                <w:sz w:val="24"/>
                <w:szCs w:val="24"/>
              </w:rPr>
              <w:t>响应承诺书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eastAsia="仿宋" w:cs="仿宋"/>
                <w:color w:val="auto"/>
                <w:sz w:val="28"/>
                <w:szCs w:val="28"/>
                <w:highlight w:val="none"/>
              </w:rPr>
            </w:pPr>
          </w:p>
        </w:tc>
      </w:tr>
    </w:tbl>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备注：1、审核情况填写“符合”或“不符合；或者打“√”或“×”。</w:t>
      </w:r>
    </w:p>
    <w:p>
      <w:pPr>
        <w:numPr>
          <w:ilvl w:val="0"/>
          <w:numId w:val="3"/>
        </w:numPr>
        <w:ind w:firstLine="630" w:firstLineChars="3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本表所有审核情况均为符合的，结论为报名成功。若有一项或以上审核情况为不符合的，结论为报名不成功。</w:t>
      </w:r>
    </w:p>
    <w:p>
      <w:pPr>
        <w:pStyle w:val="4"/>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附件三</w:t>
      </w:r>
    </w:p>
    <w:p>
      <w:pPr>
        <w:autoSpaceDE w:val="0"/>
        <w:autoSpaceDN w:val="0"/>
        <w:adjustRightInd w:val="0"/>
        <w:rPr>
          <w:rFonts w:ascii="仿宋_GB2312" w:hAnsi="仿宋_GB2312" w:eastAsia="仿宋_GB2312" w:cs="仿宋_GB2312"/>
          <w:color w:val="auto"/>
          <w:kern w:val="0"/>
          <w:sz w:val="28"/>
          <w:szCs w:val="28"/>
          <w:highlight w:val="none"/>
        </w:rPr>
      </w:pPr>
    </w:p>
    <w:p>
      <w:pPr>
        <w:tabs>
          <w:tab w:val="left" w:pos="5740"/>
        </w:tabs>
        <w:autoSpaceDE w:val="0"/>
        <w:autoSpaceDN w:val="0"/>
        <w:adjustRightInd w:val="0"/>
        <w:jc w:val="center"/>
        <w:rPr>
          <w:rFonts w:ascii="仿宋_GB2312" w:hAnsi="仿宋_GB2312" w:eastAsia="仿宋_GB2312" w:cs="仿宋_GB2312"/>
          <w:color w:val="auto"/>
          <w:sz w:val="44"/>
          <w:szCs w:val="44"/>
          <w:highlight w:val="none"/>
        </w:rPr>
      </w:pPr>
      <w:r>
        <w:rPr>
          <w:rFonts w:hint="eastAsia" w:ascii="仿宋_GB2312" w:hAnsi="仿宋_GB2312" w:eastAsia="仿宋_GB2312" w:cs="仿宋_GB2312"/>
          <w:bCs/>
          <w:color w:val="auto"/>
          <w:kern w:val="0"/>
          <w:sz w:val="44"/>
          <w:szCs w:val="44"/>
          <w:highlight w:val="none"/>
        </w:rPr>
        <w:t>广州市净水有限公司</w:t>
      </w:r>
      <w:r>
        <w:rPr>
          <w:rFonts w:hint="eastAsia" w:ascii="仿宋_GB2312" w:hAnsi="仿宋_GB2312" w:eastAsia="仿宋_GB2312" w:cs="仿宋_GB2312"/>
          <w:color w:val="auto"/>
          <w:sz w:val="44"/>
          <w:szCs w:val="44"/>
          <w:highlight w:val="none"/>
        </w:rPr>
        <w:t>非公开招标项目</w:t>
      </w:r>
    </w:p>
    <w:p>
      <w:pPr>
        <w:tabs>
          <w:tab w:val="left" w:pos="5740"/>
        </w:tabs>
        <w:autoSpaceDE w:val="0"/>
        <w:autoSpaceDN w:val="0"/>
        <w:adjustRightInd w:val="0"/>
        <w:jc w:val="center"/>
        <w:rPr>
          <w:rFonts w:ascii="仿宋_GB2312" w:hAnsi="仿宋_GB2312" w:eastAsia="仿宋_GB2312" w:cs="仿宋_GB2312"/>
          <w:bCs/>
          <w:color w:val="auto"/>
          <w:kern w:val="0"/>
          <w:sz w:val="44"/>
          <w:szCs w:val="44"/>
          <w:highlight w:val="none"/>
        </w:rPr>
      </w:pPr>
      <w:r>
        <w:rPr>
          <w:rFonts w:hint="eastAsia" w:ascii="仿宋_GB2312" w:hAnsi="仿宋_GB2312" w:eastAsia="仿宋_GB2312" w:cs="仿宋_GB2312"/>
          <w:bCs/>
          <w:color w:val="auto"/>
          <w:kern w:val="0"/>
          <w:sz w:val="44"/>
          <w:szCs w:val="44"/>
          <w:highlight w:val="none"/>
        </w:rPr>
        <w:t>发包通知书</w:t>
      </w:r>
    </w:p>
    <w:p>
      <w:pPr>
        <w:autoSpaceDE w:val="0"/>
        <w:autoSpaceDN w:val="0"/>
        <w:adjustRightInd w:val="0"/>
        <w:spacing w:after="400"/>
        <w:jc w:val="center"/>
        <w:rPr>
          <w:rFonts w:ascii="仿宋_GB2312" w:hAnsi="仿宋_GB2312" w:eastAsia="仿宋_GB2312" w:cs="仿宋_GB2312"/>
          <w:color w:val="auto"/>
          <w:kern w:val="0"/>
          <w:sz w:val="32"/>
          <w:szCs w:val="32"/>
          <w:highlight w:val="none"/>
        </w:rPr>
      </w:pPr>
    </w:p>
    <w:p>
      <w:pPr>
        <w:tabs>
          <w:tab w:val="left" w:pos="709"/>
        </w:tabs>
        <w:autoSpaceDE w:val="0"/>
        <w:autoSpaceDN w:val="0"/>
        <w:adjustRightInd w:val="0"/>
        <w:spacing w:after="400"/>
        <w:jc w:val="center"/>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广净（非公招）字 [20××] 第 [×××] 号</w:t>
      </w:r>
    </w:p>
    <w:p>
      <w:pPr>
        <w:autoSpaceDE w:val="0"/>
        <w:autoSpaceDN w:val="0"/>
        <w:adjustRightInd w:val="0"/>
        <w:spacing w:after="3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承包单位(全称):</w:t>
      </w:r>
    </w:p>
    <w:p>
      <w:pPr>
        <w:autoSpaceDE w:val="0"/>
        <w:autoSpaceDN w:val="0"/>
        <w:adjustRightInd w:val="0"/>
        <w:spacing w:after="300" w:line="500" w:lineRule="atLeast"/>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经询价小组评审推荐，确定你单位为××××项目的承包单位，承包内容为询价文件所规定的发包内容，报价为 人民币×拾×万×仟×佰元（￥</w:t>
      </w:r>
      <w:r>
        <w:rPr>
          <w:rFonts w:hint="eastAsia" w:ascii="仿宋_GB2312" w:hAnsi="仿宋_GB2312" w:eastAsia="仿宋_GB2312" w:cs="仿宋_GB2312"/>
          <w:color w:val="auto"/>
          <w:kern w:val="0"/>
          <w:sz w:val="32"/>
          <w:szCs w:val="32"/>
          <w:highlight w:val="none"/>
          <w:lang w:val="en-US" w:eastAsia="zh-CN"/>
        </w:rPr>
        <w:t>XX</w:t>
      </w:r>
      <w:r>
        <w:rPr>
          <w:rFonts w:hint="eastAsia" w:ascii="仿宋_GB2312" w:hAnsi="仿宋_GB2312" w:eastAsia="仿宋_GB2312" w:cs="仿宋_GB2312"/>
          <w:color w:val="auto"/>
          <w:kern w:val="0"/>
          <w:sz w:val="32"/>
          <w:szCs w:val="32"/>
          <w:highlight w:val="none"/>
        </w:rPr>
        <w:t>元）。</w:t>
      </w:r>
    </w:p>
    <w:p>
      <w:pPr>
        <w:autoSpaceDE w:val="0"/>
        <w:autoSpaceDN w:val="0"/>
        <w:adjustRightInd w:val="0"/>
        <w:spacing w:after="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其中：</w:t>
      </w:r>
    </w:p>
    <w:p>
      <w:pPr>
        <w:autoSpaceDE w:val="0"/>
        <w:autoSpaceDN w:val="0"/>
        <w:adjustRightInd w:val="0"/>
        <w:spacing w:after="5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项目负责人姓名： </w:t>
      </w:r>
    </w:p>
    <w:p>
      <w:pPr>
        <w:autoSpaceDE w:val="0"/>
        <w:autoSpaceDN w:val="0"/>
        <w:adjustRightInd w:val="0"/>
        <w:spacing w:before="600" w:after="200"/>
        <w:ind w:left="576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发包单位（盖章）：</w:t>
      </w:r>
    </w:p>
    <w:p>
      <w:pPr>
        <w:autoSpaceDE w:val="0"/>
        <w:autoSpaceDN w:val="0"/>
        <w:adjustRightInd w:val="0"/>
        <w:spacing w:after="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年  月  日</w:t>
      </w:r>
    </w:p>
    <w:p>
      <w:pPr>
        <w:rPr>
          <w:rFonts w:ascii="仿宋_GB2312" w:hAnsi="仿宋_GB2312" w:eastAsia="仿宋_GB2312" w:cs="仿宋_GB2312"/>
          <w:b/>
          <w:color w:val="auto"/>
          <w:sz w:val="28"/>
          <w:szCs w:val="28"/>
          <w:highlight w:val="none"/>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color w:val="auto"/>
          <w:kern w:val="0"/>
          <w:highlight w:val="none"/>
        </w:rPr>
      </w:pPr>
    </w:p>
    <w:p>
      <w:pPr>
        <w:widowControl/>
        <w:spacing w:after="160" w:line="259" w:lineRule="auto"/>
        <w:jc w:val="center"/>
        <w:rPr>
          <w:rFonts w:ascii="Calibri" w:hAnsi="Calibri" w:cs="Calibri"/>
          <w:b/>
          <w:color w:val="auto"/>
          <w:sz w:val="48"/>
          <w:szCs w:val="48"/>
          <w:highlight w:val="none"/>
        </w:rPr>
      </w:pPr>
      <w:r>
        <w:rPr>
          <w:rFonts w:hint="eastAsia" w:ascii="Calibri" w:hAnsi="Calibri" w:cs="Calibri"/>
          <w:b/>
          <w:color w:val="auto"/>
          <w:sz w:val="48"/>
          <w:szCs w:val="48"/>
          <w:highlight w:val="none"/>
        </w:rPr>
        <w:t>广州市净水有限公司</w:t>
      </w:r>
    </w:p>
    <w:p>
      <w:pPr>
        <w:widowControl/>
        <w:spacing w:after="160" w:line="259" w:lineRule="auto"/>
        <w:jc w:val="center"/>
        <w:rPr>
          <w:rFonts w:ascii="Calibri" w:hAnsi="Calibri" w:cs="Calibri"/>
          <w:b/>
          <w:color w:val="auto"/>
          <w:sz w:val="48"/>
          <w:szCs w:val="48"/>
          <w:highlight w:val="none"/>
        </w:rPr>
      </w:pPr>
      <w:r>
        <w:rPr>
          <w:rFonts w:hint="eastAsia" w:ascii="Calibri" w:hAnsi="Calibri" w:cs="Calibri"/>
          <w:b/>
          <w:color w:val="auto"/>
          <w:sz w:val="48"/>
          <w:szCs w:val="48"/>
          <w:highlight w:val="none"/>
        </w:rPr>
        <w:t>设备采购合同</w:t>
      </w:r>
    </w:p>
    <w:p>
      <w:pPr>
        <w:widowControl/>
        <w:spacing w:after="160" w:line="259" w:lineRule="auto"/>
        <w:jc w:val="center"/>
        <w:rPr>
          <w:rFonts w:ascii="Calibri" w:hAnsi="Calibri" w:cs="Calibri"/>
          <w:bCs/>
          <w:color w:val="auto"/>
          <w:sz w:val="28"/>
          <w:szCs w:val="28"/>
          <w:highlight w:val="none"/>
        </w:rPr>
      </w:pPr>
      <w:r>
        <w:rPr>
          <w:rFonts w:hint="eastAsia" w:ascii="Calibri" w:hAnsi="Calibri" w:cs="Calibri"/>
          <w:bCs/>
          <w:color w:val="auto"/>
          <w:sz w:val="28"/>
          <w:szCs w:val="28"/>
          <w:highlight w:val="none"/>
        </w:rPr>
        <w:t>（示范文本）</w:t>
      </w:r>
    </w:p>
    <w:p>
      <w:pPr>
        <w:widowControl/>
        <w:spacing w:after="160" w:line="259" w:lineRule="auto"/>
        <w:jc w:val="center"/>
        <w:rPr>
          <w:rFonts w:ascii="Calibri" w:hAnsi="Calibri" w:cs="Calibri"/>
          <w:color w:val="auto"/>
          <w:sz w:val="30"/>
          <w:szCs w:val="22"/>
          <w:highlight w:val="none"/>
        </w:rPr>
      </w:pPr>
    </w:p>
    <w:p>
      <w:pPr>
        <w:widowControl/>
        <w:spacing w:after="160" w:line="259" w:lineRule="auto"/>
        <w:jc w:val="left"/>
        <w:rPr>
          <w:rFonts w:ascii="Calibri" w:hAnsi="Calibri" w:cs="Calibri"/>
          <w:color w:val="auto"/>
          <w:sz w:val="30"/>
          <w:szCs w:val="22"/>
          <w:highlight w:val="none"/>
        </w:rPr>
      </w:pPr>
      <w:r>
        <w:rPr>
          <w:rFonts w:hint="eastAsia" w:ascii="Calibri" w:hAnsi="Calibri" w:cs="Calibri"/>
          <w:color w:val="auto"/>
          <w:sz w:val="30"/>
          <w:szCs w:val="22"/>
          <w:highlight w:val="none"/>
        </w:rPr>
        <w:t>项目名称：</w:t>
      </w:r>
      <w:r>
        <w:rPr>
          <w:rFonts w:hint="eastAsia" w:ascii="仿宋_GB2312" w:hAnsi="仿宋_GB2312" w:eastAsia="仿宋_GB2312" w:cs="仿宋_GB2312"/>
          <w:color w:val="auto"/>
          <w:sz w:val="28"/>
          <w:szCs w:val="28"/>
          <w:highlight w:val="none"/>
        </w:rPr>
        <w:t>广州市净水有限公司备用中心视频会议</w:t>
      </w:r>
      <w:r>
        <w:rPr>
          <w:rFonts w:hint="eastAsia" w:ascii="仿宋_GB2312" w:hAnsi="仿宋_GB2312" w:eastAsia="仿宋_GB2312" w:cs="仿宋_GB2312"/>
          <w:color w:val="auto"/>
          <w:sz w:val="28"/>
          <w:szCs w:val="28"/>
          <w:highlight w:val="none"/>
          <w:lang w:val="en-US" w:eastAsia="zh-CN"/>
        </w:rPr>
        <w:t>系统硬件采购</w:t>
      </w:r>
    </w:p>
    <w:p>
      <w:pPr>
        <w:pStyle w:val="27"/>
        <w:ind w:left="0" w:leftChars="0" w:firstLine="0" w:firstLineChars="0"/>
        <w:rPr>
          <w:color w:val="auto"/>
          <w:highlight w:val="none"/>
        </w:rPr>
      </w:pPr>
    </w:p>
    <w:p>
      <w:pPr>
        <w:widowControl/>
        <w:spacing w:after="160" w:line="259" w:lineRule="auto"/>
        <w:jc w:val="left"/>
        <w:rPr>
          <w:rFonts w:ascii="Calibri" w:hAnsi="Calibri" w:cs="Calibri"/>
          <w:color w:val="auto"/>
          <w:sz w:val="30"/>
          <w:szCs w:val="22"/>
          <w:highlight w:val="none"/>
        </w:rPr>
      </w:pPr>
    </w:p>
    <w:p>
      <w:pPr>
        <w:widowControl/>
        <w:spacing w:after="160" w:line="259" w:lineRule="auto"/>
        <w:jc w:val="left"/>
        <w:rPr>
          <w:rFonts w:ascii="Calibri" w:hAnsi="Calibri" w:cs="Calibri"/>
          <w:color w:val="auto"/>
          <w:sz w:val="30"/>
          <w:szCs w:val="30"/>
          <w:highlight w:val="none"/>
        </w:rPr>
      </w:pPr>
      <w:r>
        <w:rPr>
          <w:rFonts w:hint="eastAsia" w:ascii="Calibri" w:hAnsi="Calibri" w:cs="Calibri"/>
          <w:color w:val="auto"/>
          <w:sz w:val="30"/>
          <w:szCs w:val="22"/>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widowControl/>
        <w:spacing w:after="160" w:line="259" w:lineRule="auto"/>
        <w:jc w:val="center"/>
        <w:rPr>
          <w:rFonts w:ascii="Calibri" w:hAnsi="Calibri" w:cs="Calibri"/>
          <w:color w:val="auto"/>
          <w:sz w:val="30"/>
          <w:szCs w:val="30"/>
          <w:highlight w:val="none"/>
        </w:rPr>
      </w:pPr>
    </w:p>
    <w:p>
      <w:pPr>
        <w:pStyle w:val="27"/>
        <w:rPr>
          <w:rFonts w:ascii="Calibri" w:hAnsi="Calibri" w:cs="Calibri"/>
          <w:color w:val="auto"/>
          <w:sz w:val="30"/>
          <w:szCs w:val="30"/>
          <w:highlight w:val="none"/>
        </w:rPr>
      </w:pPr>
    </w:p>
    <w:p>
      <w:pPr>
        <w:pStyle w:val="27"/>
        <w:rPr>
          <w:rFonts w:ascii="Calibri" w:hAnsi="Calibri" w:cs="Calibri"/>
          <w:color w:val="auto"/>
          <w:sz w:val="30"/>
          <w:szCs w:val="30"/>
          <w:highlight w:val="none"/>
        </w:rPr>
      </w:pPr>
    </w:p>
    <w:p>
      <w:pPr>
        <w:widowControl/>
        <w:spacing w:after="160" w:line="259" w:lineRule="auto"/>
        <w:jc w:val="left"/>
        <w:rPr>
          <w:rFonts w:ascii="Calibri" w:hAnsi="Calibri" w:cs="Calibri"/>
          <w:color w:val="auto"/>
          <w:sz w:val="30"/>
          <w:szCs w:val="30"/>
          <w:highlight w:val="none"/>
        </w:rPr>
      </w:pPr>
    </w:p>
    <w:p>
      <w:pPr>
        <w:widowControl/>
        <w:spacing w:after="160" w:line="259" w:lineRule="auto"/>
        <w:jc w:val="left"/>
        <w:rPr>
          <w:rFonts w:ascii="Calibri" w:hAnsi="Calibri" w:cs="Calibri"/>
          <w:color w:val="auto"/>
          <w:sz w:val="30"/>
          <w:szCs w:val="22"/>
          <w:highlight w:val="none"/>
          <w:u w:val="single"/>
        </w:rPr>
      </w:pPr>
      <w:r>
        <w:rPr>
          <w:rFonts w:hint="eastAsia" w:ascii="Calibri" w:hAnsi="Calibri" w:cs="Calibri"/>
          <w:color w:val="auto"/>
          <w:sz w:val="30"/>
          <w:szCs w:val="22"/>
          <w:highlight w:val="none"/>
        </w:rPr>
        <w:t>甲方（买方）：</w:t>
      </w:r>
      <w:r>
        <w:rPr>
          <w:rFonts w:hint="eastAsia" w:ascii="Calibri" w:hAnsi="Calibri" w:cs="Calibri"/>
          <w:color w:val="auto"/>
          <w:sz w:val="30"/>
          <w:szCs w:val="22"/>
          <w:highlight w:val="none"/>
          <w:u w:val="single"/>
        </w:rPr>
        <w:t>广州市净水有限公司</w:t>
      </w:r>
    </w:p>
    <w:p>
      <w:pPr>
        <w:widowControl/>
        <w:spacing w:after="160" w:line="259" w:lineRule="auto"/>
        <w:jc w:val="left"/>
        <w:rPr>
          <w:rFonts w:ascii="Calibri" w:hAnsi="Calibri" w:cs="Calibri"/>
          <w:color w:val="auto"/>
          <w:sz w:val="30"/>
          <w:szCs w:val="22"/>
          <w:highlight w:val="none"/>
        </w:rPr>
      </w:pPr>
      <w:r>
        <w:rPr>
          <w:rFonts w:hint="eastAsia" w:ascii="Calibri" w:hAnsi="Calibri" w:cs="Calibri"/>
          <w:color w:val="auto"/>
          <w:sz w:val="30"/>
          <w:szCs w:val="22"/>
          <w:highlight w:val="none"/>
        </w:rPr>
        <w:t>乙方（卖方）：</w:t>
      </w:r>
      <w:r>
        <w:rPr>
          <w:rFonts w:ascii="Calibri" w:hAnsi="Calibri" w:cs="Calibri"/>
          <w:color w:val="auto"/>
          <w:sz w:val="30"/>
          <w:szCs w:val="22"/>
          <w:highlight w:val="none"/>
          <w:u w:val="single"/>
        </w:rPr>
        <w:t xml:space="preserve">                                          </w:t>
      </w:r>
      <w:r>
        <w:rPr>
          <w:rFonts w:ascii="Calibri" w:hAnsi="Calibri" w:cs="Calibri"/>
          <w:color w:val="auto"/>
          <w:sz w:val="30"/>
          <w:szCs w:val="22"/>
          <w:highlight w:val="none"/>
        </w:rPr>
        <w:t xml:space="preserve"> </w:t>
      </w:r>
    </w:p>
    <w:p>
      <w:pPr>
        <w:widowControl/>
        <w:spacing w:after="160" w:line="259" w:lineRule="auto"/>
        <w:jc w:val="left"/>
        <w:rPr>
          <w:rFonts w:ascii="Calibri" w:hAnsi="Calibri" w:cs="Calibri"/>
          <w:color w:val="auto"/>
          <w:sz w:val="30"/>
          <w:szCs w:val="22"/>
          <w:highlight w:val="none"/>
        </w:rPr>
      </w:pPr>
    </w:p>
    <w:p>
      <w:pPr>
        <w:widowControl/>
        <w:spacing w:after="160" w:line="259" w:lineRule="auto"/>
        <w:jc w:val="left"/>
        <w:rPr>
          <w:rFonts w:ascii="Calibri" w:hAnsi="Calibri" w:cs="Calibri"/>
          <w:color w:val="auto"/>
          <w:sz w:val="30"/>
          <w:szCs w:val="22"/>
          <w:highlight w:val="none"/>
        </w:rPr>
      </w:pPr>
      <w:r>
        <w:rPr>
          <w:rFonts w:hint="eastAsia" w:ascii="Calibri" w:hAnsi="Calibri" w:cs="Calibri"/>
          <w:color w:val="auto"/>
          <w:sz w:val="30"/>
          <w:szCs w:val="22"/>
          <w:highlight w:val="none"/>
        </w:rPr>
        <w:t>签订日期：</w:t>
      </w:r>
      <w:r>
        <w:rPr>
          <w:rFonts w:ascii="Calibri" w:hAnsi="Calibri" w:cs="Calibri"/>
          <w:color w:val="auto"/>
          <w:sz w:val="30"/>
          <w:szCs w:val="22"/>
          <w:highlight w:val="none"/>
        </w:rPr>
        <w:t xml:space="preserve">           </w:t>
      </w:r>
      <w:r>
        <w:rPr>
          <w:rFonts w:hint="eastAsia" w:ascii="Calibri" w:hAnsi="Calibri" w:cs="Calibri"/>
          <w:color w:val="auto"/>
          <w:sz w:val="30"/>
          <w:szCs w:val="22"/>
          <w:highlight w:val="none"/>
        </w:rPr>
        <w:t>年</w:t>
      </w:r>
      <w:r>
        <w:rPr>
          <w:rFonts w:ascii="Calibri" w:hAnsi="Calibri" w:cs="Calibri"/>
          <w:color w:val="auto"/>
          <w:sz w:val="30"/>
          <w:szCs w:val="22"/>
          <w:highlight w:val="none"/>
        </w:rPr>
        <w:t xml:space="preserve">       </w:t>
      </w:r>
      <w:r>
        <w:rPr>
          <w:rFonts w:hint="eastAsia" w:ascii="Calibri" w:hAnsi="Calibri" w:cs="Calibri"/>
          <w:color w:val="auto"/>
          <w:sz w:val="30"/>
          <w:szCs w:val="22"/>
          <w:highlight w:val="none"/>
        </w:rPr>
        <w:t>月</w:t>
      </w:r>
      <w:r>
        <w:rPr>
          <w:rFonts w:ascii="Calibri" w:hAnsi="Calibri" w:cs="Calibri"/>
          <w:color w:val="auto"/>
          <w:sz w:val="30"/>
          <w:szCs w:val="22"/>
          <w:highlight w:val="none"/>
        </w:rPr>
        <w:t xml:space="preserve">     </w:t>
      </w:r>
      <w:r>
        <w:rPr>
          <w:rFonts w:hint="eastAsia" w:ascii="Calibri" w:hAnsi="Calibri" w:cs="Calibri"/>
          <w:color w:val="auto"/>
          <w:sz w:val="30"/>
          <w:szCs w:val="22"/>
          <w:highlight w:val="none"/>
        </w:rPr>
        <w:t>日</w:t>
      </w:r>
    </w:p>
    <w:p>
      <w:pPr>
        <w:widowControl/>
        <w:spacing w:after="160" w:line="259" w:lineRule="auto"/>
        <w:jc w:val="left"/>
        <w:rPr>
          <w:rFonts w:ascii="Calibri" w:hAnsi="Calibri" w:cs="Calibri"/>
          <w:color w:val="auto"/>
          <w:sz w:val="30"/>
          <w:szCs w:val="22"/>
          <w:highlight w:val="none"/>
        </w:rPr>
      </w:pPr>
      <w:r>
        <w:rPr>
          <w:rFonts w:hint="eastAsia" w:ascii="Calibri" w:hAnsi="Calibri" w:cs="Calibri"/>
          <w:color w:val="auto"/>
          <w:sz w:val="30"/>
          <w:szCs w:val="22"/>
          <w:highlight w:val="none"/>
        </w:rPr>
        <w:t>签约地点：广州市</w:t>
      </w:r>
    </w:p>
    <w:p>
      <w:pPr>
        <w:widowControl/>
        <w:spacing w:after="160" w:line="360" w:lineRule="auto"/>
        <w:ind w:firstLine="720" w:firstLineChars="300"/>
        <w:jc w:val="left"/>
        <w:rPr>
          <w:rFonts w:hint="eastAsia" w:ascii="宋体" w:hAnsi="宋体" w:cs="宋体"/>
          <w:color w:val="auto"/>
          <w:sz w:val="24"/>
          <w:highlight w:val="none"/>
        </w:rPr>
      </w:pPr>
    </w:p>
    <w:p>
      <w:pPr>
        <w:widowControl/>
        <w:spacing w:after="160" w:line="360" w:lineRule="auto"/>
        <w:ind w:firstLine="720" w:firstLineChars="300"/>
        <w:jc w:val="left"/>
        <w:rPr>
          <w:rFonts w:hint="eastAsia" w:ascii="宋体" w:hAnsi="宋体" w:cs="宋体"/>
          <w:color w:val="auto"/>
          <w:sz w:val="24"/>
          <w:highlight w:val="none"/>
        </w:rPr>
      </w:pPr>
    </w:p>
    <w:p>
      <w:pPr>
        <w:widowControl/>
        <w:spacing w:after="160"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根据《中华人民共和国合同法》及其他有关法律、行政法规，</w:t>
      </w:r>
      <w:r>
        <w:rPr>
          <w:rFonts w:hint="eastAsia" w:ascii="宋体" w:hAnsi="宋体" w:cs="宋体"/>
          <w:color w:val="auto"/>
          <w:sz w:val="24"/>
          <w:highlight w:val="none"/>
          <w:u w:val="single"/>
        </w:rPr>
        <w:t>广州市净水有限公司</w:t>
      </w:r>
      <w:r>
        <w:rPr>
          <w:rFonts w:ascii="宋体" w:hAnsi="宋体" w:cs="宋体"/>
          <w:color w:val="auto"/>
          <w:sz w:val="24"/>
          <w:highlight w:val="none"/>
        </w:rPr>
        <w:t xml:space="preserve"> </w:t>
      </w:r>
      <w:r>
        <w:rPr>
          <w:rFonts w:hint="eastAsia" w:ascii="宋体" w:hAnsi="宋体" w:cs="宋体"/>
          <w:color w:val="auto"/>
          <w:sz w:val="24"/>
          <w:highlight w:val="none"/>
        </w:rPr>
        <w:t>（以下简称“甲方”）与</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（以下简称“乙方”）就</w:t>
      </w: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采购和相应技术服务事宜，遵循平等、自愿、公平和诚实信用的原则，双方协商一致，订立本合同。</w:t>
      </w:r>
      <w:bookmarkStart w:id="6" w:name="_Toc518992986"/>
      <w:bookmarkStart w:id="7" w:name="_Toc520190026"/>
      <w:bookmarkStart w:id="8" w:name="_Toc1018"/>
      <w:bookmarkStart w:id="9" w:name="_Toc474245210"/>
      <w:bookmarkStart w:id="10" w:name="_Toc183666513"/>
    </w:p>
    <w:p>
      <w:pPr>
        <w:widowControl/>
        <w:spacing w:after="160" w:line="360" w:lineRule="auto"/>
        <w:ind w:firstLine="540"/>
        <w:jc w:val="left"/>
        <w:rPr>
          <w:rFonts w:ascii="宋体" w:hAnsi="宋体" w:cs="宋体"/>
          <w:b/>
          <w:bCs/>
          <w:color w:val="auto"/>
          <w:sz w:val="24"/>
          <w:highlight w:val="none"/>
        </w:rPr>
      </w:pPr>
      <w:r>
        <w:rPr>
          <w:rFonts w:ascii="宋体" w:hAnsi="宋体" w:cs="宋体"/>
          <w:b/>
          <w:bCs/>
          <w:color w:val="auto"/>
          <w:sz w:val="24"/>
          <w:highlight w:val="none"/>
        </w:rPr>
        <w:t>第一条 组成合同的文件及优先顺序</w:t>
      </w:r>
    </w:p>
    <w:p>
      <w:pPr>
        <w:widowControl/>
        <w:spacing w:after="160" w:line="360" w:lineRule="auto"/>
        <w:ind w:firstLine="480" w:firstLineChars="200"/>
        <w:jc w:val="left"/>
        <w:rPr>
          <w:rFonts w:ascii="宋体" w:hAnsi="宋体" w:cs="宋体"/>
          <w:color w:val="auto"/>
          <w:sz w:val="24"/>
          <w:highlight w:val="none"/>
        </w:rPr>
      </w:pPr>
      <w:r>
        <w:rPr>
          <w:rFonts w:hint="eastAsia" w:ascii="Calibri" w:hAnsi="宋体" w:cs="宋体"/>
          <w:bCs/>
          <w:color w:val="auto"/>
          <w:sz w:val="24"/>
          <w:szCs w:val="22"/>
          <w:highlight w:val="none"/>
        </w:rPr>
        <w:t>下列文件（如有）均为本合同的组成部分，可视为能相互说明和补充的，如果合同文件存在歧义或相矛盾的地方，则根据以下次序判断：</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⑴</w:t>
      </w:r>
      <w:r>
        <w:rPr>
          <w:rFonts w:ascii="宋体" w:hAnsi="宋体" w:cs="宋体"/>
          <w:bCs/>
          <w:color w:val="auto"/>
          <w:sz w:val="24"/>
          <w:szCs w:val="22"/>
          <w:highlight w:val="none"/>
        </w:rPr>
        <w:t xml:space="preserve"> </w:t>
      </w:r>
      <w:r>
        <w:rPr>
          <w:rFonts w:hint="eastAsia" w:ascii="宋体" w:hAnsi="宋体" w:cs="宋体"/>
          <w:color w:val="auto"/>
          <w:sz w:val="24"/>
          <w:szCs w:val="22"/>
          <w:highlight w:val="none"/>
        </w:rPr>
        <w:t>在本合同实施过程双方签署的补充与修正文件</w:t>
      </w:r>
      <w:r>
        <w:rPr>
          <w:rFonts w:hint="eastAsia" w:ascii="宋体" w:hAnsi="宋体" w:cs="宋体"/>
          <w:bCs/>
          <w:color w:val="auto"/>
          <w:sz w:val="24"/>
          <w:szCs w:val="22"/>
          <w:highlight w:val="none"/>
        </w:rPr>
        <w:t>；</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⑵</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本合同书；</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⑶</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中标通知书</w:t>
      </w:r>
      <w:r>
        <w:rPr>
          <w:rFonts w:ascii="宋体" w:hAnsi="宋体" w:cs="宋体"/>
          <w:bCs/>
          <w:color w:val="auto"/>
          <w:sz w:val="24"/>
          <w:szCs w:val="22"/>
          <w:highlight w:val="none"/>
        </w:rPr>
        <w:t>/</w:t>
      </w:r>
      <w:r>
        <w:rPr>
          <w:rFonts w:hint="eastAsia" w:ascii="宋体" w:hAnsi="宋体" w:cs="宋体"/>
          <w:bCs/>
          <w:color w:val="auto"/>
          <w:sz w:val="24"/>
          <w:szCs w:val="22"/>
          <w:highlight w:val="none"/>
        </w:rPr>
        <w:t>发包通知书</w:t>
      </w:r>
      <w:r>
        <w:rPr>
          <w:rFonts w:ascii="宋体" w:hAnsi="宋体" w:cs="宋体"/>
          <w:bCs/>
          <w:color w:val="auto"/>
          <w:sz w:val="24"/>
          <w:szCs w:val="22"/>
          <w:highlight w:val="none"/>
        </w:rPr>
        <w:t>/</w:t>
      </w:r>
      <w:r>
        <w:rPr>
          <w:rFonts w:hint="eastAsia" w:ascii="宋体" w:hAnsi="宋体" w:cs="宋体"/>
          <w:bCs/>
          <w:color w:val="auto"/>
          <w:sz w:val="24"/>
          <w:szCs w:val="22"/>
          <w:highlight w:val="none"/>
        </w:rPr>
        <w:t>委托函；</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⑷</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招标文件</w:t>
      </w:r>
      <w:r>
        <w:rPr>
          <w:rFonts w:ascii="宋体" w:hAnsi="宋体" w:cs="宋体"/>
          <w:bCs/>
          <w:color w:val="auto"/>
          <w:sz w:val="24"/>
          <w:szCs w:val="22"/>
          <w:highlight w:val="none"/>
        </w:rPr>
        <w:t>/</w:t>
      </w:r>
      <w:r>
        <w:rPr>
          <w:rFonts w:hint="eastAsia" w:ascii="宋体" w:hAnsi="宋体" w:cs="宋体"/>
          <w:bCs/>
          <w:color w:val="auto"/>
          <w:sz w:val="24"/>
          <w:szCs w:val="22"/>
          <w:highlight w:val="none"/>
        </w:rPr>
        <w:t>询价文件；</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⑸</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投标文件</w:t>
      </w:r>
      <w:r>
        <w:rPr>
          <w:rFonts w:ascii="宋体" w:hAnsi="宋体" w:cs="宋体"/>
          <w:bCs/>
          <w:color w:val="auto"/>
          <w:sz w:val="24"/>
          <w:szCs w:val="22"/>
          <w:highlight w:val="none"/>
        </w:rPr>
        <w:t>/</w:t>
      </w:r>
      <w:r>
        <w:rPr>
          <w:rFonts w:hint="eastAsia" w:ascii="宋体" w:hAnsi="宋体" w:cs="宋体"/>
          <w:bCs/>
          <w:color w:val="auto"/>
          <w:sz w:val="24"/>
          <w:szCs w:val="22"/>
          <w:highlight w:val="none"/>
        </w:rPr>
        <w:t>响应文件；</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⑹</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标准、规范及有关技术性文件；</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⑺</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图纸；</w:t>
      </w:r>
    </w:p>
    <w:p>
      <w:pPr>
        <w:widowControl/>
        <w:spacing w:after="160" w:line="384" w:lineRule="auto"/>
        <w:ind w:firstLine="482"/>
        <w:jc w:val="left"/>
        <w:rPr>
          <w:rFonts w:ascii="宋体" w:hAnsi="宋体" w:cs="宋体"/>
          <w:bCs/>
          <w:color w:val="auto"/>
          <w:sz w:val="24"/>
          <w:szCs w:val="22"/>
          <w:highlight w:val="none"/>
        </w:rPr>
      </w:pPr>
      <w:r>
        <w:rPr>
          <w:rFonts w:hint="eastAsia" w:ascii="宋体" w:hAnsi="宋体" w:cs="宋体"/>
          <w:bCs/>
          <w:color w:val="auto"/>
          <w:sz w:val="24"/>
          <w:szCs w:val="22"/>
          <w:highlight w:val="none"/>
        </w:rPr>
        <w:t>⑻</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工程量清单</w:t>
      </w:r>
      <w:r>
        <w:rPr>
          <w:rFonts w:ascii="宋体" w:hAnsi="宋体" w:cs="宋体"/>
          <w:bCs/>
          <w:color w:val="auto"/>
          <w:sz w:val="24"/>
          <w:szCs w:val="22"/>
          <w:highlight w:val="none"/>
        </w:rPr>
        <w:t>/</w:t>
      </w:r>
      <w:r>
        <w:rPr>
          <w:rFonts w:hint="eastAsia" w:ascii="宋体" w:hAnsi="宋体" w:cs="宋体"/>
          <w:color w:val="auto"/>
          <w:sz w:val="24"/>
          <w:szCs w:val="22"/>
          <w:highlight w:val="none"/>
        </w:rPr>
        <w:t>工程报价单或预算书；</w:t>
      </w:r>
    </w:p>
    <w:p>
      <w:pPr>
        <w:widowControl/>
        <w:spacing w:after="160"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szCs w:val="22"/>
          <w:highlight w:val="none"/>
        </w:rPr>
        <w:t>⑼</w:t>
      </w:r>
      <w:r>
        <w:rPr>
          <w:rFonts w:ascii="宋体" w:hAnsi="宋体" w:cs="宋体"/>
          <w:bCs/>
          <w:color w:val="auto"/>
          <w:sz w:val="24"/>
          <w:szCs w:val="22"/>
          <w:highlight w:val="none"/>
        </w:rPr>
        <w:t xml:space="preserve"> </w:t>
      </w:r>
      <w:r>
        <w:rPr>
          <w:rFonts w:hint="eastAsia" w:ascii="宋体" w:hAnsi="宋体" w:cs="宋体"/>
          <w:bCs/>
          <w:color w:val="auto"/>
          <w:sz w:val="24"/>
          <w:szCs w:val="22"/>
          <w:highlight w:val="none"/>
        </w:rPr>
        <w:t>本合同其他附件；</w:t>
      </w:r>
    </w:p>
    <w:p>
      <w:pPr>
        <w:widowControl/>
        <w:spacing w:after="160" w:line="360" w:lineRule="auto"/>
        <w:jc w:val="left"/>
        <w:rPr>
          <w:rFonts w:ascii="宋体" w:hAnsi="宋体" w:cs="宋体"/>
          <w:bCs/>
          <w:color w:val="auto"/>
          <w:sz w:val="24"/>
          <w:highlight w:val="none"/>
        </w:rPr>
      </w:pPr>
      <w:r>
        <w:rPr>
          <w:rFonts w:ascii="宋体" w:hAnsi="宋体" w:cs="宋体"/>
          <w:color w:val="auto"/>
          <w:sz w:val="24"/>
          <w:highlight w:val="none"/>
        </w:rPr>
        <w:t xml:space="preserve">   </w:t>
      </w:r>
      <w:r>
        <w:rPr>
          <w:rFonts w:ascii="宋体" w:hAnsi="宋体" w:cs="宋体"/>
          <w:b/>
          <w:bCs/>
          <w:color w:val="auto"/>
          <w:sz w:val="24"/>
          <w:highlight w:val="none"/>
        </w:rPr>
        <w:t xml:space="preserve"> </w:t>
      </w:r>
      <w:r>
        <w:rPr>
          <w:rFonts w:hint="eastAsia" w:ascii="宋体" w:hAnsi="宋体" w:cs="宋体"/>
          <w:b/>
          <w:bCs/>
          <w:color w:val="auto"/>
          <w:sz w:val="24"/>
          <w:highlight w:val="none"/>
        </w:rPr>
        <w:t>第二条</w:t>
      </w:r>
      <w:r>
        <w:rPr>
          <w:rFonts w:ascii="宋体" w:hAnsi="宋体" w:cs="宋体"/>
          <w:b/>
          <w:bCs/>
          <w:color w:val="auto"/>
          <w:sz w:val="24"/>
          <w:highlight w:val="none"/>
        </w:rPr>
        <w:t xml:space="preserve"> </w:t>
      </w:r>
      <w:bookmarkEnd w:id="6"/>
      <w:bookmarkEnd w:id="7"/>
      <w:bookmarkEnd w:id="8"/>
      <w:bookmarkEnd w:id="9"/>
      <w:bookmarkEnd w:id="10"/>
      <w:r>
        <w:rPr>
          <w:rFonts w:hint="eastAsia" w:ascii="宋体" w:hAnsi="宋体" w:cs="宋体"/>
          <w:b/>
          <w:color w:val="auto"/>
          <w:sz w:val="24"/>
          <w:highlight w:val="none"/>
        </w:rPr>
        <w:t>合同标的</w:t>
      </w:r>
    </w:p>
    <w:p>
      <w:pPr>
        <w:widowControl/>
        <w:autoSpaceDE w:val="0"/>
        <w:autoSpaceDN w:val="0"/>
        <w:adjustRightInd w:val="0"/>
        <w:spacing w:after="16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本合同所指设备为</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全新的原装产品，原产地为</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zh-CN"/>
        </w:rPr>
        <w:t>，</w:t>
      </w:r>
      <w:r>
        <w:rPr>
          <w:rFonts w:hint="eastAsia" w:ascii="宋体" w:hAnsi="宋体" w:cs="宋体"/>
          <w:color w:val="auto"/>
          <w:kern w:val="0"/>
          <w:sz w:val="24"/>
          <w:highlight w:val="none"/>
        </w:rPr>
        <w:t>其</w:t>
      </w:r>
      <w:r>
        <w:rPr>
          <w:rFonts w:hint="eastAsia" w:ascii="宋体" w:hAnsi="宋体" w:cs="宋体"/>
          <w:color w:val="auto"/>
          <w:kern w:val="0"/>
          <w:sz w:val="24"/>
          <w:highlight w:val="none"/>
          <w:lang w:val="zh-CN"/>
        </w:rPr>
        <w:t>名称、型号、规格、数量、金额详见下表：</w:t>
      </w:r>
    </w:p>
    <w:tbl>
      <w:tblPr>
        <w:tblStyle w:val="28"/>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widowControl/>
              <w:autoSpaceDE w:val="0"/>
              <w:autoSpaceDN w:val="0"/>
              <w:adjustRightInd w:val="0"/>
              <w:spacing w:after="160"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widowControl/>
              <w:autoSpaceDE w:val="0"/>
              <w:autoSpaceDN w:val="0"/>
              <w:adjustRightInd w:val="0"/>
              <w:spacing w:after="160"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widowControl/>
              <w:autoSpaceDE w:val="0"/>
              <w:autoSpaceDN w:val="0"/>
              <w:adjustRightInd w:val="0"/>
              <w:spacing w:after="160"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widowControl/>
              <w:autoSpaceDE w:val="0"/>
              <w:autoSpaceDN w:val="0"/>
              <w:adjustRightInd w:val="0"/>
              <w:spacing w:after="160"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widowControl/>
              <w:autoSpaceDE w:val="0"/>
              <w:autoSpaceDN w:val="0"/>
              <w:adjustRightInd w:val="0"/>
              <w:spacing w:after="160"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widowControl/>
              <w:autoSpaceDE w:val="0"/>
              <w:autoSpaceDN w:val="0"/>
              <w:adjustRightInd w:val="0"/>
              <w:spacing w:after="160"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sz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sz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sz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sz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sz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widowControl/>
              <w:autoSpaceDE w:val="0"/>
              <w:autoSpaceDN w:val="0"/>
              <w:adjustRightInd w:val="0"/>
              <w:spacing w:after="160" w:line="360" w:lineRule="auto"/>
              <w:jc w:val="right"/>
              <w:rPr>
                <w:rFonts w:ascii="宋体" w:hAnsi="宋体" w:cs="宋体"/>
                <w:color w:val="auto"/>
                <w:kern w:val="0"/>
                <w:sz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widowControl/>
              <w:autoSpaceDE w:val="0"/>
              <w:autoSpaceDN w:val="0"/>
              <w:adjustRightInd w:val="0"/>
              <w:spacing w:after="160"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tc>
      </w:tr>
    </w:tbl>
    <w:p>
      <w:pPr>
        <w:widowControl/>
        <w:spacing w:after="156" w:afterLines="50" w:line="360" w:lineRule="auto"/>
        <w:ind w:firstLine="480" w:firstLineChars="200"/>
        <w:jc w:val="left"/>
        <w:rPr>
          <w:rFonts w:ascii="宋体" w:hAnsi="宋体" w:cs="宋体"/>
          <w:color w:val="auto"/>
          <w:kern w:val="0"/>
          <w:sz w:val="24"/>
          <w:highlight w:val="none"/>
        </w:rPr>
      </w:pPr>
      <w:bookmarkStart w:id="11" w:name="_Toc17140"/>
      <w:bookmarkStart w:id="12" w:name="_Toc474245211"/>
      <w:bookmarkStart w:id="13" w:name="_Toc518992987"/>
      <w:bookmarkStart w:id="14" w:name="_Toc520190027"/>
    </w:p>
    <w:p>
      <w:pPr>
        <w:widowControl/>
        <w:spacing w:after="156" w:afterLines="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其他技术需求见附件（如需）。</w:t>
      </w:r>
      <w:bookmarkEnd w:id="11"/>
      <w:bookmarkStart w:id="15" w:name="_Toc107447235"/>
      <w:bookmarkStart w:id="16" w:name="_Toc26357"/>
      <w:bookmarkStart w:id="17" w:name="_Toc183666514"/>
      <w:bookmarkStart w:id="18" w:name="_Toc107446842"/>
    </w:p>
    <w:p>
      <w:pPr>
        <w:widowControl/>
        <w:spacing w:after="156" w:afterLines="50" w:line="360" w:lineRule="auto"/>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第三条</w:t>
      </w:r>
      <w:r>
        <w:rPr>
          <w:rFonts w:ascii="宋体" w:hAnsi="宋体" w:cs="宋体"/>
          <w:b/>
          <w:color w:val="auto"/>
          <w:sz w:val="24"/>
          <w:highlight w:val="none"/>
        </w:rPr>
        <w:t xml:space="preserve"> </w:t>
      </w:r>
      <w:r>
        <w:rPr>
          <w:rFonts w:hint="eastAsia" w:ascii="宋体" w:hAnsi="宋体" w:cs="宋体"/>
          <w:b/>
          <w:color w:val="auto"/>
          <w:sz w:val="24"/>
          <w:highlight w:val="none"/>
        </w:rPr>
        <w:t>交货日期及地点</w:t>
      </w:r>
    </w:p>
    <w:p>
      <w:pPr>
        <w:widowControl/>
        <w:spacing w:after="156" w:afterLines="5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 xml:space="preserve">3.1 </w:t>
      </w:r>
      <w:r>
        <w:rPr>
          <w:rFonts w:hint="eastAsia" w:ascii="宋体" w:hAnsi="宋体" w:cs="宋体"/>
          <w:color w:val="auto"/>
          <w:sz w:val="24"/>
          <w:highlight w:val="none"/>
        </w:rPr>
        <w:t>交货日期</w:t>
      </w:r>
      <w:r>
        <w:rPr>
          <w:rFonts w:ascii="宋体" w:hAnsi="宋体" w:cs="宋体"/>
          <w:color w:val="auto"/>
          <w:sz w:val="24"/>
          <w:highlight w:val="none"/>
        </w:rPr>
        <w:t xml:space="preserve"> </w:t>
      </w:r>
      <w:r>
        <w:rPr>
          <w:rFonts w:hint="eastAsia" w:ascii="宋体" w:hAnsi="宋体" w:cs="宋体"/>
          <w:color w:val="auto"/>
          <w:sz w:val="24"/>
          <w:highlight w:val="none"/>
        </w:rPr>
        <w:t>：合同签订后</w:t>
      </w:r>
      <w:r>
        <w:rPr>
          <w:rFonts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2</w:t>
      </w:r>
      <w:r>
        <w:rPr>
          <w:rFonts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个</w:t>
      </w:r>
      <w:r>
        <w:rPr>
          <w:rFonts w:hint="eastAsia" w:ascii="宋体" w:hAnsi="宋体" w:cs="宋体"/>
          <w:color w:val="auto"/>
          <w:sz w:val="24"/>
          <w:highlight w:val="none"/>
          <w:lang w:val="en-US" w:eastAsia="zh-CN"/>
        </w:rPr>
        <w:t>自然日</w:t>
      </w:r>
      <w:r>
        <w:rPr>
          <w:rFonts w:hint="eastAsia" w:ascii="宋体" w:hAnsi="宋体" w:cs="宋体"/>
          <w:color w:val="auto"/>
          <w:sz w:val="24"/>
          <w:highlight w:val="none"/>
        </w:rPr>
        <w:t>内，即</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日前完成供货</w:t>
      </w:r>
      <w:r>
        <w:rPr>
          <w:rFonts w:hint="eastAsia" w:ascii="宋体" w:hAnsi="宋体" w:cs="宋体"/>
          <w:color w:val="auto"/>
          <w:sz w:val="24"/>
          <w:highlight w:val="none"/>
          <w:lang w:val="en-US" w:eastAsia="zh-CN"/>
        </w:rPr>
        <w:t>及安装</w:t>
      </w:r>
      <w:r>
        <w:rPr>
          <w:rFonts w:hint="eastAsia" w:ascii="宋体" w:hAnsi="宋体" w:cs="宋体"/>
          <w:color w:val="auto"/>
          <w:sz w:val="24"/>
          <w:highlight w:val="none"/>
        </w:rPr>
        <w:t>（如需有不同交货时间注明）</w:t>
      </w:r>
      <w:r>
        <w:rPr>
          <w:rFonts w:ascii="宋体" w:hAnsi="宋体" w:cs="宋体"/>
          <w:color w:val="auto"/>
          <w:sz w:val="24"/>
          <w:highlight w:val="none"/>
        </w:rPr>
        <w:t>,</w:t>
      </w:r>
      <w:r>
        <w:rPr>
          <w:rFonts w:hint="eastAsia" w:ascii="宋体" w:hAnsi="宋体" w:cs="宋体"/>
          <w:color w:val="auto"/>
          <w:sz w:val="24"/>
          <w:highlight w:val="none"/>
        </w:rPr>
        <w:t>具体交货时间以甲方书面通知为准。</w:t>
      </w:r>
    </w:p>
    <w:p>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3.2</w:t>
      </w:r>
      <w:r>
        <w:rPr>
          <w:rFonts w:hint="eastAsia" w:ascii="宋体" w:hAnsi="宋体" w:cs="宋体"/>
          <w:bCs/>
          <w:color w:val="auto"/>
          <w:sz w:val="24"/>
          <w:highlight w:val="none"/>
        </w:rPr>
        <w:t>交货地点：</w:t>
      </w:r>
      <w:r>
        <w:rPr>
          <w:rFonts w:ascii="宋体" w:hAnsi="宋体" w:cs="宋体"/>
          <w:bCs/>
          <w:color w:val="auto"/>
          <w:sz w:val="24"/>
          <w:highlight w:val="none"/>
          <w:u w:val="single"/>
        </w:rPr>
        <w:t xml:space="preserve">                             </w:t>
      </w:r>
      <w:r>
        <w:rPr>
          <w:rFonts w:ascii="宋体" w:hAnsi="宋体" w:cs="宋体"/>
          <w:bCs/>
          <w:color w:val="auto"/>
          <w:sz w:val="24"/>
          <w:highlight w:val="none"/>
        </w:rPr>
        <w:t>,</w:t>
      </w:r>
      <w:r>
        <w:rPr>
          <w:rFonts w:hint="eastAsia" w:ascii="宋体" w:hAnsi="宋体" w:cs="宋体"/>
          <w:bCs/>
          <w:color w:val="auto"/>
          <w:sz w:val="24"/>
          <w:highlight w:val="none"/>
        </w:rPr>
        <w:t>最终具体交货地点以甲方书面通知为准。</w:t>
      </w:r>
    </w:p>
    <w:p>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 xml:space="preserve">3.3 </w:t>
      </w:r>
      <w:r>
        <w:rPr>
          <w:rFonts w:hint="eastAsia" w:ascii="宋体" w:hAnsi="宋体" w:cs="宋体"/>
          <w:bCs/>
          <w:color w:val="auto"/>
          <w:sz w:val="24"/>
          <w:highlight w:val="none"/>
        </w:rPr>
        <w:t>交货方式：乙方在设备运至交货地</w:t>
      </w:r>
      <w:r>
        <w:rPr>
          <w:rFonts w:ascii="宋体" w:hAnsi="宋体" w:cs="宋体"/>
          <w:bCs/>
          <w:color w:val="auto"/>
          <w:sz w:val="24"/>
          <w:highlight w:val="none"/>
          <w:u w:val="single"/>
        </w:rPr>
        <w:t xml:space="preserve"> 1 </w:t>
      </w:r>
      <w:r>
        <w:rPr>
          <w:rFonts w:hint="eastAsia" w:ascii="宋体" w:hAnsi="宋体" w:cs="宋体"/>
          <w:bCs/>
          <w:color w:val="auto"/>
          <w:sz w:val="24"/>
          <w:highlight w:val="none"/>
        </w:rPr>
        <w:t>个工作日前通知甲方。</w:t>
      </w:r>
    </w:p>
    <w:p>
      <w:pPr>
        <w:widowControl/>
        <w:spacing w:line="360" w:lineRule="auto"/>
        <w:ind w:firstLine="480" w:firstLineChars="200"/>
        <w:jc w:val="left"/>
        <w:rPr>
          <w:rFonts w:ascii="宋体" w:hAnsi="宋体" w:cs="宋体"/>
          <w:b/>
          <w:color w:val="auto"/>
          <w:sz w:val="24"/>
          <w:highlight w:val="none"/>
        </w:rPr>
      </w:pPr>
      <w:r>
        <w:rPr>
          <w:rFonts w:ascii="宋体" w:hAnsi="宋体" w:cs="宋体"/>
          <w:bCs/>
          <w:color w:val="auto"/>
          <w:sz w:val="24"/>
          <w:highlight w:val="none"/>
        </w:rPr>
        <w:t>3.4</w:t>
      </w:r>
      <w:r>
        <w:rPr>
          <w:rFonts w:hint="eastAsia" w:ascii="宋体" w:hAnsi="宋体" w:cs="宋体"/>
          <w:bCs/>
          <w:color w:val="auto"/>
          <w:sz w:val="24"/>
          <w:highlight w:val="none"/>
        </w:rPr>
        <w:t>其他：</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p>
    <w:p>
      <w:pPr>
        <w:widowControl/>
        <w:spacing w:line="360" w:lineRule="auto"/>
        <w:ind w:firstLine="482" w:firstLineChars="200"/>
        <w:jc w:val="left"/>
        <w:rPr>
          <w:rFonts w:ascii="宋体" w:hAnsi="宋体" w:cs="宋体"/>
          <w:color w:val="auto"/>
          <w:kern w:val="0"/>
          <w:sz w:val="24"/>
          <w:highlight w:val="none"/>
          <w:lang w:val="zh-CN"/>
        </w:rPr>
      </w:pPr>
      <w:r>
        <w:rPr>
          <w:rFonts w:hint="eastAsia" w:ascii="宋体" w:hAnsi="宋体" w:cs="宋体"/>
          <w:b/>
          <w:color w:val="auto"/>
          <w:sz w:val="24"/>
          <w:highlight w:val="none"/>
        </w:rPr>
        <w:t>第四条</w:t>
      </w:r>
      <w:r>
        <w:rPr>
          <w:rFonts w:ascii="宋体" w:hAnsi="宋体" w:cs="宋体"/>
          <w:b/>
          <w:color w:val="auto"/>
          <w:sz w:val="24"/>
          <w:highlight w:val="none"/>
        </w:rPr>
        <w:t xml:space="preserve"> </w:t>
      </w:r>
      <w:r>
        <w:rPr>
          <w:rFonts w:hint="eastAsia" w:ascii="宋体" w:hAnsi="宋体" w:cs="宋体"/>
          <w:b/>
          <w:color w:val="auto"/>
          <w:sz w:val="24"/>
          <w:highlight w:val="none"/>
        </w:rPr>
        <w:t>合同价格</w:t>
      </w:r>
    </w:p>
    <w:p>
      <w:pPr>
        <w:widowControl/>
        <w:autoSpaceDE w:val="0"/>
        <w:autoSpaceDN w:val="0"/>
        <w:adjustRightIn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sz w:val="24"/>
          <w:highlight w:val="none"/>
        </w:rPr>
        <w:t xml:space="preserve">4.1 </w:t>
      </w:r>
      <w:r>
        <w:rPr>
          <w:rFonts w:hint="eastAsia" w:ascii="宋体" w:hAnsi="宋体" w:cs="宋体"/>
          <w:color w:val="auto"/>
          <w:kern w:val="0"/>
          <w:sz w:val="24"/>
          <w:highlight w:val="none"/>
          <w:lang w:val="zh-CN"/>
        </w:rPr>
        <w:t>本合同</w:t>
      </w:r>
      <w:r>
        <w:rPr>
          <w:rFonts w:hint="eastAsia" w:ascii="宋体" w:hAnsi="宋体" w:cs="宋体"/>
          <w:color w:val="auto"/>
          <w:kern w:val="0"/>
          <w:sz w:val="24"/>
          <w:highlight w:val="none"/>
        </w:rPr>
        <w:t>暂定</w:t>
      </w:r>
      <w:r>
        <w:rPr>
          <w:rFonts w:hint="eastAsia" w:ascii="宋体" w:hAnsi="宋体" w:cs="宋体"/>
          <w:color w:val="auto"/>
          <w:kern w:val="0"/>
          <w:sz w:val="24"/>
          <w:highlight w:val="none"/>
          <w:lang w:val="zh-CN"/>
        </w:rPr>
        <w:t>总价为</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万元，（人民币）大写：</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ascii="宋体" w:hAnsi="宋体" w:cs="宋体"/>
          <w:color w:val="auto"/>
          <w:kern w:val="0"/>
          <w:sz w:val="24"/>
          <w:highlight w:val="none"/>
          <w:lang w:val="zh-CN"/>
        </w:rPr>
        <w:t xml:space="preserve"> </w:t>
      </w:r>
    </w:p>
    <w:p>
      <w:pPr>
        <w:widowControl/>
        <w:autoSpaceDE w:val="0"/>
        <w:autoSpaceDN w:val="0"/>
        <w:adjustRightIn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rPr>
        <w:t>4</w:t>
      </w:r>
      <w:r>
        <w:rPr>
          <w:rFonts w:ascii="宋体" w:hAnsi="宋体" w:cs="宋体"/>
          <w:color w:val="auto"/>
          <w:kern w:val="0"/>
          <w:sz w:val="24"/>
          <w:highlight w:val="none"/>
          <w:lang w:val="zh-CN"/>
        </w:rPr>
        <w:t>.2</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设备价格包括</w:t>
      </w:r>
      <w:r>
        <w:rPr>
          <w:rFonts w:hint="eastAsia" w:ascii="宋体" w:hAnsi="宋体" w:cs="宋体"/>
          <w:color w:val="auto"/>
          <w:kern w:val="0"/>
          <w:sz w:val="24"/>
          <w:highlight w:val="none"/>
          <w:lang w:val="en-US" w:eastAsia="zh-CN"/>
        </w:rPr>
        <w:t>但不限于</w:t>
      </w:r>
      <w:r>
        <w:rPr>
          <w:rFonts w:hint="eastAsia" w:ascii="宋体" w:hAnsi="宋体" w:cs="宋体"/>
          <w:color w:val="auto"/>
          <w:kern w:val="0"/>
          <w:sz w:val="24"/>
          <w:highlight w:val="none"/>
          <w:u w:val="single"/>
          <w:lang w:val="zh-CN"/>
        </w:rPr>
        <w:t>工艺设计、设备及随机附件的制造、包装、运输（设备运输过程中所需的相关手续</w:t>
      </w:r>
      <w:r>
        <w:rPr>
          <w:rFonts w:hint="eastAsia" w:ascii="宋体" w:hAnsi="宋体" w:cs="宋体"/>
          <w:color w:val="auto"/>
          <w:kern w:val="0"/>
          <w:sz w:val="24"/>
          <w:highlight w:val="none"/>
          <w:u w:val="single"/>
        </w:rPr>
        <w:t>及费用</w:t>
      </w:r>
      <w:r>
        <w:rPr>
          <w:rFonts w:hint="eastAsia" w:ascii="宋体" w:hAnsi="宋体" w:cs="宋体"/>
          <w:color w:val="auto"/>
          <w:kern w:val="0"/>
          <w:sz w:val="24"/>
          <w:highlight w:val="none"/>
          <w:u w:val="single"/>
          <w:lang w:val="zh-CN"/>
        </w:rPr>
        <w:t>）、装卸、安装调试、验收、培训（如需）、技术服务（包括技术资料、图纸的提供）、质保期保修、税费、保险费等全部费用。</w:t>
      </w:r>
    </w:p>
    <w:p>
      <w:pPr>
        <w:widowControl/>
        <w:autoSpaceDE w:val="0"/>
        <w:autoSpaceDN w:val="0"/>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widowControl/>
        <w:tabs>
          <w:tab w:val="left" w:pos="851"/>
        </w:tabs>
        <w:adjustRightInd w:val="0"/>
        <w:snapToGrid w:val="0"/>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4</w:t>
      </w:r>
      <w:r>
        <w:rPr>
          <w:rFonts w:ascii="宋体" w:hAnsi="宋体" w:cs="宋体"/>
          <w:color w:val="auto"/>
          <w:kern w:val="0"/>
          <w:sz w:val="24"/>
          <w:highlight w:val="none"/>
          <w:lang w:val="zh-CN"/>
        </w:rPr>
        <w:t>.3</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），合同履行期间国家税率调整的，不含税价不变，价税合计相应调整，以开具发票的时间为准。</w:t>
      </w:r>
    </w:p>
    <w:p>
      <w:pPr>
        <w:widowControl/>
        <w:autoSpaceDE w:val="0"/>
        <w:autoSpaceDN w:val="0"/>
        <w:adjustRightInd w:val="0"/>
        <w:spacing w:line="360" w:lineRule="auto"/>
        <w:ind w:firstLine="482" w:firstLineChars="200"/>
        <w:jc w:val="left"/>
        <w:rPr>
          <w:rFonts w:ascii="宋体" w:hAnsi="宋体" w:cs="宋体"/>
          <w:b/>
          <w:color w:val="auto"/>
          <w:sz w:val="24"/>
          <w:highlight w:val="none"/>
        </w:rPr>
      </w:pPr>
      <w:bookmarkStart w:id="19" w:name="_Toc520190029"/>
      <w:bookmarkStart w:id="20" w:name="_Toc518992989"/>
      <w:bookmarkStart w:id="21" w:name="_Toc474245213"/>
      <w:bookmarkStart w:id="22" w:name="_Toc107447236"/>
      <w:bookmarkStart w:id="23" w:name="_Toc107446843"/>
      <w:r>
        <w:rPr>
          <w:rFonts w:hint="eastAsia" w:ascii="宋体" w:hAnsi="宋体" w:cs="宋体"/>
          <w:b/>
          <w:color w:val="auto"/>
          <w:sz w:val="24"/>
          <w:highlight w:val="none"/>
        </w:rPr>
        <w:t>第五条</w:t>
      </w:r>
      <w:r>
        <w:rPr>
          <w:rFonts w:ascii="宋体" w:hAnsi="宋体" w:cs="宋体"/>
          <w:b/>
          <w:color w:val="auto"/>
          <w:sz w:val="24"/>
          <w:highlight w:val="none"/>
        </w:rPr>
        <w:t xml:space="preserve"> </w:t>
      </w:r>
      <w:r>
        <w:rPr>
          <w:rFonts w:hint="eastAsia" w:ascii="宋体" w:hAnsi="宋体" w:cs="宋体"/>
          <w:b/>
          <w:color w:val="auto"/>
          <w:sz w:val="24"/>
          <w:highlight w:val="none"/>
        </w:rPr>
        <w:t>支付方式</w:t>
      </w:r>
      <w:bookmarkEnd w:id="19"/>
      <w:bookmarkEnd w:id="20"/>
      <w:bookmarkEnd w:id="21"/>
    </w:p>
    <w:bookmarkEnd w:id="22"/>
    <w:bookmarkEnd w:id="23"/>
    <w:p>
      <w:pPr>
        <w:widowControl/>
        <w:tabs>
          <w:tab w:val="left" w:pos="851"/>
        </w:tabs>
        <w:adjustRightInd w:val="0"/>
        <w:snapToGrid w:val="0"/>
        <w:spacing w:line="360" w:lineRule="auto"/>
        <w:ind w:firstLine="480" w:firstLineChars="200"/>
        <w:jc w:val="left"/>
        <w:rPr>
          <w:rFonts w:ascii="宋体" w:hAnsi="宋体" w:cs="宋体"/>
          <w:color w:val="auto"/>
          <w:sz w:val="24"/>
          <w:highlight w:val="none"/>
        </w:rPr>
      </w:pPr>
      <w:bookmarkStart w:id="24" w:name="_Toc183666516"/>
      <w:bookmarkStart w:id="25" w:name="_Toc14703"/>
      <w:r>
        <w:rPr>
          <w:rFonts w:ascii="宋体" w:hAnsi="宋体" w:cs="宋体"/>
          <w:color w:val="auto"/>
          <w:sz w:val="24"/>
          <w:highlight w:val="none"/>
        </w:rPr>
        <w:t>5.1</w:t>
      </w:r>
      <w:r>
        <w:rPr>
          <w:rFonts w:hint="eastAsia" w:ascii="宋体" w:hAnsi="宋体" w:cs="宋体"/>
          <w:bCs/>
          <w:color w:val="auto"/>
          <w:sz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宋体" w:hAnsi="宋体" w:cs="宋体"/>
          <w:color w:val="auto"/>
          <w:szCs w:val="21"/>
          <w:highlight w:val="none"/>
        </w:rPr>
        <w:t>□</w:t>
      </w:r>
      <w:r>
        <w:rPr>
          <w:rFonts w:hint="eastAsia" w:ascii="宋体" w:hAnsi="宋体" w:cs="宋体"/>
          <w:bCs/>
          <w:color w:val="auto"/>
          <w:sz w:val="24"/>
          <w:highlight w:val="none"/>
        </w:rPr>
        <w:t>合同签订后，乙方开具等额的增值税专用发票及提交履约担保（如有）后</w:t>
      </w:r>
      <w:r>
        <w:rPr>
          <w:rFonts w:ascii="宋体" w:hAnsi="宋体" w:cs="宋体"/>
          <w:bCs/>
          <w:color w:val="auto"/>
          <w:sz w:val="24"/>
          <w:highlight w:val="none"/>
          <w:u w:val="single"/>
        </w:rPr>
        <w:t>10</w:t>
      </w:r>
      <w:r>
        <w:rPr>
          <w:rFonts w:hint="eastAsia" w:ascii="宋体" w:hAnsi="宋体" w:cs="宋体"/>
          <w:bCs/>
          <w:color w:val="auto"/>
          <w:sz w:val="24"/>
          <w:highlight w:val="none"/>
        </w:rPr>
        <w:t>个工作日内，甲方支付合同暂定总价的</w:t>
      </w:r>
      <w:r>
        <w:rPr>
          <w:rFonts w:ascii="宋体" w:hAnsi="宋体" w:cs="宋体"/>
          <w:bCs/>
          <w:color w:val="auto"/>
          <w:sz w:val="24"/>
          <w:highlight w:val="none"/>
        </w:rPr>
        <w:t xml:space="preserve"> </w:t>
      </w:r>
      <w:r>
        <w:rPr>
          <w:rFonts w:ascii="宋体" w:hAnsi="宋体" w:cs="宋体"/>
          <w:bCs/>
          <w:color w:val="auto"/>
          <w:sz w:val="24"/>
          <w:highlight w:val="none"/>
          <w:u w:val="single"/>
        </w:rPr>
        <w:t xml:space="preserve">  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widowControl/>
        <w:tabs>
          <w:tab w:val="left" w:pos="851"/>
        </w:tabs>
        <w:adjustRightInd w:val="0"/>
        <w:snapToGrid w:val="0"/>
        <w:spacing w:line="360" w:lineRule="auto"/>
        <w:ind w:firstLine="480" w:firstLineChars="200"/>
        <w:jc w:val="left"/>
        <w:rPr>
          <w:rFonts w:ascii="宋体" w:hAnsi="宋体" w:cs="宋体"/>
          <w:bCs/>
          <w:color w:val="auto"/>
          <w:sz w:val="24"/>
          <w:highlight w:val="none"/>
        </w:rPr>
      </w:pPr>
      <w:r>
        <w:rPr>
          <w:rFonts w:ascii="宋体" w:hAnsi="宋体" w:cs="宋体"/>
          <w:color w:val="auto"/>
          <w:sz w:val="24"/>
          <w:highlight w:val="none"/>
        </w:rPr>
        <w:t xml:space="preserve">5.2 </w:t>
      </w:r>
      <w:r>
        <w:rPr>
          <w:rFonts w:hint="eastAsia" w:ascii="宋体" w:hAnsi="宋体" w:cs="宋体"/>
          <w:color w:val="auto"/>
          <w:sz w:val="24"/>
          <w:highlight w:val="none"/>
        </w:rPr>
        <w:t>支付方式：</w:t>
      </w:r>
    </w:p>
    <w:p>
      <w:pPr>
        <w:widowControl/>
        <w:autoSpaceDE w:val="0"/>
        <w:autoSpaceDN w:val="0"/>
        <w:adjustRightInd w:val="0"/>
        <w:spacing w:line="360" w:lineRule="auto"/>
        <w:ind w:firstLine="480" w:firstLineChars="200"/>
        <w:jc w:val="left"/>
        <w:rPr>
          <w:rFonts w:ascii="宋体" w:hAnsi="宋体" w:cs="宋体"/>
          <w:bCs/>
          <w:color w:val="auto"/>
          <w:sz w:val="24"/>
          <w:highlight w:val="none"/>
        </w:rPr>
      </w:pPr>
      <w:r>
        <w:rPr>
          <w:rFonts w:ascii="宋体" w:hAnsi="宋体" w:cs="宋体"/>
          <w:color w:val="auto"/>
          <w:sz w:val="24"/>
          <w:highlight w:val="none"/>
        </w:rPr>
        <w:t>5.2.1</w:t>
      </w:r>
      <w:r>
        <w:rPr>
          <w:rFonts w:hint="eastAsia" w:ascii="宋体" w:hAnsi="宋体" w:cs="宋体"/>
          <w:color w:val="auto"/>
          <w:sz w:val="24"/>
          <w:highlight w:val="none"/>
        </w:rPr>
        <w:t>设备到达现场，经开箱验收合格并全部调试完毕，乙方提交请款资料及等额增值税专用发票，经甲方结算审核后</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个工作日内，支付至合同结算价的</w:t>
      </w:r>
      <w:r>
        <w:rPr>
          <w:rFonts w:ascii="宋体" w:hAnsi="宋体" w:cs="宋体"/>
          <w:color w:val="auto"/>
          <w:sz w:val="24"/>
          <w:highlight w:val="none"/>
        </w:rPr>
        <w:t>95%</w:t>
      </w:r>
      <w:r>
        <w:rPr>
          <w:rFonts w:hint="eastAsia" w:ascii="宋体" w:hAnsi="宋体" w:cs="宋体"/>
          <w:color w:val="auto"/>
          <w:sz w:val="24"/>
          <w:highlight w:val="none"/>
        </w:rPr>
        <w:t>（含预付款）（若审核价低于合同暂定总价，则以审核价作为合同结算价，否则以合同暂定总价为合同结算价），合同结算价的</w:t>
      </w:r>
      <w:r>
        <w:rPr>
          <w:rFonts w:ascii="宋体" w:hAnsi="宋体" w:cs="宋体"/>
          <w:color w:val="auto"/>
          <w:sz w:val="24"/>
          <w:highlight w:val="none"/>
        </w:rPr>
        <w:t>5%</w:t>
      </w:r>
      <w:r>
        <w:rPr>
          <w:rFonts w:hint="eastAsia" w:ascii="宋体" w:hAnsi="宋体" w:cs="宋体"/>
          <w:color w:val="auto"/>
          <w:sz w:val="24"/>
          <w:highlight w:val="none"/>
        </w:rPr>
        <w:t>作为质保金留存。</w:t>
      </w:r>
    </w:p>
    <w:p>
      <w:pPr>
        <w:spacing w:line="360" w:lineRule="auto"/>
        <w:ind w:firstLine="600" w:firstLineChars="250"/>
        <w:outlineLvl w:val="1"/>
        <w:rPr>
          <w:rFonts w:ascii="宋体" w:hAnsi="宋体" w:cs="宋体"/>
          <w:color w:val="auto"/>
          <w:sz w:val="24"/>
          <w:highlight w:val="none"/>
        </w:rPr>
      </w:pPr>
      <w:r>
        <w:rPr>
          <w:rFonts w:ascii="宋体" w:hAnsi="宋体" w:cs="宋体"/>
          <w:color w:val="auto"/>
          <w:sz w:val="24"/>
          <w:highlight w:val="none"/>
        </w:rPr>
        <w:t>5.2.2</w:t>
      </w:r>
      <w:r>
        <w:rPr>
          <w:rFonts w:hint="eastAsia" w:ascii="宋体" w:hAnsi="宋体" w:cs="宋体"/>
          <w:color w:val="auto"/>
          <w:sz w:val="24"/>
          <w:highlight w:val="none"/>
        </w:rPr>
        <w:t>质保期按合同第九条规定执行，质保期满且乙方不存在违约情形，乙方提交请款资料及等额增值税专用发票，甲方审核无误后在</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个工作日内支付合同结算价的</w:t>
      </w:r>
      <w:r>
        <w:rPr>
          <w:rFonts w:ascii="宋体" w:hAnsi="宋体" w:cs="宋体"/>
          <w:color w:val="auto"/>
          <w:sz w:val="24"/>
          <w:highlight w:val="none"/>
        </w:rPr>
        <w:t>5</w:t>
      </w:r>
      <w:r>
        <w:rPr>
          <w:rFonts w:hint="eastAsia" w:ascii="宋体" w:hAnsi="宋体" w:cs="宋体"/>
          <w:color w:val="auto"/>
          <w:sz w:val="24"/>
          <w:highlight w:val="none"/>
        </w:rPr>
        <w:t>％（质保金）给乙方</w:t>
      </w:r>
      <w:r>
        <w:rPr>
          <w:rFonts w:ascii="宋体" w:hAnsi="宋体" w:cs="宋体"/>
          <w:color w:val="auto"/>
          <w:sz w:val="24"/>
          <w:highlight w:val="none"/>
        </w:rPr>
        <w:t>(</w:t>
      </w:r>
      <w:r>
        <w:rPr>
          <w:rFonts w:hint="eastAsia" w:ascii="宋体" w:hAnsi="宋体" w:cs="宋体"/>
          <w:color w:val="auto"/>
          <w:sz w:val="24"/>
          <w:highlight w:val="none"/>
        </w:rPr>
        <w:t>无息</w:t>
      </w:r>
      <w:r>
        <w:rPr>
          <w:rFonts w:ascii="宋体" w:hAnsi="宋体" w:cs="宋体"/>
          <w:color w:val="auto"/>
          <w:sz w:val="24"/>
          <w:highlight w:val="none"/>
        </w:rPr>
        <w:t>)</w:t>
      </w:r>
      <w:r>
        <w:rPr>
          <w:rFonts w:hint="eastAsia" w:ascii="宋体" w:hAnsi="宋体" w:cs="宋体"/>
          <w:color w:val="auto"/>
          <w:sz w:val="24"/>
          <w:highlight w:val="none"/>
        </w:rPr>
        <w:t>。</w:t>
      </w:r>
    </w:p>
    <w:p>
      <w:pPr>
        <w:widowControl/>
        <w:spacing w:after="160" w:line="360" w:lineRule="auto"/>
        <w:ind w:firstLine="600" w:firstLineChars="250"/>
        <w:jc w:val="left"/>
        <w:rPr>
          <w:rFonts w:ascii="宋体" w:hAnsi="宋体" w:cs="宋体"/>
          <w:color w:val="auto"/>
          <w:sz w:val="24"/>
          <w:highlight w:val="none"/>
        </w:rPr>
      </w:pPr>
      <w:r>
        <w:rPr>
          <w:rFonts w:ascii="宋体" w:hAnsi="宋体" w:cs="宋体"/>
          <w:color w:val="auto"/>
          <w:sz w:val="24"/>
          <w:highlight w:val="none"/>
        </w:rPr>
        <w:t>5.2.3</w:t>
      </w:r>
      <w:r>
        <w:rPr>
          <w:rFonts w:hint="eastAsia" w:ascii="宋体" w:hAnsi="宋体" w:cs="宋体"/>
          <w:color w:val="auto"/>
          <w:sz w:val="24"/>
          <w:highlight w:val="none"/>
        </w:rPr>
        <w:t>乙方收款账户：</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widowControl/>
        <w:spacing w:after="160" w:line="360" w:lineRule="auto"/>
        <w:ind w:firstLine="1200" w:firstLineChars="500"/>
        <w:jc w:val="left"/>
        <w:rPr>
          <w:rFonts w:ascii="宋体" w:hAnsi="宋体" w:cs="宋体"/>
          <w:color w:val="auto"/>
          <w:sz w:val="24"/>
          <w:highlight w:val="none"/>
        </w:rPr>
      </w:pPr>
      <w:r>
        <w:rPr>
          <w:rFonts w:hint="eastAsia" w:ascii="宋体" w:hAnsi="宋体" w:cs="宋体"/>
          <w:color w:val="auto"/>
          <w:sz w:val="24"/>
          <w:highlight w:val="none"/>
        </w:rPr>
        <w:t>收款账号：</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widowControl/>
        <w:spacing w:after="160" w:line="360" w:lineRule="auto"/>
        <w:ind w:firstLine="1200" w:firstLineChars="500"/>
        <w:jc w:val="left"/>
        <w:rPr>
          <w:rFonts w:ascii="宋体" w:hAnsi="宋体" w:cs="宋体"/>
          <w:color w:val="auto"/>
          <w:sz w:val="24"/>
          <w:highlight w:val="none"/>
        </w:rPr>
      </w:pPr>
      <w:r>
        <w:rPr>
          <w:rFonts w:hint="eastAsia" w:ascii="宋体" w:hAnsi="宋体" w:cs="宋体"/>
          <w:color w:val="auto"/>
          <w:sz w:val="24"/>
          <w:highlight w:val="none"/>
        </w:rPr>
        <w:t>开户行：</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widowControl/>
        <w:spacing w:after="16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5.2.4</w:t>
      </w:r>
      <w:r>
        <w:rPr>
          <w:rFonts w:hint="eastAsia" w:ascii="宋体" w:hAnsi="宋体" w:cs="宋体"/>
          <w:color w:val="auto"/>
          <w:sz w:val="24"/>
          <w:highlight w:val="none"/>
        </w:rPr>
        <w:t>乙方在收款前需向甲方提交等额增值税专用发票，增值税专用发票信息：</w:t>
      </w:r>
    </w:p>
    <w:p>
      <w:pPr>
        <w:widowControl/>
        <w:spacing w:after="160" w:line="360" w:lineRule="auto"/>
        <w:ind w:firstLine="1200" w:firstLineChars="500"/>
        <w:jc w:val="left"/>
        <w:rPr>
          <w:rFonts w:ascii="宋体" w:hAnsi="宋体" w:cs="宋体"/>
          <w:color w:val="auto"/>
          <w:sz w:val="24"/>
          <w:highlight w:val="none"/>
        </w:rPr>
      </w:pPr>
      <w:r>
        <w:rPr>
          <w:rFonts w:hint="eastAsia" w:ascii="宋体" w:hAnsi="宋体" w:cs="宋体"/>
          <w:color w:val="auto"/>
          <w:sz w:val="24"/>
          <w:highlight w:val="none"/>
        </w:rPr>
        <w:t>名称：广州市净水有限公司</w:t>
      </w:r>
    </w:p>
    <w:p>
      <w:pPr>
        <w:widowControl/>
        <w:spacing w:after="160" w:line="360" w:lineRule="auto"/>
        <w:ind w:firstLine="1200" w:firstLineChars="500"/>
        <w:jc w:val="left"/>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rPr>
        <w:t xml:space="preserve">  </w:t>
      </w:r>
    </w:p>
    <w:p>
      <w:pPr>
        <w:widowControl/>
        <w:spacing w:after="160" w:line="360" w:lineRule="auto"/>
        <w:ind w:firstLine="1200" w:firstLineChars="500"/>
        <w:jc w:val="left"/>
        <w:rPr>
          <w:rFonts w:ascii="宋体" w:hAnsi="宋体" w:cs="宋体"/>
          <w:color w:val="auto"/>
          <w:sz w:val="24"/>
          <w:highlight w:val="none"/>
        </w:rPr>
      </w:pPr>
      <w:r>
        <w:rPr>
          <w:rFonts w:hint="eastAsia" w:ascii="宋体" w:hAnsi="宋体" w:cs="宋体"/>
          <w:color w:val="auto"/>
          <w:sz w:val="24"/>
          <w:highlight w:val="none"/>
        </w:rPr>
        <w:t>地址：</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widowControl/>
        <w:tabs>
          <w:tab w:val="left" w:pos="851"/>
        </w:tabs>
        <w:adjustRightInd w:val="0"/>
        <w:snapToGrid w:val="0"/>
        <w:spacing w:after="160" w:line="360" w:lineRule="auto"/>
        <w:ind w:firstLine="480" w:firstLineChars="200"/>
        <w:jc w:val="left"/>
        <w:outlineLvl w:val="1"/>
        <w:rPr>
          <w:rFonts w:ascii="宋体" w:hAnsi="宋体" w:cs="宋体"/>
          <w:color w:val="auto"/>
          <w:sz w:val="24"/>
          <w:highlight w:val="none"/>
        </w:rPr>
      </w:pPr>
      <w:r>
        <w:rPr>
          <w:rFonts w:ascii="宋体" w:hAnsi="宋体" w:cs="宋体"/>
          <w:color w:val="auto"/>
          <w:sz w:val="24"/>
          <w:highlight w:val="none"/>
        </w:rPr>
        <w:t>5.3</w:t>
      </w:r>
      <w:r>
        <w:rPr>
          <w:rFonts w:hint="eastAsia" w:ascii="宋体" w:hAnsi="宋体" w:cs="宋体"/>
          <w:color w:val="auto"/>
          <w:sz w:val="24"/>
          <w:highlight w:val="none"/>
        </w:rPr>
        <w:t>付款方式：</w:t>
      </w:r>
      <w:r>
        <w:rPr>
          <w:rFonts w:ascii="宋体" w:hAnsi="宋体" w:cs="宋体"/>
          <w:color w:val="auto"/>
          <w:sz w:val="24"/>
          <w:highlight w:val="none"/>
        </w:rPr>
        <w:t xml:space="preserve"> </w:t>
      </w:r>
      <w:r>
        <w:rPr>
          <w:rFonts w:ascii="宋体" w:hAnsi="宋体" w:cs="宋体"/>
          <w:color w:val="auto"/>
          <w:sz w:val="24"/>
          <w:highlight w:val="none"/>
        </w:rPr>
        <w:sym w:font="Wingdings" w:char="00FE"/>
      </w:r>
      <w:r>
        <w:rPr>
          <w:rFonts w:hint="eastAsia" w:ascii="宋体" w:hAnsi="宋体" w:cs="宋体"/>
          <w:color w:val="auto"/>
          <w:sz w:val="24"/>
          <w:highlight w:val="none"/>
        </w:rPr>
        <w:t>网银支付；</w:t>
      </w:r>
      <w:r>
        <w:rPr>
          <w:rFonts w:ascii="宋体" w:hAnsi="宋体" w:cs="宋体"/>
          <w:color w:val="auto"/>
          <w:sz w:val="24"/>
          <w:highlight w:val="none"/>
        </w:rPr>
        <w:t xml:space="preserve">  </w:t>
      </w:r>
      <w:r>
        <w:rPr>
          <w:rFonts w:ascii="宋体" w:hAnsi="宋体" w:cs="宋体"/>
          <w:color w:val="auto"/>
          <w:sz w:val="24"/>
          <w:highlight w:val="none"/>
        </w:rPr>
        <w:sym w:font="Wingdings" w:char="00A8"/>
      </w:r>
      <w:r>
        <w:rPr>
          <w:rFonts w:hint="eastAsia" w:ascii="宋体" w:hAnsi="宋体" w:cs="宋体"/>
          <w:color w:val="auto"/>
          <w:sz w:val="24"/>
          <w:highlight w:val="none"/>
        </w:rPr>
        <w:t>支票；</w:t>
      </w:r>
      <w:r>
        <w:rPr>
          <w:rFonts w:ascii="宋体" w:hAnsi="宋体" w:cs="宋体"/>
          <w:color w:val="auto"/>
          <w:sz w:val="24"/>
          <w:highlight w:val="none"/>
        </w:rPr>
        <w:t xml:space="preserve">   </w:t>
      </w:r>
      <w:r>
        <w:rPr>
          <w:rFonts w:ascii="宋体" w:hAnsi="宋体" w:cs="宋体"/>
          <w:color w:val="auto"/>
          <w:sz w:val="24"/>
          <w:highlight w:val="none"/>
        </w:rPr>
        <w:sym w:font="Wingdings" w:char="00A8"/>
      </w:r>
      <w:r>
        <w:rPr>
          <w:rFonts w:hint="eastAsia" w:ascii="宋体" w:hAnsi="宋体" w:cs="宋体"/>
          <w:color w:val="auto"/>
          <w:sz w:val="24"/>
          <w:highlight w:val="none"/>
        </w:rPr>
        <w:t>其他：</w:t>
      </w:r>
      <w:r>
        <w:rPr>
          <w:rFonts w:ascii="宋体" w:hAnsi="宋体" w:cs="宋体"/>
          <w:color w:val="auto"/>
          <w:sz w:val="24"/>
          <w:highlight w:val="none"/>
        </w:rPr>
        <w:t xml:space="preserve">       </w:t>
      </w:r>
    </w:p>
    <w:p>
      <w:pPr>
        <w:widowControl/>
        <w:autoSpaceDE w:val="0"/>
        <w:autoSpaceDN w:val="0"/>
        <w:adjustRightInd w:val="0"/>
        <w:spacing w:line="360" w:lineRule="auto"/>
        <w:ind w:firstLine="482" w:firstLineChars="200"/>
        <w:jc w:val="left"/>
        <w:rPr>
          <w:rFonts w:ascii="宋体" w:hAnsi="宋体" w:cs="宋体"/>
          <w:bCs/>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履约担保</w:t>
      </w:r>
    </w:p>
    <w:p>
      <w:pPr>
        <w:widowControl/>
        <w:spacing w:line="360" w:lineRule="auto"/>
        <w:ind w:firstLine="480" w:firstLineChars="200"/>
        <w:jc w:val="left"/>
        <w:outlineLvl w:val="0"/>
        <w:rPr>
          <w:rFonts w:ascii="宋体" w:hAnsi="宋体" w:cs="宋体"/>
          <w:color w:val="auto"/>
          <w:sz w:val="24"/>
          <w:highlight w:val="none"/>
          <w:u w:val="single"/>
        </w:rPr>
      </w:pPr>
      <w:r>
        <w:rPr>
          <w:rFonts w:ascii="宋体" w:hAnsi="宋体" w:cs="宋体"/>
          <w:color w:val="auto"/>
          <w:sz w:val="24"/>
          <w:highlight w:val="none"/>
        </w:rPr>
        <w:t>6.1</w:t>
      </w:r>
      <w:r>
        <w:rPr>
          <w:rFonts w:hint="eastAsia" w:ascii="宋体" w:hAnsi="宋体" w:cs="宋体"/>
          <w:color w:val="auto"/>
          <w:sz w:val="24"/>
          <w:highlight w:val="none"/>
        </w:rPr>
        <w:t>履约担保</w:t>
      </w:r>
      <w:r>
        <w:rPr>
          <w:rFonts w:hint="eastAsia" w:ascii="宋体" w:hAnsi="宋体" w:cs="宋体"/>
          <w:sz w:val="24"/>
          <w:highlight w:val="none"/>
        </w:rPr>
        <w:t>：</w:t>
      </w:r>
      <w:r>
        <w:rPr>
          <w:rFonts w:hint="eastAsia" w:ascii="宋体" w:hAnsi="宋体" w:cs="宋体"/>
          <w:szCs w:val="21"/>
          <w:highlight w:val="none"/>
        </w:rPr>
        <w:sym w:font="Wingdings 2" w:char="0052"/>
      </w:r>
      <w:r>
        <w:rPr>
          <w:rFonts w:hint="eastAsia" w:ascii="宋体" w:hAnsi="宋体" w:cs="宋体"/>
          <w:bCs/>
          <w:sz w:val="24"/>
          <w:highlight w:val="none"/>
        </w:rPr>
        <w:t>无；</w:t>
      </w:r>
      <w:r>
        <w:rPr>
          <w:rFonts w:ascii="宋体" w:hAnsi="宋体" w:cs="宋体"/>
          <w:bCs/>
          <w:sz w:val="24"/>
          <w:highlight w:val="none"/>
        </w:rPr>
        <w:t xml:space="preserve">   </w:t>
      </w:r>
      <w:r>
        <w:rPr>
          <w:rFonts w:hint="eastAsia" w:ascii="宋体" w:hAnsi="宋体" w:cs="宋体"/>
          <w:szCs w:val="21"/>
          <w:highlight w:val="none"/>
        </w:rPr>
        <w:t>□</w:t>
      </w:r>
      <w:r>
        <w:rPr>
          <w:rFonts w:ascii="宋体" w:hAnsi="宋体" w:cs="宋体"/>
          <w:bCs/>
          <w:sz w:val="24"/>
          <w:highlight w:val="none"/>
        </w:rPr>
        <w:t xml:space="preserve"> </w:t>
      </w:r>
      <w:r>
        <w:rPr>
          <w:rFonts w:hint="eastAsia" w:ascii="宋体" w:hAnsi="宋体" w:cs="宋体"/>
          <w:sz w:val="24"/>
          <w:highlight w:val="none"/>
        </w:rPr>
        <w:t>本</w:t>
      </w:r>
      <w:r>
        <w:rPr>
          <w:rFonts w:hint="eastAsia" w:ascii="宋体" w:hAnsi="宋体" w:cs="宋体"/>
          <w:sz w:val="24"/>
        </w:rPr>
        <w:t>合</w:t>
      </w:r>
      <w:r>
        <w:rPr>
          <w:rFonts w:hint="eastAsia" w:ascii="宋体" w:hAnsi="宋体" w:cs="宋体"/>
          <w:color w:val="auto"/>
          <w:sz w:val="24"/>
          <w:highlight w:val="none"/>
        </w:rPr>
        <w:t>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10%作为履约保证金</w:t>
      </w:r>
      <w:r>
        <w:rPr>
          <w:rFonts w:hint="eastAsia" w:ascii="宋体" w:hAnsi="宋体" w:cs="宋体"/>
          <w:color w:val="auto"/>
          <w:sz w:val="24"/>
          <w:highlight w:val="none"/>
          <w:u w:val="single"/>
        </w:rPr>
        <w:t>，</w:t>
      </w:r>
      <w:r>
        <w:rPr>
          <w:rFonts w:hint="eastAsia" w:ascii="宋体" w:hAnsi="宋体" w:cs="宋体"/>
          <w:color w:val="auto"/>
          <w:sz w:val="24"/>
          <w:highlight w:val="none"/>
        </w:rPr>
        <w:t>金额为：</w:t>
      </w:r>
      <w:r>
        <w:rPr>
          <w:rFonts w:ascii="宋体" w:hAnsi="宋体" w:cs="宋体"/>
          <w:color w:val="auto"/>
          <w:sz w:val="24"/>
          <w:highlight w:val="none"/>
        </w:rPr>
        <w:t xml:space="preserve">    </w:t>
      </w:r>
      <w:r>
        <w:rPr>
          <w:rFonts w:hint="eastAsia" w:ascii="宋体" w:hAnsi="宋体" w:cs="宋体"/>
          <w:color w:val="auto"/>
          <w:sz w:val="24"/>
          <w:highlight w:val="none"/>
          <w:u w:val="single"/>
        </w:rPr>
        <w:t>（大写人民币：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p>
    <w:p>
      <w:pPr>
        <w:spacing w:line="360" w:lineRule="auto"/>
        <w:ind w:firstLine="480"/>
        <w:rPr>
          <w:rFonts w:ascii="宋体" w:hAnsi="宋体" w:cs="宋体"/>
          <w:color w:val="auto"/>
          <w:kern w:val="0"/>
          <w:sz w:val="24"/>
          <w:highlight w:val="none"/>
        </w:rPr>
      </w:pPr>
      <w:r>
        <w:rPr>
          <w:rFonts w:ascii="宋体" w:hAnsi="宋体" w:cs="宋体"/>
          <w:color w:val="auto"/>
          <w:kern w:val="0"/>
          <w:sz w:val="24"/>
          <w:highlight w:val="none"/>
        </w:rPr>
        <w:t>6.2履约担保</w:t>
      </w:r>
      <w:r>
        <w:rPr>
          <w:rFonts w:hint="eastAsia" w:ascii="宋体" w:hAnsi="宋体" w:cs="宋体"/>
          <w:color w:val="auto"/>
          <w:kern w:val="0"/>
          <w:sz w:val="24"/>
          <w:highlight w:val="none"/>
        </w:rPr>
        <w:t>按以下任一种形式提供</w:t>
      </w:r>
      <w:r>
        <w:rPr>
          <w:rFonts w:ascii="宋体" w:hAnsi="宋体" w:cs="宋体"/>
          <w:color w:val="auto"/>
          <w:kern w:val="0"/>
          <w:sz w:val="24"/>
          <w:highlight w:val="none"/>
        </w:rPr>
        <w:t>：</w:t>
      </w:r>
    </w:p>
    <w:p>
      <w:pPr>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1、符合甲方要求（详见附件6保函格式）的银行独立保函，</w:t>
      </w:r>
    </w:p>
    <w:p>
      <w:pPr>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2、现金转账至甲方以下指定账户：</w:t>
      </w:r>
    </w:p>
    <w:p>
      <w:pPr>
        <w:widowControl/>
        <w:tabs>
          <w:tab w:val="left" w:pos="1995"/>
        </w:tabs>
        <w:spacing w:after="160"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widowControl/>
        <w:tabs>
          <w:tab w:val="left" w:pos="1995"/>
        </w:tabs>
        <w:spacing w:after="160"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widowControl/>
        <w:tabs>
          <w:tab w:val="left" w:pos="1995"/>
        </w:tabs>
        <w:spacing w:after="160"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widowControl/>
        <w:spacing w:after="160" w:line="360" w:lineRule="auto"/>
        <w:ind w:firstLine="480"/>
        <w:jc w:val="left"/>
        <w:outlineLvl w:val="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履约担保的担保期限和返还</w:t>
      </w:r>
    </w:p>
    <w:p>
      <w:pPr>
        <w:widowControl/>
        <w:spacing w:after="160" w:line="360" w:lineRule="auto"/>
        <w:ind w:firstLine="480"/>
        <w:jc w:val="left"/>
        <w:outlineLvl w:val="0"/>
        <w:rPr>
          <w:rFonts w:ascii="宋体" w:hAnsi="宋体" w:cs="宋体"/>
          <w:color w:val="auto"/>
          <w:sz w:val="24"/>
          <w:highlight w:val="none"/>
        </w:rPr>
      </w:pPr>
      <w:r>
        <w:rPr>
          <w:rFonts w:ascii="宋体" w:hAnsi="宋体" w:cs="宋体"/>
          <w:color w:val="auto"/>
          <w:sz w:val="24"/>
          <w:highlight w:val="none"/>
        </w:rPr>
        <w:t>6.3.1</w:t>
      </w:r>
      <w:r>
        <w:rPr>
          <w:rFonts w:hint="eastAsia" w:ascii="宋体" w:hAnsi="宋体" w:cs="宋体"/>
          <w:color w:val="auto"/>
          <w:sz w:val="24"/>
          <w:szCs w:val="22"/>
          <w:highlight w:val="none"/>
        </w:rPr>
        <w:t>履约银行保函（或现金履约保证金）的担保期限：从提供履约担保（或转账成功）之日起至合同履行完成。</w:t>
      </w:r>
    </w:p>
    <w:p>
      <w:pPr>
        <w:widowControl/>
        <w:spacing w:after="16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6.3.2</w:t>
      </w:r>
      <w:r>
        <w:rPr>
          <w:rFonts w:hint="eastAsia" w:ascii="宋体" w:hAnsi="宋体" w:cs="宋体"/>
          <w:color w:val="auto"/>
          <w:sz w:val="24"/>
          <w:szCs w:val="22"/>
          <w:highlight w:val="none"/>
        </w:rPr>
        <w:t>履约银行保函在合同履行完成后，由乙方提出申请，甲方在28日内返还，不支付利息；</w:t>
      </w:r>
      <w:r>
        <w:rPr>
          <w:rFonts w:ascii="宋体" w:hAnsi="宋体" w:cs="宋体"/>
          <w:color w:val="auto"/>
          <w:sz w:val="24"/>
          <w:highlight w:val="none"/>
        </w:rPr>
        <w:t xml:space="preserve"> </w:t>
      </w:r>
    </w:p>
    <w:p>
      <w:pPr>
        <w:widowControl/>
        <w:spacing w:after="160" w:line="360" w:lineRule="auto"/>
        <w:ind w:firstLine="480" w:firstLineChars="200"/>
        <w:jc w:val="left"/>
        <w:outlineLvl w:val="0"/>
        <w:rPr>
          <w:rFonts w:ascii="宋体" w:hAnsi="宋体" w:cs="宋体"/>
          <w:color w:val="auto"/>
          <w:sz w:val="24"/>
          <w:highlight w:val="none"/>
        </w:rPr>
      </w:pPr>
      <w:r>
        <w:rPr>
          <w:rFonts w:ascii="宋体" w:hAnsi="宋体" w:cs="宋体"/>
          <w:color w:val="auto"/>
          <w:sz w:val="24"/>
          <w:highlight w:val="none"/>
        </w:rPr>
        <w:t>6.3.3</w:t>
      </w:r>
      <w:r>
        <w:rPr>
          <w:rFonts w:hint="eastAsia" w:ascii="宋体" w:hAnsi="宋体" w:cs="宋体"/>
          <w:color w:val="auto"/>
          <w:sz w:val="24"/>
          <w:highlight w:val="none"/>
        </w:rPr>
        <w:t>延长担保期限。履约银行保函形式提交履约保证金的，在银行保函到期前，乙方应提前</w:t>
      </w:r>
      <w:r>
        <w:rPr>
          <w:rFonts w:ascii="宋体" w:hAnsi="宋体" w:cs="宋体"/>
          <w:color w:val="auto"/>
          <w:sz w:val="24"/>
          <w:highlight w:val="none"/>
          <w:u w:val="single"/>
        </w:rPr>
        <w:t xml:space="preserve"> 7 </w:t>
      </w:r>
      <w:r>
        <w:rPr>
          <w:rFonts w:ascii="宋体" w:hAnsi="宋体" w:cs="宋体"/>
          <w:color w:val="auto"/>
          <w:sz w:val="24"/>
          <w:highlight w:val="none"/>
        </w:rPr>
        <w:t>天向甲方提交新的保函以替换即将到期的保函</w:t>
      </w:r>
      <w:r>
        <w:rPr>
          <w:rFonts w:hint="eastAsia" w:ascii="宋体" w:hAnsi="宋体" w:cs="宋体"/>
          <w:color w:val="auto"/>
          <w:sz w:val="24"/>
          <w:highlight w:val="none"/>
        </w:rPr>
        <w:t>。如乙方未及时提交的，甲方有权直接要求担保银行支付其担保的全部金额并解除合同。</w:t>
      </w:r>
    </w:p>
    <w:p>
      <w:pPr>
        <w:spacing w:line="360" w:lineRule="auto"/>
        <w:ind w:firstLine="525"/>
        <w:rPr>
          <w:rFonts w:ascii="宋体" w:hAnsi="宋体" w:cs="宋体"/>
          <w:color w:val="auto"/>
          <w:kern w:val="0"/>
          <w:sz w:val="24"/>
          <w:highlight w:val="none"/>
        </w:rPr>
      </w:pPr>
      <w:r>
        <w:rPr>
          <w:rFonts w:ascii="宋体" w:hAnsi="宋体" w:cs="宋体"/>
          <w:color w:val="auto"/>
          <w:kern w:val="0"/>
          <w:sz w:val="24"/>
          <w:highlight w:val="none"/>
        </w:rPr>
        <w:t>6.3.4</w:t>
      </w:r>
      <w:r>
        <w:rPr>
          <w:rFonts w:hint="eastAsia" w:ascii="宋体" w:hAnsi="宋体" w:cs="宋体"/>
          <w:color w:val="auto"/>
          <w:kern w:val="0"/>
          <w:sz w:val="24"/>
          <w:highlight w:val="none"/>
        </w:rPr>
        <w:t>现金履约保证金的退还：合同履行完成后，由乙方提出申请，甲方在</w:t>
      </w:r>
      <w:r>
        <w:rPr>
          <w:rFonts w:ascii="宋体" w:hAnsi="宋体" w:cs="宋体"/>
          <w:color w:val="auto"/>
          <w:kern w:val="0"/>
          <w:sz w:val="24"/>
          <w:highlight w:val="none"/>
        </w:rPr>
        <w:t>28</w:t>
      </w:r>
      <w:r>
        <w:rPr>
          <w:rFonts w:hint="eastAsia" w:ascii="宋体" w:hAnsi="宋体" w:cs="宋体"/>
          <w:color w:val="auto"/>
          <w:kern w:val="0"/>
          <w:sz w:val="24"/>
          <w:highlight w:val="none"/>
        </w:rPr>
        <w:t>天</w:t>
      </w:r>
      <w:r>
        <w:rPr>
          <w:rFonts w:ascii="宋体" w:hAnsi="宋体" w:cs="宋体"/>
          <w:color w:val="auto"/>
          <w:kern w:val="0"/>
          <w:sz w:val="24"/>
          <w:highlight w:val="none"/>
        </w:rPr>
        <w:t>内</w:t>
      </w:r>
      <w:r>
        <w:rPr>
          <w:rFonts w:hint="eastAsia" w:ascii="宋体" w:hAnsi="宋体" w:cs="宋体"/>
          <w:color w:val="auto"/>
          <w:kern w:val="0"/>
          <w:sz w:val="24"/>
          <w:highlight w:val="none"/>
        </w:rPr>
        <w:t>将剩余履约保证金（无息）返还。</w:t>
      </w:r>
    </w:p>
    <w:p>
      <w:pPr>
        <w:widowControl/>
        <w:spacing w:after="16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6.3.5</w:t>
      </w:r>
      <w:r>
        <w:rPr>
          <w:rFonts w:hint="eastAsia" w:ascii="宋体" w:hAnsi="宋体" w:cs="宋体"/>
          <w:color w:val="auto"/>
          <w:sz w:val="24"/>
          <w:highlight w:val="none"/>
        </w:rPr>
        <w:t>甲方按合同约定提取履约担保金额后，乙方应在收到甲方通知后</w:t>
      </w:r>
      <w:r>
        <w:rPr>
          <w:rFonts w:ascii="宋体" w:hAnsi="宋体" w:cs="宋体"/>
          <w:color w:val="auto"/>
          <w:sz w:val="24"/>
          <w:highlight w:val="none"/>
          <w:u w:val="single"/>
        </w:rPr>
        <w:t xml:space="preserve"> 7 </w:t>
      </w:r>
      <w:r>
        <w:rPr>
          <w:rFonts w:hint="eastAsia" w:ascii="宋体" w:hAnsi="宋体" w:cs="宋体"/>
          <w:color w:val="auto"/>
          <w:sz w:val="24"/>
          <w:highlight w:val="none"/>
        </w:rPr>
        <w:t>天内补足数额，逾期未补足，则甲方有权提取履约担保的全部余额并解除合同。</w:t>
      </w:r>
    </w:p>
    <w:bookmarkEnd w:id="24"/>
    <w:bookmarkEnd w:id="25"/>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bCs/>
          <w:color w:val="auto"/>
          <w:kern w:val="0"/>
          <w:sz w:val="24"/>
          <w:highlight w:val="none"/>
        </w:rPr>
        <w:t>第七条</w:t>
      </w:r>
      <w:r>
        <w:rPr>
          <w:rFonts w:ascii="宋体" w:hAnsi="宋体" w:cs="宋体"/>
          <w:b/>
          <w:bCs/>
          <w:color w:val="auto"/>
          <w:kern w:val="0"/>
          <w:sz w:val="24"/>
          <w:highlight w:val="none"/>
        </w:rPr>
        <w:t xml:space="preserve"> </w:t>
      </w:r>
      <w:r>
        <w:rPr>
          <w:rFonts w:hint="eastAsia" w:ascii="宋体" w:hAnsi="宋体" w:cs="宋体"/>
          <w:b/>
          <w:color w:val="auto"/>
          <w:sz w:val="24"/>
          <w:highlight w:val="none"/>
        </w:rPr>
        <w:t>交货及检验要求</w:t>
      </w:r>
    </w:p>
    <w:p>
      <w:pPr>
        <w:widowControl/>
        <w:autoSpaceDE w:val="0"/>
        <w:autoSpaceDN w:val="0"/>
        <w:adjustRightInd w:val="0"/>
        <w:spacing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 xml:space="preserve">7.1 </w:t>
      </w:r>
      <w:r>
        <w:rPr>
          <w:rFonts w:hint="eastAsia" w:ascii="宋体" w:hAnsi="宋体" w:cs="宋体"/>
          <w:bCs/>
          <w:color w:val="auto"/>
          <w:sz w:val="24"/>
          <w:highlight w:val="none"/>
        </w:rPr>
        <w:t>交货要求：乙方应在交货时向甲方提供出厂合格证、产品质量证明文件、操作维修手册等（手册应包含设备情况、系统和主要部件常见故障、保养要求、紧急维修电话等内容）。</w:t>
      </w:r>
    </w:p>
    <w:p>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7.2</w:t>
      </w:r>
      <w:r>
        <w:rPr>
          <w:rFonts w:hint="eastAsia" w:ascii="宋体" w:hAnsi="宋体" w:cs="宋体"/>
          <w:bCs/>
          <w:color w:val="auto"/>
          <w:sz w:val="24"/>
          <w:highlight w:val="none"/>
        </w:rPr>
        <w:t>外观验收：设备运抵交货地点后，甲乙双方根据合同约定对合同设备的包装、外观与件数进行清点检查，并共同签署合同设备外观检查记录。</w:t>
      </w:r>
    </w:p>
    <w:p>
      <w:pPr>
        <w:widowControl/>
        <w:spacing w:line="360" w:lineRule="auto"/>
        <w:ind w:firstLine="480" w:firstLineChars="200"/>
        <w:jc w:val="left"/>
        <w:rPr>
          <w:rFonts w:ascii="宋体" w:hAnsi="宋体" w:cs="宋体"/>
          <w:color w:val="auto"/>
          <w:sz w:val="24"/>
          <w:highlight w:val="none"/>
        </w:rPr>
      </w:pPr>
      <w:r>
        <w:rPr>
          <w:rFonts w:ascii="宋体" w:hAnsi="宋体" w:cs="宋体"/>
          <w:bCs/>
          <w:color w:val="auto"/>
          <w:sz w:val="24"/>
          <w:highlight w:val="none"/>
        </w:rPr>
        <w:t xml:space="preserve">7.3 </w:t>
      </w:r>
      <w:r>
        <w:rPr>
          <w:rFonts w:hint="eastAsia" w:ascii="宋体" w:hAnsi="宋体" w:cs="宋体"/>
          <w:bCs/>
          <w:color w:val="auto"/>
          <w:sz w:val="24"/>
          <w:highlight w:val="none"/>
        </w:rPr>
        <w:t>开箱验收：开箱检验在合同设备交付地点进行，</w:t>
      </w:r>
      <w:r>
        <w:rPr>
          <w:rFonts w:hint="eastAsia" w:ascii="宋体" w:hAnsi="宋体" w:cs="宋体"/>
          <w:color w:val="auto"/>
          <w:sz w:val="24"/>
          <w:highlight w:val="none"/>
        </w:rPr>
        <w:t>包括但不限于对合同设备数量、规格、外观完好性进行检验。经验收合格后，甲方签发开箱检验合格证明。开箱验收合格前，设备的损坏风险由乙方承担。</w:t>
      </w:r>
    </w:p>
    <w:p>
      <w:pPr>
        <w:widowControl/>
        <w:adjustRightInd w:val="0"/>
        <w:snapToGrid w:val="0"/>
        <w:spacing w:line="360" w:lineRule="auto"/>
        <w:jc w:val="left"/>
        <w:rPr>
          <w:rFonts w:ascii="宋体" w:hAnsi="宋体" w:cs="宋体"/>
          <w:color w:val="auto"/>
          <w:sz w:val="24"/>
          <w:highlight w:val="none"/>
        </w:rPr>
      </w:pPr>
      <w:r>
        <w:rPr>
          <w:rFonts w:ascii="宋体" w:hAnsi="宋体" w:cs="宋体"/>
          <w:color w:val="auto"/>
          <w:sz w:val="24"/>
          <w:highlight w:val="none"/>
        </w:rPr>
        <w:t xml:space="preserve">    7.4</w:t>
      </w:r>
      <w:r>
        <w:rPr>
          <w:rFonts w:hint="eastAsia" w:ascii="宋体" w:hAnsi="宋体" w:cs="宋体"/>
          <w:color w:val="auto"/>
          <w:sz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widowControl/>
        <w:spacing w:after="160" w:line="360" w:lineRule="auto"/>
        <w:jc w:val="left"/>
        <w:rPr>
          <w:rFonts w:ascii="宋体" w:hAnsi="宋体" w:cs="宋体"/>
          <w:color w:val="auto"/>
          <w:sz w:val="24"/>
          <w:highlight w:val="none"/>
        </w:rPr>
      </w:pPr>
      <w:r>
        <w:rPr>
          <w:rFonts w:ascii="宋体" w:hAnsi="宋体" w:cs="宋体"/>
          <w:color w:val="auto"/>
          <w:sz w:val="24"/>
          <w:highlight w:val="none"/>
        </w:rPr>
        <w:t xml:space="preserve">    7.5</w:t>
      </w:r>
      <w:r>
        <w:rPr>
          <w:rFonts w:hint="eastAsia" w:ascii="宋体" w:hAnsi="宋体" w:cs="宋体"/>
          <w:color w:val="auto"/>
          <w:sz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highlight w:val="none"/>
        </w:rPr>
        <w:t>7.4</w:t>
      </w:r>
      <w:r>
        <w:rPr>
          <w:rFonts w:hint="eastAsia" w:ascii="宋体" w:hAnsi="宋体" w:cs="宋体"/>
          <w:color w:val="auto"/>
          <w:sz w:val="24"/>
          <w:highlight w:val="none"/>
        </w:rPr>
        <w:t>条执行，交货时间不顺延。</w:t>
      </w:r>
    </w:p>
    <w:p>
      <w:pPr>
        <w:widowControl/>
        <w:spacing w:line="360" w:lineRule="auto"/>
        <w:jc w:val="left"/>
        <w:rPr>
          <w:rFonts w:ascii="宋体" w:hAnsi="宋体" w:cs="宋体"/>
          <w:color w:val="auto"/>
          <w:sz w:val="24"/>
          <w:highlight w:val="none"/>
        </w:rPr>
      </w:pPr>
      <w:r>
        <w:rPr>
          <w:rFonts w:ascii="宋体" w:hAnsi="宋体" w:cs="宋体"/>
          <w:color w:val="auto"/>
          <w:sz w:val="24"/>
          <w:highlight w:val="none"/>
        </w:rPr>
        <w:t xml:space="preserve">    7.6 </w:t>
      </w:r>
      <w:r>
        <w:rPr>
          <w:rFonts w:hint="eastAsia" w:ascii="宋体" w:hAnsi="宋体" w:cs="宋体"/>
          <w:color w:val="auto"/>
          <w:sz w:val="24"/>
          <w:highlight w:val="none"/>
        </w:rPr>
        <w:t>甲方有权对合同设备进行原厂正品验证，若合同设备无法获原厂验证，甲方有权退回设备，要求乙方在</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个工作日内退回已支付款项并按设备价格的</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50</w:t>
      </w:r>
      <w:r>
        <w:rPr>
          <w:rFonts w:ascii="宋体" w:hAnsi="宋体" w:cs="宋体"/>
          <w:color w:val="auto"/>
          <w:sz w:val="24"/>
          <w:highlight w:val="none"/>
          <w:u w:val="single"/>
        </w:rPr>
        <w:t xml:space="preserve">  </w:t>
      </w:r>
      <w:r>
        <w:rPr>
          <w:rFonts w:ascii="宋体" w:hAnsi="宋体" w:cs="宋体"/>
          <w:color w:val="auto"/>
          <w:sz w:val="24"/>
          <w:highlight w:val="none"/>
        </w:rPr>
        <w:t>%</w:t>
      </w:r>
      <w:r>
        <w:rPr>
          <w:rFonts w:hint="eastAsia" w:ascii="宋体" w:hAnsi="宋体" w:cs="宋体"/>
          <w:color w:val="auto"/>
          <w:sz w:val="24"/>
          <w:highlight w:val="none"/>
        </w:rPr>
        <w:t>支付违约金。</w:t>
      </w:r>
    </w:p>
    <w:bookmarkEnd w:id="12"/>
    <w:bookmarkEnd w:id="13"/>
    <w:bookmarkEnd w:id="14"/>
    <w:bookmarkEnd w:id="15"/>
    <w:bookmarkEnd w:id="16"/>
    <w:bookmarkEnd w:id="17"/>
    <w:bookmarkEnd w:id="18"/>
    <w:p>
      <w:pPr>
        <w:widowControl/>
        <w:spacing w:before="120" w:after="120" w:line="360" w:lineRule="auto"/>
        <w:ind w:firstLine="482" w:firstLineChars="200"/>
        <w:jc w:val="left"/>
        <w:rPr>
          <w:rFonts w:ascii="宋体" w:hAnsi="宋体" w:cs="宋体"/>
          <w:b/>
          <w:color w:val="auto"/>
          <w:sz w:val="24"/>
          <w:highlight w:val="none"/>
        </w:rPr>
      </w:pPr>
      <w:bookmarkStart w:id="26" w:name="_Toc518992990"/>
      <w:bookmarkStart w:id="27" w:name="_Toc474245215"/>
      <w:bookmarkStart w:id="28" w:name="_Toc520190030"/>
      <w:bookmarkStart w:id="29" w:name="_Toc257"/>
      <w:bookmarkStart w:id="30" w:name="_Toc183666534"/>
      <w:r>
        <w:rPr>
          <w:rFonts w:hint="eastAsia" w:ascii="宋体" w:hAnsi="宋体" w:cs="宋体"/>
          <w:b/>
          <w:color w:val="auto"/>
          <w:sz w:val="24"/>
          <w:highlight w:val="none"/>
        </w:rPr>
        <w:t>第八条</w:t>
      </w:r>
      <w:r>
        <w:rPr>
          <w:rFonts w:ascii="宋体" w:hAnsi="宋体" w:cs="宋体"/>
          <w:b/>
          <w:color w:val="auto"/>
          <w:sz w:val="24"/>
          <w:highlight w:val="none"/>
        </w:rPr>
        <w:t xml:space="preserve"> </w:t>
      </w:r>
      <w:r>
        <w:rPr>
          <w:rFonts w:hint="eastAsia" w:ascii="宋体" w:hAnsi="宋体" w:cs="宋体"/>
          <w:b/>
          <w:color w:val="auto"/>
          <w:sz w:val="24"/>
          <w:highlight w:val="none"/>
        </w:rPr>
        <w:t>包装</w:t>
      </w:r>
      <w:bookmarkEnd w:id="26"/>
      <w:bookmarkEnd w:id="27"/>
      <w:bookmarkEnd w:id="28"/>
      <w:r>
        <w:rPr>
          <w:rFonts w:hint="eastAsia" w:ascii="宋体" w:hAnsi="宋体" w:cs="宋体"/>
          <w:b/>
          <w:color w:val="auto"/>
          <w:sz w:val="24"/>
          <w:highlight w:val="none"/>
        </w:rPr>
        <w:t>、标示及运输要求</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8.1 </w:t>
      </w:r>
      <w:r>
        <w:rPr>
          <w:rFonts w:hint="eastAsia" w:ascii="宋体" w:hAnsi="宋体" w:cs="宋体"/>
          <w:bCs/>
          <w:color w:val="auto"/>
          <w:sz w:val="24"/>
          <w:highlight w:val="none"/>
        </w:rPr>
        <w:t>包装</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8.1.1</w:t>
      </w:r>
      <w:r>
        <w:rPr>
          <w:rFonts w:hint="eastAsia" w:ascii="宋体" w:hAnsi="宋体" w:cs="宋体"/>
          <w:bCs/>
          <w:color w:val="auto"/>
          <w:sz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8.1.2</w:t>
      </w:r>
      <w:r>
        <w:rPr>
          <w:rFonts w:hint="eastAsia" w:ascii="宋体" w:hAnsi="宋体" w:cs="宋体"/>
          <w:bCs/>
          <w:color w:val="auto"/>
          <w:sz w:val="24"/>
          <w:highlight w:val="none"/>
        </w:rPr>
        <w:t>超限设备的包装要求：</w:t>
      </w:r>
      <w:r>
        <w:rPr>
          <w:rFonts w:ascii="宋体" w:hAnsi="宋体" w:cs="宋体"/>
          <w:bCs/>
          <w:color w:val="auto"/>
          <w:sz w:val="24"/>
          <w:highlight w:val="none"/>
          <w:u w:val="single"/>
        </w:rPr>
        <w:t xml:space="preserve">  /  </w:t>
      </w:r>
      <w:r>
        <w:rPr>
          <w:rFonts w:hint="eastAsia" w:ascii="宋体" w:hAnsi="宋体" w:cs="宋体"/>
          <w:bCs/>
          <w:color w:val="auto"/>
          <w:sz w:val="24"/>
          <w:highlight w:val="none"/>
        </w:rPr>
        <w:t>。</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8.2 </w:t>
      </w:r>
      <w:bookmarkStart w:id="31" w:name="_Toc107447244"/>
      <w:bookmarkStart w:id="32" w:name="_Toc107446851"/>
      <w:r>
        <w:rPr>
          <w:rFonts w:hint="eastAsia" w:ascii="宋体" w:hAnsi="宋体" w:cs="宋体"/>
          <w:bCs/>
          <w:color w:val="auto"/>
          <w:sz w:val="24"/>
          <w:highlight w:val="none"/>
        </w:rPr>
        <w:t>标志</w:t>
      </w:r>
    </w:p>
    <w:bookmarkEnd w:id="31"/>
    <w:bookmarkEnd w:id="32"/>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8.2.1</w:t>
      </w:r>
      <w:r>
        <w:rPr>
          <w:rFonts w:hint="eastAsia" w:ascii="宋体" w:hAnsi="宋体" w:cs="宋体"/>
          <w:bCs/>
          <w:color w:val="auto"/>
          <w:sz w:val="24"/>
          <w:highlight w:val="none"/>
        </w:rPr>
        <w:t>乙方应按照国家标准对设备的外包装进行标志。</w:t>
      </w:r>
    </w:p>
    <w:p>
      <w:pPr>
        <w:widowControl/>
        <w:adjustRightInd w:val="0"/>
        <w:snapToGrid w:val="0"/>
        <w:spacing w:line="360" w:lineRule="auto"/>
        <w:ind w:firstLine="480" w:firstLineChars="200"/>
        <w:jc w:val="left"/>
        <w:rPr>
          <w:rFonts w:ascii="宋体" w:hAnsi="宋体" w:cs="宋体"/>
          <w:bCs/>
          <w:color w:val="auto"/>
          <w:sz w:val="24"/>
          <w:highlight w:val="none"/>
        </w:rPr>
      </w:pPr>
      <w:r>
        <w:rPr>
          <w:rFonts w:ascii="宋体" w:hAnsi="宋体" w:cs="宋体"/>
          <w:color w:val="auto"/>
          <w:sz w:val="24"/>
          <w:highlight w:val="none"/>
        </w:rPr>
        <w:t>8.2.2</w:t>
      </w:r>
      <w:r>
        <w:rPr>
          <w:rFonts w:hint="eastAsia" w:ascii="宋体" w:hAnsi="宋体" w:cs="宋体"/>
          <w:color w:val="auto"/>
          <w:sz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widowControl/>
        <w:adjustRightInd w:val="0"/>
        <w:snapToGrid w:val="0"/>
        <w:spacing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 xml:space="preserve">8.2.3  </w:t>
      </w:r>
      <w:r>
        <w:rPr>
          <w:rFonts w:hint="eastAsia" w:ascii="宋体" w:hAnsi="宋体" w:cs="宋体"/>
          <w:bCs/>
          <w:color w:val="auto"/>
          <w:sz w:val="24"/>
          <w:highlight w:val="none"/>
        </w:rPr>
        <w:t>如由于包装不当或包装箱内部保护措施不符合要求而导致在装车或运输中发生设备或其任何部件的损坏或遗失，乙方应自费对缺损的设备、部件进行修理、更换或补供。</w:t>
      </w:r>
      <w:bookmarkStart w:id="33" w:name="_Toc518992992"/>
      <w:bookmarkStart w:id="34" w:name="_Toc183666521"/>
      <w:bookmarkStart w:id="35" w:name="_Toc474245218"/>
      <w:bookmarkStart w:id="36" w:name="_Toc306350457"/>
      <w:bookmarkStart w:id="37" w:name="_Toc9269"/>
      <w:bookmarkStart w:id="38" w:name="_Toc520190032"/>
    </w:p>
    <w:p>
      <w:pPr>
        <w:widowControl/>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rPr>
        <w:t>运输</w:t>
      </w:r>
    </w:p>
    <w:p>
      <w:pPr>
        <w:widowControl/>
        <w:adjustRightInd w:val="0"/>
        <w:snapToGrid w:val="0"/>
        <w:spacing w:after="16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8.3.1</w:t>
      </w:r>
      <w:r>
        <w:rPr>
          <w:rFonts w:hint="eastAsia" w:ascii="宋体" w:hAnsi="宋体" w:cs="宋体"/>
          <w:color w:val="auto"/>
          <w:sz w:val="24"/>
          <w:highlight w:val="none"/>
        </w:rPr>
        <w:t>乙方应自行选择适宜的运输工具及线路安排合同设备运输。</w:t>
      </w:r>
    </w:p>
    <w:p>
      <w:pPr>
        <w:widowControl/>
        <w:adjustRightInd w:val="0"/>
        <w:snapToGrid w:val="0"/>
        <w:spacing w:after="16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 xml:space="preserve">8.3.2 </w:t>
      </w:r>
      <w:r>
        <w:rPr>
          <w:rFonts w:hint="eastAsia" w:ascii="宋体" w:hAnsi="宋体" w:cs="宋体"/>
          <w:color w:val="auto"/>
          <w:sz w:val="24"/>
          <w:highlight w:val="none"/>
        </w:rPr>
        <w:t>除合同条款另有约定外，每件设备的备品备件应整套装运。</w:t>
      </w:r>
    </w:p>
    <w:p>
      <w:pPr>
        <w:widowControl/>
        <w:adjustRightInd w:val="0"/>
        <w:snapToGrid w:val="0"/>
        <w:spacing w:after="16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 xml:space="preserve">8.3.3 </w:t>
      </w:r>
      <w:r>
        <w:rPr>
          <w:rFonts w:hint="eastAsia" w:ascii="宋体" w:hAnsi="宋体" w:cs="宋体"/>
          <w:color w:val="auto"/>
          <w:sz w:val="24"/>
          <w:highlight w:val="none"/>
        </w:rPr>
        <w:t>除合同条款另有约定外，乙方应在合同设备预计启运</w:t>
      </w:r>
      <w:r>
        <w:rPr>
          <w:rFonts w:ascii="宋体" w:hAnsi="宋体" w:cs="宋体"/>
          <w:color w:val="auto"/>
          <w:sz w:val="24"/>
          <w:highlight w:val="none"/>
        </w:rPr>
        <w:t>7</w:t>
      </w:r>
      <w:r>
        <w:rPr>
          <w:rFonts w:hint="eastAsia" w:ascii="宋体" w:hAnsi="宋体" w:cs="宋体"/>
          <w:color w:val="auto"/>
          <w:sz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highlight w:val="none"/>
        </w:rPr>
        <w:t xml:space="preserve"> 24 </w:t>
      </w:r>
      <w:r>
        <w:rPr>
          <w:rFonts w:hint="eastAsia" w:ascii="宋体" w:hAnsi="宋体" w:cs="宋体"/>
          <w:color w:val="auto"/>
          <w:sz w:val="24"/>
          <w:highlight w:val="none"/>
        </w:rPr>
        <w:t>小时之内正式通知甲方。</w:t>
      </w:r>
    </w:p>
    <w:bookmarkEnd w:id="33"/>
    <w:bookmarkEnd w:id="34"/>
    <w:bookmarkEnd w:id="35"/>
    <w:bookmarkEnd w:id="36"/>
    <w:bookmarkEnd w:id="37"/>
    <w:bookmarkEnd w:id="38"/>
    <w:p>
      <w:pPr>
        <w:widowControl/>
        <w:adjustRightInd w:val="0"/>
        <w:snapToGrid w:val="0"/>
        <w:spacing w:before="156" w:beforeLines="50" w:after="156" w:afterLines="50" w:line="360" w:lineRule="auto"/>
        <w:ind w:firstLine="482" w:firstLineChars="200"/>
        <w:jc w:val="left"/>
        <w:rPr>
          <w:rFonts w:ascii="宋体" w:hAnsi="宋体" w:cs="宋体"/>
          <w:color w:val="auto"/>
          <w:sz w:val="24"/>
          <w:highlight w:val="none"/>
        </w:rPr>
      </w:pPr>
      <w:bookmarkStart w:id="39" w:name="_Toc183666522"/>
      <w:bookmarkStart w:id="40" w:name="_Toc18496"/>
      <w:bookmarkStart w:id="41" w:name="_Toc306350458"/>
      <w:r>
        <w:rPr>
          <w:rFonts w:hint="eastAsia" w:ascii="宋体" w:hAnsi="宋体" w:cs="宋体"/>
          <w:b/>
          <w:color w:val="auto"/>
          <w:sz w:val="24"/>
          <w:highlight w:val="none"/>
        </w:rPr>
        <w:t>第九条</w:t>
      </w:r>
      <w:r>
        <w:rPr>
          <w:rFonts w:ascii="宋体" w:hAnsi="宋体" w:cs="宋体"/>
          <w:b/>
          <w:color w:val="auto"/>
          <w:sz w:val="24"/>
          <w:highlight w:val="none"/>
        </w:rPr>
        <w:t xml:space="preserve"> </w:t>
      </w:r>
      <w:r>
        <w:rPr>
          <w:rFonts w:hint="eastAsia" w:ascii="宋体" w:hAnsi="宋体" w:cs="宋体"/>
          <w:b/>
          <w:color w:val="auto"/>
          <w:sz w:val="24"/>
          <w:highlight w:val="none"/>
        </w:rPr>
        <w:t>技术服务</w:t>
      </w:r>
    </w:p>
    <w:p>
      <w:pPr>
        <w:widowControl/>
        <w:adjustRightInd w:val="0"/>
        <w:snapToGrid w:val="0"/>
        <w:spacing w:after="16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 xml:space="preserve">9.1  </w:t>
      </w:r>
      <w:r>
        <w:rPr>
          <w:rFonts w:hint="eastAsia" w:ascii="宋体" w:hAnsi="宋体" w:cs="宋体"/>
          <w:color w:val="auto"/>
          <w:sz w:val="24"/>
          <w:highlight w:val="none"/>
        </w:rPr>
        <w:t>乙方应按甲方需求，派遣技术熟练、称职的技术人员到现场为甲方提供设备调试运行等技术服务。</w:t>
      </w:r>
    </w:p>
    <w:p>
      <w:pPr>
        <w:widowControl/>
        <w:adjustRightInd w:val="0"/>
        <w:snapToGrid w:val="0"/>
        <w:spacing w:after="16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 xml:space="preserve">9.2  </w:t>
      </w:r>
      <w:r>
        <w:rPr>
          <w:rFonts w:hint="eastAsia" w:ascii="宋体" w:hAnsi="宋体" w:cs="宋体"/>
          <w:color w:val="auto"/>
          <w:sz w:val="24"/>
          <w:highlight w:val="none"/>
        </w:rPr>
        <w:t>甲方为乙方技术人员提供工作条件及便利，包括但不限于必要的办公场所、技术资料及出入许可等。除合同另有约定外，乙方技术人员的交通、食宿费用由乙方承担。</w:t>
      </w:r>
    </w:p>
    <w:p>
      <w:pPr>
        <w:widowControl/>
        <w:adjustRightInd w:val="0"/>
        <w:snapToGrid w:val="0"/>
        <w:spacing w:after="16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 xml:space="preserve">9.3  </w:t>
      </w:r>
      <w:r>
        <w:rPr>
          <w:rFonts w:hint="eastAsia" w:ascii="宋体" w:hAnsi="宋体" w:cs="宋体"/>
          <w:color w:val="auto"/>
          <w:sz w:val="24"/>
          <w:highlight w:val="none"/>
        </w:rPr>
        <w:t>乙方技术人员应遵守甲方施工现场的各项规章制度和安全操作规程，并服从甲方的现场管理。</w:t>
      </w:r>
    </w:p>
    <w:p>
      <w:pPr>
        <w:widowControl/>
        <w:adjustRightInd w:val="0"/>
        <w:snapToGrid w:val="0"/>
        <w:spacing w:after="16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 xml:space="preserve">9.4  </w:t>
      </w:r>
      <w:r>
        <w:rPr>
          <w:rFonts w:hint="eastAsia" w:ascii="宋体" w:hAnsi="宋体" w:cs="宋体"/>
          <w:color w:val="auto"/>
          <w:sz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39"/>
    <w:bookmarkEnd w:id="40"/>
    <w:bookmarkEnd w:id="41"/>
    <w:p>
      <w:pPr>
        <w:widowControl/>
        <w:autoSpaceDE w:val="0"/>
        <w:autoSpaceDN w:val="0"/>
        <w:adjustRightInd w:val="0"/>
        <w:spacing w:after="160" w:line="360" w:lineRule="auto"/>
        <w:ind w:firstLine="482" w:firstLineChars="200"/>
        <w:jc w:val="left"/>
        <w:rPr>
          <w:rFonts w:ascii="宋体" w:hAnsi="宋体" w:cs="宋体"/>
          <w:b/>
          <w:color w:val="auto"/>
          <w:sz w:val="24"/>
          <w:highlight w:val="none"/>
        </w:rPr>
      </w:pPr>
      <w:bookmarkStart w:id="42" w:name="_Toc518992994"/>
      <w:bookmarkStart w:id="43" w:name="_Toc474245220"/>
      <w:bookmarkStart w:id="44" w:name="_Toc520190034"/>
      <w:bookmarkStart w:id="45" w:name="_Toc4682"/>
      <w:bookmarkStart w:id="46" w:name="_Toc306350459"/>
      <w:bookmarkStart w:id="47" w:name="_Toc183666523"/>
      <w:r>
        <w:rPr>
          <w:rFonts w:hint="eastAsia" w:ascii="宋体" w:hAnsi="宋体" w:cs="宋体"/>
          <w:b/>
          <w:color w:val="auto"/>
          <w:sz w:val="24"/>
          <w:highlight w:val="none"/>
        </w:rPr>
        <w:t>第十条</w:t>
      </w:r>
      <w:r>
        <w:rPr>
          <w:rFonts w:ascii="宋体" w:hAnsi="宋体" w:cs="宋体"/>
          <w:b/>
          <w:color w:val="auto"/>
          <w:sz w:val="24"/>
          <w:highlight w:val="none"/>
        </w:rPr>
        <w:t xml:space="preserve"> </w:t>
      </w:r>
      <w:r>
        <w:rPr>
          <w:rFonts w:hint="eastAsia" w:ascii="宋体" w:hAnsi="宋体" w:cs="宋体"/>
          <w:b/>
          <w:color w:val="auto"/>
          <w:sz w:val="24"/>
          <w:highlight w:val="none"/>
        </w:rPr>
        <w:t>质量保</w:t>
      </w:r>
      <w:bookmarkEnd w:id="42"/>
      <w:bookmarkEnd w:id="43"/>
      <w:bookmarkEnd w:id="44"/>
      <w:r>
        <w:rPr>
          <w:rFonts w:hint="eastAsia" w:ascii="宋体" w:hAnsi="宋体" w:cs="宋体"/>
          <w:b/>
          <w:color w:val="auto"/>
          <w:sz w:val="24"/>
          <w:highlight w:val="none"/>
        </w:rPr>
        <w:t>修</w:t>
      </w:r>
    </w:p>
    <w:p>
      <w:pPr>
        <w:widowControl/>
        <w:tabs>
          <w:tab w:val="left" w:pos="851"/>
        </w:tabs>
        <w:adjustRightInd w:val="0"/>
        <w:snapToGrid w:val="0"/>
        <w:spacing w:after="16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保修期：自</w:t>
      </w:r>
      <w:r>
        <w:rPr>
          <w:rFonts w:hint="eastAsia" w:ascii="宋体" w:hAnsi="宋体" w:cs="宋体"/>
          <w:color w:val="auto"/>
          <w:kern w:val="0"/>
          <w:sz w:val="24"/>
          <w:highlight w:val="none"/>
          <w:lang w:val="zh-CN"/>
        </w:rPr>
        <w:t>设备</w:t>
      </w:r>
      <w:r>
        <w:rPr>
          <w:rFonts w:hint="eastAsia" w:ascii="宋体" w:hAnsi="宋体" w:cs="宋体"/>
          <w:color w:val="auto"/>
          <w:kern w:val="0"/>
          <w:sz w:val="24"/>
          <w:highlight w:val="none"/>
        </w:rPr>
        <w:t>开箱</w:t>
      </w:r>
      <w:r>
        <w:rPr>
          <w:rFonts w:hint="eastAsia" w:ascii="宋体" w:hAnsi="宋体" w:cs="宋体"/>
          <w:color w:val="auto"/>
          <w:kern w:val="0"/>
          <w:sz w:val="24"/>
          <w:highlight w:val="none"/>
          <w:lang w:val="zh-CN"/>
        </w:rPr>
        <w:t>验收合格之日起</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rPr>
        <w:t>。保修期内乙方应免费对设备进行日常维护保养及质量缺陷修复。</w:t>
      </w:r>
      <w:r>
        <w:rPr>
          <w:rFonts w:ascii="宋体" w:hAnsi="宋体" w:cs="宋体"/>
          <w:color w:val="auto"/>
          <w:sz w:val="24"/>
          <w:highlight w:val="none"/>
        </w:rPr>
        <w:t xml:space="preserve">                                          </w:t>
      </w:r>
    </w:p>
    <w:p>
      <w:pPr>
        <w:widowControl/>
        <w:tabs>
          <w:tab w:val="left" w:pos="851"/>
        </w:tabs>
        <w:adjustRightInd w:val="0"/>
        <w:snapToGrid w:val="0"/>
        <w:spacing w:after="160" w:line="360" w:lineRule="auto"/>
        <w:ind w:firstLine="480" w:firstLineChars="200"/>
        <w:jc w:val="left"/>
        <w:rPr>
          <w:rFonts w:ascii="宋体" w:hAnsi="宋体" w:cs="宋体"/>
          <w:color w:val="auto"/>
          <w:kern w:val="0"/>
          <w:sz w:val="24"/>
          <w:highlight w:val="none"/>
          <w:lang w:val="zh-CN"/>
        </w:rPr>
      </w:pPr>
      <w:r>
        <w:rPr>
          <w:rFonts w:ascii="宋体" w:hAnsi="宋体" w:cs="宋体"/>
          <w:color w:val="auto"/>
          <w:sz w:val="24"/>
          <w:highlight w:val="none"/>
        </w:rPr>
        <w:t>10.2</w:t>
      </w:r>
      <w:r>
        <w:rPr>
          <w:rFonts w:hint="eastAsia" w:ascii="宋体" w:hAnsi="宋体" w:cs="宋体"/>
          <w:color w:val="auto"/>
          <w:kern w:val="0"/>
          <w:sz w:val="24"/>
          <w:highlight w:val="none"/>
        </w:rPr>
        <w:t>保修</w:t>
      </w:r>
      <w:r>
        <w:rPr>
          <w:rFonts w:hint="eastAsia" w:ascii="宋体" w:hAnsi="宋体" w:cs="宋体"/>
          <w:color w:val="auto"/>
          <w:kern w:val="0"/>
          <w:sz w:val="24"/>
          <w:highlight w:val="none"/>
          <w:lang w:val="zh-CN"/>
        </w:rPr>
        <w:t>期内，乙方应对设备质量问题负责。如设备质量问题导致</w:t>
      </w:r>
      <w:r>
        <w:rPr>
          <w:rFonts w:hint="eastAsia" w:ascii="宋体" w:hAnsi="宋体" w:cs="宋体"/>
          <w:color w:val="auto"/>
          <w:kern w:val="0"/>
          <w:sz w:val="24"/>
          <w:highlight w:val="none"/>
          <w:u w:val="single"/>
        </w:rPr>
        <w:t>视频会议系统</w:t>
      </w:r>
      <w:r>
        <w:rPr>
          <w:rFonts w:hint="eastAsia" w:ascii="宋体" w:hAnsi="宋体" w:cs="宋体"/>
          <w:color w:val="auto"/>
          <w:kern w:val="0"/>
          <w:sz w:val="24"/>
          <w:highlight w:val="none"/>
          <w:lang w:val="zh-CN"/>
        </w:rPr>
        <w:t>达不到合同要求的，乙方需无条件免费更换设备并支付合</w:t>
      </w:r>
      <w:r>
        <w:rPr>
          <w:rFonts w:hint="eastAsia" w:ascii="宋体" w:hAnsi="宋体" w:cs="宋体"/>
          <w:color w:val="auto"/>
          <w:kern w:val="0"/>
          <w:sz w:val="24"/>
          <w:highlight w:val="none"/>
          <w:u w:val="single"/>
          <w:lang w:val="zh-CN"/>
        </w:rPr>
        <w:t>同暂定总价的</w:t>
      </w:r>
      <w:r>
        <w:rPr>
          <w:rFonts w:hint="eastAsia" w:ascii="宋体" w:hAnsi="宋体" w:cs="宋体"/>
          <w:color w:val="auto"/>
          <w:kern w:val="0"/>
          <w:sz w:val="24"/>
          <w:highlight w:val="none"/>
          <w:u w:val="single"/>
          <w:lang w:val="en-US" w:eastAsia="zh-CN"/>
        </w:rPr>
        <w:t>2</w:t>
      </w:r>
      <w:r>
        <w:rPr>
          <w:rFonts w:ascii="宋体" w:hAnsi="宋体" w:cs="宋体"/>
          <w:color w:val="auto"/>
          <w:kern w:val="0"/>
          <w:sz w:val="24"/>
          <w:highlight w:val="none"/>
          <w:u w:val="single"/>
          <w:lang w:val="zh-CN"/>
        </w:rPr>
        <w:t>0%</w:t>
      </w:r>
      <w:r>
        <w:rPr>
          <w:rFonts w:hint="eastAsia" w:ascii="宋体" w:hAnsi="宋体" w:cs="宋体"/>
          <w:color w:val="auto"/>
          <w:kern w:val="0"/>
          <w:sz w:val="24"/>
          <w:highlight w:val="none"/>
          <w:u w:val="single"/>
          <w:lang w:val="zh-CN"/>
        </w:rPr>
        <w:t>作为</w:t>
      </w:r>
      <w:r>
        <w:rPr>
          <w:rFonts w:hint="eastAsia" w:ascii="宋体" w:hAnsi="宋体" w:cs="宋体"/>
          <w:color w:val="auto"/>
          <w:kern w:val="0"/>
          <w:sz w:val="24"/>
          <w:highlight w:val="none"/>
          <w:lang w:val="zh-CN"/>
        </w:rPr>
        <w:t>违约金，</w:t>
      </w:r>
      <w:r>
        <w:rPr>
          <w:rFonts w:hint="eastAsia" w:ascii="宋体" w:hAnsi="宋体" w:cs="宋体"/>
          <w:color w:val="auto"/>
          <w:kern w:val="0"/>
          <w:sz w:val="24"/>
          <w:highlight w:val="none"/>
        </w:rPr>
        <w:t>由此产生的</w:t>
      </w:r>
      <w:r>
        <w:rPr>
          <w:rFonts w:hint="eastAsia" w:ascii="宋体" w:hAnsi="宋体" w:cs="宋体"/>
          <w:color w:val="auto"/>
          <w:kern w:val="0"/>
          <w:sz w:val="24"/>
          <w:highlight w:val="none"/>
          <w:lang w:val="zh-CN"/>
        </w:rPr>
        <w:t>费用由乙方承担。对涉及运营费用，乙方应保证在</w:t>
      </w:r>
      <w:r>
        <w:rPr>
          <w:rFonts w:hint="eastAsia" w:ascii="宋体" w:hAnsi="宋体" w:cs="宋体"/>
          <w:color w:val="auto"/>
          <w:kern w:val="0"/>
          <w:sz w:val="24"/>
          <w:highlight w:val="none"/>
        </w:rPr>
        <w:t>开箱</w:t>
      </w:r>
      <w:r>
        <w:rPr>
          <w:rFonts w:hint="eastAsia" w:ascii="宋体" w:hAnsi="宋体" w:cs="宋体"/>
          <w:color w:val="auto"/>
          <w:kern w:val="0"/>
          <w:sz w:val="24"/>
          <w:highlight w:val="none"/>
          <w:lang w:val="zh-CN"/>
        </w:rPr>
        <w:t>验收</w:t>
      </w:r>
      <w:r>
        <w:rPr>
          <w:rFonts w:hint="eastAsia" w:ascii="宋体" w:hAnsi="宋体" w:cs="宋体"/>
          <w:color w:val="auto"/>
          <w:kern w:val="0"/>
          <w:sz w:val="24"/>
          <w:highlight w:val="none"/>
        </w:rPr>
        <w:t>合格</w:t>
      </w:r>
      <w:r>
        <w:rPr>
          <w:rFonts w:hint="eastAsia" w:ascii="宋体" w:hAnsi="宋体" w:cs="宋体"/>
          <w:color w:val="auto"/>
          <w:kern w:val="0"/>
          <w:sz w:val="24"/>
          <w:highlight w:val="none"/>
          <w:lang w:val="zh-CN"/>
        </w:rPr>
        <w:t>后三年内，</w:t>
      </w:r>
      <w:r>
        <w:rPr>
          <w:rFonts w:hint="eastAsia" w:ascii="宋体" w:hAnsi="宋体" w:cs="宋体"/>
          <w:color w:val="auto"/>
          <w:kern w:val="0"/>
          <w:sz w:val="24"/>
          <w:highlight w:val="none"/>
        </w:rPr>
        <w:t>设备</w:t>
      </w:r>
      <w:r>
        <w:rPr>
          <w:rFonts w:hint="eastAsia" w:ascii="宋体" w:hAnsi="宋体" w:cs="宋体"/>
          <w:color w:val="auto"/>
          <w:kern w:val="0"/>
          <w:sz w:val="24"/>
          <w:highlight w:val="none"/>
          <w:lang w:val="zh-CN"/>
        </w:rPr>
        <w:t>运行费用不高于投标文件</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响应文件的承诺指标，</w:t>
      </w:r>
      <w:r>
        <w:rPr>
          <w:rFonts w:hint="eastAsia" w:ascii="宋体" w:hAnsi="宋体" w:cs="宋体"/>
          <w:color w:val="auto"/>
          <w:kern w:val="0"/>
          <w:sz w:val="24"/>
          <w:highlight w:val="none"/>
        </w:rPr>
        <w:t>否则，</w:t>
      </w:r>
      <w:r>
        <w:rPr>
          <w:rFonts w:hint="eastAsia" w:ascii="宋体" w:hAnsi="宋体" w:cs="宋体"/>
          <w:color w:val="auto"/>
          <w:kern w:val="0"/>
          <w:sz w:val="24"/>
          <w:highlight w:val="none"/>
          <w:lang w:val="zh-CN"/>
        </w:rPr>
        <w:t>乙方需无条件免费更换设备</w:t>
      </w:r>
      <w:r>
        <w:rPr>
          <w:rFonts w:hint="eastAsia" w:ascii="宋体" w:hAnsi="宋体" w:cs="宋体"/>
          <w:color w:val="auto"/>
          <w:kern w:val="0"/>
          <w:sz w:val="24"/>
          <w:highlight w:val="none"/>
        </w:rPr>
        <w:t>并支付违约金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50000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zh-CN"/>
        </w:rPr>
        <w:t>如有）。</w:t>
      </w:r>
    </w:p>
    <w:p>
      <w:pPr>
        <w:widowControl/>
        <w:tabs>
          <w:tab w:val="left" w:pos="851"/>
        </w:tabs>
        <w:adjustRightInd w:val="0"/>
        <w:snapToGrid w:val="0"/>
        <w:spacing w:after="160"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 xml:space="preserve">10.3 </w:t>
      </w:r>
      <w:r>
        <w:rPr>
          <w:rFonts w:hint="eastAsia" w:ascii="宋体" w:hAnsi="宋体" w:cs="宋体"/>
          <w:bCs/>
          <w:color w:val="auto"/>
          <w:sz w:val="24"/>
          <w:highlight w:val="none"/>
        </w:rPr>
        <w:t>保修期间由于设备本身原因产生的故障仍属质保范围，对更换或维修过的零部件从更换或维修完成并验收合格之日起，质量保修期重新计算。</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10.4 </w:t>
      </w:r>
      <w:r>
        <w:rPr>
          <w:rFonts w:hint="eastAsia" w:ascii="宋体" w:hAnsi="宋体" w:cs="宋体"/>
          <w:bCs/>
          <w:color w:val="auto"/>
          <w:sz w:val="24"/>
          <w:highlight w:val="none"/>
        </w:rPr>
        <w:t>质量保修期间，如合同设备出现故障，乙方应在接到甲方通知后</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30分钟</w:t>
      </w:r>
      <w:r>
        <w:rPr>
          <w:rFonts w:hint="eastAsia" w:ascii="宋体" w:hAnsi="宋体" w:cs="宋体"/>
          <w:bCs/>
          <w:color w:val="auto"/>
          <w:sz w:val="24"/>
          <w:highlight w:val="none"/>
        </w:rPr>
        <w:t>内通过电话、网络等提供远程技术指导，如甲方需要乙方到场的，乙方应在收到甲方通知后</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1</w:t>
      </w:r>
      <w:r>
        <w:rPr>
          <w:rFonts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rPr>
        <w:t>小时内派专业技术人员到场负责解决及维修故障。</w:t>
      </w:r>
      <w:bookmarkEnd w:id="45"/>
      <w:bookmarkEnd w:id="46"/>
      <w:bookmarkEnd w:id="47"/>
      <w:bookmarkStart w:id="48" w:name="_Toc107447250"/>
      <w:bookmarkStart w:id="49" w:name="_Toc306350464"/>
      <w:bookmarkStart w:id="50" w:name="_Toc520190037"/>
      <w:bookmarkStart w:id="51" w:name="_Toc27734"/>
      <w:bookmarkStart w:id="52" w:name="_Toc474245223"/>
      <w:bookmarkStart w:id="53" w:name="_Toc183666528"/>
      <w:bookmarkStart w:id="54" w:name="_Toc107446857"/>
      <w:bookmarkStart w:id="55" w:name="_Toc518992997"/>
      <w:r>
        <w:rPr>
          <w:rFonts w:hint="eastAsia" w:ascii="宋体" w:hAnsi="宋体" w:cs="宋体"/>
          <w:bCs/>
          <w:color w:val="auto"/>
          <w:sz w:val="24"/>
          <w:highlight w:val="none"/>
        </w:rPr>
        <w:t>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w:t>
      </w:r>
      <w:r>
        <w:rPr>
          <w:rFonts w:ascii="宋体" w:hAnsi="宋体" w:cs="宋体"/>
          <w:bCs/>
          <w:color w:val="auto"/>
          <w:sz w:val="24"/>
          <w:highlight w:val="none"/>
          <w:u w:val="single"/>
        </w:rPr>
        <w:t>10%/次</w:t>
      </w:r>
      <w:r>
        <w:rPr>
          <w:rFonts w:hint="eastAsia" w:ascii="宋体" w:hAnsi="宋体" w:cs="宋体"/>
          <w:bCs/>
          <w:color w:val="auto"/>
          <w:sz w:val="24"/>
          <w:highlight w:val="none"/>
        </w:rPr>
        <w:t>作为违约金。</w:t>
      </w:r>
    </w:p>
    <w:p>
      <w:pPr>
        <w:widowControl/>
        <w:spacing w:after="160" w:line="360" w:lineRule="auto"/>
        <w:ind w:firstLine="482"/>
        <w:jc w:val="left"/>
        <w:rPr>
          <w:rFonts w:ascii="宋体" w:hAnsi="宋体" w:cs="宋体"/>
          <w:bCs/>
          <w:color w:val="auto"/>
          <w:sz w:val="24"/>
          <w:highlight w:val="none"/>
        </w:rPr>
      </w:pPr>
      <w:r>
        <w:rPr>
          <w:rFonts w:hint="eastAsia" w:ascii="宋体" w:hAnsi="宋体" w:cs="宋体"/>
          <w:b/>
          <w:color w:val="auto"/>
          <w:sz w:val="24"/>
          <w:highlight w:val="none"/>
        </w:rPr>
        <w:t>第十一条</w:t>
      </w:r>
      <w:r>
        <w:rPr>
          <w:rFonts w:ascii="宋体" w:hAnsi="宋体" w:cs="宋体"/>
          <w:b/>
          <w:color w:val="auto"/>
          <w:sz w:val="24"/>
          <w:highlight w:val="none"/>
        </w:rPr>
        <w:t xml:space="preserve"> </w:t>
      </w:r>
      <w:r>
        <w:rPr>
          <w:rFonts w:hint="eastAsia" w:ascii="宋体" w:hAnsi="宋体" w:cs="宋体"/>
          <w:b/>
          <w:color w:val="auto"/>
          <w:sz w:val="24"/>
          <w:highlight w:val="none"/>
        </w:rPr>
        <w:t>违约责任</w:t>
      </w:r>
      <w:bookmarkEnd w:id="48"/>
      <w:bookmarkEnd w:id="49"/>
      <w:bookmarkEnd w:id="50"/>
      <w:bookmarkEnd w:id="51"/>
      <w:bookmarkEnd w:id="52"/>
      <w:bookmarkEnd w:id="53"/>
      <w:bookmarkEnd w:id="54"/>
      <w:bookmarkEnd w:id="55"/>
    </w:p>
    <w:p>
      <w:pPr>
        <w:widowControl/>
        <w:spacing w:after="160" w:line="360" w:lineRule="auto"/>
        <w:ind w:firstLine="482"/>
        <w:jc w:val="left"/>
        <w:rPr>
          <w:rFonts w:ascii="宋体" w:hAnsi="宋体" w:cs="宋体"/>
          <w:bCs/>
          <w:color w:val="auto"/>
          <w:sz w:val="24"/>
          <w:highlight w:val="none"/>
        </w:rPr>
      </w:pPr>
      <w:bookmarkStart w:id="56" w:name="_Toc5166"/>
      <w:bookmarkStart w:id="57" w:name="_Toc183666529"/>
      <w:bookmarkStart w:id="58" w:name="_Toc306350465"/>
      <w:r>
        <w:rPr>
          <w:rFonts w:ascii="宋体" w:hAnsi="宋体" w:cs="宋体"/>
          <w:bCs/>
          <w:color w:val="auto"/>
          <w:sz w:val="24"/>
          <w:highlight w:val="none"/>
        </w:rPr>
        <w:t xml:space="preserve">11.1 </w:t>
      </w:r>
      <w:r>
        <w:rPr>
          <w:rFonts w:hint="eastAsia" w:ascii="宋体" w:hAnsi="宋体" w:cs="宋体"/>
          <w:bCs/>
          <w:color w:val="auto"/>
          <w:sz w:val="24"/>
          <w:highlight w:val="none"/>
        </w:rPr>
        <w:t>延期交货的违约责任</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11.1.1 </w:t>
      </w:r>
      <w:r>
        <w:rPr>
          <w:rFonts w:hint="eastAsia" w:ascii="宋体" w:hAnsi="宋体" w:cs="宋体"/>
          <w:bCs/>
          <w:color w:val="auto"/>
          <w:sz w:val="24"/>
          <w:highlight w:val="none"/>
        </w:rPr>
        <w:t>乙方应按照本合同约定的时间交货。如乙方因客观情况导致无法按时交货，乙方应在交货期前</w:t>
      </w:r>
      <w:r>
        <w:rPr>
          <w:rFonts w:ascii="宋体" w:hAnsi="宋体" w:cs="宋体"/>
          <w:bCs/>
          <w:color w:val="auto"/>
          <w:sz w:val="24"/>
          <w:highlight w:val="none"/>
          <w:u w:val="single"/>
        </w:rPr>
        <w:t xml:space="preserve">  5  </w:t>
      </w:r>
      <w:r>
        <w:rPr>
          <w:rFonts w:hint="eastAsia" w:ascii="宋体" w:hAnsi="宋体" w:cs="宋体"/>
          <w:bCs/>
          <w:color w:val="auto"/>
          <w:sz w:val="24"/>
          <w:highlight w:val="none"/>
        </w:rPr>
        <w:t>日，以书面形式将原因及预计拖延的时间通知甲方。经甲方同意后，交货期顺延。</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11.1.2</w:t>
      </w:r>
      <w:r>
        <w:rPr>
          <w:rFonts w:hint="eastAsia" w:ascii="宋体" w:hAnsi="宋体" w:cs="宋体"/>
          <w:bCs/>
          <w:color w:val="auto"/>
          <w:sz w:val="24"/>
          <w:highlight w:val="none"/>
        </w:rPr>
        <w:t>乙方未能在合同规定期限内交货并交付完整技术资料的，每逾期一天，甲方有权按迟</w:t>
      </w:r>
      <w:r>
        <w:rPr>
          <w:rFonts w:hint="eastAsia" w:ascii="宋体" w:hAnsi="宋体" w:cs="宋体"/>
          <w:bCs/>
          <w:color w:val="auto"/>
          <w:sz w:val="24"/>
          <w:highlight w:val="none"/>
          <w:u w:val="single"/>
        </w:rPr>
        <w:t>交货设备价格的1</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bCs/>
          <w:color w:val="auto"/>
          <w:sz w:val="24"/>
          <w:highlight w:val="none"/>
        </w:rPr>
        <w:t>要求乙方支付违约金。逾期超过</w:t>
      </w:r>
      <w:r>
        <w:rPr>
          <w:rFonts w:ascii="宋体" w:hAnsi="宋体" w:cs="宋体"/>
          <w:bCs/>
          <w:color w:val="auto"/>
          <w:sz w:val="24"/>
          <w:highlight w:val="none"/>
          <w:u w:val="single"/>
        </w:rPr>
        <w:t xml:space="preserve"> 15 </w:t>
      </w:r>
      <w:r>
        <w:rPr>
          <w:rFonts w:hint="eastAsia" w:ascii="宋体" w:hAnsi="宋体" w:cs="宋体"/>
          <w:bCs/>
          <w:color w:val="auto"/>
          <w:sz w:val="24"/>
          <w:highlight w:val="none"/>
        </w:rPr>
        <w:t>天，甲方有权解除合同，要求乙方支付迟延违约金并在</w:t>
      </w:r>
      <w:r>
        <w:rPr>
          <w:rFonts w:ascii="宋体" w:hAnsi="宋体" w:cs="宋体"/>
          <w:bCs/>
          <w:color w:val="auto"/>
          <w:sz w:val="24"/>
          <w:highlight w:val="none"/>
        </w:rPr>
        <w:t>3</w:t>
      </w:r>
      <w:r>
        <w:rPr>
          <w:rFonts w:hint="eastAsia" w:ascii="宋体" w:hAnsi="宋体" w:cs="宋体"/>
          <w:bCs/>
          <w:color w:val="auto"/>
          <w:sz w:val="24"/>
          <w:highlight w:val="none"/>
        </w:rPr>
        <w:t>天内退回预付款及利息（如有），且扣除乙方履约担保全部金额（如有）。如由于乙方逾期交货对甲方生产造成影响，甲方有权要求乙方赔偿损失。</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质量问题的违约责任</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11.2.1 </w:t>
      </w:r>
      <w:r>
        <w:rPr>
          <w:rFonts w:hint="eastAsia" w:ascii="宋体" w:hAnsi="宋体" w:cs="宋体"/>
          <w:bCs/>
          <w:color w:val="auto"/>
          <w:sz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widowControl/>
        <w:spacing w:after="160" w:line="360" w:lineRule="auto"/>
        <w:ind w:firstLine="482"/>
        <w:jc w:val="left"/>
        <w:rPr>
          <w:rFonts w:ascii="宋体" w:hAns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）乙方承担费用，用合格的新设备更换有缺陷的设备或修补缺陷部分；</w:t>
      </w:r>
    </w:p>
    <w:p>
      <w:pPr>
        <w:widowControl/>
        <w:spacing w:after="160" w:line="360" w:lineRule="auto"/>
        <w:ind w:firstLine="482"/>
        <w:jc w:val="left"/>
        <w:rPr>
          <w:rFonts w:ascii="宋体" w:hAns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widowControl/>
        <w:spacing w:after="160" w:line="360" w:lineRule="auto"/>
        <w:ind w:firstLine="482"/>
        <w:jc w:val="left"/>
        <w:rPr>
          <w:rFonts w:ascii="宋体" w:hAns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3</w:t>
      </w:r>
      <w:r>
        <w:rPr>
          <w:rFonts w:hint="eastAsia" w:ascii="宋体" w:hAnsi="宋体" w:cs="宋体"/>
          <w:bCs/>
          <w:color w:val="auto"/>
          <w:sz w:val="24"/>
          <w:highlight w:val="none"/>
        </w:rPr>
        <w:t>）按不合格设备价格的</w:t>
      </w:r>
      <w:r>
        <w:rPr>
          <w:rFonts w:ascii="宋体" w:hAnsi="宋体" w:cs="宋体"/>
          <w:bCs/>
          <w:color w:val="auto"/>
          <w:sz w:val="24"/>
          <w:highlight w:val="none"/>
          <w:u w:val="single"/>
        </w:rPr>
        <w:t>50</w:t>
      </w:r>
      <w:r>
        <w:rPr>
          <w:rFonts w:ascii="宋体" w:hAnsi="宋体" w:cs="宋体"/>
          <w:bCs/>
          <w:color w:val="auto"/>
          <w:sz w:val="24"/>
          <w:highlight w:val="none"/>
        </w:rPr>
        <w:t>%</w:t>
      </w:r>
      <w:r>
        <w:rPr>
          <w:rFonts w:hint="eastAsia" w:ascii="宋体" w:hAnsi="宋体" w:cs="宋体"/>
          <w:bCs/>
          <w:color w:val="auto"/>
          <w:sz w:val="24"/>
          <w:highlight w:val="none"/>
        </w:rPr>
        <w:t>支付违约金。</w:t>
      </w:r>
    </w:p>
    <w:p>
      <w:pPr>
        <w:widowControl/>
        <w:numPr>
          <w:ilvl w:val="255"/>
          <w:numId w:val="0"/>
        </w:numPr>
        <w:spacing w:after="160"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4</w:t>
      </w:r>
      <w:r>
        <w:rPr>
          <w:rFonts w:hint="eastAsia" w:ascii="宋体" w:hAnsi="宋体" w:cs="宋体"/>
          <w:bCs/>
          <w:color w:val="auto"/>
          <w:sz w:val="24"/>
          <w:highlight w:val="none"/>
        </w:rPr>
        <w:t>）赔偿甲方因设备质量问题导致的一切损失。</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11.2.2 </w:t>
      </w:r>
      <w:r>
        <w:rPr>
          <w:rFonts w:hint="eastAsia" w:ascii="宋体" w:hAnsi="宋体" w:cs="宋体"/>
          <w:bCs/>
          <w:color w:val="auto"/>
          <w:sz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highlight w:val="none"/>
          <w:u w:val="single"/>
        </w:rPr>
        <w:t xml:space="preserve">  4  </w:t>
      </w:r>
      <w:r>
        <w:rPr>
          <w:rFonts w:hint="eastAsia" w:ascii="宋体" w:hAnsi="宋体" w:cs="宋体"/>
          <w:bCs/>
          <w:color w:val="auto"/>
          <w:sz w:val="24"/>
          <w:highlight w:val="none"/>
        </w:rPr>
        <w:t>小时内采取修理、更换、退货等补救措施并负担因此发生的费用，同时需向甲方支付</w:t>
      </w:r>
      <w:r>
        <w:rPr>
          <w:rFonts w:hint="eastAsia" w:ascii="宋体" w:hAnsi="宋体" w:cs="宋体"/>
          <w:bCs/>
          <w:color w:val="auto"/>
          <w:sz w:val="24"/>
          <w:highlight w:val="none"/>
          <w:u w:val="single"/>
        </w:rPr>
        <w:t>不合格设备价格的</w:t>
      </w:r>
      <w:r>
        <w:rPr>
          <w:rFonts w:ascii="宋体" w:hAnsi="宋体" w:cs="宋体"/>
          <w:bCs/>
          <w:color w:val="auto"/>
          <w:sz w:val="24"/>
          <w:highlight w:val="none"/>
          <w:u w:val="single"/>
        </w:rPr>
        <w:t xml:space="preserve"> 50 </w:t>
      </w:r>
      <w:r>
        <w:rPr>
          <w:rFonts w:ascii="宋体" w:hAnsi="宋体" w:cs="宋体"/>
          <w:bCs/>
          <w:color w:val="auto"/>
          <w:sz w:val="24"/>
          <w:highlight w:val="none"/>
        </w:rPr>
        <w:t>%</w:t>
      </w:r>
      <w:r>
        <w:rPr>
          <w:rFonts w:hint="eastAsia" w:ascii="宋体" w:hAnsi="宋体" w:cs="宋体"/>
          <w:bCs/>
          <w:color w:val="auto"/>
          <w:sz w:val="24"/>
          <w:highlight w:val="none"/>
        </w:rPr>
        <w:t>作为违约金。</w:t>
      </w:r>
    </w:p>
    <w:p>
      <w:pPr>
        <w:widowControl/>
        <w:spacing w:after="160" w:line="360"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11.2.3 </w:t>
      </w:r>
      <w:r>
        <w:rPr>
          <w:rFonts w:hint="eastAsia" w:ascii="宋体" w:hAnsi="宋体" w:cs="宋体"/>
          <w:bCs/>
          <w:color w:val="auto"/>
          <w:sz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 xml:space="preserve"> 100 %</w:t>
      </w:r>
      <w:r>
        <w:rPr>
          <w:rFonts w:hint="eastAsia" w:ascii="宋体" w:hAnsi="宋体" w:cs="宋体"/>
          <w:bCs/>
          <w:color w:val="auto"/>
          <w:sz w:val="24"/>
          <w:highlight w:val="none"/>
        </w:rPr>
        <w:t>支付违约金。</w:t>
      </w:r>
    </w:p>
    <w:p>
      <w:pPr>
        <w:widowControl/>
        <w:spacing w:after="16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 xml:space="preserve">11.2.4 </w:t>
      </w:r>
      <w:r>
        <w:rPr>
          <w:rFonts w:hint="eastAsia" w:ascii="宋体" w:hAnsi="宋体" w:cs="宋体"/>
          <w:color w:val="auto"/>
          <w:sz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如乙方未按合同六条约定递交履约保证金，甲方有权解除合同并要求乙方支付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w:t>
      </w:r>
      <w:r>
        <w:rPr>
          <w:rFonts w:ascii="宋体" w:hAnsi="宋体" w:cs="宋体"/>
          <w:bCs/>
          <w:color w:val="auto"/>
          <w:sz w:val="24"/>
          <w:highlight w:val="none"/>
        </w:rPr>
        <w:t xml:space="preserve"> </w:t>
      </w:r>
    </w:p>
    <w:p>
      <w:pPr>
        <w:widowControl/>
        <w:spacing w:after="160" w:line="360"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如双方对质量责任认定有争议，</w:t>
      </w:r>
      <w:r>
        <w:rPr>
          <w:rFonts w:hint="eastAsia" w:ascii="宋体" w:hAnsi="宋体" w:cs="宋体"/>
          <w:color w:val="auto"/>
          <w:sz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highlight w:val="none"/>
          <w:u w:val="single"/>
        </w:rPr>
        <w:t>_ 3 _</w:t>
      </w:r>
      <w:r>
        <w:rPr>
          <w:rFonts w:ascii="宋体" w:hAnsi="宋体" w:cs="宋体"/>
          <w:bCs/>
          <w:color w:val="auto"/>
          <w:sz w:val="24"/>
          <w:highlight w:val="none"/>
        </w:rPr>
        <w:t>日，甲方有权解除合同并要求乙方支付</w:t>
      </w:r>
      <w:r>
        <w:rPr>
          <w:rFonts w:hint="eastAsia" w:ascii="宋体" w:hAnsi="宋体" w:cs="宋体"/>
          <w:bCs/>
          <w:color w:val="auto"/>
          <w:sz w:val="24"/>
          <w:highlight w:val="none"/>
          <w:u w:val="single"/>
        </w:rPr>
        <w:t>合同暂定总价</w:t>
      </w:r>
      <w:r>
        <w:rPr>
          <w:rFonts w:ascii="宋体" w:hAnsi="宋体" w:cs="宋体"/>
          <w:bCs/>
          <w:color w:val="auto"/>
          <w:sz w:val="24"/>
          <w:highlight w:val="none"/>
          <w:u w:val="single"/>
        </w:rPr>
        <w:t>的20%</w:t>
      </w:r>
      <w:r>
        <w:rPr>
          <w:rFonts w:ascii="宋体" w:hAnsi="宋体" w:cs="宋体"/>
          <w:bCs/>
          <w:color w:val="auto"/>
          <w:sz w:val="24"/>
          <w:highlight w:val="none"/>
        </w:rPr>
        <w:t>作为违约金</w:t>
      </w:r>
      <w:r>
        <w:rPr>
          <w:rFonts w:hint="eastAsia" w:ascii="宋体" w:hAnsi="宋体" w:cs="宋体"/>
          <w:bCs/>
          <w:color w:val="auto"/>
          <w:sz w:val="24"/>
          <w:highlight w:val="none"/>
        </w:rPr>
        <w:t>（</w:t>
      </w:r>
      <w:r>
        <w:rPr>
          <w:rFonts w:hint="eastAsia" w:ascii="Calibri" w:hAnsi="Calibri" w:cs="宋体"/>
          <w:color w:val="auto"/>
          <w:sz w:val="24"/>
          <w:szCs w:val="22"/>
          <w:highlight w:val="none"/>
        </w:rPr>
        <w:t>如合同另行约定违约责任，从其约定</w:t>
      </w:r>
      <w:r>
        <w:rPr>
          <w:rFonts w:hint="eastAsia" w:ascii="宋体" w:hAnsi="宋体" w:cs="宋体"/>
          <w:bCs/>
          <w:color w:val="auto"/>
          <w:sz w:val="24"/>
          <w:highlight w:val="none"/>
        </w:rPr>
        <w:t>）</w:t>
      </w:r>
      <w:r>
        <w:rPr>
          <w:rFonts w:ascii="宋体" w:hAnsi="宋体" w:cs="宋体"/>
          <w:bCs/>
          <w:color w:val="auto"/>
          <w:sz w:val="24"/>
          <w:highlight w:val="none"/>
        </w:rPr>
        <w:t xml:space="preserve">。 </w:t>
      </w:r>
    </w:p>
    <w:p>
      <w:pPr>
        <w:widowControl/>
        <w:spacing w:after="160" w:line="360" w:lineRule="auto"/>
        <w:ind w:firstLine="482" w:firstLineChars="200"/>
        <w:jc w:val="left"/>
        <w:rPr>
          <w:rFonts w:ascii="宋体" w:hAnsi="宋体" w:cs="宋体"/>
          <w:b/>
          <w:color w:val="auto"/>
          <w:sz w:val="24"/>
          <w:highlight w:val="none"/>
        </w:rPr>
      </w:pPr>
      <w:bookmarkStart w:id="59" w:name="_Toc107447253"/>
      <w:bookmarkStart w:id="60" w:name="_Toc474245224"/>
      <w:bookmarkStart w:id="61" w:name="_Toc107447254"/>
      <w:bookmarkStart w:id="62" w:name="_Toc118086592"/>
      <w:bookmarkStart w:id="63" w:name="_Toc107446861"/>
      <w:bookmarkStart w:id="64" w:name="_Toc520190038"/>
      <w:bookmarkStart w:id="65" w:name="_Toc518992998"/>
      <w:bookmarkStart w:id="66" w:name="_Toc107446860"/>
      <w:r>
        <w:rPr>
          <w:rFonts w:hint="eastAsia" w:ascii="宋体" w:hAnsi="宋体" w:cs="宋体"/>
          <w:b/>
          <w:color w:val="auto"/>
          <w:sz w:val="24"/>
          <w:highlight w:val="none"/>
        </w:rPr>
        <w:t>第十二条</w:t>
      </w:r>
      <w:r>
        <w:rPr>
          <w:rFonts w:ascii="宋体" w:hAnsi="宋体" w:cs="宋体"/>
          <w:b/>
          <w:color w:val="auto"/>
          <w:sz w:val="24"/>
          <w:highlight w:val="none"/>
        </w:rPr>
        <w:t xml:space="preserve"> </w:t>
      </w:r>
      <w:r>
        <w:rPr>
          <w:rFonts w:hint="eastAsia" w:ascii="宋体" w:hAnsi="宋体" w:cs="宋体"/>
          <w:b/>
          <w:color w:val="auto"/>
          <w:sz w:val="24"/>
          <w:highlight w:val="none"/>
        </w:rPr>
        <w:t>变更或解除</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甲方解除合同</w:t>
      </w:r>
    </w:p>
    <w:p>
      <w:pPr>
        <w:widowControl/>
        <w:spacing w:after="160" w:line="360" w:lineRule="auto"/>
        <w:ind w:firstLine="482"/>
        <w:jc w:val="left"/>
        <w:rPr>
          <w:rFonts w:ascii="宋体" w:hAnsi="宋体" w:cs="宋体"/>
          <w:bCs/>
          <w:color w:val="auto"/>
          <w:sz w:val="24"/>
          <w:highlight w:val="none"/>
        </w:rPr>
      </w:pPr>
      <w:r>
        <w:rPr>
          <w:rFonts w:hint="eastAsia" w:ascii="宋体" w:hAnsi="宋体" w:cs="宋体"/>
          <w:bCs/>
          <w:color w:val="auto"/>
          <w:sz w:val="24"/>
          <w:highlight w:val="none"/>
        </w:rPr>
        <w:t>如乙方存在下述情况之一，甲方有权向乙方发出书面通知，全部或部分解除本合同：</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12.1.1 </w:t>
      </w:r>
      <w:r>
        <w:rPr>
          <w:rFonts w:hint="eastAsia" w:ascii="宋体" w:hAnsi="宋体" w:cs="宋体"/>
          <w:bCs/>
          <w:color w:val="auto"/>
          <w:sz w:val="24"/>
          <w:highlight w:val="none"/>
        </w:rPr>
        <w:t>乙方未能在本合同约定或甲方另行指定的期限内提供部分或全部设备或提供技术服务，并经甲方催告后仍未提供；</w:t>
      </w:r>
      <w:r>
        <w:rPr>
          <w:rFonts w:ascii="宋体" w:hAnsi="宋体" w:cs="宋体"/>
          <w:bCs/>
          <w:color w:val="auto"/>
          <w:sz w:val="24"/>
          <w:highlight w:val="none"/>
        </w:rPr>
        <w:t xml:space="preserve"> </w:t>
      </w:r>
    </w:p>
    <w:p>
      <w:pPr>
        <w:widowControl/>
        <w:spacing w:after="160"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12.1.2</w:t>
      </w:r>
      <w:r>
        <w:rPr>
          <w:rFonts w:hint="eastAsia" w:ascii="宋体" w:hAnsi="宋体" w:cs="宋体"/>
          <w:bCs/>
          <w:color w:val="auto"/>
          <w:sz w:val="24"/>
          <w:highlight w:val="none"/>
        </w:rPr>
        <w:t>乙方交付的设备存在严重的质量问题，导致本合同目的不能实现；</w:t>
      </w:r>
    </w:p>
    <w:p>
      <w:pPr>
        <w:widowControl/>
        <w:spacing w:after="160"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 xml:space="preserve">12.1.3 </w:t>
      </w:r>
      <w:r>
        <w:rPr>
          <w:rFonts w:hint="eastAsia" w:ascii="宋体" w:hAnsi="宋体" w:cs="宋体"/>
          <w:bCs/>
          <w:color w:val="auto"/>
          <w:sz w:val="24"/>
          <w:highlight w:val="none"/>
        </w:rPr>
        <w:t>乙方存在违反合同义务的其他情形，经甲方催告后仍未作出补救或完成整改；</w:t>
      </w:r>
    </w:p>
    <w:p>
      <w:pPr>
        <w:widowControl/>
        <w:spacing w:after="160"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 xml:space="preserve">12.1.4 </w:t>
      </w:r>
      <w:r>
        <w:rPr>
          <w:rFonts w:hint="eastAsia" w:ascii="宋体" w:hAnsi="宋体" w:cs="宋体"/>
          <w:bCs/>
          <w:color w:val="auto"/>
          <w:sz w:val="24"/>
          <w:highlight w:val="none"/>
        </w:rPr>
        <w:t>乙方投标时提交的资料不真实，或任何时候发现乙方有违反投标时的承诺和（或）声明的情况；</w:t>
      </w:r>
    </w:p>
    <w:p>
      <w:pPr>
        <w:widowControl/>
        <w:spacing w:after="160" w:line="360"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12.2 </w:t>
      </w:r>
      <w:r>
        <w:rPr>
          <w:rFonts w:hint="eastAsia" w:ascii="宋体" w:hAnsi="宋体" w:cs="宋体"/>
          <w:bCs/>
          <w:color w:val="auto"/>
          <w:sz w:val="24"/>
          <w:highlight w:val="none"/>
        </w:rPr>
        <w:t>乙方解除合同</w:t>
      </w:r>
    </w:p>
    <w:p>
      <w:pPr>
        <w:widowControl/>
        <w:spacing w:after="160" w:line="360" w:lineRule="auto"/>
        <w:ind w:firstLine="482"/>
        <w:jc w:val="left"/>
        <w:rPr>
          <w:rFonts w:ascii="宋体" w:hAnsi="宋体" w:cs="宋体"/>
          <w:color w:val="auto"/>
          <w:sz w:val="24"/>
          <w:highlight w:val="none"/>
        </w:rPr>
      </w:pPr>
      <w:r>
        <w:rPr>
          <w:rFonts w:hint="eastAsia" w:ascii="宋体" w:hAnsi="宋体" w:cs="宋体"/>
          <w:bCs/>
          <w:color w:val="auto"/>
          <w:sz w:val="24"/>
          <w:highlight w:val="none"/>
        </w:rPr>
        <w:t>如甲方无正当理由未能按本合同约定期限向乙方支付合同款，并经乙方催告后超过</w:t>
      </w:r>
      <w:r>
        <w:rPr>
          <w:rFonts w:ascii="宋体" w:hAnsi="宋体" w:cs="宋体"/>
          <w:bCs/>
          <w:color w:val="auto"/>
          <w:sz w:val="24"/>
          <w:highlight w:val="none"/>
        </w:rPr>
        <w:t xml:space="preserve">   </w:t>
      </w:r>
      <w:r>
        <w:rPr>
          <w:rFonts w:hint="eastAsia" w:ascii="宋体" w:hAnsi="宋体" w:cs="宋体"/>
          <w:bCs/>
          <w:color w:val="auto"/>
          <w:sz w:val="24"/>
          <w:highlight w:val="none"/>
        </w:rPr>
        <w:t>天仍未支付，乙方有权以书面通知解除本合同。</w:t>
      </w:r>
      <w:r>
        <w:rPr>
          <w:rFonts w:ascii="宋体" w:hAnsi="宋体" w:cs="宋体"/>
          <w:color w:val="auto"/>
          <w:sz w:val="24"/>
          <w:highlight w:val="none"/>
        </w:rPr>
        <w:br w:type="textWrapping"/>
      </w:r>
      <w:r>
        <w:rPr>
          <w:rFonts w:hint="eastAsia" w:ascii="宋体" w:hAnsi="宋体" w:cs="宋体"/>
          <w:color w:val="auto"/>
          <w:sz w:val="24"/>
          <w:highlight w:val="none"/>
        </w:rPr>
        <w:t> </w:t>
      </w:r>
      <w:r>
        <w:rPr>
          <w:rFonts w:ascii="宋体" w:hAnsi="宋体" w:cs="宋体"/>
          <w:color w:val="auto"/>
          <w:sz w:val="24"/>
          <w:highlight w:val="none"/>
        </w:rPr>
        <w:t xml:space="preserve">  12.3</w:t>
      </w:r>
      <w:r>
        <w:rPr>
          <w:rFonts w:hint="eastAsia" w:ascii="宋体" w:hAnsi="宋体" w:cs="宋体"/>
          <w:color w:val="auto"/>
          <w:sz w:val="24"/>
          <w:highlight w:val="none"/>
        </w:rPr>
        <w:t>甲乙双方经协商一致后解除合同。</w:t>
      </w:r>
    </w:p>
    <w:p>
      <w:pPr>
        <w:widowControl/>
        <w:spacing w:after="160" w:line="48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numPr>
          <w:ilvl w:val="255"/>
          <w:numId w:val="0"/>
        </w:numPr>
        <w:spacing w:after="160" w:line="48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after="160"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1）地震、火山爆发、滑坡、暴雨（橙色预警及以上）、台风（黄色预警及以上）、海啸、龙卷风、大面积流行病(如：非典型性肺炎等)或瘟疫；</w:t>
      </w:r>
    </w:p>
    <w:p>
      <w:pPr>
        <w:spacing w:after="160"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2）战争行为、入侵、武装冲突或外敌行为、封锁、暴乱、恐怖行为或军事演习；</w:t>
      </w:r>
    </w:p>
    <w:p>
      <w:pPr>
        <w:spacing w:after="160" w:line="48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after="16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widowControl/>
        <w:spacing w:after="160"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spacing w:after="160"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第十四条</w:t>
      </w:r>
      <w:r>
        <w:rPr>
          <w:rFonts w:ascii="宋体" w:hAnsi="宋体" w:cs="宋体"/>
          <w:b/>
          <w:color w:val="auto"/>
          <w:sz w:val="24"/>
          <w:highlight w:val="none"/>
        </w:rPr>
        <w:t xml:space="preserve"> </w:t>
      </w:r>
      <w:r>
        <w:rPr>
          <w:rFonts w:hint="eastAsia" w:ascii="宋体" w:hAnsi="宋体" w:cs="宋体"/>
          <w:b/>
          <w:color w:val="auto"/>
          <w:sz w:val="24"/>
          <w:highlight w:val="none"/>
        </w:rPr>
        <w:t>争议解决方式：</w:t>
      </w:r>
    </w:p>
    <w:p>
      <w:pPr>
        <w:widowControl/>
        <w:spacing w:after="160" w:line="360" w:lineRule="auto"/>
        <w:ind w:firstLine="600" w:firstLineChars="250"/>
        <w:jc w:val="left"/>
        <w:rPr>
          <w:rFonts w:ascii="宋体" w:hAnsi="宋体" w:cs="宋体"/>
          <w:color w:val="auto"/>
          <w:sz w:val="24"/>
          <w:highlight w:val="none"/>
        </w:rPr>
      </w:pPr>
      <w:r>
        <w:rPr>
          <w:rFonts w:ascii="宋体" w:hAnsi="宋体" w:cs="宋体"/>
          <w:color w:val="auto"/>
          <w:sz w:val="24"/>
          <w:highlight w:val="none"/>
        </w:rPr>
        <w:t xml:space="preserve">14.1 </w:t>
      </w:r>
      <w:r>
        <w:rPr>
          <w:rFonts w:hint="eastAsia" w:ascii="宋体" w:hAnsi="宋体" w:cs="宋体"/>
          <w:color w:val="auto"/>
          <w:sz w:val="24"/>
          <w:highlight w:val="none"/>
        </w:rPr>
        <w:t>因本合同引起的或与本合同有关的任何争议，甲乙双方应友好协商解决，如协商不成，任何一方均可依法向</w:t>
      </w:r>
      <w:r>
        <w:rPr>
          <w:rFonts w:hint="eastAsia" w:ascii="宋体" w:hAnsi="宋体" w:cs="宋体"/>
          <w:color w:val="auto"/>
          <w:sz w:val="24"/>
          <w:highlight w:val="none"/>
          <w:u w:val="single"/>
        </w:rPr>
        <w:t>甲方所在地人民法院</w:t>
      </w:r>
      <w:r>
        <w:rPr>
          <w:rFonts w:hint="eastAsia" w:ascii="宋体" w:hAnsi="宋体" w:cs="宋体"/>
          <w:color w:val="auto"/>
          <w:sz w:val="24"/>
          <w:highlight w:val="none"/>
        </w:rPr>
        <w:t>提起诉讼。</w:t>
      </w:r>
    </w:p>
    <w:p>
      <w:pPr>
        <w:widowControl/>
        <w:spacing w:after="160" w:line="360" w:lineRule="auto"/>
        <w:ind w:firstLine="600" w:firstLineChars="250"/>
        <w:jc w:val="left"/>
        <w:rPr>
          <w:rFonts w:ascii="宋体" w:hAnsi="宋体" w:cs="宋体"/>
          <w:color w:val="auto"/>
          <w:sz w:val="24"/>
          <w:highlight w:val="none"/>
        </w:rPr>
      </w:pPr>
      <w:r>
        <w:rPr>
          <w:rFonts w:ascii="宋体" w:hAnsi="宋体" w:cs="宋体"/>
          <w:color w:val="auto"/>
          <w:sz w:val="24"/>
          <w:highlight w:val="none"/>
        </w:rPr>
        <w:t xml:space="preserve">14.2 </w:t>
      </w:r>
      <w:r>
        <w:rPr>
          <w:rFonts w:hint="eastAsia" w:ascii="宋体" w:hAnsi="宋体" w:cs="宋体"/>
          <w:color w:val="auto"/>
          <w:sz w:val="24"/>
          <w:highlight w:val="none"/>
        </w:rPr>
        <w:t>在甲方同意的情况下，除有争端之外的合同其它部分在争端解决前应继续执行。</w:t>
      </w:r>
    </w:p>
    <w:p>
      <w:pPr>
        <w:widowControl/>
        <w:spacing w:after="160"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第十五条</w:t>
      </w:r>
      <w:r>
        <w:rPr>
          <w:rFonts w:ascii="宋体" w:hAnsi="宋体" w:cs="宋体"/>
          <w:b/>
          <w:color w:val="auto"/>
          <w:sz w:val="24"/>
          <w:highlight w:val="none"/>
        </w:rPr>
        <w:t xml:space="preserve"> </w:t>
      </w:r>
      <w:r>
        <w:rPr>
          <w:rFonts w:hint="eastAsia" w:ascii="宋体" w:hAnsi="宋体" w:cs="宋体"/>
          <w:b/>
          <w:color w:val="auto"/>
          <w:sz w:val="24"/>
          <w:highlight w:val="none"/>
        </w:rPr>
        <w:t>其他：</w:t>
      </w:r>
    </w:p>
    <w:p>
      <w:pPr>
        <w:widowControl/>
        <w:spacing w:after="160" w:line="360" w:lineRule="auto"/>
        <w:ind w:firstLine="595" w:firstLineChars="248"/>
        <w:jc w:val="left"/>
        <w:rPr>
          <w:rFonts w:ascii="宋体" w:hAnsi="宋体" w:cs="宋体"/>
          <w:b/>
          <w:color w:val="auto"/>
          <w:sz w:val="24"/>
          <w:highlight w:val="none"/>
        </w:rPr>
      </w:pPr>
      <w:r>
        <w:rPr>
          <w:rFonts w:ascii="宋体" w:hAnsi="宋体" w:cs="宋体"/>
          <w:bCs/>
          <w:color w:val="auto"/>
          <w:sz w:val="24"/>
          <w:highlight w:val="none"/>
        </w:rPr>
        <w:t>15.1</w:t>
      </w:r>
      <w:r>
        <w:rPr>
          <w:rFonts w:hint="eastAsia" w:ascii="宋体" w:hAnsi="宋体" w:cs="宋体"/>
          <w:color w:val="auto"/>
          <w:sz w:val="24"/>
          <w:highlight w:val="none"/>
        </w:rPr>
        <w:t>本合同未尽事宜，可由甲乙双方另行签订补充协议。补充协议与本合同具有同等法律效力。</w:t>
      </w:r>
    </w:p>
    <w:p>
      <w:pPr>
        <w:widowControl/>
        <w:spacing w:after="160" w:line="360" w:lineRule="auto"/>
        <w:ind w:firstLine="600" w:firstLineChars="250"/>
        <w:jc w:val="left"/>
        <w:rPr>
          <w:rFonts w:ascii="宋体" w:hAnsi="宋体" w:cs="宋体"/>
          <w:color w:val="auto"/>
          <w:sz w:val="24"/>
          <w:highlight w:val="none"/>
        </w:rPr>
      </w:pPr>
      <w:r>
        <w:rPr>
          <w:rFonts w:ascii="宋体" w:hAnsi="宋体" w:cs="宋体"/>
          <w:color w:val="auto"/>
          <w:sz w:val="24"/>
          <w:highlight w:val="none"/>
        </w:rPr>
        <w:t>15.2</w:t>
      </w:r>
      <w:r>
        <w:rPr>
          <w:rFonts w:hint="eastAsia" w:ascii="宋体" w:hAnsi="宋体" w:cs="宋体"/>
          <w:color w:val="auto"/>
          <w:sz w:val="24"/>
          <w:highlight w:val="none"/>
        </w:rPr>
        <w:t>本合同自甲乙双方法定代表人或授权代理人签字并加盖公章之日起生效。</w:t>
      </w:r>
    </w:p>
    <w:p>
      <w:pPr>
        <w:widowControl/>
        <w:spacing w:after="160" w:line="360" w:lineRule="auto"/>
        <w:ind w:firstLine="600" w:firstLineChars="250"/>
        <w:jc w:val="left"/>
        <w:rPr>
          <w:rFonts w:ascii="宋体" w:hAnsi="宋体" w:cs="宋体"/>
          <w:color w:val="auto"/>
          <w:sz w:val="24"/>
          <w:highlight w:val="none"/>
        </w:rPr>
      </w:pPr>
      <w:r>
        <w:rPr>
          <w:rFonts w:ascii="宋体" w:hAnsi="宋体" w:cs="宋体"/>
          <w:color w:val="auto"/>
          <w:sz w:val="24"/>
          <w:highlight w:val="none"/>
        </w:rPr>
        <w:t>15.3</w:t>
      </w:r>
      <w:r>
        <w:rPr>
          <w:rFonts w:hint="eastAsia" w:ascii="宋体" w:hAnsi="宋体" w:cs="宋体"/>
          <w:color w:val="auto"/>
          <w:sz w:val="24"/>
          <w:highlight w:val="none"/>
        </w:rPr>
        <w:t>本合同一式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4</w:t>
      </w:r>
      <w:r>
        <w:rPr>
          <w:rFonts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2</w:t>
      </w:r>
      <w:r>
        <w:rPr>
          <w:rFonts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ascii="宋体" w:hAnsi="宋体" w:cs="宋体"/>
          <w:color w:val="auto"/>
          <w:sz w:val="24"/>
          <w:highlight w:val="none"/>
          <w:u w:val="single"/>
        </w:rPr>
        <w:t xml:space="preserve">  2  </w:t>
      </w:r>
      <w:r>
        <w:rPr>
          <w:rFonts w:hint="eastAsia" w:ascii="宋体" w:hAnsi="宋体" w:cs="宋体"/>
          <w:color w:val="auto"/>
          <w:sz w:val="24"/>
          <w:highlight w:val="none"/>
        </w:rPr>
        <w:t>份。均具有同等法律效力。</w:t>
      </w:r>
    </w:p>
    <w:p>
      <w:pPr>
        <w:widowControl/>
        <w:spacing w:after="160" w:line="360" w:lineRule="auto"/>
        <w:ind w:firstLine="720" w:firstLineChars="300"/>
        <w:jc w:val="left"/>
        <w:rPr>
          <w:rFonts w:ascii="宋体" w:hAnsi="宋体" w:cs="宋体"/>
          <w:color w:val="auto"/>
          <w:sz w:val="24"/>
          <w:highlight w:val="none"/>
        </w:rPr>
      </w:pPr>
      <w:r>
        <w:rPr>
          <w:rFonts w:ascii="宋体" w:hAnsi="宋体" w:cs="宋体"/>
          <w:color w:val="auto"/>
          <w:sz w:val="24"/>
          <w:highlight w:val="none"/>
        </w:rPr>
        <w:t>15.4</w:t>
      </w:r>
      <w:r>
        <w:rPr>
          <w:rFonts w:hint="eastAsia" w:ascii="宋体" w:hAnsi="宋体" w:cs="宋体"/>
          <w:color w:val="auto"/>
          <w:sz w:val="24"/>
          <w:highlight w:val="none"/>
        </w:rPr>
        <w:t>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p>
    <w:bookmarkEnd w:id="29"/>
    <w:bookmarkEnd w:id="30"/>
    <w:bookmarkEnd w:id="56"/>
    <w:bookmarkEnd w:id="57"/>
    <w:bookmarkEnd w:id="58"/>
    <w:bookmarkEnd w:id="59"/>
    <w:bookmarkEnd w:id="60"/>
    <w:bookmarkEnd w:id="61"/>
    <w:bookmarkEnd w:id="62"/>
    <w:bookmarkEnd w:id="63"/>
    <w:bookmarkEnd w:id="64"/>
    <w:bookmarkEnd w:id="65"/>
    <w:bookmarkEnd w:id="66"/>
    <w:p>
      <w:pPr>
        <w:widowControl/>
        <w:spacing w:after="160" w:line="360" w:lineRule="auto"/>
        <w:ind w:firstLine="480"/>
        <w:jc w:val="left"/>
        <w:rPr>
          <w:rFonts w:ascii="宋体" w:hAnsi="宋体" w:cs="宋体"/>
          <w:color w:val="auto"/>
          <w:sz w:val="24"/>
          <w:highlight w:val="none"/>
        </w:rPr>
      </w:pPr>
    </w:p>
    <w:p>
      <w:pPr>
        <w:widowControl/>
        <w:spacing w:after="160"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.中标通知书</w:t>
      </w:r>
      <w:r>
        <w:rPr>
          <w:rFonts w:ascii="宋体" w:hAnsi="宋体" w:cs="宋体"/>
          <w:color w:val="auto"/>
          <w:sz w:val="24"/>
          <w:highlight w:val="none"/>
        </w:rPr>
        <w:t>/</w:t>
      </w:r>
      <w:r>
        <w:rPr>
          <w:rFonts w:hint="eastAsia" w:ascii="宋体" w:hAnsi="宋体" w:cs="宋体"/>
          <w:color w:val="auto"/>
          <w:sz w:val="24"/>
          <w:highlight w:val="none"/>
        </w:rPr>
        <w:t>发包通知书（如有）</w:t>
      </w:r>
    </w:p>
    <w:p>
      <w:pPr>
        <w:widowControl/>
        <w:spacing w:after="160" w:line="360" w:lineRule="auto"/>
        <w:jc w:val="left"/>
        <w:rPr>
          <w:rFonts w:ascii="宋体" w:hAnsi="宋体" w:cs="宋体"/>
          <w:color w:val="auto"/>
          <w:sz w:val="24"/>
          <w:highlight w:val="none"/>
        </w:rPr>
      </w:pPr>
      <w:r>
        <w:rPr>
          <w:rFonts w:ascii="宋体" w:hAnsi="宋体" w:cs="宋体"/>
          <w:color w:val="auto"/>
          <w:sz w:val="24"/>
          <w:highlight w:val="none"/>
        </w:rPr>
        <w:t xml:space="preserve">          2</w:t>
      </w:r>
      <w:r>
        <w:rPr>
          <w:rFonts w:hint="eastAsia" w:ascii="宋体" w:hAnsi="宋体" w:cs="宋体"/>
          <w:color w:val="auto"/>
          <w:sz w:val="24"/>
          <w:highlight w:val="none"/>
        </w:rPr>
        <w:t>.廉洁协议</w:t>
      </w:r>
    </w:p>
    <w:p>
      <w:pPr>
        <w:widowControl/>
        <w:spacing w:after="160" w:line="360" w:lineRule="auto"/>
        <w:ind w:firstLine="1200" w:firstLineChars="500"/>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.安全管理协议书</w:t>
      </w:r>
    </w:p>
    <w:p>
      <w:pPr>
        <w:widowControl/>
        <w:spacing w:after="160" w:line="360" w:lineRule="auto"/>
        <w:ind w:firstLine="1200" w:firstLineChars="500"/>
        <w:jc w:val="left"/>
        <w:rPr>
          <w:rFonts w:ascii="宋体" w:hAnsi="宋体" w:cs="宋体"/>
          <w:color w:val="auto"/>
          <w:kern w:val="0"/>
          <w:sz w:val="24"/>
          <w:highlight w:val="none"/>
          <w:lang w:val="zh-CN"/>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zh-CN"/>
        </w:rPr>
        <w:t>技术需求</w:t>
      </w:r>
    </w:p>
    <w:p>
      <w:pPr>
        <w:pStyle w:val="27"/>
        <w:ind w:firstLine="480"/>
        <w:rPr>
          <w:rFonts w:hint="default" w:eastAsia="宋体"/>
          <w:color w:val="auto"/>
          <w:highlight w:val="none"/>
        </w:rPr>
      </w:pPr>
      <w:r>
        <w:rPr>
          <w:rFonts w:ascii="宋体" w:hAnsi="宋体" w:eastAsia="宋体" w:cs="宋体"/>
          <w:color w:val="auto"/>
          <w:kern w:val="0"/>
          <w:sz w:val="24"/>
          <w:szCs w:val="24"/>
          <w:highlight w:val="none"/>
        </w:rPr>
        <w:t xml:space="preserve">      5.不诚信行为的情形及相应被暂停参与投标活动的处理标准</w:t>
      </w:r>
    </w:p>
    <w:p>
      <w:pPr>
        <w:pStyle w:val="27"/>
        <w:ind w:firstLine="480"/>
        <w:rPr>
          <w:rFonts w:hint="default" w:ascii="宋体" w:hAnsi="宋体" w:eastAsia="宋体" w:cs="宋体"/>
          <w:color w:val="auto"/>
          <w:kern w:val="0"/>
          <w:sz w:val="24"/>
          <w:szCs w:val="24"/>
          <w:highlight w:val="none"/>
        </w:rPr>
      </w:pPr>
    </w:p>
    <w:p>
      <w:pPr>
        <w:pStyle w:val="27"/>
        <w:ind w:firstLine="480"/>
        <w:rPr>
          <w:rFonts w:hint="default" w:ascii="宋体" w:hAnsi="宋体" w:eastAsia="宋体" w:cs="宋体"/>
          <w:color w:val="auto"/>
          <w:kern w:val="0"/>
          <w:sz w:val="24"/>
          <w:szCs w:val="24"/>
          <w:highlight w:val="none"/>
        </w:rPr>
      </w:pPr>
    </w:p>
    <w:p>
      <w:pPr>
        <w:pStyle w:val="27"/>
        <w:ind w:firstLine="480"/>
        <w:rPr>
          <w:rFonts w:hint="default" w:ascii="宋体" w:hAnsi="宋体" w:eastAsia="宋体" w:cs="宋体"/>
          <w:color w:val="auto"/>
          <w:kern w:val="0"/>
          <w:sz w:val="24"/>
          <w:szCs w:val="24"/>
          <w:highlight w:val="none"/>
        </w:rPr>
      </w:pPr>
    </w:p>
    <w:tbl>
      <w:tblPr>
        <w:tblStyle w:val="28"/>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b/>
                <w:color w:val="auto"/>
                <w:sz w:val="24"/>
                <w:highlight w:val="none"/>
              </w:rPr>
              <w:t>甲方</w:t>
            </w:r>
            <w:r>
              <w:rPr>
                <w:rFonts w:hint="eastAsia" w:ascii="宋体" w:hAnsi="宋体" w:cs="宋体"/>
                <w:color w:val="auto"/>
                <w:sz w:val="24"/>
                <w:highlight w:val="none"/>
              </w:rPr>
              <w:t>：（章）广州市净水有限公司</w:t>
            </w:r>
          </w:p>
        </w:tc>
        <w:tc>
          <w:tcPr>
            <w:tcW w:w="4696"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b/>
                <w:color w:val="auto"/>
                <w:sz w:val="24"/>
                <w:highlight w:val="none"/>
              </w:rPr>
              <w:t>乙方</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法定代表人或授权代理人：</w:t>
            </w:r>
          </w:p>
        </w:tc>
        <w:tc>
          <w:tcPr>
            <w:tcW w:w="4696"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经办人：</w:t>
            </w:r>
          </w:p>
        </w:tc>
        <w:tc>
          <w:tcPr>
            <w:tcW w:w="4696"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电话：</w:t>
            </w:r>
          </w:p>
        </w:tc>
        <w:tc>
          <w:tcPr>
            <w:tcW w:w="4696"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传真：</w:t>
            </w:r>
          </w:p>
        </w:tc>
        <w:tc>
          <w:tcPr>
            <w:tcW w:w="4696" w:type="dxa"/>
            <w:tcBorders>
              <w:top w:val="nil"/>
              <w:left w:val="nil"/>
              <w:bottom w:val="nil"/>
              <w:right w:val="nil"/>
            </w:tcBorders>
          </w:tcPr>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widowControl/>
              <w:adjustRightInd w:val="0"/>
              <w:snapToGrid w:val="0"/>
              <w:spacing w:after="160" w:line="360" w:lineRule="auto"/>
              <w:ind w:left="240" w:hanging="240" w:hangingChars="100"/>
              <w:rPr>
                <w:rFonts w:ascii="宋体" w:hAnsi="宋体" w:cs="宋体"/>
                <w:color w:val="auto"/>
                <w:sz w:val="24"/>
                <w:highlight w:val="none"/>
              </w:rPr>
            </w:pPr>
            <w:r>
              <w:rPr>
                <w:rFonts w:hint="eastAsia" w:ascii="宋体" w:hAnsi="宋体" w:cs="宋体"/>
                <w:color w:val="auto"/>
                <w:sz w:val="24"/>
                <w:highlight w:val="none"/>
              </w:rPr>
              <w:t>签订日期：</w:t>
            </w:r>
            <w:r>
              <w:rPr>
                <w:rFonts w:ascii="宋体" w:hAnsi="宋体" w:cs="宋体"/>
                <w:color w:val="auto"/>
                <w:sz w:val="24"/>
                <w:highlight w:val="none"/>
              </w:rPr>
              <w:t xml:space="preserve">                                                     </w:t>
            </w:r>
          </w:p>
        </w:tc>
        <w:tc>
          <w:tcPr>
            <w:tcW w:w="4696" w:type="dxa"/>
            <w:tcBorders>
              <w:top w:val="nil"/>
              <w:left w:val="nil"/>
              <w:bottom w:val="nil"/>
              <w:right w:val="nil"/>
            </w:tcBorders>
          </w:tcPr>
          <w:p>
            <w:pPr>
              <w:widowControl/>
              <w:adjustRightInd w:val="0"/>
              <w:snapToGrid w:val="0"/>
              <w:spacing w:after="160" w:line="360" w:lineRule="auto"/>
              <w:ind w:left="4181" w:hanging="4180" w:hangingChars="1742"/>
              <w:jc w:val="left"/>
              <w:rPr>
                <w:rFonts w:ascii="宋体" w:hAnsi="宋体" w:cs="宋体"/>
                <w:color w:val="auto"/>
                <w:sz w:val="24"/>
                <w:highlight w:val="none"/>
              </w:rPr>
            </w:pPr>
            <w:r>
              <w:rPr>
                <w:rFonts w:hint="eastAsia" w:ascii="宋体" w:hAnsi="宋体" w:cs="宋体"/>
                <w:color w:val="auto"/>
                <w:sz w:val="24"/>
                <w:highlight w:val="none"/>
              </w:rPr>
              <w:t>签订日期</w:t>
            </w:r>
            <w:r>
              <w:rPr>
                <w:rFonts w:ascii="宋体" w:hAnsi="宋体" w:cs="宋体"/>
                <w:color w:val="auto"/>
                <w:sz w:val="24"/>
                <w:highlight w:val="none"/>
              </w:rPr>
              <w:t>:</w:t>
            </w:r>
          </w:p>
        </w:tc>
      </w:tr>
    </w:tbl>
    <w:p>
      <w:pPr>
        <w:widowControl/>
        <w:spacing w:after="160" w:line="360" w:lineRule="auto"/>
        <w:jc w:val="left"/>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widowControl/>
        <w:spacing w:after="160"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附件1 发包通知书</w:t>
      </w:r>
    </w:p>
    <w:p>
      <w:pPr>
        <w:widowControl/>
        <w:spacing w:after="160"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p>
    <w:p>
      <w:pPr>
        <w:keepNext w:val="0"/>
        <w:keepLines w:val="0"/>
        <w:pageBreakBefore w:val="0"/>
        <w:kinsoku/>
        <w:wordWrap/>
        <w:overflowPunct/>
        <w:topLinePunct w:val="0"/>
        <w:autoSpaceDE/>
        <w:autoSpaceDN/>
        <w:bidi w:val="0"/>
        <w:adjustRightInd/>
        <w:snapToGrid/>
        <w:spacing w:line="40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40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rPr>
        <w:t>广东中凯建设工程有限公司</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大沙地分公司二期电房加装防汛挡板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0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4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0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（大沙地分公司二期电房加装防汛挡板 ）+（穗净水合[</w:t>
      </w:r>
      <w:r>
        <w:rPr>
          <w:rFonts w:hint="eastAsia" w:ascii="仿宋_GB2312" w:hAnsi="仿宋_GB2312" w:eastAsia="仿宋_GB2312" w:cs="仿宋_GB2312"/>
          <w:b w:val="0"/>
          <w:bCs/>
          <w:color w:val="auto"/>
          <w:sz w:val="28"/>
          <w:szCs w:val="28"/>
          <w:highlight w:val="none"/>
          <w:u w:val="single"/>
          <w:lang w:val="en-US" w:eastAsia="zh-CN"/>
        </w:rPr>
        <w:t>2021</w:t>
      </w:r>
      <w:r>
        <w:rPr>
          <w:rFonts w:hint="eastAsia" w:ascii="仿宋_GB2312" w:hAnsi="仿宋_GB2312" w:eastAsia="仿宋_GB2312" w:cs="仿宋_GB2312"/>
          <w:b w:val="0"/>
          <w:bCs/>
          <w:color w:val="auto"/>
          <w:sz w:val="28"/>
          <w:szCs w:val="28"/>
          <w:highlight w:val="none"/>
          <w:u w:val="single"/>
        </w:rPr>
        <w:t>]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7</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3</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6"/>
        <w:keepNext w:val="0"/>
        <w:keepLines w:val="0"/>
        <w:pageBreakBefore w:val="0"/>
        <w:tabs>
          <w:tab w:val="left" w:pos="5100"/>
        </w:tabs>
        <w:kinsoku/>
        <w:wordWrap/>
        <w:overflowPunct/>
        <w:topLinePunct w:val="0"/>
        <w:autoSpaceDE/>
        <w:autoSpaceDN/>
        <w:bidi w:val="0"/>
        <w:adjustRightInd/>
        <w:snapToGrid/>
        <w:spacing w:line="40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40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widowControl/>
        <w:tabs>
          <w:tab w:val="left" w:pos="4170"/>
        </w:tabs>
        <w:spacing w:after="160" w:line="360" w:lineRule="auto"/>
        <w:jc w:val="left"/>
        <w:rPr>
          <w:rFonts w:ascii="宋体" w:hAnsi="宋体" w:cs="Calibri"/>
          <w:color w:val="auto"/>
          <w:szCs w:val="22"/>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widowControl/>
        <w:spacing w:after="160" w:line="360" w:lineRule="auto"/>
        <w:jc w:val="left"/>
        <w:rPr>
          <w:rFonts w:ascii="宋体" w:hAnsi="宋体" w:cs="宋体"/>
          <w:b/>
          <w:color w:val="auto"/>
          <w:szCs w:val="21"/>
          <w:highlight w:val="none"/>
        </w:rPr>
      </w:pPr>
    </w:p>
    <w:p>
      <w:pPr>
        <w:widowControl/>
        <w:spacing w:after="160" w:line="360" w:lineRule="auto"/>
        <w:jc w:val="left"/>
        <w:rPr>
          <w:rFonts w:ascii="宋体" w:hAnsi="宋体" w:cs="宋体"/>
          <w:b/>
          <w:color w:val="auto"/>
          <w:szCs w:val="21"/>
          <w:highlight w:val="none"/>
        </w:rPr>
      </w:pPr>
    </w:p>
    <w:p>
      <w:pPr>
        <w:pStyle w:val="26"/>
        <w:ind w:firstLine="211"/>
        <w:rPr>
          <w:rFonts w:ascii="宋体" w:hAnsi="宋体" w:cs="宋体"/>
          <w:b/>
          <w:color w:val="auto"/>
          <w:szCs w:val="21"/>
          <w:highlight w:val="none"/>
        </w:rPr>
      </w:pPr>
    </w:p>
    <w:p>
      <w:pPr>
        <w:pStyle w:val="26"/>
        <w:ind w:firstLine="211"/>
        <w:rPr>
          <w:rFonts w:ascii="宋体" w:hAnsi="宋体" w:cs="宋体"/>
          <w:b/>
          <w:color w:val="auto"/>
          <w:szCs w:val="21"/>
          <w:highlight w:val="none"/>
        </w:rPr>
      </w:pPr>
    </w:p>
    <w:p>
      <w:pPr>
        <w:pStyle w:val="26"/>
        <w:ind w:firstLine="211"/>
        <w:rPr>
          <w:rFonts w:ascii="宋体" w:hAnsi="宋体" w:cs="宋体"/>
          <w:b/>
          <w:color w:val="auto"/>
          <w:szCs w:val="21"/>
          <w:highlight w:val="none"/>
        </w:rPr>
      </w:pPr>
    </w:p>
    <w:p>
      <w:pPr>
        <w:widowControl/>
        <w:spacing w:after="160" w:line="360" w:lineRule="auto"/>
        <w:jc w:val="left"/>
        <w:rPr>
          <w:rFonts w:hint="eastAsia" w:ascii="宋体" w:hAnsi="宋体" w:cs="宋体"/>
          <w:b/>
          <w:color w:val="auto"/>
          <w:szCs w:val="21"/>
          <w:highlight w:val="none"/>
        </w:rPr>
      </w:pPr>
    </w:p>
    <w:p>
      <w:pPr>
        <w:widowControl/>
        <w:spacing w:after="160" w:line="360" w:lineRule="auto"/>
        <w:jc w:val="left"/>
        <w:rPr>
          <w:rFonts w:hint="eastAsia" w:ascii="宋体" w:hAnsi="宋体" w:cs="宋体"/>
          <w:b/>
          <w:color w:val="auto"/>
          <w:szCs w:val="21"/>
          <w:highlight w:val="none"/>
        </w:rPr>
      </w:pPr>
    </w:p>
    <w:p>
      <w:pPr>
        <w:widowControl/>
        <w:spacing w:after="160" w:line="360" w:lineRule="auto"/>
        <w:jc w:val="left"/>
        <w:rPr>
          <w:rFonts w:hint="eastAsia" w:ascii="宋体" w:hAnsi="宋体" w:cs="宋体"/>
          <w:b/>
          <w:color w:val="auto"/>
          <w:szCs w:val="21"/>
          <w:highlight w:val="none"/>
        </w:rPr>
      </w:pPr>
    </w:p>
    <w:p>
      <w:pPr>
        <w:widowControl/>
        <w:spacing w:after="160" w:line="360" w:lineRule="auto"/>
        <w:jc w:val="left"/>
        <w:rPr>
          <w:rFonts w:hint="eastAsia" w:ascii="宋体" w:hAnsi="宋体" w:cs="宋体"/>
          <w:b/>
          <w:color w:val="auto"/>
          <w:szCs w:val="21"/>
          <w:highlight w:val="none"/>
        </w:rPr>
      </w:pPr>
    </w:p>
    <w:p>
      <w:pPr>
        <w:widowControl/>
        <w:spacing w:after="160" w:line="360" w:lineRule="auto"/>
        <w:jc w:val="left"/>
        <w:rPr>
          <w:rFonts w:hint="eastAsia" w:ascii="宋体" w:hAnsi="宋体" w:cs="宋体"/>
          <w:b/>
          <w:color w:val="auto"/>
          <w:szCs w:val="21"/>
          <w:highlight w:val="none"/>
        </w:rPr>
      </w:pPr>
    </w:p>
    <w:p>
      <w:pPr>
        <w:widowControl/>
        <w:spacing w:after="160" w:line="360" w:lineRule="auto"/>
        <w:jc w:val="left"/>
        <w:rPr>
          <w:rFonts w:hint="eastAsia" w:ascii="宋体" w:hAnsi="宋体" w:cs="宋体"/>
          <w:b/>
          <w:color w:val="auto"/>
          <w:szCs w:val="21"/>
          <w:highlight w:val="none"/>
        </w:rPr>
      </w:pPr>
    </w:p>
    <w:p>
      <w:pPr>
        <w:widowControl/>
        <w:spacing w:after="160" w:line="360" w:lineRule="auto"/>
        <w:jc w:val="left"/>
        <w:rPr>
          <w:rFonts w:hint="eastAsia" w:ascii="宋体" w:hAnsi="宋体" w:cs="宋体"/>
          <w:b/>
          <w:color w:val="auto"/>
          <w:szCs w:val="21"/>
          <w:highlight w:val="none"/>
        </w:rPr>
      </w:pPr>
    </w:p>
    <w:p>
      <w:pPr>
        <w:widowControl/>
        <w:spacing w:after="160" w:line="360" w:lineRule="auto"/>
        <w:jc w:val="left"/>
        <w:rPr>
          <w:rFonts w:ascii="宋体" w:hAnsi="宋体" w:cs="宋体"/>
          <w:b/>
          <w:color w:val="auto"/>
          <w:szCs w:val="21"/>
          <w:highlight w:val="none"/>
        </w:rPr>
      </w:pPr>
      <w:r>
        <w:rPr>
          <w:rFonts w:hint="eastAsia" w:ascii="宋体" w:hAnsi="宋体" w:cs="宋体"/>
          <w:b/>
          <w:color w:val="auto"/>
          <w:szCs w:val="21"/>
          <w:highlight w:val="none"/>
        </w:rPr>
        <w:t>附件</w:t>
      </w:r>
      <w:r>
        <w:rPr>
          <w:rFonts w:ascii="宋体" w:hAnsi="宋体" w:cs="宋体"/>
          <w:b/>
          <w:color w:val="auto"/>
          <w:szCs w:val="21"/>
          <w:highlight w:val="none"/>
        </w:rPr>
        <w:t>3</w:t>
      </w:r>
      <w:r>
        <w:rPr>
          <w:rFonts w:hint="eastAsia" w:ascii="宋体" w:hAnsi="宋体" w:cs="宋体"/>
          <w:b/>
          <w:color w:val="auto"/>
          <w:szCs w:val="21"/>
          <w:highlight w:val="none"/>
        </w:rPr>
        <w:t>：安全管理协议书</w:t>
      </w:r>
    </w:p>
    <w:p>
      <w:pPr>
        <w:widowControl/>
        <w:spacing w:after="160" w:line="360" w:lineRule="auto"/>
        <w:jc w:val="center"/>
        <w:rPr>
          <w:rFonts w:ascii="宋体" w:hAnsi="宋体" w:cs="宋体"/>
          <w:b/>
          <w:bCs/>
          <w:color w:val="auto"/>
          <w:sz w:val="24"/>
          <w:highlight w:val="none"/>
        </w:rPr>
      </w:pPr>
      <w:r>
        <w:rPr>
          <w:rFonts w:hint="eastAsia" w:ascii="宋体" w:hAnsi="宋体" w:cs="宋体"/>
          <w:b/>
          <w:bCs/>
          <w:color w:val="auto"/>
          <w:sz w:val="28"/>
          <w:szCs w:val="28"/>
          <w:highlight w:val="none"/>
        </w:rPr>
        <w:t>安全管理协议书</w:t>
      </w:r>
    </w:p>
    <w:p>
      <w:pPr>
        <w:widowControl/>
        <w:spacing w:after="160" w:line="360" w:lineRule="auto"/>
        <w:jc w:val="left"/>
        <w:rPr>
          <w:rFonts w:ascii="宋体" w:hAnsi="宋体" w:cs="宋体"/>
          <w:color w:val="auto"/>
          <w:sz w:val="24"/>
          <w:highlight w:val="none"/>
        </w:rPr>
      </w:pPr>
    </w:p>
    <w:p>
      <w:pPr>
        <w:widowControl/>
        <w:adjustRightInd w:val="0"/>
        <w:snapToGrid w:val="0"/>
        <w:spacing w:after="16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u w:val="single"/>
        </w:rPr>
        <w:t>广州市净水有限公司</w:t>
      </w:r>
    </w:p>
    <w:p>
      <w:pPr>
        <w:widowControl/>
        <w:adjustRightInd w:val="0"/>
        <w:snapToGrid w:val="0"/>
        <w:spacing w:after="160"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乙方</w:t>
      </w:r>
      <w:bookmarkStart w:id="67" w:name="_Toc21391"/>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ascii="宋体" w:hAnsi="宋体" w:cs="宋体"/>
          <w:b/>
          <w:bCs/>
          <w:color w:val="auto"/>
          <w:sz w:val="24"/>
          <w:highlight w:val="none"/>
          <w:u w:val="single"/>
        </w:rPr>
        <w:t xml:space="preserve">                                   </w:t>
      </w:r>
    </w:p>
    <w:bookmarkEnd w:id="67"/>
    <w:p>
      <w:pPr>
        <w:widowControl/>
        <w:adjustRightInd w:val="0"/>
        <w:snapToGrid w:val="0"/>
        <w:spacing w:after="16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根据《中华人民共和国安全生产法》、《中华人民共和国建筑法》、《建设工程安全生产管理条例》、《生产安全事故报告和调查处理条例》等一系列有关安全生产的法律法规</w:t>
      </w:r>
      <w:r>
        <w:rPr>
          <w:rFonts w:ascii="宋体" w:hAnsi="宋体" w:cs="宋体"/>
          <w:color w:val="auto"/>
          <w:sz w:val="24"/>
          <w:highlight w:val="none"/>
        </w:rPr>
        <w:t xml:space="preserve">, </w:t>
      </w:r>
      <w:r>
        <w:rPr>
          <w:rFonts w:hint="eastAsia" w:ascii="宋体" w:hAnsi="宋体" w:cs="宋体"/>
          <w:color w:val="auto"/>
          <w:sz w:val="24"/>
          <w:highlight w:val="none"/>
        </w:rPr>
        <w:t>经双方协商，签订本协议书，以明确各自的安全生产责任并共同遵守。</w:t>
      </w:r>
    </w:p>
    <w:p>
      <w:pPr>
        <w:numPr>
          <w:ilvl w:val="0"/>
          <w:numId w:val="4"/>
        </w:numPr>
        <w:adjustRightInd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本协议与主协议的关系</w:t>
      </w:r>
    </w:p>
    <w:p>
      <w:pPr>
        <w:widowControl/>
        <w:adjustRightInd w:val="0"/>
        <w:snapToGrid w:val="0"/>
        <w:spacing w:after="160" w:line="360" w:lineRule="auto"/>
        <w:ind w:left="105" w:firstLine="480" w:firstLineChars="200"/>
        <w:jc w:val="left"/>
        <w:rPr>
          <w:rFonts w:ascii="宋体" w:hAnsi="宋体" w:cs="宋体"/>
          <w:color w:val="auto"/>
          <w:sz w:val="24"/>
          <w:highlight w:val="none"/>
        </w:rPr>
      </w:pPr>
      <w:r>
        <w:rPr>
          <w:rFonts w:hint="eastAsia" w:ascii="宋体" w:hAnsi="宋体" w:cs="宋体"/>
          <w:color w:val="auto"/>
          <w:sz w:val="24"/>
          <w:highlight w:val="none"/>
        </w:rPr>
        <w:t>本协议作为</w:t>
      </w:r>
      <w:r>
        <w:rPr>
          <w:rFonts w:hint="eastAsia" w:ascii="宋体" w:hAnsi="宋体" w:cs="Calibri"/>
          <w:color w:val="auto"/>
          <w:sz w:val="24"/>
          <w:szCs w:val="22"/>
          <w:highlight w:val="none"/>
          <w:u w:val="single"/>
        </w:rPr>
        <w:t>广州市净水有限公司设备采购合同（合同编号:</w:t>
      </w:r>
      <w:r>
        <w:rPr>
          <w:rFonts w:ascii="宋体" w:hAnsi="宋体" w:cs="Calibri"/>
          <w:color w:val="auto"/>
          <w:sz w:val="24"/>
          <w:szCs w:val="22"/>
          <w:highlight w:val="none"/>
          <w:u w:val="single"/>
        </w:rPr>
        <w:t xml:space="preserve">              </w:t>
      </w:r>
      <w:r>
        <w:rPr>
          <w:rFonts w:hint="eastAsia" w:ascii="宋体" w:hAnsi="宋体" w:cs="Calibri"/>
          <w:color w:val="auto"/>
          <w:sz w:val="24"/>
          <w:szCs w:val="22"/>
          <w:highlight w:val="none"/>
          <w:u w:val="single"/>
        </w:rPr>
        <w:t>）</w:t>
      </w:r>
      <w:r>
        <w:rPr>
          <w:rFonts w:ascii="宋体" w:hAnsi="宋体" w:cs="宋体"/>
          <w:bCs/>
          <w:color w:val="auto"/>
          <w:sz w:val="24"/>
          <w:highlight w:val="none"/>
          <w:u w:val="single"/>
        </w:rPr>
        <w:t xml:space="preserve"> </w:t>
      </w:r>
      <w:r>
        <w:rPr>
          <w:rFonts w:hint="eastAsia" w:ascii="宋体" w:hAnsi="宋体" w:cs="宋体"/>
          <w:color w:val="auto"/>
          <w:sz w:val="24"/>
          <w:highlight w:val="none"/>
        </w:rPr>
        <w:t>的组成部分，与主合同具有同等法律效力。</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二、甲乙双方的责任、权利和义务</w:t>
      </w:r>
    </w:p>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（一）甲方的责任、权利和义务</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贯彻落实国家、地方及甲方有关安全管理的法律法规和规章制度，对乙方承包作业的安全管理工作进行监督管理。</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审查乙方安全资质，确保乙方具备与承包内容资质相一致的外协条件。</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要求乙方建立健全承包作业的各项安全管理制度及标准，监督乙方制定相应的安全生产方案并严格落实。</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对乙方技术服务过程的安全管理进行监督检查；及时纠正乙方生产作业人员违章指挥、违章作业、违反劳动纪律等行为，并按照甲方的安全管理制度对乙方进行经济处罚；对乙方生产区域内的事故隐患，开具隐患通知单，责令限期整改。</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对乙方人员的安全培训、劳动保护用品的配发和使用以及危险告知工作提出指导意见，监督落实情况，并对乙方管理人员及主要作业人员进行安全教育培训，告知乙方甲方的安全管理制度，对乙方提出的安全生产请求积极提供帮助。</w:t>
      </w:r>
    </w:p>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（二）乙方的责任、权利和义务</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对技术服务范围内的安全管理工作负主体责任。贯彻落实国家有关安全管理的法律法规和管理规定，遵守甲方的各项管理制度，建立健全安全生产责任制及各项安全管理制度，并严格贯彻落实。</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严格按照资质范围进行作业，不得进行超资质范围的技术服务作业，不得将所承担的承包项目再次转包。</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乙方特种作业人员必须持有效证件上岗；新录用人员不得单独操作，须经相关安全、技能培训合格，取得特种作业资格证后方可单独操作。</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接受甲方对安全管理工作的监督检查，服从甲方管理，对甲方口头提出或书面签发提出的隐患整改通知单应按照规定要求进行处理。</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对自行携带和使用的设备负有安全管理和维护保养的全部责任，并符合相关标准。使（租）用大型机械设备时，应在使用前向甲方备案。</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乙方必须统一组织、严格管理，不得随意换人、加人和顶替，若需换人、加人必须向甲方提出申请，并履行书面手续。</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在有毒有害、化学危险品、粉尘、噪音、高温环境、有限空间中作业施工必须按照甲方相应管理规定执行。</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乙方必须组织人员进行内部安全教育，并参加我公司安全交底，确认知悉并签订安全承诺书后方可进入现场作业。</w:t>
      </w:r>
    </w:p>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三、协议内容</w:t>
      </w:r>
      <w:r>
        <w:rPr>
          <w:rFonts w:ascii="宋体" w:hAnsi="宋体" w:cs="宋体"/>
          <w:color w:val="auto"/>
          <w:sz w:val="24"/>
          <w:highlight w:val="none"/>
        </w:rPr>
        <w:t xml:space="preserve">                                                </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甲乙双方均具有独立法人资格，按照责任权利对等的原则，乙方对承包的技术服务工作实行自主管理，负主体责任，甲方对乙方承包的工作实施监督管理。</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乙方必须向甲方提供安全资质以待审查，审查合格后方可办理进厂手续。</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乙方应根据岗位需要以及作业人员数量按</w:t>
      </w:r>
      <w:r>
        <w:rPr>
          <w:rFonts w:ascii="宋体" w:hAnsi="宋体" w:cs="宋体"/>
          <w:color w:val="auto"/>
          <w:sz w:val="24"/>
          <w:highlight w:val="none"/>
        </w:rPr>
        <w:t>50:1</w:t>
      </w:r>
      <w:r>
        <w:rPr>
          <w:rFonts w:hint="eastAsia" w:ascii="宋体" w:hAnsi="宋体" w:cs="宋体"/>
          <w:color w:val="auto"/>
          <w:sz w:val="24"/>
          <w:highlight w:val="none"/>
        </w:rPr>
        <w:t>的比例配备相应的专（兼）职安全管理人员（不足</w:t>
      </w:r>
      <w:r>
        <w:rPr>
          <w:rFonts w:ascii="宋体" w:hAnsi="宋体" w:cs="宋体"/>
          <w:color w:val="auto"/>
          <w:sz w:val="24"/>
          <w:highlight w:val="none"/>
        </w:rPr>
        <w:t>50</w:t>
      </w:r>
      <w:r>
        <w:rPr>
          <w:rFonts w:hint="eastAsia" w:ascii="宋体" w:hAnsi="宋体" w:cs="宋体"/>
          <w:color w:val="auto"/>
          <w:sz w:val="24"/>
          <w:highlight w:val="none"/>
        </w:rPr>
        <w:t>人时，至少配备</w:t>
      </w:r>
      <w:r>
        <w:rPr>
          <w:rFonts w:ascii="宋体" w:hAnsi="宋体" w:cs="宋体"/>
          <w:color w:val="auto"/>
          <w:sz w:val="24"/>
          <w:highlight w:val="none"/>
        </w:rPr>
        <w:t>1</w:t>
      </w:r>
      <w:r>
        <w:rPr>
          <w:rFonts w:hint="eastAsia" w:ascii="宋体" w:hAnsi="宋体" w:cs="宋体"/>
          <w:color w:val="auto"/>
          <w:sz w:val="24"/>
          <w:highlight w:val="none"/>
        </w:rPr>
        <w:t>名），进行现场安全管理以及生产作业过程中的协调、联系。</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乙方必须严格按照国家相关规定雇佣作业人员，同时满足甲方用工条件。</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乙方应遵照国家相关法律标准对作业人员进行必要的安全教育培训，使其知识和能力与岗位要求相匹配，并满足甲方相关要求。</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乙方每次作业前必须做好安全交底工作，现场负责人要定期对现场进行检查，消除隐患。</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甲方提供的设备、设施、器材、工具等，乙方负责全面管理，由于乙方人员的检查、维护、操作、保管等原因造成的非正常损坏，承担经济责任。</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乙方必须为其从业人员配备劳动防护用品并确保正确使用。</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乙方作业人员应在技术服务工作区域内活动，不得进入甲方或第三方生产作业现场，同时对技术服务工作区域安全文明生产管理工作负责。</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甲方有权随时对乙方进行安全工作检查，制止违章作业，对违反甲方安全规定的行为有权对乙方进行经济处罚，或根据具体情况责令乙方停工整顿。</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发生紧急情况时，乙方必须服从甲方统一调度指挥。</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乙方应严格履行安全管理协议，遵守甲方各项管理规定，服从管理，否则视为违约，违约金参照甲方管理制度相关标准执行。</w:t>
      </w:r>
    </w:p>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四、事故责任</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在乙方承包范围内，由于乙方责任发生生产安全事故时，造成的甲方、乙方或者第三方人身伤害事故，乙方负全部责任。</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乙方人员在甲方非承包区域遭受意外伤害的，乙方负全部责任。</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乙方人员违规进入甲方或第三方承包区域，造成事故的，乙方负全部事故责任；乙方人员遭受人身伤害的，乙方负全部责任。</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同一生产区域内有两家及以上承包单位的，发生生产安全事故，侵害方负全部责任；共同责任造成的，按事故原因划分责任，不能达成一致的，根据政府有关部门的责任划分承担相应的事故责任和经济责任。</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乙方在甲方生产区域内发生生产安全事故后，必须在第一时间向甲方报告，迟报或者隐瞒不报生产安全事故，承担事故的全部责任。甲方提供救援服务并协助处理善后事宜。</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乙方各类人员在甲方生产区域内发生人身伤害事故和其他事故，由乙方负责调查、处理和统计上报，并报甲方安全监督部门备案。</w:t>
      </w:r>
    </w:p>
    <w:p>
      <w:pPr>
        <w:widowControl/>
        <w:adjustRightInd w:val="0"/>
        <w:snapToGrid w:val="0"/>
        <w:spacing w:after="160" w:line="360" w:lineRule="auto"/>
        <w:jc w:val="left"/>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五、补充条款：</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pPr>
        <w:widowControl/>
        <w:adjustRightInd w:val="0"/>
        <w:snapToGrid w:val="0"/>
        <w:spacing w:after="160" w:line="360" w:lineRule="auto"/>
        <w:jc w:val="left"/>
        <w:rPr>
          <w:rFonts w:ascii="宋体" w:hAnsi="宋体" w:cs="宋体"/>
          <w:color w:val="auto"/>
          <w:sz w:val="24"/>
          <w:highlight w:val="none"/>
        </w:rPr>
      </w:pPr>
      <w:r>
        <w:rPr>
          <w:rFonts w:hint="eastAsia" w:ascii="宋体" w:hAnsi="宋体" w:cs="宋体"/>
          <w:color w:val="auto"/>
          <w:sz w:val="24"/>
          <w:highlight w:val="none"/>
        </w:rPr>
        <w:t>六、附则</w:t>
      </w:r>
    </w:p>
    <w:p>
      <w:pPr>
        <w:widowControl/>
        <w:adjustRightInd w:val="0"/>
        <w:snapToGrid w:val="0"/>
        <w:spacing w:after="16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本协议与合同同时签订、同时终止，具有相同的法律效力。合同由甲乙双方签字、盖章生效，甲乙双方各壹份。</w:t>
      </w:r>
    </w:p>
    <w:p>
      <w:pPr>
        <w:widowControl/>
        <w:adjustRightInd w:val="0"/>
        <w:snapToGrid w:val="0"/>
        <w:spacing w:after="160" w:line="360" w:lineRule="auto"/>
        <w:jc w:val="left"/>
        <w:rPr>
          <w:rFonts w:ascii="宋体" w:hAnsi="宋体" w:cs="宋体"/>
          <w:color w:val="auto"/>
          <w:sz w:val="24"/>
          <w:highlight w:val="none"/>
        </w:rPr>
      </w:pPr>
    </w:p>
    <w:p>
      <w:pPr>
        <w:widowControl/>
        <w:adjustRightInd w:val="0"/>
        <w:snapToGrid w:val="0"/>
        <w:spacing w:after="160" w:line="360" w:lineRule="auto"/>
        <w:ind w:left="1330" w:leftChars="5" w:hanging="1320" w:hangingChars="550"/>
        <w:jc w:val="lef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甲方代表</w:t>
      </w:r>
      <w:r>
        <w:rPr>
          <w:rFonts w:ascii="宋体" w:hAnsi="宋体" w:cs="宋体"/>
          <w:color w:val="auto"/>
          <w:sz w:val="24"/>
          <w:highlight w:val="none"/>
        </w:rPr>
        <w:t xml:space="preserve"> </w:t>
      </w:r>
      <w:r>
        <w:rPr>
          <w:rFonts w:hint="eastAsia" w:ascii="宋体" w:hAnsi="宋体" w:cs="宋体"/>
          <w:color w:val="auto"/>
          <w:sz w:val="24"/>
          <w:highlight w:val="none"/>
        </w:rPr>
        <w:t>（章）：</w:t>
      </w:r>
      <w:r>
        <w:rPr>
          <w:rFonts w:ascii="宋体" w:hAnsi="宋体" w:cs="宋体"/>
          <w:color w:val="auto"/>
          <w:sz w:val="24"/>
          <w:highlight w:val="none"/>
        </w:rPr>
        <w:t xml:space="preserve">                             </w:t>
      </w:r>
      <w:r>
        <w:rPr>
          <w:rFonts w:hint="eastAsia" w:ascii="宋体" w:hAnsi="宋体" w:cs="宋体"/>
          <w:color w:val="auto"/>
          <w:sz w:val="24"/>
          <w:highlight w:val="none"/>
        </w:rPr>
        <w:t>乙方代表（章）：</w:t>
      </w:r>
      <w:r>
        <w:rPr>
          <w:rFonts w:ascii="宋体" w:hAnsi="宋体" w:cs="宋体"/>
          <w:color w:val="auto"/>
          <w:sz w:val="24"/>
          <w:highlight w:val="none"/>
        </w:rPr>
        <w:t xml:space="preserve">                                                           </w:t>
      </w:r>
      <w:r>
        <w:rPr>
          <w:rFonts w:hint="eastAsia" w:ascii="宋体" w:hAnsi="宋体" w:cs="宋体"/>
          <w:color w:val="auto"/>
          <w:sz w:val="24"/>
          <w:highlight w:val="none"/>
        </w:rPr>
        <w:t>　　</w:t>
      </w:r>
      <w:r>
        <w:rPr>
          <w:rFonts w:ascii="宋体" w:hAnsi="宋体" w:cs="宋体"/>
          <w:color w:val="auto"/>
          <w:sz w:val="24"/>
          <w:highlight w:val="none"/>
        </w:rPr>
        <w:t xml:space="preserve">              </w:t>
      </w:r>
      <w:r>
        <w:rPr>
          <w:rFonts w:hint="eastAsia" w:ascii="宋体" w:hAnsi="宋体" w:cs="宋体"/>
          <w:color w:val="auto"/>
          <w:sz w:val="24"/>
          <w:highlight w:val="none"/>
        </w:rPr>
        <w:t>　　　　　　　</w:t>
      </w:r>
    </w:p>
    <w:p>
      <w:pPr>
        <w:widowControl/>
        <w:adjustRightInd w:val="0"/>
        <w:snapToGrid w:val="0"/>
        <w:spacing w:after="160" w:line="360" w:lineRule="auto"/>
        <w:jc w:val="lef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　月　</w:t>
      </w:r>
      <w:r>
        <w:rPr>
          <w:rFonts w:ascii="宋体" w:hAnsi="宋体" w:cs="宋体"/>
          <w:color w:val="auto"/>
          <w:sz w:val="24"/>
          <w:highlight w:val="none"/>
        </w:rPr>
        <w:t xml:space="preserve">  </w:t>
      </w:r>
      <w:r>
        <w:rPr>
          <w:rFonts w:hint="eastAsia" w:ascii="宋体" w:hAnsi="宋体" w:cs="宋体"/>
          <w:color w:val="auto"/>
          <w:sz w:val="24"/>
          <w:highlight w:val="none"/>
        </w:rPr>
        <w:t>日　　　　　</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　日</w:t>
      </w:r>
    </w:p>
    <w:p>
      <w:pPr>
        <w:widowControl/>
        <w:spacing w:after="160" w:line="360" w:lineRule="auto"/>
        <w:jc w:val="left"/>
        <w:rPr>
          <w:rFonts w:ascii="宋体" w:hAnsi="宋体" w:cs="宋体"/>
          <w:color w:val="auto"/>
          <w:sz w:val="24"/>
          <w:highlight w:val="none"/>
        </w:rPr>
      </w:pPr>
    </w:p>
    <w:p>
      <w:pPr>
        <w:widowControl/>
        <w:spacing w:after="160" w:line="360" w:lineRule="auto"/>
        <w:jc w:val="left"/>
        <w:rPr>
          <w:rFonts w:ascii="宋体" w:hAnsi="宋体" w:cs="宋体"/>
          <w:color w:val="auto"/>
          <w:sz w:val="24"/>
          <w:highlight w:val="none"/>
        </w:rPr>
      </w:pPr>
    </w:p>
    <w:p>
      <w:pPr>
        <w:widowControl/>
        <w:spacing w:after="160" w:line="360" w:lineRule="auto"/>
        <w:jc w:val="left"/>
        <w:rPr>
          <w:rFonts w:ascii="宋体" w:hAnsi="宋体" w:cs="宋体"/>
          <w:color w:val="auto"/>
          <w:sz w:val="24"/>
          <w:highlight w:val="none"/>
        </w:rPr>
      </w:pPr>
    </w:p>
    <w:p>
      <w:pPr>
        <w:widowControl/>
        <w:spacing w:after="160" w:line="360" w:lineRule="auto"/>
        <w:jc w:val="left"/>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pStyle w:val="26"/>
        <w:ind w:firstLine="240"/>
        <w:rPr>
          <w:rFonts w:ascii="宋体" w:hAnsi="宋体" w:cs="宋体"/>
          <w:color w:val="auto"/>
          <w:sz w:val="24"/>
          <w:highlight w:val="none"/>
        </w:rPr>
      </w:pP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附件4</w:t>
      </w:r>
      <w:r>
        <w:rPr>
          <w:rFonts w:hint="eastAsia" w:asciiTheme="minorEastAsia" w:hAnsiTheme="minorEastAsia" w:eastAsiaTheme="minorEastAsia" w:cstheme="minorEastAsia"/>
          <w:color w:val="auto"/>
          <w:szCs w:val="21"/>
          <w:highlight w:val="none"/>
        </w:rPr>
        <w:t>：</w:t>
      </w:r>
    </w:p>
    <w:p>
      <w:pPr>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技术需求书</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（一）技术要求：</w:t>
      </w:r>
    </w:p>
    <w:p>
      <w:pPr>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新购设备及配件须完全符合技术参数以的要求及数量的要求，所用设备品牌及厂商必须经询价人认可，产品必须检验合格。</w:t>
      </w:r>
    </w:p>
    <w:p>
      <w:pP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技术参数要求：</w:t>
      </w:r>
    </w:p>
    <w:tbl>
      <w:tblPr>
        <w:tblStyle w:val="28"/>
        <w:tblpPr w:leftFromText="180" w:rightFromText="180" w:vertAnchor="text" w:horzAnchor="page" w:tblpX="1212" w:tblpY="430"/>
        <w:tblOverlap w:val="never"/>
        <w:tblW w:w="9763" w:type="dxa"/>
        <w:tblInd w:w="0" w:type="dxa"/>
        <w:tblLayout w:type="fixed"/>
        <w:tblCellMar>
          <w:top w:w="0" w:type="dxa"/>
          <w:left w:w="108" w:type="dxa"/>
          <w:bottom w:w="0" w:type="dxa"/>
          <w:right w:w="108" w:type="dxa"/>
        </w:tblCellMar>
      </w:tblPr>
      <w:tblGrid>
        <w:gridCol w:w="550"/>
        <w:gridCol w:w="1189"/>
        <w:gridCol w:w="657"/>
        <w:gridCol w:w="3570"/>
        <w:gridCol w:w="637"/>
        <w:gridCol w:w="516"/>
        <w:gridCol w:w="919"/>
        <w:gridCol w:w="937"/>
        <w:gridCol w:w="788"/>
      </w:tblGrid>
      <w:tr>
        <w:tblPrEx>
          <w:tblCellMar>
            <w:top w:w="0" w:type="dxa"/>
            <w:left w:w="108" w:type="dxa"/>
            <w:bottom w:w="0" w:type="dxa"/>
            <w:right w:w="108" w:type="dxa"/>
          </w:tblCellMar>
        </w:tblPrEx>
        <w:trPr>
          <w:trHeight w:val="940" w:hRule="atLeast"/>
        </w:trPr>
        <w:tc>
          <w:tcPr>
            <w:tcW w:w="5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序号</w:t>
            </w:r>
          </w:p>
        </w:tc>
        <w:tc>
          <w:tcPr>
            <w:tcW w:w="118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设备或材料名称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推荐品牌</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技术说明</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数量</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单位</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偏离度</w:t>
            </w:r>
          </w:p>
          <w:p>
            <w:pPr>
              <w:pStyle w:val="26"/>
              <w:ind w:firstLine="0" w:firstLineChars="0"/>
              <w:jc w:val="both"/>
              <w:rPr>
                <w:rFonts w:hint="eastAsia"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正偏离或负偏离）</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综合单价（元）</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综合总价（元）</w:t>
            </w:r>
          </w:p>
        </w:tc>
      </w:tr>
      <w:tr>
        <w:tblPrEx>
          <w:tblCellMar>
            <w:top w:w="0" w:type="dxa"/>
            <w:left w:w="108" w:type="dxa"/>
            <w:bottom w:w="0" w:type="dxa"/>
            <w:right w:w="108" w:type="dxa"/>
          </w:tblCellMar>
        </w:tblPrEx>
        <w:trPr>
          <w:trHeight w:val="567" w:hRule="atLeast"/>
        </w:trPr>
        <w:tc>
          <w:tcPr>
            <w:tcW w:w="803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1、高清视频终端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189"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高清视频终端</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 xml:space="preserve"> </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全新H.265编解码能力，最高可支持4K*2K 30fps超高清视频体验；结合VME（Video Motion Enhancement）技术，提升视频质量，节省50%带宽；支持AAC-LD双声道宽频语音和Opus，拥有回声抵消和噪声抑制技术，提供高保真语音效果；</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内置AI智能语音助理，提供便捷，贴心会议操控服务；</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1、4K超高清视频，色彩细腻，层次丰富，尽享精致临场体验。</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H.265编解码+VME技术，超强网络适应性，视频30%抗丢包，4K30fps最低2Mbps带宽。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支持主流音视频接口，可灵活外接阵列麦克风，扬声器，投影仪，LCD/LED大屏显示设备等。</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4、支持长距离多合一接口HT-RX输入。</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189"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高清视频终端</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itc</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1.采用分体式结构，内置硬件视频处理单元，采用嵌入式Linux操作系统，非Windows/安卓操作系统。</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2.支持ITU-T H.323、SIP标准协议，具有良好的兼容性；支持H.239、BFCP双流协议，主辅流皆可达到1080P。</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辅流批注功能，发送辅流和接收辅流时都可在辅流画面上进行实时批注；可设置三种不同粗细的画笔，设置五种画笔颜色，设置圆形、方形、箭头、线条等批注图形；发送辅流时可设置是否开放批注权限给与会成员共同批注。支持无线辅流功能，电脑只需安装一个软件，通过网络连接到终端即可实现无线共享辅流功能，无需外接硬件设备；</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4.支持通过2.4G遥控器、web、触控、鼠标键盘等方式来操控终端，支持遥控器飞鼠操控模式。</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5.主屏支持输出4K分辨率信号，单屏最大支持25路视频画面，支持单屏双显、双屏双显应用功能，可实现多画面布局，支持画中画等多种常用布局类型。</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终端内置会议签到、电子白板、电子投票、文件共享等数据会议功能，满足远程培训、教学等场景应用需求。支持视频轮询功能，可选择轮询窗口、轮询时间间隔、参与轮询人员；支持语音激励功能，可设置语音激励窗口，发言声音最大的会场自动切换到该窗口上。支持横幅功能，可在会议画面上添加横幅，并可设置是否启用横幅及横幅的字体大小、字体颜色、背景颜色。支持滚动消息功能，可发送滚动消息，并可设置是否启用滚动消息及滚动消息的字体大小、字体颜色、背景颜色和滚动次数。</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支持终端申请主席对会议中的其他参会终端从直播模式转到会议模式或者从会议模式转到直播模式，支持终端主动向主席申请从直播模式转到会议模式，会议模式支持电子白板、文件共享、电子投票、会议签到等功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8.支持 IP 网络丢包时修复机制，30%网络丢包时，声音清晰连续，视频清晰流畅，无卡顿、无马赛克；80%网络丢包时，声音清晰流畅，可准确理解。</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9.支持IPV4和IPV6协议，支持NAT穿越，具备跨越路由器及防火墙的能力，保证系统安全。</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10.内嵌软件支持H.264HP等视频编解码技术、G7.11、G.722等音频编解码技术。</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11.内嵌软件支持“主流+辅流”双流方式传输视频会议画面。</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12.内嵌软件支持WEB管理，符合不同用户的使用习惯。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803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2、矩阵切换系统</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无缝高清矩阵切换器</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1.采用纯硬件标准化机箱设计，支持配置8×8路信号切换，支持HDMI、DVI、VGA、SDI、HDBaseT、光纤的任意输入/输出信号卡，其中DVI输入卡兼容CVBS，YUV,S-VIDEO信号，VGA输入/输出卡均兼容CVBS，YUV,S-VIDEO。</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2.采用板卡模块化设计，支持接入2块输入卡、2块输出卡、1块控制卡；通过定制配置各类相同或不同的输入输出卡可以组成单一接口类型或多接口类型的矩阵，如HDMI矩阵，DVI矩阵，VGA矩阵，YUV矩阵，Video矩阵等。</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3.支持1080P分辨率，最大可支持4Kx2K。支持断电记忆功能，免除上电重复设置动作。支持智能温控，控制矩阵风扇的运行；系统内可存储多组预切换指令，调用时可以一键切换。</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4.支持接入1块控制板卡，具有1路RS-232,1路RS-485,1路TCP/IP端口（PC软件）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5.HDBaseT输入输出信号支持双向 RS-232 和双向 IR 信号传输，可对RS-232和IR 信号选择随视频信号切换，或分离切换模式，支持扩展POC模块对外设供电。</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6.支持KVM坐席管理功能，通过一套键盘鼠标显示器切换、管理多台计算机设备。</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嵌入式控制面板</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1.可编程嵌入式控制面板是触摸按键面板，可以远程控制矩阵主机切换、保存、调用的控制面板，可在会议室，办公室等控制矩阵设备切换。</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2.由矩阵主机远程供电，无需配独立适配器。</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3.支持编程图片、图形、文字、按键等更具人性化的界面。</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4.采用高灵敏度电阻触屏，操作反应速度更快。</w:t>
            </w:r>
          </w:p>
        </w:tc>
        <w:tc>
          <w:tcPr>
            <w:tcW w:w="6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HDMI高清输入卡</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1.支持4路HDMI-A母接口和3.5mm音频座；</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2.支持快速无缝切换，无闪烁，无黑屏；</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3.支持断电现场切换记忆保护功能，特有ESD静电保护功能；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4.支持模拟音频与HDMI内嵌音频选择输入；</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5.兼容HDMI1.3a的标准，HDCP1.3协议，DVI1.0协议； </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6.最大支持分辨率：1920X1200P@60；</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7.支持热插拔，即插即用。</w:t>
            </w:r>
          </w:p>
        </w:tc>
        <w:tc>
          <w:tcPr>
            <w:tcW w:w="6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516" w:type="dxa"/>
            <w:tcBorders>
              <w:top w:val="single" w:color="auto" w:sz="4" w:space="0"/>
              <w:left w:val="single" w:color="000000" w:sz="4" w:space="0"/>
              <w:bottom w:val="single" w:color="auto"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块</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HDMI高清输出卡</w:t>
            </w:r>
          </w:p>
        </w:tc>
        <w:tc>
          <w:tcPr>
            <w:tcW w:w="657"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1.支持4路HDMI-A母接口和3.5mm音频座；</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2.支持快速无缝切换，无闪烁，无黑屏；</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3.支持断电现场切换记忆保护功能，特有ESD静电保护功能；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4.支持模拟音频与HDMI内嵌音频同时输出；</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5.兼容HDMI1.3a的标准，HDCP1.3协议，DVI1.0协议；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6.支持倍线功能，最高分辨率支持1080P；</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7.支持热插拔，即插即用。</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块</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803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3、数字会议系统</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数字会议主机</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1.采用128位AES加密技术，支持WPA/WPA2无线安全技术，防止窃听和非授权访问，提供更高的会议系统机密性。</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内置高性能双CPU处理器，超强的处理能力，内核具有96位、50MIPS数字音频DSP处理器，立体声音频ADC和DAC，支持8KHz至96KHz范围内的采样速率，并支持数字音量控制。支持输出音频音量大小可调节，支持均衡和消噪等处理算法，提供更好的音质体验。</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采用独创的数字处理和传输技术，20Hz~20KHz带宽的非压缩音频传输，采用超五类线屏蔽线传输，确保会议信息长距离可靠传输，同时提供完美音质。具有WIFI网络接口，可以通过连接POE网络交换机扩充无线AP数量，提供更大的无线覆盖范围。</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4.支持WiFi会议系统和全数字会议系统同时使用，具有超大系统容量，具有4路会议单元输出接口，系统最大支持4096台有线会议单元，300台无线会议单元。系统最大支持同时开8个有线话筒和6个无线话筒。</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5.支持四种话筒管理模式：FIFO/ NORMAL/VOICE(声控)/APPLY。</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6.具有1路RS-485接口，支持一台摄像机实现摄像跟踪，支持PELCO-D、VISCA控制协议。配合摄像跟踪主机达到多路视频自动跟踪功能。</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无线会议话筒</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1.话筒采用48KHz采样率,清晰明亮。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2.采用先进处理芯片架构，及独特的处理算法，话筒开机连接时间只需5秒。</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3.具有智能检测故障功能，提示用户AP故障、主机通信故障、信号强度过低等情况。</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4.支持通过Type-C口充电，具有智能指标状态，支持18W快充。</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5.采用128位AES加密技术，支持 WPA/WPA2 无线安全技术，防止窃听和非授权访问，提供更高的会议系统机密性。</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6.主席具备优先权功能，可关闭正在发言的所有代表话筒。</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7.内置锂电池，电池容量支持14小时持续发言。</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话筒信号发射器</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 吸顶式的设计，精致美观，空间占用率低，与室内公共区域的整体环境相融合。采用PoE供电方式，安装使用简捷方便。</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 网络吞吐量：采用802.11n和802.11ac双频双空间流技术，提供最高约1.2Gbps的千兆WiFi接入，满足室内大容量，高吞吐量的应用需求。</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 无线安全：支持包括OPEN，WEP, WPA，WPA2，WPA-PSK，WPA2-PSK，802.11i在内的多种认证加密标准，并提供MAC, WEB, 802.1x认证，钓鱼AP检测，无线用户隔离和无线用户黑白名单等安全特性，为用户提供一个安全的网络应用环境。</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交换机</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1.端口描述：9个10/100Mbps RJ45端口，其中1-8端口支持PoE功能2.传输模式：全双工/半双工自适应3.网络标准：IEEE 802.3、IEEE 802.3u、IEEE 802.3x、IEEE 802.af、IEEE 802.at。</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无线话筒充电箱</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1．充电器可同时插满所有USB接口，供设备批量充电</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2．使用USB线充电，一端连接充电器一端连接会议单元。</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3．根据设备的耐受电流大小充电器会自动匹配合适的电流大小给设备充电，同时有过流保护功能，保证被充电单元的安全。</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4．智能自动电路保护，所有USB插口均具有短路保护功能和自恢复功能。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5．输入电压：100-240V AC 50/60Hz。</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6．充电接口（USB）：10个/100W。</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7．充电电压：5V。</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8．充电电流：2A（最大）。</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抑制器</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1.48kHz采样频率，32bit DPS处理器（300兆主频），24bitA/D及D/A转换。</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2.5档全自动移频模式选择，适用于各种场景及麦克风类型。</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3.采用2英寸IPS真彩显示屏，分辨率320*240。支持中/英文菜单显示。</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4.48个陷波器状态LED指示灯实时显示，每通道12个静态+12个动态陷波器。</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5.采用单键飞梭快捷操作，快速实现模式、直通、锁定及中英文选择功能。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6.移频器±10Hz可调（1Hz步进），陷波器增益、Q值、数量可调。</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7.独立每通道增益、噪声门、压限器、移频、陷波、高低通、7段PEQ功能设置。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8.提供USB和RS-485通讯接口，连接PC上位机及中控设备。</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音频处理器</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路输入4路输出的数字音频处理器，采用DSP音频处理技术，为用户提供卓越的声音品质；内置反馈抑制、回声消除、噪声消除等功能，还原高品质声音。主要应用于中大型场所，可以满足远程视频会议、指挥中心等公共扩声系统等多方面的应用需求。</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1.数字音频处理器支持≥8路平衡式话筒/线路输入通道，采用裸线接口端子，平衡接法；支持≥4路平衡式线路输出，采用裸线接口端子，平衡接法。</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2、输入通道支持前级放大、信号发生器、扩展器、压缩器、5段参量均衡、AM自动混音功能、AFC自适应反馈消除、AEC回声消除、ANC噪声消除。</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3.输出通道支持31段参量均衡器、延时器、分频器、高低通滤波器、限幅器。</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4.支持24bit/48KHz的声音，支持输入通道48V幻象供电。</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5.支持通过ipad或iPhone或安卓手机APP软件进行操作控制、切换8个不同场景。面板具备USB接口，支持多媒体存储，可进行播放或存储录播。</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6.配置双向RS-232接口，可用于控制外部设备；配置RS-485接口，可实现自动摄像跟踪功能。配置8通道可编程GPIO控制接口（可自定义输入输出）。</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7.支持断电自动保护记忆功能。支持通道拷贝、粘贴、联控功能。支持通过浏览器访问设备，下载自带管理控制软件；可工作在XP/Windows7.8.10等系统环境下。</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电源时序器</w:t>
            </w:r>
          </w:p>
        </w:tc>
        <w:tc>
          <w:tcPr>
            <w:tcW w:w="657"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1.支持8通道电源时序打开/关闭，每路动作延时时间：1秒，支持远程控制（上电+24V直流信号）8通道电源时序打开/关闭—当电源开关锁处于off位置时有效。支持配置CH1和CH2通道为受控或不受控状态。</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2.当远程控制有效时同时控制后板ALARM（报警）端口导通—起到级联控制ALARM（报警）功能。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3.单个通道最大负载功率2200W，所有通道负载总功率达6000W。输出连接器：多用途电源插座。</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803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4、集中控制系统</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网络中控主机</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1.采用标准19英寸机柜设计，面板具有指示灯，可直观反馈串口、红外、设备的工作状态；支持通过IOS平台/安卓平台等移动设备终端进行集中式管控。</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2.面板有≥4.3英寸触摸彩屏，可查看IP地址、修改IP地址。具备1路TF卡接口，实现项目中的程序导入或导出。（提供功能演示视频供评标查证，未提供本项演示的视为非实质性响应）</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3.支持不同操作端对中控进行管控，支持操作状态双向反馈功能。支持多台网络中控主机实现级联控制，达到互联、互控的效果。</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4.采用可编程控制平台，交互式的控制结构，中英文可编程界面。全面支持第三方设备及控制协议，支持用户自定义编程设置任何控制协议或者控制代码。</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5.采用32位Cortex-A8 ARM架构内嵌式处理器（配置不可低于此），处理速度最高可达720MHz。主机内置≥256MDPR及8GEMMC的大容量FLASH 存储器。</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6.内嵌智能红外学习功能模块，无须配置专业学习器。可导入各种常用的电器设备的红外代码库到主机，并实现控制。支持串口环出功能，主机的8路串口均可实现任意一个输入都可以从另外一个串口环出。</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主机具备≥8路独立可编程串口，可收发RS-232，RS-485及RS-422信号，≥8路独立可编程IR红外发射口，≥8路数字I/0输入输出控制口，带保护电路，≥8路弱电继电器控制接口，≥1个NET网络控制接口，可做外部功能扩展使用，可并接256个网络设备。</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安卓平板电脑</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会议系统配套，Android系统</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118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无线路由器</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双频5G路由器，智能千兆wifi信号放大器</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控制器</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1.协议兼容：搭配可编程中控主机使用，全面支持第三方设备控制。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2.手动控制：在机器的正前方，有8个轻触开关，紧急情况下可以手动控制继电器的开关，在现场出现特发情况时可以使用这一功能，很好的保护其他的设备。</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3.具有8路继电器，每路继电器都有三连接点的接线柱，具有常开与常闭的功能；具有1路零线端子接口。</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4.具有8路独立电源开关控制，单路电流支持20A。</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5.具有复位按键，支持恢复到出厂的默认设置。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6.具有设备运行状态指示灯及8个继电器的开关状态指示灯。</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7.具有1路网络接口，支持通过网络实现远程控制。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8.机器具备ID识别，通过中控网络控制多台时，可通过ID识别。</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9.具有键盘锁（LOCK）功能，防止误操作，便于用于维护管理。</w:t>
            </w:r>
          </w:p>
        </w:tc>
        <w:tc>
          <w:tcPr>
            <w:tcW w:w="6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无线投屏器</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企业级无线投屏器hdmi传输器手机电脑同屏设备 适用投影仪、一体机LED大屏拼接屏（单分屏+投屏发射器*1）</w:t>
            </w:r>
          </w:p>
        </w:tc>
        <w:tc>
          <w:tcPr>
            <w:tcW w:w="6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p>
        </w:tc>
        <w:tc>
          <w:tcPr>
            <w:tcW w:w="118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编程软件</w:t>
            </w:r>
          </w:p>
        </w:tc>
        <w:tc>
          <w:tcPr>
            <w:tcW w:w="65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会议系统配套。</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80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5、远程视频会议系统</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摄像机</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1.支持H.264HP的视频会议摄像机，可实现全高清1080p超低带宽传输。</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2.采用1/2.8英寸、207万有效像素的高品质HD CMOS传感器，可实现最大1920x1080高分辨率的优质图像。</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3.1080P下输出帧率可达60fps。</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4.支持AAC音频编码，音质更佳，带宽占用更小。</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5.支持本地存储功能，无需NVR即可实现U盘本地直接录制。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6.超高性噪比的全新CMOS图像传感器可有效降低在低照度情况下的图像噪声，同时应用2D和3D降噪算法，大幅降低了图像噪声，即便是超低照度情况下，依然保持画面干净清晰，图像信噪比高达55dB以上。</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7.支持HDMI高清输出，另配备3G-SDI接口，有效传输距离最高长达150米（1080p30）。HDMI、SDI、网络三路可同时输出。</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8.采用高品质超长焦镜头，光学变焦达到20倍，并支持16倍数字变焦。</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5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HDMI转USB输入盒</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免驱HDMI转USB3.0，高清视频会议采集卡。</w:t>
            </w:r>
          </w:p>
        </w:tc>
        <w:tc>
          <w:tcPr>
            <w:tcW w:w="6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个</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视频会议终端媒体软件</w:t>
            </w:r>
          </w:p>
        </w:tc>
        <w:tc>
          <w:tcPr>
            <w:tcW w:w="657"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1、支持ITU-T H.323标准协议，有良好的兼容性，支持VCS协议。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2、支持QCIF、CIF、4CIF、720P、1080P视频分辨率（软终端可达到的最高视频分辨率为所使用的USB摄像头最高支持的分辨率）。</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3、支持H.264HP视频编解码协议，支持G.711、G.722等音频编解码协议。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4、集成通信录、通话记录功能模块。</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5、支持切换模板、主席控制等常用功能。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6、支持会议签到、电子白板、电子投票、文件共享等数据会议功能，满足远程培训、教学等场景应用需求。</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7、支持多画面布局，单屏支持25路画面同时显示。</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8、支持语音优先，支持Qos策略。</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9、安装于windows平台PC电脑，支持接入USB摄像机视频设备。</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91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803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6、HDMI网传设备</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超高清KVM发送器</w:t>
            </w:r>
          </w:p>
        </w:tc>
        <w:tc>
          <w:tcPr>
            <w:tcW w:w="657"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1.输入接口支持有1x HDMI TYPE-A；1x DVI-D，1x3.5mm音频，输出接口支持有1x HDBaseT网口；1x HDMI TYPE-A监视输出口，1 x USB TYPE B接口（KVM接口），支持1个红外接口，1路RS232接口，自带显示屏及面板操作按键。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2.使用先进的HDBaseT传输技术，10.2Gbps传输速率，信号无压缩、无损耗、无延时。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3.支持HDMI 1.4标准（兼容DVI 1.0）和HDCP 1.4标准。最大分辨率支持4Kx2K @30Hz，输出分辨率与输入分辨率完全直通。</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4.HDMI线可支持15米，传输距离远，双绞线长度支持100米，支持通过双绞线POE远程供电。</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5.支持将音频数据嵌入视频数据，音视频信号同步传输。支持RS232串口数据的双向透传，波特率最高可达256000bps。支持红外信号的双向透传功能，并且支持38KHz载波调制。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6.支持KVM功能，可透传鼠标键盘数据，支持通过鼠标键盘的快捷键切换矩阵。</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2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超高清KVM接收器</w:t>
            </w:r>
          </w:p>
        </w:tc>
        <w:tc>
          <w:tcPr>
            <w:tcW w:w="657"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1.输入接口支持有1x HDBaseT网口，输出接口支持有1x HDMI TYPE-A；1x DVI-D，1x3.5mm音频，2 x USB TYPE A接口（KVM接口），支持1个红外接口，1路RS232接口，自带显示屏及面板操作按键。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2.使用先进的HDBaseT传输技术，10.2Gbps传输速率，信号无压缩、无损耗、无延时。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3.支持HDMI 1.4标准（兼容DVI 1.0）和HDCP 1.4标准。最大分辨率支持4Kx2K @30Hz，输出分辨率与输入分辨率完全直通。</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4.HDMI线可支持15米，传输距离远，双绞线长度支持100米，支持通过双绞线POE远程供电。</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5.支持从视频中实时提取音频数据，同步输出。支持RS232串口数据的双向透传，波特率最高可达256000bps。支持红外信号的双向透传功能，并且支持38KHz载波调制。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6.支持KVM功能，可透传鼠标键盘数据，支持通过鼠标键盘的快捷键切换矩阵。</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91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803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7、其他</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摄像头三脚架</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75CM-200CM高度可选，中轴升降+中轴锁+液压云台+手柄控制，方便快捷稳定高效。</w:t>
            </w:r>
          </w:p>
        </w:tc>
        <w:tc>
          <w:tcPr>
            <w:tcW w:w="637" w:type="dxa"/>
            <w:tcBorders>
              <w:top w:val="nil"/>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516" w:type="dxa"/>
            <w:tcBorders>
              <w:top w:val="nil"/>
              <w:left w:val="single" w:color="000000" w:sz="4" w:space="0"/>
              <w:bottom w:val="single" w:color="auto" w:sz="4" w:space="0"/>
              <w:right w:val="single" w:color="auto"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机柜</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标准19英寸网络服务器机柜,加厚,黑色，前钢化玻璃门，后钢板门</w:t>
            </w:r>
          </w:p>
        </w:tc>
        <w:tc>
          <w:tcPr>
            <w:tcW w:w="637" w:type="dxa"/>
            <w:tcBorders>
              <w:top w:val="nil"/>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nil"/>
              <w:left w:val="single" w:color="000000" w:sz="4" w:space="0"/>
              <w:bottom w:val="single" w:color="auto" w:sz="4" w:space="0"/>
              <w:right w:val="single" w:color="auto"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nil"/>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辅助材料</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配套视频线、音频线、电源线、网线、管材等</w:t>
            </w:r>
          </w:p>
        </w:tc>
        <w:tc>
          <w:tcPr>
            <w:tcW w:w="63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批</w:t>
            </w:r>
          </w:p>
        </w:tc>
        <w:tc>
          <w:tcPr>
            <w:tcW w:w="91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auto" w:sz="4" w:space="0"/>
              <w:left w:val="single" w:color="auto"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技术服务</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5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安装、调试、培训、一年期维保服务</w:t>
            </w:r>
          </w:p>
        </w:tc>
        <w:tc>
          <w:tcPr>
            <w:tcW w:w="63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51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w:t>
            </w:r>
          </w:p>
        </w:tc>
        <w:tc>
          <w:tcPr>
            <w:tcW w:w="919" w:type="dxa"/>
            <w:tcBorders>
              <w:top w:val="single" w:color="auto" w:sz="4" w:space="0"/>
              <w:left w:val="single" w:color="000000" w:sz="4" w:space="0"/>
              <w:bottom w:val="single" w:color="auto" w:sz="4" w:space="0"/>
              <w:right w:val="single" w:color="auto" w:sz="4" w:space="0"/>
            </w:tcBorders>
            <w:shd w:val="clear" w:color="auto" w:fill="auto"/>
            <w:vAlign w:val="center"/>
          </w:tcPr>
          <w:p>
            <w:pPr>
              <w:rPr>
                <w:rFonts w:ascii="仿宋_GB2312" w:hAnsi="仿宋_GB2312" w:eastAsia="仿宋_GB2312" w:cs="仿宋_GB2312"/>
                <w:color w:val="auto"/>
                <w:szCs w:val="21"/>
                <w:highlight w:val="none"/>
              </w:rPr>
            </w:pPr>
          </w:p>
        </w:tc>
        <w:tc>
          <w:tcPr>
            <w:tcW w:w="937"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8038" w:type="dxa"/>
            <w:gridSpan w:val="7"/>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金额合计（元）含税</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bl>
    <w:p>
      <w:pPr>
        <w:rPr>
          <w:rFonts w:ascii="仿宋_GB2312" w:hAnsi="仿宋_GB2312" w:eastAsia="仿宋_GB2312" w:cs="仿宋_GB2312"/>
          <w:color w:val="auto"/>
          <w:szCs w:val="21"/>
          <w:highlight w:val="none"/>
        </w:rPr>
      </w:pP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（二）服务要求：</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项目必须提供的具体服务内容如下：</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质保期服务内容</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1.报价人明确承诺:本项目硬件部分（即高清视频终端、矩阵切换系统、数字会议系统、中控系统等）需提供一年售后技术服务，本项目软件部分（即视频会议软件）提供一年售后技术服务。</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2.配套公司视频会议系统部分为本项目标的主体，报价单位需提供设备厂家原厂授权文件和原厂售后服务承诺。</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3.报价人产品属于国家规定“三包”范围的，其产品质量保证期不得低于“三包”规定。</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4.报价人的质量保证期承诺优于国家“三包”规定的，按承包人实际承诺执行。</w:t>
      </w:r>
    </w:p>
    <w:p>
      <w:pPr>
        <w:rPr>
          <w:rFonts w:ascii="仿宋_GB2312" w:hAnsi="仿宋_GB2312" w:eastAsia="仿宋_GB2312" w:cs="仿宋_GB2312"/>
          <w:color w:val="auto"/>
          <w:szCs w:val="21"/>
          <w:highlight w:val="none"/>
        </w:rPr>
      </w:pP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售后服务内容</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1.承包人在质量保证期内应当为询价人提供以下技术支持和服务:</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A、电话咨询</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承包人应当为询价人提供其单位以及原厂的技术援助电话，解答询价人在使用中遇到的问题，及时为询价人提出解决问题的建议。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B、现场响应</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询价人遇到使用及技术问题，电话咨询不能解决的，承包人应在1小时内到达现场进行处理，确保产品正常工作﹔无法在2小时内解决的，应在2小时内提供备用产品，使询价人能够正常使用。</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2.质保期外服务要求</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A、质量保证期过后，承包人应同样提供免费电话咨询服务，并应承诺提供产品上门维护服务。</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B、质量保证期过后，询价人需要继续由承包人提供售后服务的，该承包人应以优惠价格提供售后服务。</w:t>
      </w:r>
    </w:p>
    <w:p>
      <w:pPr>
        <w:rPr>
          <w:rFonts w:ascii="仿宋_GB2312" w:hAnsi="仿宋_GB2312" w:eastAsia="仿宋_GB2312" w:cs="仿宋_GB2312"/>
          <w:color w:val="auto"/>
          <w:szCs w:val="21"/>
          <w:highlight w:val="none"/>
        </w:rPr>
      </w:pPr>
    </w:p>
    <w:p>
      <w:pPr>
        <w:rPr>
          <w:rFonts w:ascii="仿宋_GB2312" w:hAnsi="仿宋_GB2312" w:eastAsia="仿宋_GB2312" w:cs="仿宋_GB2312"/>
          <w:color w:val="auto"/>
          <w:szCs w:val="21"/>
          <w:highlight w:val="none"/>
        </w:rPr>
      </w:pPr>
    </w:p>
    <w:p>
      <w:pPr>
        <w:pStyle w:val="27"/>
        <w:ind w:firstLine="640"/>
        <w:rPr>
          <w:rFonts w:hint="default" w:hAnsi="仿宋_GB2312" w:cs="仿宋_GB2312"/>
          <w:color w:val="auto"/>
          <w:szCs w:val="21"/>
          <w:highlight w:val="none"/>
        </w:rPr>
      </w:pPr>
    </w:p>
    <w:p>
      <w:pPr>
        <w:pStyle w:val="27"/>
        <w:ind w:firstLine="640"/>
        <w:rPr>
          <w:rFonts w:hint="default" w:hAnsi="仿宋_GB2312" w:cs="仿宋_GB2312"/>
          <w:color w:val="auto"/>
          <w:szCs w:val="21"/>
          <w:highlight w:val="none"/>
        </w:rPr>
      </w:pPr>
    </w:p>
    <w:p>
      <w:pPr>
        <w:pStyle w:val="27"/>
        <w:ind w:firstLine="640"/>
        <w:rPr>
          <w:rFonts w:hint="default" w:hAnsi="仿宋_GB2312" w:cs="仿宋_GB2312"/>
          <w:color w:val="auto"/>
          <w:szCs w:val="21"/>
          <w:highlight w:val="none"/>
        </w:rPr>
      </w:pPr>
    </w:p>
    <w:p>
      <w:pPr>
        <w:rPr>
          <w:rFonts w:ascii="仿宋_GB2312" w:hAnsi="仿宋_GB2312" w:eastAsia="仿宋_GB2312" w:cs="仿宋_GB2312"/>
          <w:color w:val="auto"/>
          <w:szCs w:val="21"/>
          <w:highlight w:val="none"/>
        </w:rPr>
      </w:pPr>
    </w:p>
    <w:p>
      <w:pPr>
        <w:spacing w:line="520" w:lineRule="exact"/>
        <w:rPr>
          <w:rFonts w:hint="eastAsia" w:asciiTheme="minorEastAsia" w:hAnsiTheme="minorEastAsia" w:eastAsiaTheme="minorEastAsia" w:cstheme="minorEastAsia"/>
          <w:b/>
          <w:bCs/>
          <w:color w:val="auto"/>
          <w:szCs w:val="21"/>
          <w:highlight w:val="none"/>
        </w:rPr>
      </w:pPr>
    </w:p>
    <w:p>
      <w:pPr>
        <w:spacing w:line="520" w:lineRule="exact"/>
        <w:rPr>
          <w:rFonts w:hint="eastAsia" w:asciiTheme="minorEastAsia" w:hAnsiTheme="minorEastAsia" w:eastAsiaTheme="minorEastAsia" w:cstheme="minorEastAsia"/>
          <w:b/>
          <w:bCs/>
          <w:color w:val="auto"/>
          <w:szCs w:val="21"/>
          <w:highlight w:val="none"/>
        </w:rPr>
      </w:pPr>
    </w:p>
    <w:p>
      <w:pPr>
        <w:spacing w:line="520" w:lineRule="exact"/>
        <w:rPr>
          <w:rFonts w:hint="eastAsia" w:asciiTheme="minorEastAsia" w:hAnsiTheme="minorEastAsia" w:eastAsiaTheme="minorEastAsia" w:cstheme="minorEastAsia"/>
          <w:b/>
          <w:bCs/>
          <w:color w:val="auto"/>
          <w:szCs w:val="21"/>
          <w:highlight w:val="none"/>
        </w:rPr>
      </w:pPr>
    </w:p>
    <w:p>
      <w:pPr>
        <w:spacing w:line="520" w:lineRule="exact"/>
        <w:rPr>
          <w:rFonts w:hint="eastAsia" w:asciiTheme="minorEastAsia" w:hAnsiTheme="minorEastAsia" w:eastAsiaTheme="minorEastAsia" w:cstheme="minorEastAsia"/>
          <w:b/>
          <w:bCs/>
          <w:color w:val="auto"/>
          <w:szCs w:val="21"/>
          <w:highlight w:val="none"/>
        </w:rPr>
      </w:pPr>
    </w:p>
    <w:p>
      <w:pPr>
        <w:spacing w:line="520" w:lineRule="exact"/>
        <w:rPr>
          <w:rFonts w:hint="eastAsia" w:asciiTheme="minorEastAsia" w:hAnsiTheme="minorEastAsia" w:eastAsiaTheme="minorEastAsia" w:cstheme="minorEastAsia"/>
          <w:b/>
          <w:bCs/>
          <w:color w:val="auto"/>
          <w:szCs w:val="21"/>
          <w:highlight w:val="none"/>
        </w:rPr>
      </w:pPr>
    </w:p>
    <w:p>
      <w:pPr>
        <w:spacing w:line="520" w:lineRule="exact"/>
        <w:rPr>
          <w:rFonts w:hint="eastAsia" w:asciiTheme="minorEastAsia" w:hAnsiTheme="minorEastAsia" w:eastAsiaTheme="minorEastAsia" w:cstheme="minorEastAsia"/>
          <w:b/>
          <w:bCs/>
          <w:color w:val="auto"/>
          <w:szCs w:val="21"/>
          <w:highlight w:val="none"/>
        </w:rPr>
      </w:pPr>
    </w:p>
    <w:p>
      <w:pPr>
        <w:spacing w:line="520" w:lineRule="exact"/>
        <w:rPr>
          <w:rFonts w:hint="eastAsia" w:asciiTheme="minorEastAsia" w:hAnsiTheme="minorEastAsia" w:eastAsiaTheme="minorEastAsia" w:cstheme="minorEastAsia"/>
          <w:b/>
          <w:bCs/>
          <w:color w:val="auto"/>
          <w:szCs w:val="21"/>
          <w:highlight w:val="none"/>
        </w:rPr>
      </w:pPr>
    </w:p>
    <w:p>
      <w:pPr>
        <w:spacing w:line="520" w:lineRule="exact"/>
        <w:rPr>
          <w:rFonts w:hint="eastAsia" w:asciiTheme="minorEastAsia" w:hAnsiTheme="minorEastAsia" w:eastAsiaTheme="minorEastAsia" w:cstheme="minorEastAsia"/>
          <w:b/>
          <w:bCs/>
          <w:color w:val="auto"/>
          <w:szCs w:val="21"/>
          <w:highlight w:val="none"/>
        </w:rPr>
      </w:pPr>
    </w:p>
    <w:p>
      <w:pPr>
        <w:spacing w:line="520" w:lineRule="exact"/>
        <w:rPr>
          <w:rFonts w:hint="eastAsia" w:asciiTheme="minorEastAsia" w:hAnsiTheme="minorEastAsia" w:eastAsiaTheme="minorEastAsia" w:cstheme="minorEastAsia"/>
          <w:b/>
          <w:bCs/>
          <w:color w:val="auto"/>
          <w:szCs w:val="21"/>
          <w:highlight w:val="none"/>
        </w:rPr>
      </w:pPr>
    </w:p>
    <w:p>
      <w:pPr>
        <w:spacing w:line="520" w:lineRule="exact"/>
        <w:rPr>
          <w:rFonts w:hint="eastAsia" w:asciiTheme="minorEastAsia" w:hAnsiTheme="minorEastAsia" w:eastAsiaTheme="minorEastAsia" w:cstheme="minorEastAsia"/>
          <w:b/>
          <w:bCs/>
          <w:color w:val="auto"/>
          <w:szCs w:val="21"/>
          <w:highlight w:val="none"/>
        </w:rPr>
      </w:pPr>
    </w:p>
    <w:p>
      <w:pPr>
        <w:spacing w:line="520" w:lineRule="exact"/>
        <w:rPr>
          <w:rFonts w:hint="eastAsia" w:asciiTheme="minorEastAsia" w:hAnsiTheme="minorEastAsia" w:eastAsiaTheme="minorEastAsia" w:cstheme="minorEastAsia"/>
          <w:b/>
          <w:bCs/>
          <w:color w:val="auto"/>
          <w:szCs w:val="21"/>
          <w:highlight w:val="none"/>
        </w:rPr>
      </w:pPr>
    </w:p>
    <w:p>
      <w:pPr>
        <w:spacing w:line="520" w:lineRule="exac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附件5：</w:t>
      </w:r>
    </w:p>
    <w:p>
      <w:pPr>
        <w:adjustRightInd w:val="0"/>
        <w:snapToGrid w:val="0"/>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处理</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发生重伤或死亡1～2人的，暂停投标1年至2年（含）。</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发生重伤或死亡3～9人的，暂停投标2年以上至4年。</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其他不诚信</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bl>
    <w:p>
      <w:pPr>
        <w:pStyle w:val="26"/>
        <w:ind w:firstLine="210"/>
        <w:rPr>
          <w:color w:val="auto"/>
          <w:highlight w:val="none"/>
        </w:rPr>
      </w:pPr>
    </w:p>
    <w:p>
      <w:pPr>
        <w:widowControl/>
        <w:jc w:val="left"/>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widowControl/>
        <w:jc w:val="center"/>
        <w:rPr>
          <w:rFonts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第五部分　响应文件格式</w:t>
      </w:r>
    </w:p>
    <w:p>
      <w:pPr>
        <w:pStyle w:val="15"/>
        <w:spacing w:line="360" w:lineRule="auto"/>
        <w:rPr>
          <w:rFonts w:ascii="仿宋_GB2312" w:hAnsi="仿宋_GB2312" w:eastAsia="仿宋_GB2312" w:cs="仿宋_GB2312"/>
          <w:b/>
          <w:color w:val="auto"/>
          <w:sz w:val="28"/>
          <w:szCs w:val="28"/>
          <w:highlight w:val="none"/>
        </w:rPr>
      </w:pPr>
    </w:p>
    <w:p>
      <w:pPr>
        <w:rPr>
          <w:rFonts w:ascii="仿宋_GB2312" w:hAnsi="仿宋_GB2312" w:eastAsia="仿宋_GB2312" w:cs="仿宋_GB2312"/>
          <w:color w:val="auto"/>
          <w:highlight w:val="none"/>
        </w:rPr>
      </w:pPr>
    </w:p>
    <w:p>
      <w:pPr>
        <w:pStyle w:val="15"/>
        <w:tabs>
          <w:tab w:val="left" w:pos="1260"/>
        </w:tabs>
        <w:jc w:val="center"/>
        <w:rPr>
          <w:rFonts w:ascii="仿宋_GB2312" w:hAnsi="仿宋_GB2312" w:eastAsia="仿宋_GB2312" w:cs="仿宋_GB2312"/>
          <w:b/>
          <w:color w:val="auto"/>
          <w:kern w:val="0"/>
          <w:sz w:val="28"/>
          <w:szCs w:val="28"/>
          <w:highlight w:val="none"/>
        </w:rPr>
      </w:pPr>
    </w:p>
    <w:p>
      <w:pPr>
        <w:pStyle w:val="15"/>
        <w:tabs>
          <w:tab w:val="left" w:pos="1260"/>
        </w:tabs>
        <w:jc w:val="center"/>
        <w:rPr>
          <w:rFonts w:ascii="仿宋_GB2312" w:hAnsi="仿宋_GB2312" w:eastAsia="仿宋_GB2312" w:cs="仿宋_GB2312"/>
          <w:b/>
          <w:color w:val="auto"/>
          <w:kern w:val="0"/>
          <w:sz w:val="28"/>
          <w:szCs w:val="28"/>
          <w:highlight w:val="none"/>
          <w:u w:val="single"/>
        </w:rPr>
      </w:pPr>
    </w:p>
    <w:p>
      <w:pPr>
        <w:pStyle w:val="15"/>
        <w:jc w:val="center"/>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u w:val="single"/>
        </w:rPr>
        <w:t>广州市净水有限公司备用中心视频会议</w:t>
      </w:r>
      <w:r>
        <w:rPr>
          <w:rFonts w:hint="eastAsia" w:ascii="仿宋_GB2312" w:hAnsi="仿宋_GB2312" w:eastAsia="仿宋_GB2312" w:cs="仿宋_GB2312"/>
          <w:b/>
          <w:color w:val="auto"/>
          <w:sz w:val="28"/>
          <w:szCs w:val="28"/>
          <w:highlight w:val="none"/>
          <w:u w:val="single"/>
          <w:lang w:val="en-US" w:eastAsia="zh-CN"/>
        </w:rPr>
        <w:t>系统硬件采购</w:t>
      </w:r>
    </w:p>
    <w:p>
      <w:pPr>
        <w:pStyle w:val="15"/>
        <w:tabs>
          <w:tab w:val="left" w:pos="1260"/>
        </w:tabs>
        <w:jc w:val="center"/>
        <w:rPr>
          <w:rFonts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5"/>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5"/>
        <w:jc w:val="center"/>
        <w:rPr>
          <w:rFonts w:ascii="仿宋_GB2312" w:hAnsi="仿宋_GB2312" w:eastAsia="仿宋_GB2312" w:cs="仿宋_GB2312"/>
          <w:b/>
          <w:color w:val="auto"/>
          <w:sz w:val="28"/>
          <w:szCs w:val="28"/>
          <w:highlight w:val="none"/>
        </w:rPr>
      </w:pPr>
    </w:p>
    <w:p>
      <w:pPr>
        <w:pStyle w:val="15"/>
        <w:jc w:val="center"/>
        <w:rPr>
          <w:rFonts w:ascii="仿宋_GB2312" w:hAnsi="仿宋_GB2312" w:eastAsia="仿宋_GB2312" w:cs="仿宋_GB2312"/>
          <w:b/>
          <w:color w:val="auto"/>
          <w:sz w:val="28"/>
          <w:szCs w:val="28"/>
          <w:highlight w:val="none"/>
        </w:rPr>
      </w:pPr>
    </w:p>
    <w:p>
      <w:pPr>
        <w:pStyle w:val="15"/>
        <w:spacing w:line="36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w:t>
      </w:r>
    </w:p>
    <w:p>
      <w:pPr>
        <w:pStyle w:val="14"/>
        <w:spacing w:line="360" w:lineRule="auto"/>
        <w:ind w:firstLine="0" w:firstLineChars="0"/>
        <w:rPr>
          <w:rFonts w:hAnsi="仿宋_GB2312" w:cs="仿宋_GB2312"/>
          <w:color w:val="auto"/>
          <w:sz w:val="28"/>
          <w:szCs w:val="28"/>
          <w:highlight w:val="none"/>
          <w:u w:val="single"/>
        </w:rPr>
      </w:pPr>
      <w:r>
        <w:rPr>
          <w:rFonts w:hint="eastAsia" w:hAnsi="仿宋_GB2312" w:cs="仿宋_GB2312"/>
          <w:color w:val="auto"/>
          <w:sz w:val="28"/>
          <w:szCs w:val="28"/>
          <w:highlight w:val="none"/>
        </w:rPr>
        <w:t>项目名称：广州市净水有限公司石井净水分公司备用中心视频会议</w:t>
      </w:r>
      <w:r>
        <w:rPr>
          <w:rFonts w:hint="eastAsia" w:hAnsi="仿宋_GB2312" w:cs="仿宋_GB2312"/>
          <w:color w:val="auto"/>
          <w:sz w:val="28"/>
          <w:szCs w:val="28"/>
          <w:highlight w:val="none"/>
          <w:lang w:val="en-US" w:eastAsia="zh-CN"/>
        </w:rPr>
        <w:t>系统硬件采购</w:t>
      </w:r>
    </w:p>
    <w:p>
      <w:pPr>
        <w:pStyle w:val="15"/>
        <w:ind w:firstLine="843" w:firstLineChars="300"/>
        <w:rPr>
          <w:rFonts w:ascii="仿宋_GB2312" w:hAnsi="仿宋_GB2312" w:eastAsia="仿宋_GB2312" w:cs="仿宋_GB2312"/>
          <w:b/>
          <w:color w:val="auto"/>
          <w:sz w:val="28"/>
          <w:szCs w:val="28"/>
          <w:highlight w:val="none"/>
        </w:rPr>
      </w:pPr>
    </w:p>
    <w:p>
      <w:pPr>
        <w:pStyle w:val="15"/>
        <w:ind w:firstLine="843" w:firstLineChars="300"/>
        <w:rPr>
          <w:rFonts w:ascii="仿宋_GB2312" w:hAnsi="仿宋_GB2312" w:eastAsia="仿宋_GB2312" w:cs="仿宋_GB2312"/>
          <w:b/>
          <w:color w:val="auto"/>
          <w:sz w:val="28"/>
          <w:szCs w:val="28"/>
          <w:highlight w:val="none"/>
        </w:rPr>
      </w:pPr>
    </w:p>
    <w:p>
      <w:pPr>
        <w:pStyle w:val="15"/>
        <w:ind w:firstLine="843" w:firstLineChars="300"/>
        <w:rPr>
          <w:rFonts w:ascii="仿宋_GB2312" w:hAnsi="仿宋_GB2312" w:eastAsia="仿宋_GB2312" w:cs="仿宋_GB2312"/>
          <w:b/>
          <w:color w:val="auto"/>
          <w:sz w:val="28"/>
          <w:szCs w:val="28"/>
          <w:highlight w:val="none"/>
        </w:rPr>
      </w:pPr>
    </w:p>
    <w:p>
      <w:pPr>
        <w:pStyle w:val="15"/>
        <w:ind w:firstLine="843" w:firstLineChars="300"/>
        <w:rPr>
          <w:rFonts w:ascii="仿宋_GB2312" w:hAnsi="仿宋_GB2312" w:eastAsia="仿宋_GB2312" w:cs="仿宋_GB2312"/>
          <w:b/>
          <w:color w:val="auto"/>
          <w:sz w:val="28"/>
          <w:szCs w:val="28"/>
          <w:highlight w:val="none"/>
        </w:rPr>
      </w:pPr>
    </w:p>
    <w:p>
      <w:pPr>
        <w:pStyle w:val="15"/>
        <w:ind w:firstLine="843" w:firstLineChars="300"/>
        <w:rPr>
          <w:rFonts w:ascii="仿宋_GB2312" w:hAnsi="仿宋_GB2312" w:eastAsia="仿宋_GB2312" w:cs="仿宋_GB2312"/>
          <w:b/>
          <w:color w:val="auto"/>
          <w:sz w:val="28"/>
          <w:szCs w:val="28"/>
          <w:highlight w:val="none"/>
        </w:rPr>
      </w:pPr>
    </w:p>
    <w:p>
      <w:pPr>
        <w:pStyle w:val="15"/>
        <w:spacing w:line="360" w:lineRule="auto"/>
        <w:ind w:firstLine="1940" w:firstLineChars="690"/>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报价单位名称：</w:t>
      </w:r>
    </w:p>
    <w:p>
      <w:pPr>
        <w:autoSpaceDE w:val="0"/>
        <w:autoSpaceDN w:val="0"/>
        <w:spacing w:line="240" w:lineRule="atLeast"/>
        <w:ind w:firstLine="2080" w:firstLineChars="740"/>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    期 ：年   月   日</w:t>
      </w:r>
    </w:p>
    <w:p>
      <w:pPr>
        <w:autoSpaceDE w:val="0"/>
        <w:autoSpaceDN w:val="0"/>
        <w:adjustRightInd w:val="0"/>
        <w:jc w:val="center"/>
        <w:rPr>
          <w:rFonts w:ascii="仿宋_GB2312" w:hAnsi="仿宋_GB2312" w:eastAsia="仿宋_GB2312" w:cs="仿宋_GB2312"/>
          <w:color w:val="auto"/>
          <w:szCs w:val="21"/>
          <w:highlight w:val="none"/>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（1）法定代表人/负责人资格证明书</w:t>
      </w:r>
    </w:p>
    <w:p>
      <w:pPr>
        <w:spacing w:line="480" w:lineRule="exact"/>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rPr>
          <w:rFonts w:ascii="仿宋" w:hAnsi="仿宋" w:eastAsia="仿宋" w:cs="仿宋_GB2312"/>
          <w:color w:val="auto"/>
          <w:sz w:val="28"/>
          <w:szCs w:val="28"/>
          <w:highlight w:val="none"/>
        </w:rPr>
      </w:pPr>
    </w:p>
    <w:p>
      <w:pPr>
        <w:spacing w:line="44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同志为本单位法定代表人，特此证明。</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签发日期：           单位：           （盖单位公章）</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附：代表人性别：            年龄：           身份证号码：</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联系电话：</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营业执照号码：                       经济性质：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机构代码：                           机构性质：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主营：</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兼营：</w:t>
      </w:r>
    </w:p>
    <w:p>
      <w:pPr>
        <w:spacing w:line="440" w:lineRule="exact"/>
        <w:rPr>
          <w:rFonts w:ascii="宋体" w:hAnsi="宋体"/>
          <w:color w:val="auto"/>
          <w:sz w:val="24"/>
          <w:highlight w:val="none"/>
        </w:rPr>
      </w:pPr>
      <w:r>
        <w:rPr>
          <w:rFonts w:hint="eastAsia" w:ascii="宋体" w:hAnsi="宋体"/>
          <w:color w:val="auto"/>
          <w:sz w:val="24"/>
          <w:highlight w:val="none"/>
        </w:rPr>
        <w:t>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人像面，盖单位公章</w:t>
            </w:r>
          </w:p>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p>
        </w:tc>
        <w:tc>
          <w:tcPr>
            <w:tcW w:w="4814" w:type="dxa"/>
          </w:tcPr>
          <w:p>
            <w:pPr>
              <w:widowControl/>
              <w:spacing w:line="440" w:lineRule="exact"/>
              <w:rPr>
                <w:rFonts w:ascii="仿宋" w:hAnsi="仿宋" w:eastAsia="仿宋" w:cs="仿宋_GB2312"/>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国徽面，盖单位公章</w:t>
            </w:r>
          </w:p>
          <w:p>
            <w:pPr>
              <w:pStyle w:val="2"/>
              <w:rPr>
                <w:color w:val="auto"/>
                <w:highlight w:val="none"/>
              </w:rPr>
            </w:pPr>
          </w:p>
          <w:p>
            <w:pPr>
              <w:spacing w:line="360" w:lineRule="auto"/>
              <w:jc w:val="left"/>
              <w:rPr>
                <w:rFonts w:ascii="宋体" w:hAnsi="宋体"/>
                <w:color w:val="auto"/>
                <w:sz w:val="24"/>
                <w:highlight w:val="none"/>
              </w:rPr>
            </w:pPr>
          </w:p>
        </w:tc>
      </w:tr>
    </w:tbl>
    <w:p>
      <w:pPr>
        <w:rPr>
          <w:rFonts w:ascii="仿宋" w:hAnsi="仿宋" w:eastAsia="仿宋" w:cs="仿宋_GB2312"/>
          <w:color w:val="auto"/>
          <w:sz w:val="28"/>
          <w:szCs w:val="28"/>
          <w:highlight w:val="none"/>
        </w:rPr>
      </w:pPr>
    </w:p>
    <w:p>
      <w:pPr>
        <w:rPr>
          <w:rFonts w:ascii="仿宋" w:hAnsi="仿宋" w:eastAsia="仿宋" w:cs="仿宋_GB2312"/>
          <w:b/>
          <w:color w:val="auto"/>
          <w:sz w:val="28"/>
          <w:szCs w:val="28"/>
          <w:highlight w:val="none"/>
        </w:rPr>
      </w:pPr>
      <w:r>
        <w:rPr>
          <w:rFonts w:hint="eastAsia" w:ascii="仿宋" w:hAnsi="仿宋" w:eastAsia="仿宋" w:cs="仿宋_GB2312"/>
          <w:color w:val="auto"/>
          <w:sz w:val="28"/>
          <w:szCs w:val="28"/>
          <w:highlight w:val="none"/>
        </w:rPr>
        <w:t xml:space="preserve"> </w:t>
      </w: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pStyle w:val="2"/>
        <w:rPr>
          <w:color w:val="auto"/>
          <w:highlight w:val="none"/>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auto"/>
          <w:sz w:val="28"/>
          <w:szCs w:val="28"/>
          <w:highlight w:val="none"/>
        </w:rPr>
      </w:pPr>
    </w:p>
    <w:p>
      <w:pPr>
        <w:spacing w:line="480" w:lineRule="exact"/>
        <w:jc w:val="center"/>
        <w:rPr>
          <w:rFonts w:ascii="仿宋" w:hAnsi="仿宋" w:eastAsia="仿宋" w:cs="仿宋_GB2312"/>
          <w:b/>
          <w:color w:val="auto"/>
          <w:sz w:val="28"/>
          <w:szCs w:val="28"/>
          <w:highlight w:val="none"/>
        </w:rPr>
      </w:pP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（2）法定代表人/负责人授权委托书</w:t>
      </w:r>
    </w:p>
    <w:p>
      <w:pPr>
        <w:spacing w:line="360" w:lineRule="auto"/>
        <w:rPr>
          <w:rFonts w:ascii="仿宋" w:hAnsi="仿宋" w:eastAsia="仿宋" w:cs="仿宋_GB2312"/>
          <w:color w:val="auto"/>
          <w:sz w:val="28"/>
          <w:szCs w:val="28"/>
          <w:highlight w:val="none"/>
        </w:rPr>
      </w:pPr>
    </w:p>
    <w:p>
      <w:pPr>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ind w:firstLine="560" w:firstLineChars="200"/>
        <w:rPr>
          <w:rFonts w:ascii="仿宋" w:hAnsi="仿宋" w:eastAsia="仿宋" w:cs="仿宋_GB2312"/>
          <w:b/>
          <w:color w:val="auto"/>
          <w:sz w:val="28"/>
          <w:szCs w:val="28"/>
          <w:highlight w:val="none"/>
        </w:rPr>
      </w:pPr>
    </w:p>
    <w:p>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 xml:space="preserve">（姓名）（法人签字或盖私章） </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附：代理人性别：     年龄：     职务：</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w:t>
      </w:r>
      <w:r>
        <w:rPr>
          <w:rFonts w:hint="eastAsia" w:ascii="仿宋" w:hAnsi="仿宋" w:eastAsia="仿宋" w:cs="仿宋_GB2312"/>
          <w:color w:val="auto"/>
          <w:sz w:val="28"/>
          <w:szCs w:val="28"/>
          <w:highlight w:val="none"/>
          <w:lang w:val="en-US" w:eastAsia="zh-CN"/>
        </w:rPr>
        <w:t>联系电话：</w:t>
      </w:r>
      <w:r>
        <w:rPr>
          <w:rFonts w:hint="eastAsia" w:ascii="仿宋" w:hAnsi="仿宋" w:eastAsia="仿宋" w:cs="仿宋_GB2312"/>
          <w:color w:val="auto"/>
          <w:sz w:val="28"/>
          <w:szCs w:val="28"/>
          <w:highlight w:val="none"/>
          <w:lang w:eastAsia="zh-CN"/>
        </w:rPr>
        <w:t xml:space="preserve"> </w:t>
      </w:r>
    </w:p>
    <w:p>
      <w:pPr>
        <w:spacing w:line="480" w:lineRule="exact"/>
        <w:ind w:firstLine="280" w:firstLineChars="100"/>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说明：1.法定代表人为企业事业单位、国家机关、社会团体的主要行政负责人。</w:t>
      </w:r>
    </w:p>
    <w:p>
      <w:pPr>
        <w:spacing w:line="48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auto"/>
          <w:sz w:val="24"/>
          <w:highlight w:val="none"/>
        </w:rPr>
      </w:pPr>
      <w:r>
        <w:rPr>
          <w:rFonts w:hint="eastAsia" w:ascii="仿宋" w:hAnsi="仿宋" w:eastAsia="仿宋" w:cs="仿宋_GB2312"/>
          <w:color w:val="auto"/>
          <w:sz w:val="24"/>
          <w:highlight w:val="none"/>
        </w:rPr>
        <w:t>3.将此证明书提交对方作为合同附件</w:t>
      </w:r>
      <w:r>
        <w:rPr>
          <w:rFonts w:hint="eastAsia" w:ascii="仿宋" w:hAnsi="仿宋" w:eastAsia="仿宋" w:cs="仿宋_GB2312"/>
          <w:b/>
          <w:color w:val="auto"/>
          <w:sz w:val="24"/>
          <w:highlight w:val="none"/>
        </w:rPr>
        <w:t>。</w:t>
      </w:r>
    </w:p>
    <w:p>
      <w:pPr>
        <w:pStyle w:val="2"/>
        <w:ind w:firstLine="720" w:firstLineChars="300"/>
        <w:rPr>
          <w:rFonts w:ascii="仿宋" w:hAnsi="仿宋" w:eastAsia="仿宋" w:cs="仿宋_GB2312"/>
          <w:color w:val="auto"/>
          <w:kern w:val="2"/>
          <w:highlight w:val="none"/>
        </w:rPr>
      </w:pPr>
      <w:r>
        <w:rPr>
          <w:rFonts w:hint="eastAsia" w:ascii="仿宋" w:hAnsi="仿宋" w:eastAsia="仿宋" w:cs="仿宋_GB2312"/>
          <w:color w:val="auto"/>
          <w:kern w:val="2"/>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highlight w:val="none"/>
        </w:rPr>
      </w:pPr>
      <w:r>
        <w:rPr>
          <w:rFonts w:hint="eastAsia" w:ascii="仿宋" w:hAnsi="仿宋" w:eastAsia="仿宋" w:cs="仿宋_GB2312"/>
          <w:color w:val="auto"/>
          <w:sz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highlight w:val="none"/>
        </w:rPr>
      </w:pPr>
      <w:r>
        <w:rPr>
          <w:rFonts w:hint="eastAsia" w:ascii="仿宋" w:hAnsi="仿宋" w:eastAsia="仿宋" w:cs="仿宋_GB2312"/>
          <w:color w:val="auto"/>
          <w:sz w:val="24"/>
          <w:highlight w:val="none"/>
        </w:rPr>
        <w:t>6.谈判签字代表为法定代表人，则本表不适用。</w:t>
      </w:r>
    </w:p>
    <w:p>
      <w:pPr>
        <w:widowControl/>
        <w:spacing w:line="440" w:lineRule="exact"/>
        <w:ind w:firstLine="736" w:firstLineChars="307"/>
        <w:jc w:val="left"/>
        <w:rPr>
          <w:rFonts w:ascii="仿宋" w:hAnsi="仿宋" w:eastAsia="仿宋" w:cs="仿宋_GB2312"/>
          <w:color w:val="auto"/>
          <w:sz w:val="24"/>
          <w:highlight w:val="none"/>
        </w:rPr>
      </w:pPr>
      <w:r>
        <w:rPr>
          <w:rFonts w:hint="eastAsia" w:ascii="仿宋" w:hAnsi="仿宋" w:eastAsia="仿宋" w:cs="仿宋_GB2312"/>
          <w:color w:val="auto"/>
          <w:sz w:val="24"/>
          <w:highlight w:val="none"/>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auto"/>
          <w:sz w:val="24"/>
          <w:highlight w:val="none"/>
        </w:rPr>
      </w:pPr>
    </w:p>
    <w:p>
      <w:pPr>
        <w:widowControl/>
        <w:spacing w:line="440" w:lineRule="exact"/>
        <w:jc w:val="left"/>
        <w:rPr>
          <w:rFonts w:ascii="仿宋" w:hAnsi="仿宋" w:eastAsia="仿宋" w:cs="仿宋_GB2312"/>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sz w:val="24"/>
          <w:szCs w:val="24"/>
          <w:highlight w:val="none"/>
        </w:rPr>
      </w:pPr>
      <w:r>
        <w:rPr>
          <w:rFonts w:hint="eastAsia" w:ascii="宋体" w:hAnsi="宋体"/>
          <w:sz w:val="24"/>
          <w:szCs w:val="24"/>
          <w:highlight w:val="none"/>
        </w:rPr>
        <w:t>授权代理人身份证复印件：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8" w:hRule="atLeast"/>
        </w:trPr>
        <w:tc>
          <w:tcPr>
            <w:tcW w:w="4814" w:type="dxa"/>
            <w:noWrap w:val="0"/>
            <w:vAlign w:val="top"/>
          </w:tcPr>
          <w:p>
            <w:pPr>
              <w:spacing w:line="360" w:lineRule="auto"/>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r>
              <w:rPr>
                <w:rFonts w:hint="eastAsia" w:ascii="宋体" w:hAnsi="宋体"/>
                <w:sz w:val="24"/>
                <w:szCs w:val="24"/>
                <w:highlight w:val="none"/>
              </w:rPr>
              <w:t>人像面，盖单位公章</w:t>
            </w:r>
          </w:p>
          <w:p>
            <w:pPr>
              <w:spacing w:line="360" w:lineRule="auto"/>
              <w:jc w:val="center"/>
              <w:rPr>
                <w:rFonts w:hint="eastAsia"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rPr>
                <w:rFonts w:hint="eastAsia"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国徽面，盖单位公章</w:t>
            </w:r>
          </w:p>
        </w:tc>
      </w:tr>
    </w:tbl>
    <w:p>
      <w:pPr>
        <w:spacing w:line="480" w:lineRule="exact"/>
        <w:ind w:firstLine="840" w:firstLineChars="300"/>
        <w:rPr>
          <w:rFonts w:ascii="仿宋" w:hAnsi="仿宋" w:eastAsia="仿宋" w:cs="仿宋_GB2312"/>
          <w:b/>
          <w:color w:val="000000"/>
          <w:sz w:val="28"/>
          <w:szCs w:val="28"/>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r>
              <w:rPr>
                <w:rFonts w:hint="eastAsia" w:ascii="宋体" w:hAnsi="宋体"/>
                <w:sz w:val="24"/>
                <w:szCs w:val="24"/>
                <w:highlight w:val="none"/>
              </w:rPr>
              <w:t>授权代理人在本单位近三个月社保记录，（以加盖社会保险基金管理中心印章的《缴费历史明细表》或《社会保险参保人员证明》为准，盖单位公章</w:t>
            </w:r>
          </w:p>
          <w:p>
            <w:pPr>
              <w:spacing w:line="360" w:lineRule="auto"/>
              <w:jc w:val="center"/>
              <w:rPr>
                <w:rFonts w:hint="eastAsia"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80" w:lineRule="exact"/>
        <w:ind w:firstLine="840" w:firstLineChars="300"/>
        <w:rPr>
          <w:rFonts w:ascii="仿宋" w:hAnsi="仿宋" w:eastAsia="仿宋" w:cs="仿宋_GB2312"/>
          <w:b/>
          <w:color w:val="auto"/>
          <w:sz w:val="28"/>
          <w:szCs w:val="28"/>
          <w:highlight w:val="none"/>
        </w:rPr>
      </w:pPr>
    </w:p>
    <w:p>
      <w:pPr>
        <w:spacing w:line="300" w:lineRule="auto"/>
        <w:jc w:val="center"/>
        <w:rPr>
          <w:rFonts w:hint="eastAsia" w:ascii="仿宋" w:hAnsi="仿宋" w:eastAsia="仿宋" w:cs="仿宋_GB2312"/>
          <w:b/>
          <w:color w:val="auto"/>
          <w:sz w:val="28"/>
          <w:szCs w:val="28"/>
          <w:highlight w:val="none"/>
        </w:rPr>
      </w:pPr>
    </w:p>
    <w:p>
      <w:pPr>
        <w:pStyle w:val="27"/>
        <w:ind w:firstLine="640"/>
        <w:rPr>
          <w:color w:val="auto"/>
          <w:highlight w:val="none"/>
        </w:rPr>
      </w:pPr>
    </w:p>
    <w:p>
      <w:pPr>
        <w:pStyle w:val="27"/>
        <w:ind w:firstLine="640"/>
        <w:rPr>
          <w:color w:val="auto"/>
          <w:highlight w:val="none"/>
        </w:rPr>
      </w:pPr>
    </w:p>
    <w:p>
      <w:pPr>
        <w:pStyle w:val="27"/>
        <w:ind w:firstLine="640"/>
        <w:rPr>
          <w:color w:val="auto"/>
          <w:highlight w:val="none"/>
        </w:rPr>
      </w:pPr>
    </w:p>
    <w:p>
      <w:pPr>
        <w:pStyle w:val="27"/>
        <w:ind w:firstLine="640"/>
        <w:rPr>
          <w:color w:val="auto"/>
          <w:highlight w:val="none"/>
        </w:rPr>
      </w:pPr>
    </w:p>
    <w:p>
      <w:pPr>
        <w:spacing w:line="300" w:lineRule="auto"/>
        <w:jc w:val="left"/>
        <w:rPr>
          <w:rFonts w:hint="eastAsia" w:ascii="仿宋" w:hAnsi="仿宋" w:eastAsia="仿宋" w:cs="仿宋_GB2312"/>
          <w:b/>
          <w:color w:val="auto"/>
          <w:sz w:val="28"/>
          <w:szCs w:val="28"/>
          <w:highlight w:val="none"/>
        </w:rPr>
      </w:pPr>
    </w:p>
    <w:p>
      <w:pPr>
        <w:spacing w:line="300" w:lineRule="auto"/>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2、资格证明文件</w:t>
      </w:r>
    </w:p>
    <w:p>
      <w:pPr>
        <w:spacing w:line="300" w:lineRule="auto"/>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关于资格的声明函</w:t>
      </w: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关于贵方项目名称:</w:t>
      </w:r>
      <w:r>
        <w:rPr>
          <w:rFonts w:hint="eastAsia" w:ascii="仿宋" w:hAnsi="仿宋" w:eastAsia="仿宋" w:cs="仿宋_GB2312"/>
          <w:color w:val="auto"/>
          <w:sz w:val="28"/>
          <w:szCs w:val="28"/>
          <w:highlight w:val="none"/>
          <w:u w:val="single"/>
        </w:rPr>
        <w:t>___________</w:t>
      </w:r>
      <w:r>
        <w:rPr>
          <w:rFonts w:hint="eastAsia" w:ascii="仿宋" w:hAnsi="仿宋" w:eastAsia="仿宋" w:cs="仿宋_GB2312"/>
          <w:color w:val="auto"/>
          <w:sz w:val="28"/>
          <w:szCs w:val="28"/>
          <w:highlight w:val="none"/>
        </w:rPr>
        <w:t>_项目编号：</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询价项目，本单位愿意提交询价响应文件，并证明所提交的文件、说明、证明是准确的和真实的。</w:t>
      </w:r>
    </w:p>
    <w:p>
      <w:pPr>
        <w:spacing w:line="480" w:lineRule="exact"/>
        <w:ind w:firstLine="3640" w:firstLineChars="1300"/>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（相关证明文件附后）</w:t>
      </w:r>
    </w:p>
    <w:p>
      <w:pPr>
        <w:adjustRightInd w:val="0"/>
        <w:snapToGrid w:val="0"/>
        <w:spacing w:line="300" w:lineRule="auto"/>
        <w:ind w:firstLine="560" w:firstLineChars="200"/>
        <w:rPr>
          <w:rFonts w:ascii="仿宋" w:hAnsi="仿宋" w:eastAsia="仿宋" w:cs="仿宋_GB2312"/>
          <w:color w:val="auto"/>
          <w:sz w:val="28"/>
          <w:szCs w:val="28"/>
          <w:highlight w:val="none"/>
        </w:rPr>
      </w:pPr>
    </w:p>
    <w:p>
      <w:pPr>
        <w:adjustRightInd w:val="0"/>
        <w:snapToGrid w:val="0"/>
        <w:spacing w:line="300" w:lineRule="auto"/>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日期：</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年</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 xml:space="preserve"> 月</w:t>
      </w:r>
      <w:r>
        <w:rPr>
          <w:rFonts w:hint="eastAsia" w:ascii="仿宋" w:hAnsi="仿宋" w:eastAsia="仿宋" w:cs="仿宋_GB2312"/>
          <w:color w:val="auto"/>
          <w:sz w:val="28"/>
          <w:szCs w:val="28"/>
          <w:highlight w:val="none"/>
          <w:u w:val="single"/>
        </w:rPr>
        <w:t xml:space="preserve">          </w:t>
      </w: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48"/>
        <w:adjustRightInd w:val="0"/>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广州市净水有限公司 </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color w:val="auto"/>
          <w:sz w:val="24"/>
          <w:highlight w:val="none"/>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2.现我方承诺：</w:t>
      </w:r>
      <w:r>
        <w:rPr>
          <w:rFonts w:hint="eastAsia" w:ascii="仿宋_GB2312" w:hAnsi="仿宋_GB2312" w:eastAsia="仿宋_GB2312" w:cs="仿宋_GB2312"/>
          <w:color w:val="auto"/>
          <w:kern w:val="0"/>
          <w:sz w:val="24"/>
          <w:highlight w:val="none"/>
        </w:rPr>
        <w:t>愿以人民币元（小写：</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5.如果我方获得承包资格，我方保证将</w:t>
      </w:r>
      <w:r>
        <w:rPr>
          <w:rFonts w:hint="eastAsia" w:ascii="仿宋_GB2312" w:hAnsi="仿宋_GB2312" w:eastAsia="仿宋_GB2312" w:cs="仿宋_GB2312"/>
          <w:color w:val="auto"/>
          <w:kern w:val="0"/>
          <w:sz w:val="24"/>
          <w:highlight w:val="none"/>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⑷ 本公司及其有隶属关系的机构没有参加本项目的前期工作编写工作。</w:t>
      </w:r>
    </w:p>
    <w:p>
      <w:pPr>
        <w:pStyle w:val="42"/>
        <w:spacing w:line="400" w:lineRule="exact"/>
        <w:ind w:left="-539" w:leftChars="-257" w:firstLine="49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42"/>
        <w:ind w:firstLine="496"/>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承包意向人：(盖单位公章)</w:t>
      </w:r>
    </w:p>
    <w:p>
      <w:pPr>
        <w:pStyle w:val="42"/>
        <w:ind w:firstLine="49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法定代表人（签名或盖私章）：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highlight w:val="none"/>
        </w:rPr>
      </w:pPr>
      <w:r>
        <w:rPr>
          <w:rFonts w:hint="eastAsia" w:ascii="仿宋_GB2312" w:hAnsi="仿宋_GB2312" w:eastAsia="仿宋_GB2312" w:cs="仿宋_GB2312"/>
          <w:snapToGrid w:val="0"/>
          <w:color w:val="auto"/>
          <w:spacing w:val="4"/>
          <w:kern w:val="0"/>
          <w:sz w:val="24"/>
          <w:highlight w:val="none"/>
        </w:rPr>
        <w:t xml:space="preserve">日    期：  年 月 日    </w:t>
      </w:r>
    </w:p>
    <w:p>
      <w:pPr>
        <w:pStyle w:val="42"/>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4、拟投入本项目的项目负责人情况表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姓名</w:t>
            </w:r>
          </w:p>
        </w:tc>
        <w:tc>
          <w:tcPr>
            <w:tcW w:w="1661" w:type="dxa"/>
            <w:gridSpan w:val="2"/>
          </w:tcPr>
          <w:p>
            <w:pPr>
              <w:jc w:val="center"/>
              <w:rPr>
                <w:rFonts w:ascii="仿宋_GB2312" w:hAnsi="仿宋_GB2312" w:eastAsia="仿宋_GB2312" w:cs="仿宋_GB2312"/>
                <w:b/>
                <w:color w:val="auto"/>
                <w:sz w:val="28"/>
                <w:szCs w:val="28"/>
                <w:highlight w:val="none"/>
              </w:rPr>
            </w:pPr>
          </w:p>
        </w:tc>
        <w:tc>
          <w:tcPr>
            <w:tcW w:w="1661"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出生年月</w:t>
            </w:r>
          </w:p>
        </w:tc>
        <w:tc>
          <w:tcPr>
            <w:tcW w:w="1661" w:type="dxa"/>
            <w:gridSpan w:val="2"/>
          </w:tcPr>
          <w:p>
            <w:pPr>
              <w:jc w:val="center"/>
              <w:rPr>
                <w:rFonts w:ascii="仿宋_GB2312" w:hAnsi="仿宋_GB2312" w:eastAsia="仿宋_GB2312" w:cs="仿宋_GB2312"/>
                <w:b/>
                <w:color w:val="auto"/>
                <w:sz w:val="28"/>
                <w:szCs w:val="28"/>
                <w:highlight w:val="none"/>
              </w:rPr>
            </w:pPr>
          </w:p>
        </w:tc>
        <w:tc>
          <w:tcPr>
            <w:tcW w:w="1662"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学历</w:t>
            </w:r>
          </w:p>
        </w:tc>
        <w:tc>
          <w:tcPr>
            <w:tcW w:w="1662" w:type="dxa"/>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职称</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职务</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2"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从事本工作时间</w:t>
            </w:r>
          </w:p>
        </w:tc>
        <w:tc>
          <w:tcPr>
            <w:tcW w:w="1662" w:type="dxa"/>
          </w:tcPr>
          <w:p>
            <w:pPr>
              <w:spacing w:line="360" w:lineRule="exact"/>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毕业院校</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毕业时间</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2"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专业</w:t>
            </w:r>
          </w:p>
        </w:tc>
        <w:tc>
          <w:tcPr>
            <w:tcW w:w="1662" w:type="dxa"/>
          </w:tcPr>
          <w:p>
            <w:pPr>
              <w:spacing w:line="360" w:lineRule="exact"/>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注册证书等级</w:t>
            </w:r>
          </w:p>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和专业</w:t>
            </w:r>
          </w:p>
        </w:tc>
        <w:tc>
          <w:tcPr>
            <w:tcW w:w="3322" w:type="dxa"/>
            <w:gridSpan w:val="4"/>
          </w:tcPr>
          <w:p>
            <w:pPr>
              <w:spacing w:line="360" w:lineRule="exact"/>
              <w:jc w:val="center"/>
              <w:rPr>
                <w:rFonts w:ascii="仿宋_GB2312" w:hAnsi="仿宋_GB2312" w:eastAsia="仿宋_GB2312" w:cs="仿宋_GB2312"/>
                <w:b/>
                <w:color w:val="auto"/>
                <w:sz w:val="28"/>
                <w:szCs w:val="28"/>
                <w:highlight w:val="none"/>
              </w:rPr>
            </w:pPr>
          </w:p>
        </w:tc>
        <w:tc>
          <w:tcPr>
            <w:tcW w:w="1662"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证书编号</w:t>
            </w:r>
          </w:p>
        </w:tc>
        <w:tc>
          <w:tcPr>
            <w:tcW w:w="1662" w:type="dxa"/>
          </w:tcPr>
          <w:p>
            <w:pPr>
              <w:spacing w:line="360" w:lineRule="exact"/>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职称证专业</w:t>
            </w:r>
          </w:p>
        </w:tc>
        <w:tc>
          <w:tcPr>
            <w:tcW w:w="3322" w:type="dxa"/>
            <w:gridSpan w:val="4"/>
          </w:tcPr>
          <w:p>
            <w:pPr>
              <w:jc w:val="center"/>
              <w:rPr>
                <w:rFonts w:ascii="仿宋_GB2312" w:hAnsi="仿宋_GB2312" w:eastAsia="仿宋_GB2312" w:cs="仿宋_GB2312"/>
                <w:b/>
                <w:color w:val="auto"/>
                <w:sz w:val="28"/>
                <w:szCs w:val="28"/>
                <w:highlight w:val="none"/>
              </w:rPr>
            </w:pPr>
          </w:p>
        </w:tc>
        <w:tc>
          <w:tcPr>
            <w:tcW w:w="1662"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证书编号</w:t>
            </w:r>
          </w:p>
        </w:tc>
        <w:tc>
          <w:tcPr>
            <w:tcW w:w="1662" w:type="dxa"/>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项目名称</w:t>
            </w:r>
          </w:p>
        </w:tc>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合同金额</w:t>
            </w:r>
          </w:p>
        </w:tc>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开、竣工时间</w:t>
            </w:r>
          </w:p>
        </w:tc>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担任职务</w:t>
            </w:r>
          </w:p>
        </w:tc>
        <w:tc>
          <w:tcPr>
            <w:tcW w:w="1996"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6" w:type="dxa"/>
            <w:gridSpan w:val="2"/>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6" w:type="dxa"/>
            <w:gridSpan w:val="2"/>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6" w:type="dxa"/>
            <w:gridSpan w:val="2"/>
          </w:tcPr>
          <w:p>
            <w:pPr>
              <w:jc w:val="center"/>
              <w:rPr>
                <w:rFonts w:ascii="仿宋_GB2312" w:hAnsi="仿宋_GB2312" w:eastAsia="仿宋_GB2312" w:cs="仿宋_GB2312"/>
                <w:b/>
                <w:color w:val="auto"/>
                <w:sz w:val="28"/>
                <w:szCs w:val="28"/>
                <w:highlight w:val="none"/>
              </w:rPr>
            </w:pPr>
          </w:p>
        </w:tc>
      </w:tr>
    </w:tbl>
    <w:p>
      <w:pPr>
        <w:jc w:val="center"/>
        <w:rPr>
          <w:rFonts w:ascii="仿宋_GB2312" w:hAnsi="仿宋_GB2312" w:eastAsia="仿宋_GB2312" w:cs="仿宋_GB2312"/>
          <w:b/>
          <w:color w:val="auto"/>
          <w:sz w:val="28"/>
          <w:szCs w:val="28"/>
          <w:highlight w:val="none"/>
        </w:rPr>
      </w:pPr>
    </w:p>
    <w:p>
      <w:pPr>
        <w:jc w:val="center"/>
        <w:rPr>
          <w:rFonts w:ascii="仿宋_GB2312" w:hAnsi="仿宋_GB2312" w:eastAsia="仿宋_GB2312" w:cs="仿宋_GB2312"/>
          <w:b/>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p>
    <w:p>
      <w:pPr>
        <w:adjustRightInd w:val="0"/>
        <w:snapToGrid w:val="0"/>
        <w:spacing w:line="300" w:lineRule="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日期：年 月 日</w:t>
      </w:r>
    </w:p>
    <w:p>
      <w:pPr>
        <w:tabs>
          <w:tab w:val="left" w:pos="6320"/>
        </w:tabs>
        <w:jc w:val="lef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ascii="仿宋_GB2312" w:hAnsi="仿宋_GB2312" w:cs="仿宋_GB2312"/>
          <w:b/>
          <w:color w:val="auto"/>
          <w:kern w:val="2"/>
          <w:sz w:val="28"/>
          <w:szCs w:val="28"/>
          <w:highlight w:val="none"/>
        </w:rPr>
      </w:pPr>
      <w:r>
        <w:rPr>
          <w:rFonts w:hint="eastAsia" w:ascii="仿宋_GB2312" w:hAnsi="仿宋_GB2312" w:cs="仿宋_GB2312"/>
          <w:b/>
          <w:color w:val="auto"/>
          <w:kern w:val="2"/>
          <w:sz w:val="28"/>
          <w:szCs w:val="28"/>
          <w:highlight w:val="none"/>
        </w:rPr>
        <w:t>5、偏离度</w:t>
      </w:r>
    </w:p>
    <w:p>
      <w:pPr>
        <w:spacing w:line="600" w:lineRule="exact"/>
        <w:ind w:firstLine="420" w:firstLineChars="1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★拟采购的软硬件如下：</w:t>
      </w:r>
    </w:p>
    <w:tbl>
      <w:tblPr>
        <w:tblStyle w:val="28"/>
        <w:tblpPr w:leftFromText="180" w:rightFromText="180" w:vertAnchor="text" w:horzAnchor="page" w:tblpX="1212" w:tblpY="430"/>
        <w:tblOverlap w:val="never"/>
        <w:tblW w:w="10239" w:type="dxa"/>
        <w:tblInd w:w="0" w:type="dxa"/>
        <w:tblLayout w:type="fixed"/>
        <w:tblCellMar>
          <w:top w:w="0" w:type="dxa"/>
          <w:left w:w="108" w:type="dxa"/>
          <w:bottom w:w="0" w:type="dxa"/>
          <w:right w:w="108" w:type="dxa"/>
        </w:tblCellMar>
      </w:tblPr>
      <w:tblGrid>
        <w:gridCol w:w="550"/>
        <w:gridCol w:w="1189"/>
        <w:gridCol w:w="657"/>
        <w:gridCol w:w="3990"/>
        <w:gridCol w:w="580"/>
        <w:gridCol w:w="623"/>
        <w:gridCol w:w="869"/>
        <w:gridCol w:w="928"/>
        <w:gridCol w:w="853"/>
      </w:tblGrid>
      <w:tr>
        <w:tblPrEx>
          <w:tblCellMar>
            <w:top w:w="0" w:type="dxa"/>
            <w:left w:w="108" w:type="dxa"/>
            <w:bottom w:w="0" w:type="dxa"/>
            <w:right w:w="108" w:type="dxa"/>
          </w:tblCellMar>
        </w:tblPrEx>
        <w:trPr>
          <w:trHeight w:val="940" w:hRule="atLeast"/>
        </w:trPr>
        <w:tc>
          <w:tcPr>
            <w:tcW w:w="5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序号</w:t>
            </w:r>
          </w:p>
        </w:tc>
        <w:tc>
          <w:tcPr>
            <w:tcW w:w="118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设备或材料名称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推荐品牌</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技术说明</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数量</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单位</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偏离度</w:t>
            </w:r>
          </w:p>
          <w:p>
            <w:pPr>
              <w:pStyle w:val="26"/>
              <w:ind w:firstLine="0" w:firstLineChars="0"/>
              <w:rPr>
                <w:rFonts w:hint="eastAsia"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正偏离或负偏离）</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综合单价（元）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综合总价（元）</w:t>
            </w:r>
          </w:p>
        </w:tc>
      </w:tr>
      <w:tr>
        <w:tblPrEx>
          <w:tblCellMar>
            <w:top w:w="0" w:type="dxa"/>
            <w:left w:w="108" w:type="dxa"/>
            <w:bottom w:w="0" w:type="dxa"/>
            <w:right w:w="108" w:type="dxa"/>
          </w:tblCellMar>
        </w:tblPrEx>
        <w:trPr>
          <w:trHeight w:val="567" w:hRule="atLeast"/>
        </w:trPr>
        <w:tc>
          <w:tcPr>
            <w:tcW w:w="845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1、高清视频终端</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189"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高清视频终端</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 xml:space="preserve"> </w:t>
            </w:r>
            <w:r>
              <w:rPr>
                <w:rFonts w:hint="eastAsia" w:ascii="仿宋_GB2312" w:hAnsi="仿宋_GB2312" w:eastAsia="仿宋_GB2312" w:cs="仿宋_GB2312"/>
                <w:color w:val="auto"/>
                <w:szCs w:val="21"/>
                <w:highlight w:val="none"/>
                <w:lang w:val="en-US" w:eastAsia="zh-CN"/>
              </w:rPr>
              <w:t>无</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全新H.265编解码能力，最高可支持4K*2K 30fps超高清视频体验；结合VME（Video Motion Enhancement）技术，提升视频质量，节省50%带宽；支持AAC-LD双声道宽频语音和Opus，拥有回声抵消和噪声抑制技术，提供高保真语音效果；</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内置AI智能语音助理，提供便捷，贴心会议操控服务；</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1、4K超高清视频，色彩细腻，层次丰富，尽享精致临场体验。</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H.265编解码+VME技术，超强网络适应性，视频30%抗丢包，4K30fps最低2Mbps带宽。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支持主流音视频接口，可灵活外接阵列麦克风，扬声器，投影仪，LCD/LED大屏显示设备等。</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4、支持长距离多合一接口HT-RX输入。</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189"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高清视频终端</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itc</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1.采用分体式结构，内置硬件视频处理单元，采用嵌入式Linux操作系统，非Windows/安卓操作系统。</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2.支持ITU-T H.323、SIP标准协议，具有良好的兼容性；支持H.239、BFCP双流协议，主辅流皆可达到1080P。</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辅流批注功能，发送辅流和接收辅流时都可在辅流画面上进行实时批注；可设置三种不同粗细的画笔，设置五种画笔颜色，设置圆形、方形、箭头、线条等批注图形；发送辅流时可设置是否开放批注权限给与会成员共同批注。支持无线辅流功能，电脑只需安装一个软件，通过网络连接到终端即可实现无线共享辅流功能，无需外接硬件设备；</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4.支持通过2.4G遥控器、web、触控、鼠标键盘等方式来操控终端，支持遥控器飞鼠操控模式。</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5.主屏支持输出4K分辨率信号，单屏最大支持25路视频画面，支持单屏双显、双屏双显应用功能，可实现多画面布局，支持画中画等多种常用布局类型。</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终端内置会议签到、电子白板、电子投票、文件共享等数据会议功能，满足远程培训、教学等场景应用需求。支持视频轮询功能，可选择轮询窗口、轮询时间间隔、参与轮询人员；支持语音激励功能，可设置语音激励窗口，发言声音最大的会场自动切换到该窗口上。支持横幅功能，可在会议画面上添加横幅，并可设置是否启用横幅及横幅的字体大小、字体颜色、背景颜色。支持滚动消息功能，可发送滚动消息，并可设置是否启用滚动消息及滚动消息的字体大小、字体颜色、背景颜色和滚动次数。</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支持终端申请主席对会议中的其他参会终端从直播模式转到会议模式或者从会议模式转到直播模式，支持终端主动向主席申请从直播模式转到会议模式，会议模式支持电子白板、文件共享、电子投票、会议签到等功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8.支持 IP 网络丢包时修复机制，30%网络丢包时，声音清晰连续，视频清晰流畅，无卡顿、无马赛克；80%网络丢包时，声音清晰流畅，可准确理解。</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9.支持IPV4和IPV6协议，支持NAT穿越，具备跨越路由器及防火墙的能力，保证系统安全。</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10.内嵌软件支持H.264HP等视频编解码技术、G7.11、G.722等音频编解码技术。</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11.内嵌软件支持“主流+辅流”双流方式传输视频会议画面。</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12.内嵌软件支持WEB管理，符合不同用户的使用习惯。</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845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2、矩阵切换系统</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无缝高清矩阵切换器</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1.采用纯硬件标准化机箱设计，支持配置8×8路信号切换，支持HDMI、DVI、VGA、SDI、HDBaseT、光纤的任意输入/输出信号卡，其中DVI输入卡兼容CVBS，YUV,S-VIDEO信号，VGA输入/输出卡均兼容CVBS，YUV,S-VIDEO。</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2.采用板卡模块化设计，支持接入2块输入卡、2块输出卡、1块控制卡；通过定制配置各类相同或不同的输入输出卡可以组成单一接口类型或多接口类型的矩阵，如HDMI矩阵，DVI矩阵，VGA矩阵，YUV矩阵，Video矩阵等。</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3.支持1080P分辨率，最大可支持4Kx2K。支持断电记忆功能，免除上电重复设置动作。支持智能温控，控制矩阵风扇的运行；系统内可存储多组预切换指令，调用时可以一键切换。</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4.支持接入1块控制板卡，具有1路RS-232,1路RS-485,1路TCP/IP端口（PC软件）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5.HDBaseT输入输出信号支持双向 RS-232 和双向 IR 信号传输，可对RS-232和IR 信号选择随视频信号切换，或分离切换模式，支持扩展POC模块对外设供电。</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6.支持KVM坐席管理功能，通过一套键盘鼠标显示器切换、管理多台计算机设备。</w:t>
            </w:r>
          </w:p>
        </w:tc>
        <w:tc>
          <w:tcPr>
            <w:tcW w:w="5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嵌入式控制面板</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1.可编程嵌入式控制面板是触摸按键面板，可以远程控制矩阵主机切换、保存、调用的控制面板，可在会议室，办公室等控制矩阵设备切换。</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2.由矩阵主机远程供电，无需配独立适配器。</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3.支持编程图片、图形、文字、按键等更具人性化的界面。</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4.采用高灵敏度电阻触屏，操作反应速度更快。</w:t>
            </w:r>
          </w:p>
        </w:tc>
        <w:tc>
          <w:tcPr>
            <w:tcW w:w="5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HDMI高清输入卡</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1.支持4路HDMI-A母接口和3.5mm音频座；</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2.支持快速无缝切换，无闪烁，无黑屏；</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3.支持断电现场切换记忆保护功能，特有ESD静电保护功能；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4.支持模拟音频与HDMI内嵌音频选择输入；</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5.兼容HDMI1.3a的标准，HDCP1.3协议，DVI1.0协议； </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6.最大支持分辨率：1920X1200P@60；</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7.支持热插拔，即插即用。</w:t>
            </w:r>
          </w:p>
        </w:tc>
        <w:tc>
          <w:tcPr>
            <w:tcW w:w="5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623" w:type="dxa"/>
            <w:tcBorders>
              <w:top w:val="single" w:color="auto" w:sz="4" w:space="0"/>
              <w:left w:val="single" w:color="000000" w:sz="4" w:space="0"/>
              <w:bottom w:val="single" w:color="auto"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HDMI高清输出卡</w:t>
            </w:r>
          </w:p>
        </w:tc>
        <w:tc>
          <w:tcPr>
            <w:tcW w:w="657"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1.支持4路HDMI-A母接口和3.5mm音频座；</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2.支持快速无缝切换，无闪烁，无黑屏；</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3.支持断电现场切换记忆保护功能，特有ESD静电保护功能；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4.支持模拟音频与HDMI内嵌音频同时输出；</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5.兼容HDMI1.3a的标准，HDCP1.3协议，DVI1.0协议；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6.支持倍线功能，最高分辨率支持1080P；</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7.支持热插拔，即插即用。</w:t>
            </w:r>
          </w:p>
        </w:tc>
        <w:tc>
          <w:tcPr>
            <w:tcW w:w="5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845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3、数字会议系统</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数字会议主机</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1.采用128位AES加密技术，支持WPA/WPA2无线安全技术，防止窃听和非授权访问，提供更高的会议系统机密性。</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内置高性能双CPU处理器，超强的处理能力，内核具有96位、50MIPS数字音频DSP处理器，立体声音频ADC和DAC，支持8KHz至96KHz范围内的采样速率，并支持数字音量控制。支持输出音频音量大小可调节，支持均衡和消噪等处理算法，提供更好的音质体验。</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采用独创的数字处理和传输技术，20Hz~20KHz带宽的非压缩音频传输，采用超五类线屏蔽线传输，确保会议信息长距离可靠传输，同时提供完美音质。具有WIFI网络接口，可以通过连接POE网络交换机扩充无线AP数量，提供更大的无线覆盖范围。</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4.支持WiFi会议系统和全数字会议系统同时使用，具有超大系统容量，具有4路会议单元输出接口，系统最大支持4096台有线会议单元，300台无线会议单元。系统最大支持同时开8个有线话筒和6个无线话筒。</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5.支持四种话筒管理模式：FIFO/ NORMAL/VOICE(声控)/APPLY。</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6.具有1路RS-485接口，支持一台摄像机实现摄像跟踪，支持PELCO-D、VISCA控制协议。配合摄像跟踪主机达到多路视频自动跟踪功能。</w:t>
            </w:r>
          </w:p>
        </w:tc>
        <w:tc>
          <w:tcPr>
            <w:tcW w:w="5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无线会议话筒</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1.话筒采用48KHz采样率,清晰明亮。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2.采用先进处理芯片架构，及独特的处理算法，话筒开机连接时间只需5秒。</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3.具有智能检测故障功能，提示用户AP故障、主机通信故障、信号强度过低等情况。</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4.支持通过Type-C口充电，具有智能指标状态，支持18W快充。</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5.采用128位AES加密技术，支持 WPA/WPA2 无线安全技术，防止窃听和非授权访问，提供更高的会议系统机密性。</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6.主席具备优先权功能，可关闭正在发言的所有代表话筒。</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7.内置锂电池，电池容量支持14小时持续发言。</w:t>
            </w:r>
          </w:p>
        </w:tc>
        <w:tc>
          <w:tcPr>
            <w:tcW w:w="5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话筒信号发射器</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 吸顶式的设计，精致美观，空间占用率低，与室内公共区域的整体环境相融合。采用PoE供电方式，安装使用简捷方便。</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 网络吞吐量：采用802.11n和802.11ac双频双空间流技术，提供最高约1.2Gbps的千兆WiFi接入，满足室内大容量，高吞吐量的应用需求。</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 无线安全：支持包括OPEN，WEP, WPA，WPA2，WPA-PSK，WPA2-PSK，802.11i在内的多种认证加密标准，并提供MAC, WEB, 802.1x认证，钓鱼AP检测，无线用户隔离和无线用户黑白名单等安全特性，为用户提供一个安全的网络应用环境。</w:t>
            </w:r>
          </w:p>
        </w:tc>
        <w:tc>
          <w:tcPr>
            <w:tcW w:w="5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交换机</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1.端口描述：9个10/100Mbps RJ45端口，其中1-8端口支持PoE功能2.传输模式：全双工/半双工自适应3.网络标准：IEEE 802.3、IEEE 802.3u、IEEE 802.3x、IEEE 802.af、IEEE 802.at。</w:t>
            </w:r>
          </w:p>
        </w:tc>
        <w:tc>
          <w:tcPr>
            <w:tcW w:w="5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无线话筒充电箱</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1．充电器可同时插满所有USB接口，供设备批量充电</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2．使用USB线充电，一端连接充电器一端连接会议单元。</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3．根据设备的耐受电流大小充电器会自动匹配合适的电流大小给设备充电，同时有过流保护功能，保证被充电单元的安全。</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4．智能自动电路保护，所有USB插口均具有短路保护功能和自恢复功能。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5．输入电压：100-240V AC 50/60Hz。</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6．充电接口（USB）：10个/100W。</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7．充电电压：5V。</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8．充电电流：2A（最大）。</w:t>
            </w:r>
          </w:p>
        </w:tc>
        <w:tc>
          <w:tcPr>
            <w:tcW w:w="5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抑制器</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1.48kHz采样频率，32bit DPS处理器（300兆主频），24bitA/D及D/A转换。</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2.5档全自动移频模式选择，适用于各种场景及麦克风类型。</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3.采用2英寸IPS真彩显示屏，分辨率320*240。支持中/英文菜单显示。</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4.48个陷波器状态LED指示灯实时显示，每通道12个静态+12个动态陷波器。</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5.采用单键飞梭快捷操作，快速实现模式、直通、锁定及中英文选择功能。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6.移频器±10Hz可调（1Hz步进），陷波器增益、Q值、数量可调。</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7.独立每通道增益、噪声门、压限器、移频、陷波、高低通、7段PEQ功能设置。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8.提供USB和RS-485通讯接口，连接PC上位机及中控设备。</w:t>
            </w:r>
          </w:p>
        </w:tc>
        <w:tc>
          <w:tcPr>
            <w:tcW w:w="5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音频处理器</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路输入4路输出的数字音频处理器，采用DSP音频处理技术，为用户提供卓越的声音品质；内置反馈抑制、回声消除、噪声消除等功能，还原高品质声音。主要应用于中大型场所，可以满足远程视频会议、指挥中心等公共扩声系统等多方面的应用需求。</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1.数字音频处理器支持≥8路平衡式话筒/线路输入通道，采用裸线接口端子，平衡接法；支持≥4路平衡式线路输出，采用裸线接口端子，平衡接法。</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2、输入通道支持前级放大、信号发生器、扩展器、压缩器、5段参量均衡、AM自动混音功能、AFC自适应反馈消除、AEC回声消除、ANC噪声消除。</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3.输出通道支持31段参量均衡器、延时器、分频器、高低通滤波器、限幅器。</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4.支持24bit/48KHz的声音，支持输入通道48V幻象供电。</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5.支持通过ipad或iPhone或安卓手机APP软件进行操作控制、切换8个不同场景。面板具备USB接口，支持多媒体存储，可进行播放或存储录播。</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6.配置双向RS-232接口，可用于控制外部设备；配置RS-485接口，可实现自动摄像跟踪功能。配置8通道可编程GPIO控制接口（可自定义输入输出）。</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7.支持断电自动保护记忆功能。支持通道拷贝、粘贴、联控功能。支持通过浏览器访问设备，下载自带管理控制软件；可工作在XP/Windows7.8.10等系统环境下。</w:t>
            </w:r>
          </w:p>
        </w:tc>
        <w:tc>
          <w:tcPr>
            <w:tcW w:w="5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电源时序器</w:t>
            </w:r>
          </w:p>
        </w:tc>
        <w:tc>
          <w:tcPr>
            <w:tcW w:w="657"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1.支持8通道电源时序打开/关闭，每路动作延时时间：1秒，支持远程控制（上电+24V直流信号）8通道电源时序打开/关闭—当电源开关锁处于off位置时有效。支持配置CH1和CH2通道为受控或不受控状态。</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2.当远程控制有效时同时控制后板ALARM（报警）端口导通—起到级联控制ALARM（报警）功能。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3.单个通道最大负载功率2200W，所有通道负载总功率达6000W。输出连接器：多用途电源插座。</w:t>
            </w:r>
          </w:p>
        </w:tc>
        <w:tc>
          <w:tcPr>
            <w:tcW w:w="5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845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4、集中控制系统</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网络中控主机</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1.采用标准19英寸机柜设计，面板具有指示灯，可直观反馈串口、红外、设备的工作状态；支持通过IOS平台/安卓平台等移动设备终端进行集中式管控。</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2.面板有≥4.3英寸触摸彩屏，可查看IP地址、修改IP地址。具备1路TF卡接口，实现项目中的程序导入或导出。（提供功能演示视频供评标查证，未提供本项演示的视为非实质性响应）</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3.支持不同操作端对中控进行管控，支持操作状态双向反馈功能。支持多台网络中控主机实现级联控制，达到互联、互控的效果。</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4.采用可编程控制平台，交互式的控制结构，中英文可编程界面。全面支持第三方设备及控制协议，支持用户自定义编程设置任何控制协议或者控制代码。</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5.采用32位Cortex-A8 ARM架构内嵌式处理器（配置不可低于此），处理速度最高可达720MHz。主机内置≥256MDPR及8GEMMC的大容量FLASH 存储器。</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6.内嵌智能红外学习功能模块，无须配置专业学习器。可导入各种常用的电器设备的红外代码库到主机，并实现控制。支持串口环出功能，主机的8路串口均可实现任意一个输入都可以从另外一个串口环出。</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主机具备≥8路独立可编程串口，可收发RS-232，RS-485及RS-422信号，≥8路独立可编程IR红外发射口，≥8路数字I/0输入输出控制口，带保护电路，≥8路弱电继电器控制接口，≥1个NET网络控制接口，可做外部功能扩展使用，可并接256个网络设备。</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安卓平板电脑</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会议系统配套，Android系统</w:t>
            </w:r>
          </w:p>
        </w:tc>
        <w:tc>
          <w:tcPr>
            <w:tcW w:w="5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118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无线路由器</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双频5G路由器，智能千兆wifi信号放大器</w:t>
            </w:r>
          </w:p>
        </w:tc>
        <w:tc>
          <w:tcPr>
            <w:tcW w:w="5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控制器</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1.协议兼容：搭配可编程中控主机使用，全面支持第三方设备控制。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2.手动控制：在机器的正前方，有8个轻触开关，紧急情况下可以手动控制继电器的开关，在现场出现特发情况时可以使用这一功能，很好的保护其他的设备。</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3.具有8路继电器，每路继电器都有三连接点的接线柱，具有常开与常闭的功能；具有1路零线端子接口。</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4.具有8路独立电源开关控制，单路电流支持20A。</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5.具有复位按键，支持恢复到出厂的默认设置。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6.具有设备运行状态指示灯及8个继电器的开关状态指示灯。</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7.具有1路网络接口，支持通过网络实现远程控制。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8.机器具备ID识别，通过中控网络控制多台时，可通过ID识别。</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9.具有键盘锁（LOCK）功能，防止误操作，便于用于维护管理。</w:t>
            </w:r>
          </w:p>
        </w:tc>
        <w:tc>
          <w:tcPr>
            <w:tcW w:w="5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无线投屏器</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企业级无线投屏器hdmi传输器手机电脑同屏设备 适用投影仪、一体机LED大屏拼接屏（单分屏+投屏发射器*1）</w:t>
            </w:r>
          </w:p>
        </w:tc>
        <w:tc>
          <w:tcPr>
            <w:tcW w:w="5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p>
        </w:tc>
        <w:tc>
          <w:tcPr>
            <w:tcW w:w="118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编程软件</w:t>
            </w:r>
          </w:p>
        </w:tc>
        <w:tc>
          <w:tcPr>
            <w:tcW w:w="65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会议系统配套。</w:t>
            </w:r>
          </w:p>
        </w:tc>
        <w:tc>
          <w:tcPr>
            <w:tcW w:w="5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84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5、远程视频会议系统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摄像机</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1.支持H.264HP的视频会议摄像机，可实现全高清1080p超低带宽传输。</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2.采用1/2.8英寸、207万有效像素的高品质HD CMOS传感器，可实现最大1920x1080高分辨率的优质图像。</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3.1080P下输出帧率可达60fps。</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4.支持AAC音频编码，音质更佳，带宽占用更小。</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5.支持本地存储功能，无需NVR即可实现U盘本地直接录制。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6.超高性噪比的全新CMOS图像传感器可有效降低在低照度情况下的图像噪声，同时应用2D和3D降噪算法，大幅降低了图像噪声，即便是超低照度情况下，依然保持画面干净清晰，图像信噪比高达55dB以上。</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7.支持HDMI高清输出，另配备3G-SDI接口，有效传输距离最高长达150米（1080p30）。HDMI、SDI、网络三路可同时输出。</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8.采用高品质超长焦镜头，光学变焦达到20倍，并支持16倍数字变焦。</w:t>
            </w:r>
          </w:p>
        </w:tc>
        <w:tc>
          <w:tcPr>
            <w:tcW w:w="5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62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HDMI转USB输入盒</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免驱HDMI转USB3.0，高清视频会议采集卡。</w:t>
            </w:r>
          </w:p>
        </w:tc>
        <w:tc>
          <w:tcPr>
            <w:tcW w:w="5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个</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视频会议终端媒体软件</w:t>
            </w:r>
          </w:p>
        </w:tc>
        <w:tc>
          <w:tcPr>
            <w:tcW w:w="657"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1、支持ITU-T H.323标准协议，有良好的兼容性，支持VCS协议。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2、支持QCIF、CIF、4CIF、720P、1080P视频分辨率（软终端可达到的最高视频分辨率为所使用的USB摄像头最高支持的分辨率）。</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3、支持H.264HP视频编解码协议，支持G.711、G.722等音频编解码协议。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4、集成通信录、通话记录功能模块。</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5、支持切换模板、主席控制等常用功能。</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6、支持会议签到、电子白板、电子投票、文件共享等数据会议功能，满足远程培训、教学等场景应用需求。</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7、支持多画面布局，单屏支持25路画面同时显示。</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8、支持语音优先，支持Qos策略。</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9、安装于windows平台PC电脑，支持接入USB摄像机视频设备。</w:t>
            </w:r>
          </w:p>
        </w:tc>
        <w:tc>
          <w:tcPr>
            <w:tcW w:w="5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8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845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6、HDMI网传设备</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超高清KVM发送器</w:t>
            </w:r>
          </w:p>
        </w:tc>
        <w:tc>
          <w:tcPr>
            <w:tcW w:w="657"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1.输入接口支持有1x HDMI TYPE-A；1x DVI-D，1x3.5mm音频，输出接口支持有1x HDBaseT网口；1x HDMI TYPE-A监视输出口，1 x USB TYPE B接口（KVM接口），支持1个红外接口，1路RS232接口，自带显示屏及面板操作按键。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2.使用先进的HDBaseT传输技术，10.2Gbps传输速率，信号无压缩、无损耗、无延时。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3.支持HDMI 1.4标准（兼容DVI 1.0）和HDCP 1.4标准。最大分辨率支持4Kx2K @30Hz，输出分辨率与输入分辨率完全直通。</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4.HDMI线可支持15米，传输距离远，双绞线长度支持100米，支持通过双绞线POE远程供电。</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5.支持将音频数据嵌入视频数据，音视频信号同步传输。支持RS232串口数据的双向透传，波特率最高可达256000bps。支持红外信号的双向透传功能，并且支持38KHz载波调制。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6.支持KVM功能，可透传鼠标键盘数据，支持通过鼠标键盘的快捷键切换矩阵。</w:t>
            </w:r>
          </w:p>
        </w:tc>
        <w:tc>
          <w:tcPr>
            <w:tcW w:w="5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62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2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189"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超高清KVM接收器</w:t>
            </w:r>
          </w:p>
        </w:tc>
        <w:tc>
          <w:tcPr>
            <w:tcW w:w="657"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1.输入接口支持有1x HDBaseT网口，输出接口支持有1x HDMI TYPE-A；1x DVI-D，1x3.5mm音频，2 x USB TYPE A接口（KVM接口），支持1个红外接口，1路RS232接口，自带显示屏及面板操作按键。</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2.使用先进的HDBaseT传输技术，10.2Gbps传输速率，信号无压缩、无损耗、无延时。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3.支持HDMI 1.4标准（兼容DVI 1.0）和HDCP 1.4标准。最大分辨率支持4Kx2K @30Hz，输出分辨率与输入分辨率完全直通。</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4.HDMI线可支持15米，传输距离远，双绞线长度支持100米，支持通过双绞线POE远程供电。</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5.支持从视频中实时提取音频数据，同步输出。支持RS232串口数据的双向透传，波特率最高可达256000bps。支持红外信号的双向透传功能，并且支持38KHz载波调制。</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6.支持KVM功能，可透传鼠标键盘数据，支持通过鼠标键盘的快捷键切换矩阵。</w:t>
            </w:r>
          </w:p>
        </w:tc>
        <w:tc>
          <w:tcPr>
            <w:tcW w:w="5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62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台</w:t>
            </w:r>
          </w:p>
        </w:tc>
        <w:tc>
          <w:tcPr>
            <w:tcW w:w="8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845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7、其他</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摄像头三脚架</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75CM-200CM高度可选，中轴升降+中轴锁+液压云台+手柄控制，方便快捷稳定高效。</w:t>
            </w:r>
          </w:p>
        </w:tc>
        <w:tc>
          <w:tcPr>
            <w:tcW w:w="580" w:type="dxa"/>
            <w:tcBorders>
              <w:top w:val="nil"/>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623" w:type="dxa"/>
            <w:tcBorders>
              <w:top w:val="nil"/>
              <w:left w:val="single" w:color="000000" w:sz="4" w:space="0"/>
              <w:bottom w:val="single" w:color="auto" w:sz="4" w:space="0"/>
              <w:right w:val="single" w:color="auto"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机柜</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标准19英寸网络服务器机柜,加厚,黑色，前钢化玻璃门，后钢板门</w:t>
            </w:r>
          </w:p>
        </w:tc>
        <w:tc>
          <w:tcPr>
            <w:tcW w:w="580" w:type="dxa"/>
            <w:tcBorders>
              <w:top w:val="nil"/>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nil"/>
              <w:left w:val="single" w:color="000000" w:sz="4" w:space="0"/>
              <w:bottom w:val="single" w:color="auto" w:sz="4" w:space="0"/>
              <w:right w:val="single" w:color="auto"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nil"/>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辅助材料</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配套视频线、音频线、电源线、网线、管材等</w:t>
            </w:r>
          </w:p>
        </w:tc>
        <w:tc>
          <w:tcPr>
            <w:tcW w:w="58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批</w:t>
            </w:r>
          </w:p>
        </w:tc>
        <w:tc>
          <w:tcPr>
            <w:tcW w:w="86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550" w:type="dxa"/>
            <w:tcBorders>
              <w:top w:val="single" w:color="auto" w:sz="4" w:space="0"/>
              <w:left w:val="single" w:color="auto"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1189"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技术服务</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c>
          <w:tcPr>
            <w:tcW w:w="399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安装、调试、培训、一年期维保服务</w:t>
            </w:r>
          </w:p>
        </w:tc>
        <w:tc>
          <w:tcPr>
            <w:tcW w:w="58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2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w:t>
            </w:r>
          </w:p>
        </w:tc>
        <w:tc>
          <w:tcPr>
            <w:tcW w:w="869" w:type="dxa"/>
            <w:tcBorders>
              <w:top w:val="single" w:color="auto" w:sz="4" w:space="0"/>
              <w:left w:val="single" w:color="000000" w:sz="4" w:space="0"/>
              <w:bottom w:val="single" w:color="auto" w:sz="4" w:space="0"/>
              <w:right w:val="single" w:color="auto" w:sz="4" w:space="0"/>
            </w:tcBorders>
            <w:shd w:val="clear" w:color="auto" w:fill="auto"/>
            <w:vAlign w:val="center"/>
          </w:tcPr>
          <w:p>
            <w:pPr>
              <w:rPr>
                <w:rFonts w:ascii="仿宋_GB2312" w:hAnsi="仿宋_GB2312" w:eastAsia="仿宋_GB2312" w:cs="仿宋_GB2312"/>
                <w:color w:val="auto"/>
                <w:szCs w:val="21"/>
                <w:highlight w:val="none"/>
              </w:rPr>
            </w:pPr>
          </w:p>
        </w:tc>
        <w:tc>
          <w:tcPr>
            <w:tcW w:w="928"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567" w:hRule="atLeast"/>
        </w:trPr>
        <w:tc>
          <w:tcPr>
            <w:tcW w:w="8458" w:type="dxa"/>
            <w:gridSpan w:val="7"/>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金额合计（元）含税</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Cs w:val="21"/>
                <w:highlight w:val="none"/>
              </w:rPr>
            </w:pPr>
          </w:p>
        </w:tc>
      </w:tr>
    </w:tbl>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pPr>
        <w:pStyle w:val="24"/>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CN"/>
        </w:rPr>
        <w:t xml:space="preserve"> 响应</w:t>
      </w:r>
      <w:r>
        <w:rPr>
          <w:rFonts w:hint="eastAsia" w:ascii="仿宋_GB2312" w:hAnsi="仿宋_GB2312" w:eastAsia="仿宋_GB2312" w:cs="仿宋_GB2312"/>
          <w:color w:val="auto"/>
          <w:sz w:val="28"/>
          <w:szCs w:val="28"/>
          <w:highlight w:val="none"/>
        </w:rPr>
        <w:t>承诺</w:t>
      </w:r>
      <w:r>
        <w:rPr>
          <w:rFonts w:hint="eastAsia" w:ascii="仿宋_GB2312" w:hAnsi="仿宋_GB2312" w:eastAsia="仿宋_GB2312" w:cs="仿宋_GB2312"/>
          <w:color w:val="auto"/>
          <w:sz w:val="28"/>
          <w:szCs w:val="28"/>
          <w:highlight w:val="none"/>
          <w:lang w:val="en-US" w:eastAsia="zh-CN"/>
        </w:rPr>
        <w:t>书</w:t>
      </w:r>
    </w:p>
    <w:p>
      <w:pPr>
        <w:pStyle w:val="24"/>
        <w:jc w:val="both"/>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广州市净水有限公司：</w:t>
      </w:r>
    </w:p>
    <w:p>
      <w:pPr>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2"/>
          <w:sz w:val="28"/>
          <w:szCs w:val="28"/>
        </w:rPr>
        <w:t>我方完全理解</w:t>
      </w:r>
      <w:r>
        <w:rPr>
          <w:rFonts w:hint="eastAsia" w:ascii="仿宋" w:hAnsi="仿宋" w:eastAsia="仿宋" w:cs="仿宋"/>
          <w:b w:val="0"/>
          <w:bCs w:val="0"/>
          <w:color w:val="auto"/>
          <w:kern w:val="2"/>
          <w:sz w:val="28"/>
          <w:szCs w:val="28"/>
          <w:lang w:val="en-US" w:eastAsia="zh-CN"/>
        </w:rPr>
        <w:t>询价文件</w:t>
      </w:r>
      <w:r>
        <w:rPr>
          <w:rFonts w:hint="eastAsia" w:ascii="仿宋" w:hAnsi="仿宋" w:eastAsia="仿宋" w:cs="仿宋"/>
          <w:b w:val="0"/>
          <w:bCs w:val="0"/>
          <w:color w:val="auto"/>
          <w:kern w:val="2"/>
          <w:sz w:val="28"/>
          <w:szCs w:val="28"/>
        </w:rPr>
        <w:t>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w:t>
      </w:r>
      <w:r>
        <w:rPr>
          <w:rFonts w:hint="eastAsia" w:ascii="仿宋" w:hAnsi="仿宋" w:eastAsia="仿宋" w:cs="仿宋"/>
          <w:b w:val="0"/>
          <w:bCs w:val="0"/>
          <w:color w:val="auto"/>
          <w:kern w:val="2"/>
          <w:sz w:val="28"/>
          <w:szCs w:val="28"/>
          <w:lang w:eastAsia="zh-CN"/>
        </w:rPr>
        <w:t>，</w:t>
      </w:r>
      <w:r>
        <w:rPr>
          <w:rFonts w:hint="eastAsia" w:ascii="仿宋" w:hAnsi="仿宋" w:eastAsia="仿宋" w:cs="仿宋"/>
          <w:b w:val="0"/>
          <w:bCs w:val="0"/>
          <w:color w:val="auto"/>
          <w:sz w:val="28"/>
          <w:szCs w:val="28"/>
          <w:highlight w:val="none"/>
        </w:rPr>
        <w:t>本项目硬件部分（即高清视频终端、矩阵切换系统、数字会议系统、扩声系统、中控系统等）提供一年售后技术服务，本项目软件部分（即视频会议软件）提供一年售后技术服务。</w:t>
      </w:r>
    </w:p>
    <w:p>
      <w:pPr>
        <w:pStyle w:val="24"/>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 xml:space="preserve">                                  （报价单位</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加盖</w:t>
      </w:r>
      <w:r>
        <w:rPr>
          <w:rFonts w:hint="eastAsia" w:ascii="仿宋" w:hAnsi="仿宋" w:eastAsia="仿宋" w:cs="仿宋"/>
          <w:b w:val="0"/>
          <w:bCs w:val="0"/>
          <w:color w:val="auto"/>
          <w:sz w:val="28"/>
          <w:szCs w:val="28"/>
          <w:highlight w:val="none"/>
          <w:lang w:val="en-US" w:eastAsia="zh-CN"/>
        </w:rPr>
        <w:t>单位</w:t>
      </w:r>
      <w:r>
        <w:rPr>
          <w:rFonts w:hint="eastAsia" w:ascii="仿宋" w:hAnsi="仿宋" w:eastAsia="仿宋" w:cs="仿宋"/>
          <w:b w:val="0"/>
          <w:bCs w:val="0"/>
          <w:color w:val="auto"/>
          <w:sz w:val="28"/>
          <w:szCs w:val="28"/>
          <w:highlight w:val="none"/>
        </w:rPr>
        <w:t>公章</w:t>
      </w:r>
    </w:p>
    <w:p>
      <w:pPr>
        <w:pStyle w:val="24"/>
        <w:rPr>
          <w:rFonts w:ascii="仿宋_GB2312" w:hAnsi="仿宋_GB2312" w:eastAsia="仿宋_GB2312" w:cs="仿宋_GB2312"/>
          <w:b w:val="0"/>
          <w:bCs w:val="0"/>
          <w:color w:val="auto"/>
          <w:sz w:val="28"/>
          <w:szCs w:val="28"/>
          <w:highlight w:val="none"/>
        </w:rPr>
      </w:pPr>
      <w:r>
        <w:rPr>
          <w:rFonts w:hint="eastAsia" w:ascii="仿宋" w:hAnsi="仿宋" w:eastAsia="仿宋" w:cs="仿宋"/>
          <w:b w:val="0"/>
          <w:bCs w:val="0"/>
          <w:color w:val="auto"/>
          <w:sz w:val="28"/>
          <w:szCs w:val="28"/>
          <w:highlight w:val="none"/>
        </w:rPr>
        <w:t xml:space="preserve">                                 年  月  日</w:t>
      </w:r>
    </w:p>
    <w:p>
      <w:pPr>
        <w:pStyle w:val="24"/>
        <w:jc w:val="both"/>
        <w:rPr>
          <w:rFonts w:ascii="仿宋_GB2312" w:hAnsi="仿宋_GB2312" w:eastAsia="仿宋_GB2312" w:cs="仿宋_GB2312"/>
          <w:color w:val="auto"/>
          <w:sz w:val="28"/>
          <w:szCs w:val="28"/>
          <w:highlight w:val="none"/>
        </w:rPr>
      </w:pPr>
    </w:p>
    <w:p>
      <w:pPr>
        <w:pStyle w:val="24"/>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pStyle w:val="24"/>
        <w:jc w:val="left"/>
        <w:rPr>
          <w:rFonts w:ascii="仿宋_GB2312" w:hAnsi="仿宋_GB2312" w:eastAsia="仿宋_GB2312" w:cs="仿宋_GB2312"/>
          <w:color w:val="auto"/>
          <w:sz w:val="28"/>
          <w:szCs w:val="28"/>
          <w:highlight w:val="none"/>
        </w:rPr>
      </w:pPr>
      <w:bookmarkStart w:id="68" w:name="_GoBack"/>
      <w:bookmarkEnd w:id="68"/>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本项目标的主体设备原厂授权函以及原厂售后服务承诺函（盖原厂单位公章）</w:t>
      </w:r>
    </w:p>
    <w:p>
      <w:pPr>
        <w:pStyle w:val="2"/>
        <w:numPr>
          <w:ilvl w:val="255"/>
          <w:numId w:val="0"/>
        </w:numPr>
        <w:rPr>
          <w:color w:val="auto"/>
          <w:highlight w:val="none"/>
          <w:lang w:eastAsia="zh-SG"/>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23</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70</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C21FE58"/>
    <w:multiLevelType w:val="singleLevel"/>
    <w:tmpl w:val="4C21FE58"/>
    <w:lvl w:ilvl="0" w:tentative="0">
      <w:start w:val="2"/>
      <w:numFmt w:val="decimal"/>
      <w:suff w:val="nothing"/>
      <w:lvlText w:val="%1、"/>
      <w:lvlJc w:val="left"/>
    </w:lvl>
  </w:abstractNum>
  <w:abstractNum w:abstractNumId="2">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534B5C71"/>
    <w:multiLevelType w:val="singleLevel"/>
    <w:tmpl w:val="534B5C71"/>
    <w:lvl w:ilvl="0" w:tentative="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6131"/>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0EF"/>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151"/>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562"/>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04C2"/>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5904"/>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1CBD"/>
    <w:rsid w:val="005E3813"/>
    <w:rsid w:val="005E6D41"/>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0B89"/>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1C3F"/>
    <w:rsid w:val="007934C4"/>
    <w:rsid w:val="0079388C"/>
    <w:rsid w:val="007940AA"/>
    <w:rsid w:val="00794D25"/>
    <w:rsid w:val="00795264"/>
    <w:rsid w:val="007952F6"/>
    <w:rsid w:val="00796ED4"/>
    <w:rsid w:val="007A0EAB"/>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5E7"/>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D41"/>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4678"/>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3639A"/>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5B63"/>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0A0"/>
    <w:rsid w:val="00FF2DC2"/>
    <w:rsid w:val="00FF3589"/>
    <w:rsid w:val="01530391"/>
    <w:rsid w:val="016A0791"/>
    <w:rsid w:val="016B281D"/>
    <w:rsid w:val="016C1D1F"/>
    <w:rsid w:val="01787993"/>
    <w:rsid w:val="017922D3"/>
    <w:rsid w:val="01D33E88"/>
    <w:rsid w:val="01F10C3B"/>
    <w:rsid w:val="022B1BDC"/>
    <w:rsid w:val="02B53A58"/>
    <w:rsid w:val="02BF1526"/>
    <w:rsid w:val="02E868F9"/>
    <w:rsid w:val="03011472"/>
    <w:rsid w:val="036868AE"/>
    <w:rsid w:val="040038AC"/>
    <w:rsid w:val="04081520"/>
    <w:rsid w:val="045F165D"/>
    <w:rsid w:val="046D644F"/>
    <w:rsid w:val="047D4FB1"/>
    <w:rsid w:val="05192361"/>
    <w:rsid w:val="052E61C8"/>
    <w:rsid w:val="05520BFB"/>
    <w:rsid w:val="056B35FF"/>
    <w:rsid w:val="05C34514"/>
    <w:rsid w:val="0611352E"/>
    <w:rsid w:val="064F21AB"/>
    <w:rsid w:val="065F3760"/>
    <w:rsid w:val="06F21464"/>
    <w:rsid w:val="06F361DA"/>
    <w:rsid w:val="07351BC0"/>
    <w:rsid w:val="0768203B"/>
    <w:rsid w:val="07792E78"/>
    <w:rsid w:val="078867E3"/>
    <w:rsid w:val="07B92E8A"/>
    <w:rsid w:val="07C062B1"/>
    <w:rsid w:val="07CB6A21"/>
    <w:rsid w:val="081C4C4C"/>
    <w:rsid w:val="08277D2A"/>
    <w:rsid w:val="0883100C"/>
    <w:rsid w:val="089975EC"/>
    <w:rsid w:val="089A6177"/>
    <w:rsid w:val="08DF45AF"/>
    <w:rsid w:val="094967DB"/>
    <w:rsid w:val="0AB53C5C"/>
    <w:rsid w:val="0AE36B6A"/>
    <w:rsid w:val="0AFB146D"/>
    <w:rsid w:val="0B1D76A6"/>
    <w:rsid w:val="0B874E51"/>
    <w:rsid w:val="0B9907D0"/>
    <w:rsid w:val="0B9A7140"/>
    <w:rsid w:val="0BEA1F5E"/>
    <w:rsid w:val="0BF206F3"/>
    <w:rsid w:val="0C2255BD"/>
    <w:rsid w:val="0C2E0580"/>
    <w:rsid w:val="0C384B50"/>
    <w:rsid w:val="0C404B5C"/>
    <w:rsid w:val="0C746AFD"/>
    <w:rsid w:val="0C8900E9"/>
    <w:rsid w:val="0CBD420D"/>
    <w:rsid w:val="0D154B39"/>
    <w:rsid w:val="0D435A86"/>
    <w:rsid w:val="0EA961C2"/>
    <w:rsid w:val="0EF0292E"/>
    <w:rsid w:val="0F1D3644"/>
    <w:rsid w:val="0F4E6CF0"/>
    <w:rsid w:val="0F6F72B2"/>
    <w:rsid w:val="10582016"/>
    <w:rsid w:val="10D739BE"/>
    <w:rsid w:val="10FE2C1F"/>
    <w:rsid w:val="111F2AF8"/>
    <w:rsid w:val="11CE3F3E"/>
    <w:rsid w:val="124F2E58"/>
    <w:rsid w:val="13217F1B"/>
    <w:rsid w:val="141A35BB"/>
    <w:rsid w:val="14355070"/>
    <w:rsid w:val="145261DD"/>
    <w:rsid w:val="146255A5"/>
    <w:rsid w:val="14C35340"/>
    <w:rsid w:val="15275D12"/>
    <w:rsid w:val="158113EE"/>
    <w:rsid w:val="15F0229C"/>
    <w:rsid w:val="16362668"/>
    <w:rsid w:val="163717DE"/>
    <w:rsid w:val="16441AC5"/>
    <w:rsid w:val="165B20E7"/>
    <w:rsid w:val="168925A2"/>
    <w:rsid w:val="168B63A8"/>
    <w:rsid w:val="16936F26"/>
    <w:rsid w:val="16AE2B9E"/>
    <w:rsid w:val="16B84680"/>
    <w:rsid w:val="17DA747A"/>
    <w:rsid w:val="18172D39"/>
    <w:rsid w:val="18244A12"/>
    <w:rsid w:val="18A31A98"/>
    <w:rsid w:val="18D9085D"/>
    <w:rsid w:val="193E73A4"/>
    <w:rsid w:val="19685BE0"/>
    <w:rsid w:val="19EE3E86"/>
    <w:rsid w:val="1A00300F"/>
    <w:rsid w:val="1A5A27AD"/>
    <w:rsid w:val="1B0F26D0"/>
    <w:rsid w:val="1BBD4F3F"/>
    <w:rsid w:val="1C0321C8"/>
    <w:rsid w:val="1C385E04"/>
    <w:rsid w:val="1C99656B"/>
    <w:rsid w:val="1CA26936"/>
    <w:rsid w:val="1CA675D6"/>
    <w:rsid w:val="1CDF1844"/>
    <w:rsid w:val="1D2C5876"/>
    <w:rsid w:val="1ED100A9"/>
    <w:rsid w:val="1EE764E6"/>
    <w:rsid w:val="1F2B21F1"/>
    <w:rsid w:val="1FBA648C"/>
    <w:rsid w:val="1FD07C46"/>
    <w:rsid w:val="20E17EB0"/>
    <w:rsid w:val="20F5544D"/>
    <w:rsid w:val="2108366C"/>
    <w:rsid w:val="214C531C"/>
    <w:rsid w:val="215C312F"/>
    <w:rsid w:val="21652F14"/>
    <w:rsid w:val="21D34434"/>
    <w:rsid w:val="2206387A"/>
    <w:rsid w:val="22526F25"/>
    <w:rsid w:val="22877BBE"/>
    <w:rsid w:val="22D37791"/>
    <w:rsid w:val="22E46F2F"/>
    <w:rsid w:val="23396436"/>
    <w:rsid w:val="23571876"/>
    <w:rsid w:val="236C373B"/>
    <w:rsid w:val="23A816ED"/>
    <w:rsid w:val="23DE5CCA"/>
    <w:rsid w:val="23F72B70"/>
    <w:rsid w:val="24264B11"/>
    <w:rsid w:val="242D209B"/>
    <w:rsid w:val="249029D1"/>
    <w:rsid w:val="2499307A"/>
    <w:rsid w:val="253648E9"/>
    <w:rsid w:val="25564CC3"/>
    <w:rsid w:val="25C37987"/>
    <w:rsid w:val="26384A4C"/>
    <w:rsid w:val="26BF0015"/>
    <w:rsid w:val="27773FC1"/>
    <w:rsid w:val="278849F5"/>
    <w:rsid w:val="27985978"/>
    <w:rsid w:val="27C55A47"/>
    <w:rsid w:val="27FE053A"/>
    <w:rsid w:val="285F49DA"/>
    <w:rsid w:val="290B1D60"/>
    <w:rsid w:val="291446F5"/>
    <w:rsid w:val="29487713"/>
    <w:rsid w:val="29697C95"/>
    <w:rsid w:val="2A6C6E62"/>
    <w:rsid w:val="2A7F49A6"/>
    <w:rsid w:val="2ABD3DEA"/>
    <w:rsid w:val="2B150B3F"/>
    <w:rsid w:val="2B1827EA"/>
    <w:rsid w:val="2B392BD9"/>
    <w:rsid w:val="2B4474F0"/>
    <w:rsid w:val="2B6925D3"/>
    <w:rsid w:val="2B94418C"/>
    <w:rsid w:val="2BA8111D"/>
    <w:rsid w:val="2C155F99"/>
    <w:rsid w:val="2C646A3F"/>
    <w:rsid w:val="2CEC34A4"/>
    <w:rsid w:val="2D4D195C"/>
    <w:rsid w:val="2EA224B9"/>
    <w:rsid w:val="2EC96A1D"/>
    <w:rsid w:val="2EF71F9B"/>
    <w:rsid w:val="2F2A64E1"/>
    <w:rsid w:val="2F40095D"/>
    <w:rsid w:val="2F51371A"/>
    <w:rsid w:val="2F7979DF"/>
    <w:rsid w:val="30DA3F19"/>
    <w:rsid w:val="30F77A47"/>
    <w:rsid w:val="311C24E2"/>
    <w:rsid w:val="31724B48"/>
    <w:rsid w:val="31A66130"/>
    <w:rsid w:val="31B0147C"/>
    <w:rsid w:val="31BF461E"/>
    <w:rsid w:val="31E8143B"/>
    <w:rsid w:val="31F62C45"/>
    <w:rsid w:val="320C2BF7"/>
    <w:rsid w:val="329040B0"/>
    <w:rsid w:val="32D732DD"/>
    <w:rsid w:val="32E528BA"/>
    <w:rsid w:val="33517FD2"/>
    <w:rsid w:val="33665F04"/>
    <w:rsid w:val="33902148"/>
    <w:rsid w:val="339B4D1D"/>
    <w:rsid w:val="34B048B4"/>
    <w:rsid w:val="34CA5FEB"/>
    <w:rsid w:val="351870D9"/>
    <w:rsid w:val="35312AE1"/>
    <w:rsid w:val="359358E8"/>
    <w:rsid w:val="359C3DC6"/>
    <w:rsid w:val="35F60440"/>
    <w:rsid w:val="36512587"/>
    <w:rsid w:val="366D7598"/>
    <w:rsid w:val="367935E1"/>
    <w:rsid w:val="36A7446C"/>
    <w:rsid w:val="36E41B01"/>
    <w:rsid w:val="370234E8"/>
    <w:rsid w:val="370330D7"/>
    <w:rsid w:val="3761178E"/>
    <w:rsid w:val="37902451"/>
    <w:rsid w:val="37BD589A"/>
    <w:rsid w:val="3867727E"/>
    <w:rsid w:val="38C153AA"/>
    <w:rsid w:val="39000068"/>
    <w:rsid w:val="39333352"/>
    <w:rsid w:val="39467688"/>
    <w:rsid w:val="39C94AD6"/>
    <w:rsid w:val="3A0A28B3"/>
    <w:rsid w:val="3A37568C"/>
    <w:rsid w:val="3A515CCE"/>
    <w:rsid w:val="3A956BF7"/>
    <w:rsid w:val="3AAB496A"/>
    <w:rsid w:val="3AC12620"/>
    <w:rsid w:val="3AE10910"/>
    <w:rsid w:val="3B643CED"/>
    <w:rsid w:val="3BE24692"/>
    <w:rsid w:val="3BE72EB7"/>
    <w:rsid w:val="3C561375"/>
    <w:rsid w:val="3C683A9F"/>
    <w:rsid w:val="3CB42E76"/>
    <w:rsid w:val="3CC77D04"/>
    <w:rsid w:val="3D8A2798"/>
    <w:rsid w:val="3DB54DD9"/>
    <w:rsid w:val="3DF628D0"/>
    <w:rsid w:val="3E5C1FE6"/>
    <w:rsid w:val="3E8B0789"/>
    <w:rsid w:val="3EDE4585"/>
    <w:rsid w:val="3F0E559C"/>
    <w:rsid w:val="3F5130CC"/>
    <w:rsid w:val="3FA7090B"/>
    <w:rsid w:val="400C274D"/>
    <w:rsid w:val="40905038"/>
    <w:rsid w:val="409657CA"/>
    <w:rsid w:val="409C2A4E"/>
    <w:rsid w:val="40EE6BE5"/>
    <w:rsid w:val="41C844A1"/>
    <w:rsid w:val="41EA3C48"/>
    <w:rsid w:val="4211708D"/>
    <w:rsid w:val="42634E5F"/>
    <w:rsid w:val="42E40B9B"/>
    <w:rsid w:val="43632516"/>
    <w:rsid w:val="43A54E67"/>
    <w:rsid w:val="43BB443E"/>
    <w:rsid w:val="43FF401D"/>
    <w:rsid w:val="442A3329"/>
    <w:rsid w:val="44956EDF"/>
    <w:rsid w:val="44E12089"/>
    <w:rsid w:val="44FA1F55"/>
    <w:rsid w:val="458753CB"/>
    <w:rsid w:val="46116C7C"/>
    <w:rsid w:val="46344980"/>
    <w:rsid w:val="4634511C"/>
    <w:rsid w:val="46415EDC"/>
    <w:rsid w:val="46630484"/>
    <w:rsid w:val="46793D5E"/>
    <w:rsid w:val="467F24F5"/>
    <w:rsid w:val="46E8386D"/>
    <w:rsid w:val="470E6D2F"/>
    <w:rsid w:val="471449F7"/>
    <w:rsid w:val="47C55CCA"/>
    <w:rsid w:val="47EC0979"/>
    <w:rsid w:val="480C1B69"/>
    <w:rsid w:val="48164C67"/>
    <w:rsid w:val="48456235"/>
    <w:rsid w:val="4A233B87"/>
    <w:rsid w:val="4A534D14"/>
    <w:rsid w:val="4A7D4EAD"/>
    <w:rsid w:val="4AB81165"/>
    <w:rsid w:val="4BB711DB"/>
    <w:rsid w:val="4BCA5991"/>
    <w:rsid w:val="4C486859"/>
    <w:rsid w:val="4C4A587B"/>
    <w:rsid w:val="4C81736F"/>
    <w:rsid w:val="4D1D2236"/>
    <w:rsid w:val="4D427370"/>
    <w:rsid w:val="4DEE010F"/>
    <w:rsid w:val="4DF818DB"/>
    <w:rsid w:val="4E2B63F0"/>
    <w:rsid w:val="4E813CB3"/>
    <w:rsid w:val="4EAB1019"/>
    <w:rsid w:val="4F400094"/>
    <w:rsid w:val="4F9710BE"/>
    <w:rsid w:val="50354CF6"/>
    <w:rsid w:val="503903EC"/>
    <w:rsid w:val="506771C5"/>
    <w:rsid w:val="507E13C4"/>
    <w:rsid w:val="50B35328"/>
    <w:rsid w:val="50D90018"/>
    <w:rsid w:val="50FF4101"/>
    <w:rsid w:val="513F27A6"/>
    <w:rsid w:val="51486421"/>
    <w:rsid w:val="515E0CC2"/>
    <w:rsid w:val="518F43FA"/>
    <w:rsid w:val="51AC1B9E"/>
    <w:rsid w:val="521164FF"/>
    <w:rsid w:val="522C2600"/>
    <w:rsid w:val="52362A21"/>
    <w:rsid w:val="528867E4"/>
    <w:rsid w:val="529A65BD"/>
    <w:rsid w:val="52DB4573"/>
    <w:rsid w:val="532055E7"/>
    <w:rsid w:val="532062C3"/>
    <w:rsid w:val="533C386C"/>
    <w:rsid w:val="53987AC8"/>
    <w:rsid w:val="53B0590D"/>
    <w:rsid w:val="53CD4276"/>
    <w:rsid w:val="53E716DD"/>
    <w:rsid w:val="542A7981"/>
    <w:rsid w:val="544E6680"/>
    <w:rsid w:val="545D5CB2"/>
    <w:rsid w:val="547140A0"/>
    <w:rsid w:val="54CF3AD1"/>
    <w:rsid w:val="54D04CDA"/>
    <w:rsid w:val="54E67BAC"/>
    <w:rsid w:val="54F63749"/>
    <w:rsid w:val="55303578"/>
    <w:rsid w:val="554F60DB"/>
    <w:rsid w:val="5599056B"/>
    <w:rsid w:val="55D531A1"/>
    <w:rsid w:val="56287305"/>
    <w:rsid w:val="56344925"/>
    <w:rsid w:val="56836051"/>
    <w:rsid w:val="56AE3371"/>
    <w:rsid w:val="56E167E1"/>
    <w:rsid w:val="57814FA2"/>
    <w:rsid w:val="57881654"/>
    <w:rsid w:val="57892C7F"/>
    <w:rsid w:val="578E399A"/>
    <w:rsid w:val="579E0900"/>
    <w:rsid w:val="57B852D2"/>
    <w:rsid w:val="58490FEF"/>
    <w:rsid w:val="58506561"/>
    <w:rsid w:val="58A01EF7"/>
    <w:rsid w:val="58FC58AC"/>
    <w:rsid w:val="59381715"/>
    <w:rsid w:val="595326AE"/>
    <w:rsid w:val="595B5672"/>
    <w:rsid w:val="59B701E8"/>
    <w:rsid w:val="5A067F0D"/>
    <w:rsid w:val="5A94304A"/>
    <w:rsid w:val="5A9C6CED"/>
    <w:rsid w:val="5ACD2F89"/>
    <w:rsid w:val="5AD808E2"/>
    <w:rsid w:val="5AF92F8F"/>
    <w:rsid w:val="5C38288B"/>
    <w:rsid w:val="5C4B6554"/>
    <w:rsid w:val="5C647B82"/>
    <w:rsid w:val="5CA85943"/>
    <w:rsid w:val="5CD22A96"/>
    <w:rsid w:val="5D240BC6"/>
    <w:rsid w:val="5D5A2CC2"/>
    <w:rsid w:val="5DBA5568"/>
    <w:rsid w:val="5DBD529C"/>
    <w:rsid w:val="5DCE1D4E"/>
    <w:rsid w:val="5DF03E91"/>
    <w:rsid w:val="5DF93B53"/>
    <w:rsid w:val="5E626183"/>
    <w:rsid w:val="5ED41E18"/>
    <w:rsid w:val="5F8174EA"/>
    <w:rsid w:val="5FFD2CE2"/>
    <w:rsid w:val="60057C1C"/>
    <w:rsid w:val="602126E4"/>
    <w:rsid w:val="60DB0BC4"/>
    <w:rsid w:val="60FB46D7"/>
    <w:rsid w:val="61645D15"/>
    <w:rsid w:val="61DB05BB"/>
    <w:rsid w:val="62246D5B"/>
    <w:rsid w:val="62292632"/>
    <w:rsid w:val="626C5B73"/>
    <w:rsid w:val="62727EBA"/>
    <w:rsid w:val="62955D61"/>
    <w:rsid w:val="629E615E"/>
    <w:rsid w:val="62D13446"/>
    <w:rsid w:val="62D81687"/>
    <w:rsid w:val="6305658B"/>
    <w:rsid w:val="63914A7B"/>
    <w:rsid w:val="63A03689"/>
    <w:rsid w:val="63B01D70"/>
    <w:rsid w:val="63D83F1F"/>
    <w:rsid w:val="63EA056D"/>
    <w:rsid w:val="63FD43C0"/>
    <w:rsid w:val="64026AED"/>
    <w:rsid w:val="64300170"/>
    <w:rsid w:val="64824ED9"/>
    <w:rsid w:val="64EB711B"/>
    <w:rsid w:val="64FF5233"/>
    <w:rsid w:val="65037B33"/>
    <w:rsid w:val="65436320"/>
    <w:rsid w:val="65456014"/>
    <w:rsid w:val="65592770"/>
    <w:rsid w:val="655C4431"/>
    <w:rsid w:val="659807B4"/>
    <w:rsid w:val="65993205"/>
    <w:rsid w:val="65AC1D23"/>
    <w:rsid w:val="66381321"/>
    <w:rsid w:val="663D54BE"/>
    <w:rsid w:val="664E14A8"/>
    <w:rsid w:val="66676B28"/>
    <w:rsid w:val="671B708A"/>
    <w:rsid w:val="680315E9"/>
    <w:rsid w:val="68325398"/>
    <w:rsid w:val="68A647C0"/>
    <w:rsid w:val="68EF0851"/>
    <w:rsid w:val="692A41B3"/>
    <w:rsid w:val="6949692F"/>
    <w:rsid w:val="6A6C6E11"/>
    <w:rsid w:val="6AD7234F"/>
    <w:rsid w:val="6AED484C"/>
    <w:rsid w:val="6B72112F"/>
    <w:rsid w:val="6B764870"/>
    <w:rsid w:val="6B8118ED"/>
    <w:rsid w:val="6B9F1DED"/>
    <w:rsid w:val="6BE50F57"/>
    <w:rsid w:val="6BF71767"/>
    <w:rsid w:val="6C3E3A90"/>
    <w:rsid w:val="6D1E1CAE"/>
    <w:rsid w:val="6D73038B"/>
    <w:rsid w:val="6DF63EBD"/>
    <w:rsid w:val="6E571992"/>
    <w:rsid w:val="6E6A386D"/>
    <w:rsid w:val="6E953A27"/>
    <w:rsid w:val="6F0F5EAE"/>
    <w:rsid w:val="6F312B1E"/>
    <w:rsid w:val="6F3E3D06"/>
    <w:rsid w:val="6FA341CE"/>
    <w:rsid w:val="6FBB1C1E"/>
    <w:rsid w:val="6FFD3C93"/>
    <w:rsid w:val="706B6C80"/>
    <w:rsid w:val="706E13EF"/>
    <w:rsid w:val="7085237B"/>
    <w:rsid w:val="709E6195"/>
    <w:rsid w:val="70A23FC8"/>
    <w:rsid w:val="70D271DB"/>
    <w:rsid w:val="71092B5E"/>
    <w:rsid w:val="71C25240"/>
    <w:rsid w:val="723167A5"/>
    <w:rsid w:val="72AD436F"/>
    <w:rsid w:val="73430AE6"/>
    <w:rsid w:val="73D349A2"/>
    <w:rsid w:val="74B43990"/>
    <w:rsid w:val="74E40A3A"/>
    <w:rsid w:val="7571408D"/>
    <w:rsid w:val="758241CA"/>
    <w:rsid w:val="75D4302F"/>
    <w:rsid w:val="75DF3A0D"/>
    <w:rsid w:val="760B02B2"/>
    <w:rsid w:val="763E4F51"/>
    <w:rsid w:val="76971C7A"/>
    <w:rsid w:val="76B92333"/>
    <w:rsid w:val="76F80373"/>
    <w:rsid w:val="773879DF"/>
    <w:rsid w:val="77EB3AC8"/>
    <w:rsid w:val="781334A5"/>
    <w:rsid w:val="78210984"/>
    <w:rsid w:val="785E0ACB"/>
    <w:rsid w:val="78A021DD"/>
    <w:rsid w:val="78B237CB"/>
    <w:rsid w:val="78B647E8"/>
    <w:rsid w:val="78BF76F8"/>
    <w:rsid w:val="79227145"/>
    <w:rsid w:val="799469FD"/>
    <w:rsid w:val="7A563A20"/>
    <w:rsid w:val="7A672B47"/>
    <w:rsid w:val="7AB52C99"/>
    <w:rsid w:val="7AE21C4E"/>
    <w:rsid w:val="7AEA2AFF"/>
    <w:rsid w:val="7C072769"/>
    <w:rsid w:val="7C233FC2"/>
    <w:rsid w:val="7C7E5277"/>
    <w:rsid w:val="7C9B217D"/>
    <w:rsid w:val="7CC3305A"/>
    <w:rsid w:val="7CCA52C1"/>
    <w:rsid w:val="7CD33388"/>
    <w:rsid w:val="7D1A478B"/>
    <w:rsid w:val="7D203751"/>
    <w:rsid w:val="7D3711DF"/>
    <w:rsid w:val="7DD00D8F"/>
    <w:rsid w:val="7DF574E2"/>
    <w:rsid w:val="7E2E7058"/>
    <w:rsid w:val="7E557C00"/>
    <w:rsid w:val="7EE55FE7"/>
    <w:rsid w:val="7EF526E2"/>
    <w:rsid w:val="7F255047"/>
    <w:rsid w:val="7F745D79"/>
    <w:rsid w:val="7FBC6D24"/>
    <w:rsid w:val="7FD17628"/>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24"/>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toc 7"/>
    <w:basedOn w:val="1"/>
    <w:next w:val="1"/>
    <w:qFormat/>
    <w:uiPriority w:val="0"/>
    <w:pPr>
      <w:ind w:left="2520" w:leftChars="1200"/>
    </w:p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37"/>
    <w:qFormat/>
    <w:uiPriority w:val="0"/>
    <w:rPr>
      <w:rFonts w:ascii="宋体"/>
      <w:sz w:val="18"/>
      <w:szCs w:val="18"/>
    </w:rPr>
  </w:style>
  <w:style w:type="paragraph" w:styleId="11">
    <w:name w:val="annotation text"/>
    <w:basedOn w:val="1"/>
    <w:link w:val="38"/>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link w:val="58"/>
    <w:semiHidden/>
    <w:unhideWhenUsed/>
    <w:qFormat/>
    <w:uiPriority w:val="0"/>
    <w:pPr>
      <w:spacing w:after="120"/>
    </w:p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56"/>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4"/>
    <w:qFormat/>
    <w:uiPriority w:val="0"/>
    <w:rPr>
      <w:sz w:val="18"/>
      <w:szCs w:val="18"/>
    </w:rPr>
  </w:style>
  <w:style w:type="paragraph" w:styleId="18">
    <w:name w:val="footer"/>
    <w:basedOn w:val="1"/>
    <w:link w:val="63"/>
    <w:qFormat/>
    <w:uiPriority w:val="99"/>
    <w:pPr>
      <w:tabs>
        <w:tab w:val="center" w:pos="4153"/>
        <w:tab w:val="right" w:pos="8306"/>
      </w:tabs>
      <w:snapToGrid w:val="0"/>
      <w:jc w:val="left"/>
    </w:pPr>
    <w:rPr>
      <w:sz w:val="18"/>
    </w:rPr>
  </w:style>
  <w:style w:type="paragraph" w:styleId="19">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6"/>
    <w:qFormat/>
    <w:uiPriority w:val="0"/>
    <w:pPr>
      <w:spacing w:before="240" w:after="60"/>
      <w:jc w:val="center"/>
      <w:outlineLvl w:val="0"/>
    </w:pPr>
    <w:rPr>
      <w:rFonts w:ascii="Cambria" w:hAnsi="Cambria"/>
      <w:b/>
      <w:bCs/>
      <w:sz w:val="32"/>
      <w:szCs w:val="32"/>
    </w:rPr>
  </w:style>
  <w:style w:type="paragraph" w:styleId="25">
    <w:name w:val="annotation subject"/>
    <w:basedOn w:val="11"/>
    <w:next w:val="11"/>
    <w:link w:val="39"/>
    <w:qFormat/>
    <w:uiPriority w:val="0"/>
    <w:rPr>
      <w:b/>
      <w:bCs/>
    </w:rPr>
  </w:style>
  <w:style w:type="paragraph" w:styleId="26">
    <w:name w:val="Body Text First Indent"/>
    <w:basedOn w:val="13"/>
    <w:link w:val="59"/>
    <w:qFormat/>
    <w:uiPriority w:val="0"/>
    <w:pPr>
      <w:ind w:firstLine="420" w:firstLineChars="100"/>
    </w:pPr>
  </w:style>
  <w:style w:type="paragraph" w:styleId="27">
    <w:name w:val="Body Text First Indent 2"/>
    <w:basedOn w:val="14"/>
    <w:qFormat/>
    <w:uiPriority w:val="0"/>
    <w:pPr>
      <w:spacing w:line="360" w:lineRule="auto"/>
      <w:ind w:firstLine="471" w:firstLineChars="200"/>
    </w:pPr>
    <w:rPr>
      <w:rFonts w:hint="eastAsia"/>
    </w:rPr>
  </w:style>
  <w:style w:type="table" w:styleId="29">
    <w:name w:val="Table Grid"/>
    <w:basedOn w:val="28"/>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rFonts w:eastAsia="宋体"/>
      <w:b/>
      <w:bCs/>
      <w:kern w:val="2"/>
      <w:sz w:val="24"/>
      <w:szCs w:val="24"/>
      <w:lang w:val="en-US" w:eastAsia="zh-CN" w:bidi="ar-SA"/>
    </w:rPr>
  </w:style>
  <w:style w:type="character" w:styleId="32">
    <w:name w:val="page number"/>
    <w:basedOn w:val="30"/>
    <w:qFormat/>
    <w:uiPriority w:val="0"/>
  </w:style>
  <w:style w:type="character" w:styleId="33">
    <w:name w:val="annotation reference"/>
    <w:basedOn w:val="30"/>
    <w:qFormat/>
    <w:uiPriority w:val="0"/>
    <w:rPr>
      <w:rFonts w:eastAsia="宋体"/>
      <w:kern w:val="2"/>
      <w:sz w:val="21"/>
      <w:szCs w:val="21"/>
      <w:lang w:val="en-US" w:eastAsia="zh-CN" w:bidi="ar-SA"/>
    </w:rPr>
  </w:style>
  <w:style w:type="character" w:customStyle="1" w:styleId="34">
    <w:name w:val="批注框文本 Char"/>
    <w:link w:val="17"/>
    <w:qFormat/>
    <w:uiPriority w:val="0"/>
    <w:rPr>
      <w:kern w:val="2"/>
      <w:sz w:val="18"/>
      <w:szCs w:val="18"/>
    </w:rPr>
  </w:style>
  <w:style w:type="character" w:customStyle="1" w:styleId="35">
    <w:name w:val="标题 1 Char"/>
    <w:link w:val="3"/>
    <w:qFormat/>
    <w:uiPriority w:val="9"/>
    <w:rPr>
      <w:rFonts w:ascii="Calibri" w:hAnsi="Calibri" w:eastAsia="宋体" w:cs="Times New Roman"/>
      <w:b/>
      <w:bCs/>
      <w:kern w:val="44"/>
      <w:sz w:val="44"/>
      <w:szCs w:val="44"/>
    </w:rPr>
  </w:style>
  <w:style w:type="character" w:customStyle="1" w:styleId="36">
    <w:name w:val="标题 Char"/>
    <w:link w:val="24"/>
    <w:qFormat/>
    <w:uiPriority w:val="0"/>
    <w:rPr>
      <w:rFonts w:ascii="Cambria" w:hAnsi="Cambria" w:cs="Times New Roman"/>
      <w:b/>
      <w:bCs/>
      <w:kern w:val="2"/>
      <w:sz w:val="32"/>
      <w:szCs w:val="32"/>
    </w:rPr>
  </w:style>
  <w:style w:type="character" w:customStyle="1" w:styleId="37">
    <w:name w:val="文档结构图 Char"/>
    <w:link w:val="10"/>
    <w:qFormat/>
    <w:uiPriority w:val="0"/>
    <w:rPr>
      <w:rFonts w:ascii="宋体"/>
      <w:kern w:val="2"/>
      <w:sz w:val="18"/>
      <w:szCs w:val="18"/>
    </w:rPr>
  </w:style>
  <w:style w:type="character" w:customStyle="1" w:styleId="38">
    <w:name w:val="批注文字 Char"/>
    <w:link w:val="11"/>
    <w:qFormat/>
    <w:uiPriority w:val="0"/>
    <w:rPr>
      <w:kern w:val="2"/>
      <w:sz w:val="21"/>
      <w:szCs w:val="24"/>
    </w:rPr>
  </w:style>
  <w:style w:type="character" w:customStyle="1" w:styleId="39">
    <w:name w:val="批注主题 Char"/>
    <w:link w:val="25"/>
    <w:qFormat/>
    <w:uiPriority w:val="0"/>
    <w:rPr>
      <w:b/>
      <w:bCs/>
      <w:kern w:val="2"/>
      <w:sz w:val="21"/>
      <w:szCs w:val="24"/>
    </w:rPr>
  </w:style>
  <w:style w:type="paragraph" w:customStyle="1" w:styleId="40">
    <w:name w:val="_Style 2"/>
    <w:basedOn w:val="1"/>
    <w:qFormat/>
    <w:uiPriority w:val="34"/>
    <w:pPr>
      <w:ind w:firstLine="420" w:firstLineChars="200"/>
    </w:pPr>
    <w:rPr>
      <w:rFonts w:ascii="Calibri" w:hAnsi="Calibri"/>
      <w:szCs w:val="22"/>
    </w:rPr>
  </w:style>
  <w:style w:type="paragraph" w:customStyle="1" w:styleId="41">
    <w:name w:val="Char Char2 Char"/>
    <w:basedOn w:val="1"/>
    <w:qFormat/>
    <w:uiPriority w:val="0"/>
  </w:style>
  <w:style w:type="paragraph" w:customStyle="1" w:styleId="4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3">
    <w:name w:val="z-窗体顶端1"/>
    <w:basedOn w:val="1"/>
    <w:qFormat/>
    <w:uiPriority w:val="34"/>
    <w:pPr>
      <w:ind w:firstLine="420" w:firstLineChars="200"/>
    </w:pPr>
    <w:rPr>
      <w:rFonts w:ascii="Calibri" w:hAnsi="Calibri"/>
      <w:szCs w:val="22"/>
    </w:rPr>
  </w:style>
  <w:style w:type="paragraph" w:customStyle="1" w:styleId="44">
    <w:name w:val="题注4"/>
    <w:basedOn w:val="1"/>
    <w:next w:val="9"/>
    <w:qFormat/>
    <w:uiPriority w:val="0"/>
    <w:pPr>
      <w:ind w:left="-132" w:leftChars="-64" w:right="-105" w:rightChars="-50" w:hanging="2"/>
      <w:jc w:val="center"/>
    </w:pPr>
    <w:rPr>
      <w:b/>
      <w:color w:val="FF0000"/>
      <w:szCs w:val="21"/>
      <w:lang w:val="en-GB"/>
    </w:rPr>
  </w:style>
  <w:style w:type="paragraph" w:customStyle="1" w:styleId="45">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6">
    <w:name w:val="List Paragraph"/>
    <w:basedOn w:val="1"/>
    <w:qFormat/>
    <w:uiPriority w:val="99"/>
    <w:pPr>
      <w:ind w:firstLine="420" w:firstLineChars="200"/>
    </w:pPr>
    <w:rPr>
      <w:rFonts w:ascii="Calibri" w:hAnsi="Calibri"/>
      <w:szCs w:val="22"/>
    </w:rPr>
  </w:style>
  <w:style w:type="paragraph" w:customStyle="1" w:styleId="4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Char"/>
    <w:basedOn w:val="1"/>
    <w:qFormat/>
    <w:uiPriority w:val="0"/>
    <w:pPr>
      <w:spacing w:line="480" w:lineRule="exact"/>
    </w:pPr>
    <w:rPr>
      <w:sz w:val="24"/>
    </w:rPr>
  </w:style>
  <w:style w:type="paragraph" w:customStyle="1" w:styleId="53">
    <w:name w:val="表格文字"/>
    <w:basedOn w:val="1"/>
    <w:qFormat/>
    <w:uiPriority w:val="0"/>
    <w:pPr>
      <w:spacing w:before="25" w:after="25"/>
      <w:jc w:val="left"/>
    </w:pPr>
    <w:rPr>
      <w:bCs/>
      <w:spacing w:val="10"/>
      <w:kern w:val="0"/>
      <w:sz w:val="24"/>
      <w:szCs w:val="20"/>
    </w:rPr>
  </w:style>
  <w:style w:type="paragraph" w:customStyle="1" w:styleId="54">
    <w:name w:val="_Style 1"/>
    <w:basedOn w:val="1"/>
    <w:qFormat/>
    <w:uiPriority w:val="34"/>
    <w:pPr>
      <w:ind w:firstLine="420" w:firstLineChars="200"/>
    </w:pPr>
    <w:rPr>
      <w:rFonts w:ascii="Calibri" w:hAnsi="Calibri"/>
      <w:szCs w:val="22"/>
    </w:rPr>
  </w:style>
  <w:style w:type="paragraph" w:customStyle="1" w:styleId="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6">
    <w:name w:val="纯文本 Char"/>
    <w:link w:val="15"/>
    <w:qFormat/>
    <w:uiPriority w:val="0"/>
    <w:rPr>
      <w:rFonts w:ascii="宋体" w:hAnsi="Courier New" w:cs="Courier New"/>
      <w:kern w:val="2"/>
      <w:sz w:val="21"/>
      <w:szCs w:val="21"/>
    </w:rPr>
  </w:style>
  <w:style w:type="character" w:customStyle="1" w:styleId="57">
    <w:name w:val="页眉 Char"/>
    <w:link w:val="19"/>
    <w:qFormat/>
    <w:uiPriority w:val="99"/>
    <w:rPr>
      <w:kern w:val="2"/>
      <w:sz w:val="18"/>
      <w:szCs w:val="24"/>
    </w:rPr>
  </w:style>
  <w:style w:type="character" w:customStyle="1" w:styleId="58">
    <w:name w:val="正文文本 Char"/>
    <w:basedOn w:val="30"/>
    <w:link w:val="13"/>
    <w:semiHidden/>
    <w:qFormat/>
    <w:uiPriority w:val="0"/>
    <w:rPr>
      <w:kern w:val="2"/>
      <w:sz w:val="21"/>
      <w:szCs w:val="24"/>
    </w:rPr>
  </w:style>
  <w:style w:type="character" w:customStyle="1" w:styleId="59">
    <w:name w:val="正文首行缩进 Char"/>
    <w:basedOn w:val="58"/>
    <w:link w:val="26"/>
    <w:qFormat/>
    <w:uiPriority w:val="0"/>
    <w:rPr>
      <w:kern w:val="2"/>
      <w:sz w:val="21"/>
      <w:szCs w:val="24"/>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z-窗体顶端2"/>
    <w:basedOn w:val="1"/>
    <w:link w:val="62"/>
    <w:qFormat/>
    <w:uiPriority w:val="34"/>
    <w:pPr>
      <w:ind w:firstLine="420" w:firstLineChars="200"/>
    </w:pPr>
    <w:rPr>
      <w:rFonts w:ascii="Calibri" w:hAnsi="Calibri"/>
      <w:szCs w:val="22"/>
    </w:rPr>
  </w:style>
  <w:style w:type="character" w:customStyle="1" w:styleId="62">
    <w:name w:val="z-窗体顶端 字符"/>
    <w:basedOn w:val="30"/>
    <w:link w:val="61"/>
    <w:qFormat/>
    <w:uiPriority w:val="34"/>
    <w:rPr>
      <w:rFonts w:ascii="Calibri" w:hAnsi="Calibri"/>
      <w:kern w:val="2"/>
      <w:sz w:val="21"/>
      <w:szCs w:val="22"/>
    </w:rPr>
  </w:style>
  <w:style w:type="character" w:customStyle="1" w:styleId="63">
    <w:name w:val="页脚 Char"/>
    <w:basedOn w:val="30"/>
    <w:link w:val="18"/>
    <w:qFormat/>
    <w:uiPriority w:val="99"/>
    <w:rPr>
      <w:rFonts w:ascii="Times New Roman" w:hAnsi="Times New Roman"/>
      <w:kern w:val="2"/>
      <w:sz w:val="18"/>
      <w:szCs w:val="24"/>
    </w:rPr>
  </w:style>
  <w:style w:type="paragraph" w:customStyle="1" w:styleId="64">
    <w:name w:val="_Style 4"/>
    <w:basedOn w:val="3"/>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5">
    <w:name w:val="列出段落3"/>
    <w:basedOn w:val="1"/>
    <w:qFormat/>
    <w:uiPriority w:val="0"/>
    <w:pPr>
      <w:ind w:firstLine="420" w:firstLineChars="200"/>
    </w:pPr>
    <w:rPr>
      <w:rFonts w:ascii="Calibri" w:hAnsi="Calibri"/>
      <w:szCs w:val="22"/>
    </w:rPr>
  </w:style>
  <w:style w:type="paragraph" w:customStyle="1" w:styleId="66">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7">
    <w:name w:val="_"/>
    <w:basedOn w:val="1"/>
    <w:qFormat/>
    <w:uiPriority w:val="0"/>
    <w:pPr>
      <w:spacing w:line="360" w:lineRule="auto"/>
      <w:ind w:left="480"/>
    </w:pPr>
    <w:rPr>
      <w:rFonts w:ascii="Calibri" w:hAnsi="Calibri"/>
      <w:sz w:val="24"/>
      <w:szCs w:val="22"/>
    </w:rPr>
  </w:style>
  <w:style w:type="paragraph" w:customStyle="1" w:styleId="68">
    <w:name w:val="*正文"/>
    <w:basedOn w:val="1"/>
    <w:qFormat/>
    <w:uiPriority w:val="0"/>
    <w:pPr>
      <w:spacing w:line="360" w:lineRule="auto"/>
      <w:ind w:firstLine="200" w:firstLineChars="200"/>
    </w:pPr>
    <w:rPr>
      <w:rFonts w:ascii="宋体" w:hAnsi="宋体" w:eastAsia="仿宋"/>
      <w:kern w:val="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7235</Words>
  <Characters>41245</Characters>
  <Lines>343</Lines>
  <Paragraphs>96</Paragraphs>
  <TotalTime>3</TotalTime>
  <ScaleCrop>false</ScaleCrop>
  <LinksUpToDate>false</LinksUpToDate>
  <CharactersWithSpaces>48384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2021-10-11T00:01:00Z</dcterms:created>
  <dc:creator>李继能</dc:creator>
  <cp:lastModifiedBy>林煜韩</cp:lastModifiedBy>
  <cp:lastPrinted>2021-07-20T09:21:00Z</cp:lastPrinted>
  <dcterms:modified xsi:type="dcterms:W3CDTF">2021-11-04T03:55:18Z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0F7F289629024FEBBEA601E417A05E2E</vt:lpwstr>
  </property>
</Properties>
</file>