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w:t>
      </w:r>
      <w:r>
        <w:rPr>
          <w:rFonts w:hint="eastAsia" w:ascii="仿宋_GB2312" w:hAnsi="仿宋_GB2312" w:eastAsia="仿宋_GB2312" w:cs="仿宋_GB2312"/>
          <w:b/>
          <w:bCs/>
          <w:color w:val="000000" w:themeColor="text1"/>
          <w:sz w:val="32"/>
          <w:szCs w:val="32"/>
          <w14:textFill>
            <w14:solidFill>
              <w14:schemeClr w14:val="tx1"/>
            </w14:solidFill>
          </w14:textFill>
        </w:rPr>
        <w:t>-2021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1022-2</w:t>
      </w:r>
    </w:p>
    <w:p>
      <w:pPr>
        <w:spacing w:line="500" w:lineRule="exact"/>
        <w:ind w:left="2249" w:hanging="2240" w:hangingChars="7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广州市净水有限公司成立土地开发公司项目可行性研究报告</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w:t>
      </w:r>
      <w:r>
        <w:rPr>
          <w:rFonts w:hint="eastAsia" w:ascii="仿宋_GB2312" w:hAnsi="仿宋_GB2312" w:eastAsia="仿宋_GB2312" w:cs="仿宋_GB2312"/>
          <w:b/>
          <w:bCs/>
          <w:color w:val="000000" w:themeColor="text1"/>
          <w:sz w:val="36"/>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6"/>
          <w14:textFill>
            <w14:solidFill>
              <w14:schemeClr w14:val="tx1"/>
            </w14:solidFill>
          </w14:textFill>
        </w:rPr>
        <w:t>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10</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22</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成立土地开发公司项目可行性研究报告</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XJ-20211022-2</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广州市净水有限公司成立土地开发公司项目可行性研究报告</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、最高限价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u w:val="single"/>
          <w:lang w:val="en-US" w:eastAsia="zh-CN"/>
        </w:rPr>
        <w:t>8.82</w:t>
      </w:r>
      <w:r>
        <w:rPr>
          <w:rFonts w:hint="eastAsia" w:ascii="仿宋_GB2312" w:hAnsi="仿宋_GB2312" w:eastAsia="仿宋_GB2312" w:cs="仿宋_GB2312"/>
          <w:color w:val="auto"/>
          <w:sz w:val="28"/>
          <w:szCs w:val="28"/>
          <w:highlight w:val="none"/>
          <w:u w:val="single"/>
        </w:rPr>
        <w:t>万元</w:t>
      </w:r>
    </w:p>
    <w:p>
      <w:pPr>
        <w:ind w:firstLine="602" w:firstLineChars="215"/>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为更好地对土地资产进行投资管理，控制投资风险，提高投资效益，广州市净水有限公司（简称净水公司）拟成立土地开发公司。需对土地开发公司成立相关的投资必要性、合法性、投资环境、投资条件、投资内容、投资方案、土地资产租金水平初步预估、投资成本效益等进行分析，研究土地开发公司股权投资项目的可行性。</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r>
        <w:rPr>
          <w:rFonts w:ascii="仿宋_GB2312" w:hAnsi="仿宋_GB2312" w:eastAsia="仿宋_GB2312" w:cs="仿宋_GB2312"/>
          <w:color w:val="000000" w:themeColor="text1"/>
          <w:sz w:val="28"/>
          <w:szCs w:val="28"/>
          <w14:textFill>
            <w14:solidFill>
              <w14:schemeClr w14:val="tx1"/>
            </w14:solidFill>
          </w14:textFill>
        </w:rPr>
        <w:t xml:space="preserve"> </w:t>
      </w:r>
    </w:p>
    <w:p>
      <w:pPr>
        <w:pStyle w:val="24"/>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u w:val="single"/>
        </w:rPr>
        <w:t>报价单位须是中华人民共和国境内的法人或者其他组织，具有独立法人资格，能开具增值税专用发票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pStyle w:val="24"/>
        <w:autoSpaceDE w:val="0"/>
        <w:autoSpaceDN w:val="0"/>
        <w:ind w:firstLine="56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u w:val="none"/>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拟派项目负责人需具备相关专业资质</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中级</w:t>
      </w:r>
      <w:r>
        <w:rPr>
          <w:rFonts w:hint="eastAsia" w:ascii="仿宋_GB2312" w:hAnsi="仿宋_GB2312" w:eastAsia="仿宋_GB2312" w:cs="仿宋_GB2312"/>
          <w:color w:val="000000" w:themeColor="text1"/>
          <w:sz w:val="28"/>
          <w:szCs w:val="28"/>
          <w:u w:val="single"/>
          <w14:textFill>
            <w14:solidFill>
              <w14:schemeClr w14:val="tx1"/>
            </w14:solidFill>
          </w14:textFill>
        </w:rPr>
        <w:t>工程师</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u w:val="single"/>
          <w14:textFill>
            <w14:solidFill>
              <w14:schemeClr w14:val="tx1"/>
            </w14:solidFill>
          </w14:textFill>
        </w:rPr>
        <w:t>以上</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资格。</w:t>
      </w:r>
    </w:p>
    <w:p>
      <w:pPr>
        <w:pStyle w:val="24"/>
        <w:autoSpaceDE w:val="0"/>
        <w:autoSpaceDN w:val="0"/>
        <w:ind w:firstLine="560"/>
        <w:jc w:val="left"/>
        <w:rPr>
          <w:rFonts w:ascii="仿宋_GB2312" w:hAnsi="仿宋_GB2312" w:eastAsia="仿宋_GB2312" w:cs="仿宋_GB2312"/>
          <w:sz w:val="28"/>
          <w:szCs w:val="28"/>
          <w:highlight w:val="yellow"/>
          <w:u w:val="singl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bookmarkStart w:id="0" w:name="OLE_LINK3"/>
      <w:r>
        <w:rPr>
          <w:rFonts w:hint="eastAsia" w:ascii="仿宋_GB2312" w:hAnsi="仿宋_GB2312" w:eastAsia="仿宋_GB2312" w:cs="仿宋_GB2312"/>
          <w:color w:val="000000" w:themeColor="text1"/>
          <w:sz w:val="28"/>
          <w:szCs w:val="28"/>
          <w:u w:val="single"/>
          <w14:textFill>
            <w14:solidFill>
              <w14:schemeClr w14:val="tx1"/>
            </w14:solidFill>
          </w14:textFill>
        </w:rPr>
        <w:t>2018年1月1日至今，</w:t>
      </w:r>
      <w:bookmarkEnd w:id="0"/>
      <w:r>
        <w:rPr>
          <w:rFonts w:hint="eastAsia" w:ascii="仿宋_GB2312" w:hAnsi="仿宋_GB2312" w:eastAsia="仿宋_GB2312" w:cs="仿宋_GB2312"/>
          <w:color w:val="000000" w:themeColor="text1"/>
          <w:sz w:val="28"/>
          <w:szCs w:val="28"/>
          <w:u w:val="single"/>
          <w14:textFill>
            <w14:solidFill>
              <w14:schemeClr w14:val="tx1"/>
            </w14:solidFill>
          </w14:textFill>
        </w:rPr>
        <w:t>最少完成一项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成立土地开发（或房地产）公司的</w:t>
      </w:r>
      <w:r>
        <w:rPr>
          <w:rFonts w:hint="eastAsia" w:ascii="仿宋_GB2312" w:hAnsi="仿宋_GB2312" w:eastAsia="仿宋_GB2312" w:cs="仿宋_GB2312"/>
          <w:color w:val="000000" w:themeColor="text1"/>
          <w:sz w:val="28"/>
          <w:szCs w:val="28"/>
          <w:u w:val="single"/>
          <w14:textFill>
            <w14:solidFill>
              <w14:schemeClr w14:val="tx1"/>
            </w14:solidFill>
          </w14:textFill>
        </w:rPr>
        <w:t>可行性研究报告业绩</w:t>
      </w:r>
      <w:r>
        <w:rPr>
          <w:rFonts w:hint="eastAsia" w:ascii="仿宋_GB2312" w:hAnsi="仿宋_GB2312" w:eastAsia="仿宋_GB2312" w:cs="仿宋_GB2312"/>
          <w:sz w:val="28"/>
          <w:szCs w:val="28"/>
          <w:u w:val="single"/>
        </w:rPr>
        <w:t>（提供合同复印件证明，包括但不限于项目名称、金额及实施内容、合同双方签字盖章、签订日期，并加盖单位公章）。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r>
        <w:rPr>
          <w:rFonts w:hint="eastAsia" w:ascii="仿宋_GB2312" w:hAnsi="仿宋_GB2312" w:eastAsia="仿宋_GB2312"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八、询价文件的获取：在2021年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28</w:t>
      </w:r>
      <w:r>
        <w:rPr>
          <w:rFonts w:hint="eastAsia" w:ascii="仿宋" w:hAnsi="仿宋" w:eastAsia="仿宋" w:cs="仿宋_GB2312"/>
          <w:sz w:val="28"/>
          <w:szCs w:val="28"/>
        </w:rPr>
        <w:t>日</w:t>
      </w:r>
      <w:r>
        <w:rPr>
          <w:rFonts w:ascii="仿宋" w:hAnsi="仿宋" w:eastAsia="仿宋" w:cs="仿宋_GB2312"/>
          <w:sz w:val="28"/>
          <w:szCs w:val="28"/>
        </w:rPr>
        <w:t>10时00分前，在广州市净水有限公司门户网站免费下载。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ascii="仿宋" w:hAnsi="仿宋" w:eastAsia="仿宋" w:cs="仿宋_GB2312"/>
          <w:sz w:val="28"/>
          <w:szCs w:val="28"/>
        </w:rPr>
        <w:t>2021年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28</w:t>
      </w:r>
      <w:r>
        <w:rPr>
          <w:rFonts w:hint="eastAsia" w:ascii="仿宋" w:hAnsi="仿宋" w:eastAsia="仿宋" w:cs="仿宋_GB2312"/>
          <w:sz w:val="28"/>
          <w:szCs w:val="28"/>
        </w:rPr>
        <w:t>日</w:t>
      </w:r>
      <w:r>
        <w:rPr>
          <w:rFonts w:ascii="仿宋" w:hAnsi="仿宋" w:eastAsia="仿宋" w:cs="仿宋_GB2312"/>
          <w:sz w:val="28"/>
          <w:szCs w:val="28"/>
        </w:rPr>
        <w:t>9时30分至10时00分；询价响应文件截止时间：2021年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28</w:t>
      </w:r>
      <w:r>
        <w:rPr>
          <w:rFonts w:hint="eastAsia" w:ascii="仿宋" w:hAnsi="仿宋" w:eastAsia="仿宋" w:cs="仿宋_GB2312"/>
          <w:sz w:val="28"/>
          <w:szCs w:val="28"/>
        </w:rPr>
        <w:t>日</w:t>
      </w:r>
      <w:r>
        <w:rPr>
          <w:rFonts w:ascii="仿宋" w:hAnsi="仿宋" w:eastAsia="仿宋" w:cs="仿宋_GB2312"/>
          <w:sz w:val="28"/>
          <w:szCs w:val="28"/>
        </w:rPr>
        <w:t>1</w:t>
      </w:r>
      <w:r>
        <w:rPr>
          <w:rFonts w:hint="eastAsia" w:ascii="仿宋" w:hAnsi="仿宋" w:eastAsia="仿宋" w:cs="仿宋_GB2312"/>
          <w:sz w:val="28"/>
          <w:szCs w:val="28"/>
        </w:rPr>
        <w:t>0时00分。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（注：基于近期疫情防控形势，目前我公司只接受快递形式递交响应文件，请于递交截止时间前送达）</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十一、评审时间：2021年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28</w:t>
      </w:r>
      <w:r>
        <w:rPr>
          <w:rFonts w:hint="eastAsia" w:ascii="仿宋" w:hAnsi="仿宋" w:eastAsia="仿宋" w:cs="仿宋_GB2312"/>
          <w:sz w:val="28"/>
          <w:szCs w:val="28"/>
        </w:rPr>
        <w:t>日</w:t>
      </w:r>
      <w:r>
        <w:rPr>
          <w:rFonts w:ascii="仿宋" w:hAnsi="仿宋" w:eastAsia="仿宋" w:cs="仿宋_GB2312"/>
          <w:sz w:val="28"/>
          <w:szCs w:val="28"/>
        </w:rPr>
        <w:t>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十二、评审地点：广州市净水有限公司六楼招标办</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联系地址：广州市天河区临江大道</w:t>
      </w:r>
      <w:r>
        <w:rPr>
          <w:rFonts w:ascii="仿宋" w:hAnsi="仿宋" w:eastAsia="仿宋" w:cs="仿宋_GB2312"/>
          <w:sz w:val="28"/>
          <w:szCs w:val="28"/>
        </w:rPr>
        <w:t xml:space="preserve">501号            </w:t>
      </w:r>
    </w:p>
    <w:p>
      <w:pPr>
        <w:ind w:firstLine="560" w:firstLineChars="200"/>
        <w:rPr>
          <w:rFonts w:ascii="仿宋" w:hAnsi="仿宋" w:eastAsia="仿宋" w:cs="仿宋_GB2312"/>
          <w:sz w:val="28"/>
          <w:szCs w:val="28"/>
        </w:rPr>
      </w:pPr>
      <w:r>
        <w:rPr>
          <w:rFonts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ascii="仿宋" w:hAnsi="仿宋" w:eastAsia="仿宋" w:cs="仿宋_GB2312"/>
          <w:sz w:val="28"/>
          <w:szCs w:val="28"/>
        </w:rPr>
        <w:t xml:space="preserve">   </w:t>
      </w:r>
    </w:p>
    <w:p>
      <w:pPr>
        <w:ind w:firstLine="5460" w:firstLineChars="19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sz w:val="28"/>
          <w:szCs w:val="28"/>
        </w:rPr>
        <w:t xml:space="preserve">                                </w:t>
      </w:r>
      <w:r>
        <w:rPr>
          <w:rFonts w:ascii="仿宋" w:hAnsi="仿宋" w:eastAsia="仿宋" w:cs="仿宋_GB2312"/>
          <w:sz w:val="28"/>
          <w:szCs w:val="28"/>
        </w:rPr>
        <w:t>2021年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22</w:t>
      </w:r>
      <w:r>
        <w:rPr>
          <w:rFonts w:hint="eastAsia" w:ascii="仿宋" w:hAnsi="仿宋" w:eastAsia="仿宋" w:cs="仿宋_GB2312"/>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bookmarkStart w:id="1" w:name="_Hlk83911574"/>
      <w:r>
        <w:rPr>
          <w:rFonts w:hint="eastAsia" w:ascii="仿宋_GB2312" w:hAnsi="仿宋_GB2312" w:eastAsia="仿宋_GB2312" w:cs="仿宋_GB2312"/>
          <w:sz w:val="28"/>
          <w:szCs w:val="28"/>
        </w:rPr>
        <w:t>为更好地对土地资产进行投资管理，控制投资风险，提高投资效益，广州市净水有限公司（简称净水公司）拟成立土地开发公司。需对土地开发公司成立相关的投资必要性、合法性、投资环境、投资条件、投资内容、投资方案、土地资产租金水平初步评估、投资成本效益等进行分析，研究土地开发公司股权投资项目的可行性。</w:t>
      </w:r>
      <w:bookmarkEnd w:id="1"/>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1.</w:t>
      </w:r>
      <w:r>
        <w:rPr>
          <w:rFonts w:hint="eastAsia" w:ascii="仿宋_GB2312" w:hAnsi="仿宋_GB2312" w:eastAsia="仿宋_GB2312" w:cs="仿宋_GB2312"/>
          <w:sz w:val="28"/>
          <w:szCs w:val="28"/>
          <w:u w:val="none"/>
        </w:rPr>
        <w:t>咨询成果文件上须加盖工程咨询单位公章和咨询工程师（投资）执业专用章。</w:t>
      </w:r>
    </w:p>
    <w:p>
      <w:pPr>
        <w:spacing w:line="360" w:lineRule="auto"/>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2.</w:t>
      </w:r>
      <w:r>
        <w:rPr>
          <w:rFonts w:hint="eastAsia" w:ascii="仿宋_GB2312" w:hAnsi="仿宋_GB2312" w:eastAsia="仿宋_GB2312" w:cs="仿宋_GB2312"/>
          <w:sz w:val="28"/>
          <w:szCs w:val="28"/>
          <w:u w:val="none"/>
        </w:rPr>
        <w:t>工程咨询单位对咨询质量负总责，主持该咨询业务的人员对咨询成果文件质量负主要直接责任，参与人员对其编写的篇章内容负责。</w:t>
      </w:r>
    </w:p>
    <w:p>
      <w:pPr>
        <w:spacing w:line="360" w:lineRule="auto"/>
        <w:ind w:firstLine="560" w:firstLineChars="200"/>
        <w:rPr>
          <w:rFonts w:ascii="仿宋" w:hAnsi="仿宋" w:eastAsia="仿宋" w:cs="仿宋_GB2312"/>
          <w:sz w:val="28"/>
          <w:szCs w:val="28"/>
        </w:rPr>
      </w:pPr>
      <w:r>
        <w:rPr>
          <w:rFonts w:ascii="仿宋_GB2312" w:hAnsi="仿宋_GB2312" w:eastAsia="仿宋_GB2312" w:cs="仿宋_GB2312"/>
          <w:sz w:val="28"/>
          <w:szCs w:val="28"/>
          <w:u w:val="none"/>
        </w:rPr>
        <w:t>3.</w:t>
      </w:r>
      <w:r>
        <w:rPr>
          <w:rFonts w:hint="eastAsia" w:ascii="仿宋_GB2312" w:hAnsi="仿宋_GB2312" w:eastAsia="仿宋_GB2312" w:cs="仿宋_GB2312"/>
          <w:sz w:val="28"/>
          <w:szCs w:val="28"/>
          <w:u w:val="none"/>
        </w:rPr>
        <w:t>实行咨询成果质量终身负责制。</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4.可行性研究报告必须符合《中华人民共和国土地管理法》、《中华人民共和国城市房地产管理法》、《投资项目可行性研究指南》、《建设项目经济评价方法与参数》等有关国家和地方的法律、法规、规章、标准和技术要求。</w:t>
      </w:r>
    </w:p>
    <w:p>
      <w:pPr>
        <w:pStyle w:val="8"/>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5.研究内容、深度必须符合并满足相关主管部门的有关要求。</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本合同采用总价包干，工作内容包括完成本合同项下的所有工作。整个项目主要工作内容包括：</w:t>
      </w:r>
    </w:p>
    <w:p>
      <w:pPr>
        <w:spacing w:line="360" w:lineRule="auto"/>
        <w:ind w:firstLine="560" w:firstLineChars="200"/>
        <w:rPr>
          <w:rFonts w:ascii="仿宋_GB2312" w:hAnsi="仿宋_GB2312" w:eastAsia="仿宋_GB2312" w:cs="仿宋_GB2312"/>
          <w:sz w:val="28"/>
          <w:szCs w:val="28"/>
        </w:rPr>
      </w:pPr>
      <w:bookmarkStart w:id="2" w:name="_Toc62667714"/>
      <w:bookmarkStart w:id="3" w:name="_Hlk73001214"/>
      <w:r>
        <w:rPr>
          <w:rFonts w:hint="eastAsia" w:ascii="仿宋_GB2312" w:hAnsi="仿宋_GB2312" w:eastAsia="仿宋_GB2312" w:cs="仿宋_GB2312"/>
          <w:sz w:val="28"/>
          <w:szCs w:val="28"/>
        </w:rPr>
        <w:t>（一）可行性研究报告</w:t>
      </w:r>
    </w:p>
    <w:bookmarkEnd w:id="2"/>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、投资环境分析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（1）宏观社会环境调研：对宏观社会经济发展、产业、交通、资源、规划等条件进行分析和调研；</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（2）土地房地产市场调研：对区域土地、房地产市场供需情况、市场成交情况、价格变动趋势等进行分析调研。</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、项目投资经营资产分析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根据委托方提供的材料，分析可进行投资经营的土地资产，对其面积、权属、用途、未来可经营利用方向等方面进行分析。</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、研究项目的投资必要性分析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从政府领导要求、集团战略规划、企业发展等方面充分论证成立土地开发公司的必要性。</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、项目投资方案分析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分析项目投资规模、投资方式、投资资金来源、融资模式、出资情况等，制定组织架构、人员配置等内容。</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、土地资产租金收益水平预估</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结合土地现状情况、市场案例，由专业土地估价师对土地开发公司初步拟经营土地资产的租金水平进行初步预估，为经营收益测算提供依据支撑。</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、项目投资效益分析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土地可开发公司股权投资方案及投资经营设想，结合土地资产现状条件等，测算项目投资整体实施过程中涉及的各项成本费用及可带来的收益，对营业收入、利润、投资收益率、投资回收期等财务指标进行测算。</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、项目风险与对策分析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根据项目投资方案，披露项目投资过程中可能存在的潜在风险，并提出相关的防范措施，以便企业参考决策。</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、汇编报告及相关展示材料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根据上述研究成果及其他必要内容，编制形成项目可行性研究报告。</w:t>
      </w:r>
    </w:p>
    <w:bookmarkEnd w:id="3"/>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pStyle w:val="2"/>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如果报价单位认为询价文件或询价过程或询价结果使其权益受到损害的，可向询价人提出书面质疑。询价人应在规定时间内给予答复。</w:t>
      </w:r>
    </w:p>
    <w:p>
      <w:pPr>
        <w:widowControl/>
        <w:jc w:val="left"/>
        <w:rPr>
          <w:sz w:val="28"/>
          <w:szCs w:val="28"/>
        </w:rPr>
      </w:pPr>
      <w:r>
        <w:rPr>
          <w:sz w:val="28"/>
          <w:szCs w:val="28"/>
        </w:rPr>
        <w:br w:type="page"/>
      </w:r>
    </w:p>
    <w:p>
      <w:pPr>
        <w:pStyle w:val="3"/>
      </w:pPr>
      <w:bookmarkStart w:id="4" w:name="_Toc152042358"/>
      <w:bookmarkStart w:id="5" w:name="_Toc371433002"/>
      <w:bookmarkStart w:id="6" w:name="_Toc144974548"/>
      <w:bookmarkStart w:id="7" w:name="_Toc179632599"/>
      <w:bookmarkStart w:id="8" w:name="_Toc152045581"/>
      <w:bookmarkStart w:id="9" w:name="_Toc247085739"/>
      <w:r>
        <w:rPr>
          <w:rFonts w:hint="eastAsia"/>
        </w:rPr>
        <w:t>附件一报价记录表</w:t>
      </w:r>
      <w:bookmarkEnd w:id="4"/>
      <w:bookmarkEnd w:id="5"/>
      <w:bookmarkEnd w:id="6"/>
      <w:bookmarkEnd w:id="7"/>
      <w:bookmarkEnd w:id="8"/>
      <w:bookmarkEnd w:id="9"/>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广州市净水有限公司成立土地开发公司项目可行性研究报告</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日期：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rPr>
        <w:t xml:space="preserve"> </w:t>
      </w:r>
      <w:r>
        <w:rPr>
          <w:rFonts w:hint="eastAsia" w:ascii="仿宋" w:hAnsi="仿宋" w:eastAsia="仿宋"/>
          <w:color w:val="000000"/>
          <w:sz w:val="24"/>
        </w:rPr>
        <w:t xml:space="preserve">广州市净水有限公司成立土地开发公司项目可行性研究报告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eastAsia="宋体" w:cs="宋体"/>
                <w:color w:val="000000"/>
                <w:sz w:val="24"/>
                <w:szCs w:val="24"/>
                <w:lang w:val="en-US" w:eastAsia="zh-CN"/>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广州市净水有限公司成立土地开发公司项目可行性研究报告的承包单位，承包内容为询价文件所规定的发包内容，报价为人民币×拾×万×仟×佰元（￥元）。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5"/>
        <w:numPr>
          <w:ilvl w:val="0"/>
          <w:numId w:val="3"/>
        </w:numPr>
      </w:pPr>
      <w:r>
        <w:rPr>
          <w:rFonts w:hint="eastAsia"/>
        </w:rPr>
        <w:t>合同书格式</w:t>
      </w:r>
    </w:p>
    <w:p/>
    <w:p>
      <w:pPr>
        <w:pStyle w:val="3"/>
        <w:jc w:val="center"/>
        <w:rPr>
          <w:rFonts w:ascii="仿宋_GB2312" w:hAnsi="仿宋_GB2312" w:eastAsia="仿宋_GB2312" w:cs="仿宋_GB2312"/>
          <w:sz w:val="28"/>
          <w:szCs w:val="28"/>
        </w:rPr>
      </w:pPr>
      <w:r>
        <w:rPr>
          <w:rFonts w:hint="eastAsia"/>
        </w:rPr>
        <w:t>可行性研究报告编制合同</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8"/>
        <w:spacing w:line="360" w:lineRule="auto"/>
        <w:ind w:firstLine="480" w:firstLineChars="200"/>
        <w:rPr>
          <w:rFonts w:hAnsi="宋体" w:cs="宋体"/>
          <w:color w:val="000000"/>
          <w:sz w:val="24"/>
          <w:szCs w:val="24"/>
        </w:rPr>
      </w:pPr>
      <w:r>
        <w:rPr>
          <w:rFonts w:hint="eastAsia" w:asciiTheme="minorEastAsia" w:hAnsiTheme="minorEastAsia" w:cstheme="minorEastAsia"/>
          <w:sz w:val="24"/>
          <w:szCs w:val="24"/>
        </w:rPr>
        <w:t>为更好地对土地资产进行投资管理，控制投资风险，提高投资效益，广州市净水有限公司（简称净水公司）拟成立土地开发公司。需对土地开发公司成立相关的投资必要性、合法性、投资环境、投资条件、投资内容、投资方案、土地资产租金水平初步评估、投资成本效益等进行分析，研究土地开发公司股权投资项目的可行性。故</w:t>
      </w:r>
      <w:r>
        <w:rPr>
          <w:rFonts w:hint="eastAsia" w:hAnsi="宋体" w:cs="宋体"/>
          <w:color w:val="000000"/>
          <w:sz w:val="24"/>
          <w:szCs w:val="24"/>
        </w:rPr>
        <w:t>甲方就</w:t>
      </w:r>
      <w:r>
        <w:rPr>
          <w:rFonts w:hint="eastAsia" w:hAnsi="宋体" w:cs="宋体"/>
          <w:sz w:val="24"/>
          <w:szCs w:val="24"/>
          <w:u w:val="single"/>
        </w:rPr>
        <w:t>广州市净水有限公司成立土地开发公司项目可行性研究报告项目</w:t>
      </w:r>
      <w:r>
        <w:rPr>
          <w:rFonts w:hint="eastAsia" w:hAnsi="宋体" w:cs="宋体"/>
          <w:color w:val="000000"/>
          <w:sz w:val="24"/>
          <w:szCs w:val="24"/>
        </w:rPr>
        <w:t>委托乙方提供相应咨询服务。经双方协商一致，签订本合同。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1.1《中华人民共和国民法典》、《中华人民共和国土地管理法》、《中华人民共和国城市房地产管理法》。</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国家及地方有关建设工程前期工作管理法规和规章。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建设工程批准文件。</w:t>
      </w:r>
    </w:p>
    <w:p>
      <w:pPr>
        <w:pStyle w:val="2"/>
        <w:rPr>
          <w:rFonts w:hAnsi="宋体"/>
        </w:rPr>
      </w:pP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2.1甲方给乙方的委托通知书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《投资项目可行性研究指南》；</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《建设项目经济评价方法与参数》（第三版）；</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《房地产开发项目经济评价方法》（建标﹝2000﹞205号）；</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《城镇土地估价规程》（GB/T18508-2014）；</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《房地产估价规范》（GB/T50291-2015）；</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《城市用地分类与规划建设用地标准》(GB50137-2011)。</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广州市净水有限公司成立土地开发公司项目可行性研究报告</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项目地点：</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广州市范围。</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工作内容如下：</w:t>
      </w:r>
    </w:p>
    <w:p>
      <w:pPr>
        <w:spacing w:line="360" w:lineRule="auto"/>
        <w:ind w:firstLine="480" w:firstLineChars="200"/>
        <w:rPr>
          <w:rFonts w:ascii="宋体" w:hAnsi="宋体" w:cs="宋体"/>
          <w:sz w:val="24"/>
          <w:szCs w:val="24"/>
        </w:rPr>
      </w:pPr>
      <w:r>
        <w:rPr>
          <w:rFonts w:hint="eastAsia" w:ascii="宋体" w:hAnsi="宋体" w:cs="宋体"/>
          <w:sz w:val="24"/>
          <w:szCs w:val="24"/>
        </w:rPr>
        <w:t>（一）可行性研究报告</w:t>
      </w: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、投资环境分析</w:t>
      </w:r>
    </w:p>
    <w:p>
      <w:pPr>
        <w:spacing w:line="360" w:lineRule="auto"/>
        <w:ind w:firstLine="480" w:firstLineChars="200"/>
        <w:rPr>
          <w:rFonts w:ascii="宋体" w:hAnsi="宋体" w:cs="宋体"/>
          <w:sz w:val="24"/>
          <w:szCs w:val="24"/>
        </w:rPr>
      </w:pPr>
      <w:r>
        <w:rPr>
          <w:rFonts w:hint="eastAsia" w:ascii="宋体" w:hAnsi="宋体" w:cs="宋体"/>
          <w:sz w:val="24"/>
          <w:szCs w:val="24"/>
        </w:rPr>
        <w:t>（1）宏观社会环境调研：对宏观社会经济发展、产业、交通、资源、规划等条件进行分析和调研；</w:t>
      </w:r>
    </w:p>
    <w:p>
      <w:pPr>
        <w:spacing w:line="360" w:lineRule="auto"/>
        <w:ind w:firstLine="480" w:firstLineChars="200"/>
        <w:rPr>
          <w:rFonts w:ascii="宋体" w:hAnsi="宋体" w:cs="宋体"/>
          <w:sz w:val="24"/>
          <w:szCs w:val="24"/>
        </w:rPr>
      </w:pPr>
      <w:r>
        <w:rPr>
          <w:rFonts w:hint="eastAsia" w:ascii="宋体" w:hAnsi="宋体" w:cs="宋体"/>
          <w:sz w:val="24"/>
          <w:szCs w:val="24"/>
        </w:rPr>
        <w:t>（2）土地房地产市场调研：对区域土地、房地产市场供需情况、市场成交情况、价格变动趋势等进行分析调研。</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、项目投资经营资产分析</w:t>
      </w:r>
    </w:p>
    <w:p>
      <w:pPr>
        <w:spacing w:line="360" w:lineRule="auto"/>
        <w:ind w:firstLine="480" w:firstLineChars="200"/>
        <w:rPr>
          <w:rFonts w:ascii="宋体" w:hAnsi="宋体" w:cs="宋体"/>
          <w:sz w:val="24"/>
          <w:szCs w:val="24"/>
        </w:rPr>
      </w:pPr>
      <w:r>
        <w:rPr>
          <w:rFonts w:hint="eastAsia" w:ascii="宋体" w:hAnsi="宋体" w:cs="宋体"/>
          <w:sz w:val="24"/>
          <w:szCs w:val="24"/>
        </w:rPr>
        <w:t>根据委托方提供的材料，分析可进行投资经营的土地资产，对其面积、权属、用途、未来可经营利用方向等方面进行分析。</w:t>
      </w:r>
    </w:p>
    <w:p>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、研究项目的投资必要性分析</w:t>
      </w:r>
    </w:p>
    <w:p>
      <w:pPr>
        <w:spacing w:line="360" w:lineRule="auto"/>
        <w:ind w:firstLine="480" w:firstLineChars="200"/>
        <w:rPr>
          <w:rFonts w:ascii="宋体" w:hAnsi="宋体" w:cs="宋体"/>
          <w:sz w:val="24"/>
          <w:szCs w:val="24"/>
        </w:rPr>
      </w:pPr>
      <w:r>
        <w:rPr>
          <w:rFonts w:hint="eastAsia" w:ascii="宋体" w:hAnsi="宋体" w:cs="宋体"/>
          <w:sz w:val="24"/>
          <w:szCs w:val="24"/>
        </w:rPr>
        <w:t>从政府领导要求、集团战略规划、企业发展等方面充分论证成立土地开发公司的必要性。</w:t>
      </w:r>
    </w:p>
    <w:p>
      <w:pPr>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、项目投资方案分析</w:t>
      </w:r>
    </w:p>
    <w:p>
      <w:pPr>
        <w:spacing w:line="360" w:lineRule="auto"/>
        <w:ind w:firstLine="480" w:firstLineChars="200"/>
        <w:rPr>
          <w:rFonts w:ascii="宋体" w:hAnsi="宋体" w:cs="宋体"/>
          <w:sz w:val="24"/>
          <w:szCs w:val="24"/>
        </w:rPr>
      </w:pPr>
      <w:r>
        <w:rPr>
          <w:rFonts w:hint="eastAsia" w:ascii="宋体" w:hAnsi="宋体" w:cs="宋体"/>
          <w:sz w:val="24"/>
          <w:szCs w:val="24"/>
        </w:rPr>
        <w:t>分析项目投资规模、投资方式、投资资金来源、融资模式、出资情况等，制定组织架构、人员配置等内容。</w:t>
      </w:r>
    </w:p>
    <w:p>
      <w:pPr>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、土地资产租金收益水平预估</w:t>
      </w:r>
    </w:p>
    <w:p>
      <w:pPr>
        <w:spacing w:line="360" w:lineRule="auto"/>
        <w:ind w:firstLine="480" w:firstLineChars="200"/>
        <w:rPr>
          <w:rFonts w:ascii="宋体" w:hAnsi="宋体" w:cs="宋体"/>
          <w:sz w:val="24"/>
          <w:szCs w:val="24"/>
        </w:rPr>
      </w:pPr>
      <w:r>
        <w:rPr>
          <w:rFonts w:hint="eastAsia" w:ascii="宋体" w:hAnsi="宋体" w:cs="宋体"/>
          <w:sz w:val="24"/>
          <w:szCs w:val="24"/>
        </w:rPr>
        <w:t>结合土地现状情况、市场案例，由专业土地估价师对土地开发公司初步拟经营土地资产的租金水平进行初步预估，为经营收益测算提供依据支撑。</w:t>
      </w:r>
    </w:p>
    <w:p>
      <w:pPr>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、项目投资效益分析</w:t>
      </w:r>
    </w:p>
    <w:p>
      <w:pPr>
        <w:spacing w:line="360" w:lineRule="auto"/>
        <w:ind w:firstLine="480" w:firstLineChars="200"/>
        <w:rPr>
          <w:rFonts w:ascii="宋体" w:hAnsi="宋体" w:cs="宋体"/>
          <w:sz w:val="24"/>
          <w:szCs w:val="24"/>
        </w:rPr>
      </w:pPr>
      <w:r>
        <w:rPr>
          <w:rFonts w:hint="eastAsia" w:ascii="宋体" w:hAnsi="宋体" w:cs="宋体"/>
          <w:sz w:val="24"/>
          <w:szCs w:val="24"/>
        </w:rPr>
        <w:t>根据土地可开发公司股权投资方案及投资经营设想，结合土地资产现状条件等，测算项目投资整体实施过程中涉及的各项成本费用及可带来的收益，对营业收入、利润、投资收益率、投资回收期等财务指标进行测算。</w:t>
      </w:r>
    </w:p>
    <w:p>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、项目风险与对策分析</w:t>
      </w:r>
    </w:p>
    <w:p>
      <w:pPr>
        <w:spacing w:line="360" w:lineRule="auto"/>
        <w:ind w:firstLine="480" w:firstLineChars="200"/>
        <w:rPr>
          <w:rFonts w:ascii="宋体" w:hAnsi="宋体" w:cs="宋体"/>
          <w:sz w:val="24"/>
          <w:szCs w:val="24"/>
        </w:rPr>
      </w:pPr>
      <w:r>
        <w:rPr>
          <w:rFonts w:hint="eastAsia" w:ascii="宋体" w:hAnsi="宋体" w:cs="宋体"/>
          <w:sz w:val="24"/>
          <w:szCs w:val="24"/>
        </w:rPr>
        <w:t>根据项目投资方案，披露项目投资过程中可能存在的潜在风险，并提出相关的防范措施，以便企业参考决策。</w:t>
      </w:r>
    </w:p>
    <w:p>
      <w:pPr>
        <w:spacing w:line="360" w:lineRule="auto"/>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、汇编报告及相关展示材料</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根据上述研究成果及其他必要内容，编制形成项目可行性研究报告。</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第五条 乙方向甲方交付资料及文件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5.1本合同签订后，乙方应在合同生效之日起</w:t>
      </w:r>
      <w:r>
        <w:rPr>
          <w:rFonts w:ascii="宋体" w:hAnsi="宋体" w:cs="宋体"/>
          <w:sz w:val="24"/>
          <w:szCs w:val="24"/>
        </w:rPr>
        <w:t>5</w:t>
      </w:r>
      <w:r>
        <w:rPr>
          <w:rFonts w:hint="eastAsia" w:ascii="宋体" w:hAnsi="宋体" w:cs="宋体"/>
          <w:sz w:val="24"/>
          <w:szCs w:val="24"/>
        </w:rPr>
        <w:t>个工作日内提交项目报告成果初稿。</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5.2可行性研究报告(最终成果)纸质打印一式八份，电子档一份（未加密且可编辑格式），具体以甲方通知为准。</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3</w:t>
      </w:r>
      <w:r>
        <w:rPr>
          <w:rFonts w:hint="eastAsia" w:ascii="宋体" w:hAnsi="宋体" w:cs="宋体"/>
          <w:sz w:val="24"/>
          <w:szCs w:val="24"/>
        </w:rPr>
        <w:t>如有必要提供上述第5.</w:t>
      </w:r>
      <w:r>
        <w:rPr>
          <w:rFonts w:ascii="宋体" w:hAnsi="宋体" w:cs="宋体"/>
          <w:sz w:val="24"/>
          <w:szCs w:val="24"/>
        </w:rPr>
        <w:t>2</w:t>
      </w:r>
      <w:r>
        <w:rPr>
          <w:rFonts w:hint="eastAsia" w:ascii="宋体" w:hAnsi="宋体" w:cs="宋体"/>
          <w:sz w:val="24"/>
          <w:szCs w:val="24"/>
        </w:rPr>
        <w:t>条以外的成果时，超出份数成果的制作成本费由甲方另行支付。成本费具体数额根据当时市场行情由甲方和乙方协商确定。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5.5乙方应配合甲方开展结算工作并提交结算的相关资料,若乙方在接到甲方通知后逾期超过30天未提交完整的结算资料和结算报告等，甲方有权单方自行结算，由此产生的一切责任由乙方承担。</w:t>
      </w:r>
    </w:p>
    <w:p>
      <w:pPr>
        <w:pStyle w:val="17"/>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总价包干，暂定金额为人民币XX万元（大写：人民币XXX），含税率。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6.2本合同采用总价包干，工作内容包括完成本合同项下的所有工作（包含但不限于报告编制和报审、现状展示视频制作及公示期间相关工作的配合等）。</w:t>
      </w:r>
    </w:p>
    <w:tbl>
      <w:tblPr>
        <w:tblStyle w:val="19"/>
        <w:tblW w:w="474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3"/>
        <w:gridCol w:w="1299"/>
        <w:gridCol w:w="3247"/>
        <w:gridCol w:w="37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服务项目</w:t>
            </w:r>
          </w:p>
        </w:tc>
        <w:tc>
          <w:tcPr>
            <w:tcW w:w="7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项目费用</w:t>
            </w:r>
          </w:p>
        </w:tc>
        <w:tc>
          <w:tcPr>
            <w:tcW w:w="1785"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主要工作内容</w:t>
            </w:r>
          </w:p>
        </w:tc>
        <w:tc>
          <w:tcPr>
            <w:tcW w:w="2087"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pStyle w:val="25"/>
              <w:spacing w:after="240" w:line="360" w:lineRule="exact"/>
              <w:jc w:val="center"/>
              <w:rPr>
                <w:rFonts w:cs="宋体" w:asciiTheme="minorHAnsi" w:hAnsiTheme="minorHAnsi" w:eastAsiaTheme="minorEastAsia"/>
                <w:bCs/>
                <w:color w:val="auto"/>
                <w:kern w:val="2"/>
                <w:szCs w:val="22"/>
              </w:rPr>
            </w:pPr>
            <w:r>
              <w:rPr>
                <w:rFonts w:hint="eastAsia" w:cs="宋体" w:asciiTheme="minorHAnsi" w:hAnsiTheme="minorHAnsi" w:eastAsiaTheme="minorEastAsia"/>
                <w:bCs/>
                <w:color w:val="auto"/>
                <w:kern w:val="2"/>
                <w:szCs w:val="22"/>
              </w:rPr>
              <w:t>可行性研究报告</w:t>
            </w:r>
          </w:p>
        </w:tc>
        <w:tc>
          <w:tcPr>
            <w:tcW w:w="714" w:type="pct"/>
            <w:vAlign w:val="center"/>
          </w:tcPr>
          <w:p>
            <w:pPr>
              <w:tabs>
                <w:tab w:val="left" w:pos="1620"/>
              </w:tabs>
              <w:spacing w:line="360" w:lineRule="exact"/>
              <w:jc w:val="center"/>
              <w:rPr>
                <w:rFonts w:ascii="宋体" w:hAnsi="宋体" w:cs="宋体"/>
                <w:sz w:val="24"/>
              </w:rPr>
            </w:pPr>
            <w:r>
              <w:rPr>
                <w:rFonts w:hint="eastAsia" w:cs="宋体"/>
                <w:bCs/>
                <w:sz w:val="24"/>
              </w:rPr>
              <w:t>万元</w:t>
            </w:r>
          </w:p>
        </w:tc>
        <w:tc>
          <w:tcPr>
            <w:tcW w:w="1785" w:type="pct"/>
            <w:vAlign w:val="center"/>
          </w:tcPr>
          <w:p>
            <w:pPr>
              <w:pStyle w:val="26"/>
              <w:numPr>
                <w:ilvl w:val="0"/>
                <w:numId w:val="4"/>
              </w:numPr>
              <w:spacing w:line="360" w:lineRule="exact"/>
              <w:ind w:firstLineChars="0"/>
              <w:jc w:val="left"/>
              <w:rPr>
                <w:rFonts w:cs="宋体"/>
                <w:bCs/>
                <w:sz w:val="24"/>
              </w:rPr>
            </w:pPr>
            <w:r>
              <w:rPr>
                <w:rFonts w:hint="eastAsia" w:cs="宋体"/>
                <w:bCs/>
                <w:sz w:val="24"/>
              </w:rPr>
              <w:t>投资环境与市场分析</w:t>
            </w:r>
          </w:p>
          <w:p>
            <w:pPr>
              <w:pStyle w:val="26"/>
              <w:numPr>
                <w:ilvl w:val="0"/>
                <w:numId w:val="4"/>
              </w:numPr>
              <w:spacing w:line="360" w:lineRule="exact"/>
              <w:ind w:firstLineChars="0"/>
              <w:jc w:val="left"/>
              <w:rPr>
                <w:rFonts w:cs="宋体"/>
                <w:bCs/>
                <w:sz w:val="24"/>
              </w:rPr>
            </w:pPr>
            <w:r>
              <w:rPr>
                <w:rFonts w:hint="eastAsia" w:cs="宋体"/>
                <w:bCs/>
                <w:sz w:val="24"/>
              </w:rPr>
              <w:t>项目投资经营资产分析</w:t>
            </w:r>
          </w:p>
          <w:p>
            <w:pPr>
              <w:pStyle w:val="26"/>
              <w:numPr>
                <w:ilvl w:val="0"/>
                <w:numId w:val="4"/>
              </w:numPr>
              <w:spacing w:line="360" w:lineRule="exact"/>
              <w:ind w:firstLineChars="0"/>
              <w:jc w:val="left"/>
              <w:rPr>
                <w:rFonts w:cs="宋体"/>
                <w:bCs/>
                <w:sz w:val="24"/>
              </w:rPr>
            </w:pPr>
            <w:r>
              <w:rPr>
                <w:rFonts w:hint="eastAsia" w:cs="宋体"/>
                <w:bCs/>
                <w:sz w:val="24"/>
              </w:rPr>
              <w:t>研究项目的投资必要性分析</w:t>
            </w:r>
          </w:p>
          <w:p>
            <w:pPr>
              <w:pStyle w:val="26"/>
              <w:numPr>
                <w:ilvl w:val="0"/>
                <w:numId w:val="4"/>
              </w:numPr>
              <w:spacing w:line="360" w:lineRule="exact"/>
              <w:ind w:firstLineChars="0"/>
              <w:jc w:val="left"/>
              <w:rPr>
                <w:rFonts w:cs="宋体"/>
                <w:bCs/>
                <w:sz w:val="24"/>
              </w:rPr>
            </w:pPr>
            <w:r>
              <w:rPr>
                <w:rFonts w:hint="eastAsia" w:cs="宋体"/>
                <w:bCs/>
                <w:sz w:val="24"/>
              </w:rPr>
              <w:t>项目投资方案分析综合效益分析</w:t>
            </w:r>
          </w:p>
          <w:p>
            <w:pPr>
              <w:pStyle w:val="26"/>
              <w:numPr>
                <w:ilvl w:val="0"/>
                <w:numId w:val="4"/>
              </w:numPr>
              <w:spacing w:line="360" w:lineRule="exact"/>
              <w:ind w:firstLineChars="0"/>
              <w:jc w:val="left"/>
              <w:rPr>
                <w:rFonts w:ascii="宋体" w:hAnsi="宋体" w:cs="宋体"/>
                <w:sz w:val="24"/>
              </w:rPr>
            </w:pPr>
            <w:r>
              <w:rPr>
                <w:rFonts w:hint="eastAsia" w:cs="宋体"/>
                <w:bCs/>
                <w:sz w:val="24"/>
              </w:rPr>
              <w:t>土地资产租金收益水平预估</w:t>
            </w:r>
          </w:p>
          <w:p>
            <w:pPr>
              <w:pStyle w:val="26"/>
              <w:numPr>
                <w:ilvl w:val="0"/>
                <w:numId w:val="4"/>
              </w:numPr>
              <w:spacing w:line="360" w:lineRule="exact"/>
              <w:ind w:firstLineChars="0"/>
              <w:jc w:val="left"/>
              <w:rPr>
                <w:rFonts w:ascii="宋体" w:hAnsi="宋体" w:cs="宋体"/>
                <w:sz w:val="24"/>
              </w:rPr>
            </w:pPr>
            <w:r>
              <w:rPr>
                <w:rFonts w:hint="eastAsia" w:cs="宋体"/>
                <w:bCs/>
                <w:sz w:val="24"/>
              </w:rPr>
              <w:t>项目投资效益分析</w:t>
            </w:r>
          </w:p>
          <w:p>
            <w:pPr>
              <w:pStyle w:val="26"/>
              <w:numPr>
                <w:ilvl w:val="0"/>
                <w:numId w:val="4"/>
              </w:numPr>
              <w:spacing w:line="360" w:lineRule="exact"/>
              <w:ind w:firstLineChars="0"/>
              <w:jc w:val="left"/>
              <w:rPr>
                <w:rFonts w:ascii="宋体" w:hAnsi="宋体" w:cs="宋体"/>
                <w:sz w:val="24"/>
              </w:rPr>
            </w:pPr>
            <w:r>
              <w:rPr>
                <w:rFonts w:hint="eastAsia" w:ascii="宋体" w:hAnsi="宋体" w:cs="宋体"/>
                <w:sz w:val="24"/>
              </w:rPr>
              <w:t>项目风险与对策分析</w:t>
            </w:r>
          </w:p>
          <w:p>
            <w:pPr>
              <w:pStyle w:val="26"/>
              <w:numPr>
                <w:ilvl w:val="0"/>
                <w:numId w:val="4"/>
              </w:numPr>
              <w:spacing w:line="360" w:lineRule="exact"/>
              <w:ind w:firstLineChars="0"/>
              <w:jc w:val="left"/>
              <w:rPr>
                <w:rFonts w:ascii="宋体" w:hAnsi="宋体" w:cs="宋体"/>
                <w:sz w:val="24"/>
              </w:rPr>
            </w:pPr>
            <w:r>
              <w:rPr>
                <w:rFonts w:hint="eastAsia" w:ascii="宋体" w:hAnsi="宋体" w:cs="宋体"/>
                <w:sz w:val="24"/>
              </w:rPr>
              <w:t>汇编报告及相关展示材料</w:t>
            </w:r>
          </w:p>
        </w:tc>
        <w:tc>
          <w:tcPr>
            <w:tcW w:w="2087" w:type="pct"/>
            <w:vAlign w:val="center"/>
          </w:tcPr>
          <w:p>
            <w:pPr>
              <w:tabs>
                <w:tab w:val="left" w:pos="1620"/>
              </w:tabs>
              <w:spacing w:line="360" w:lineRule="exact"/>
              <w:jc w:val="center"/>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cs="宋体"/>
                <w:bCs/>
                <w:sz w:val="24"/>
              </w:rPr>
              <w:t>总计</w:t>
            </w:r>
          </w:p>
        </w:tc>
        <w:tc>
          <w:tcPr>
            <w:tcW w:w="4586" w:type="pct"/>
            <w:gridSpan w:val="3"/>
            <w:vAlign w:val="center"/>
          </w:tcPr>
          <w:p>
            <w:pPr>
              <w:tabs>
                <w:tab w:val="left" w:pos="1620"/>
              </w:tabs>
              <w:spacing w:line="360" w:lineRule="exact"/>
              <w:jc w:val="center"/>
              <w:rPr>
                <w:rFonts w:ascii="宋体" w:hAnsi="宋体" w:cs="宋体"/>
                <w:sz w:val="24"/>
              </w:rPr>
            </w:pPr>
            <w:r>
              <w:rPr>
                <w:rFonts w:hint="eastAsia" w:ascii="宋体" w:hAnsi="宋体" w:cs="宋体"/>
                <w:sz w:val="24"/>
              </w:rPr>
              <w:t>万元</w:t>
            </w:r>
          </w:p>
        </w:tc>
      </w:tr>
    </w:tbl>
    <w:p>
      <w:pPr>
        <w:pStyle w:val="17"/>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支付办法：本合同生效后，甲方按照</w:t>
      </w:r>
      <w:r>
        <w:rPr>
          <w:rFonts w:hint="eastAsia" w:ascii="宋体" w:hAnsi="宋体" w:cs="宋体"/>
          <w:sz w:val="24"/>
          <w:szCs w:val="24"/>
          <w:u w:val="single"/>
        </w:rPr>
        <w:t>《广州市净水有限公司资金集中支付管理办法》（穗净水[2015]278号）（见附件1）的</w:t>
      </w:r>
      <w:r>
        <w:rPr>
          <w:rFonts w:hint="eastAsia" w:ascii="宋体" w:hAnsi="宋体" w:cs="宋体"/>
          <w:sz w:val="24"/>
          <w:szCs w:val="24"/>
        </w:rPr>
        <w:t>操作程序，向乙方支付合同费用。</w:t>
      </w:r>
    </w:p>
    <w:p>
      <w:pPr>
        <w:pStyle w:val="2"/>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地址：</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7.2 本合同生效后，乙方向甲方提出预付款支付申请，甲方向乙方支付合同暂定金额的</w:t>
      </w:r>
      <w:r>
        <w:rPr>
          <w:rFonts w:ascii="宋体" w:hAnsi="宋体" w:cs="宋体"/>
          <w:sz w:val="24"/>
          <w:szCs w:val="24"/>
        </w:rPr>
        <w:t>3</w:t>
      </w:r>
      <w:r>
        <w:rPr>
          <w:rFonts w:hint="eastAsia" w:ascii="宋体" w:hAnsi="宋体" w:cs="宋体"/>
          <w:sz w:val="24"/>
          <w:szCs w:val="24"/>
        </w:rPr>
        <w:t>0％作为预付款，计</w:t>
      </w:r>
      <w:r>
        <w:rPr>
          <w:rFonts w:hint="eastAsia" w:ascii="宋体" w:hAnsi="宋体" w:cs="宋体"/>
          <w:sz w:val="24"/>
          <w:szCs w:val="24"/>
          <w:u w:val="single"/>
        </w:rPr>
        <w:t xml:space="preserve">     </w:t>
      </w:r>
      <w:r>
        <w:rPr>
          <w:rFonts w:hint="eastAsia" w:ascii="宋体" w:hAnsi="宋体" w:cs="宋体"/>
          <w:sz w:val="24"/>
          <w:szCs w:val="24"/>
        </w:rPr>
        <w:t>万元。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 乙方应于当月20日前将工程支付申请书一式四份报送给甲方，费用按照以下方式予以支付：</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7.3.1 乙方在合同签订后20日内提交本合同5.2条所述可行性研究报告（第一次成果）至甲方审议，并取得甲方审议意见后，甲方向乙方支付至合同暂定金额的</w:t>
      </w:r>
      <w:r>
        <w:rPr>
          <w:rFonts w:ascii="宋体" w:hAnsi="宋体" w:cs="宋体"/>
          <w:sz w:val="24"/>
          <w:szCs w:val="24"/>
        </w:rPr>
        <w:t>65</w:t>
      </w:r>
      <w:r>
        <w:rPr>
          <w:rFonts w:hint="eastAsia" w:ascii="宋体" w:hAnsi="宋体" w:cs="宋体"/>
          <w:sz w:val="24"/>
          <w:szCs w:val="24"/>
        </w:rPr>
        <w:t xml:space="preserve">%（含预付款）。 </w:t>
      </w:r>
    </w:p>
    <w:p>
      <w:pPr>
        <w:overflowPunct w:val="0"/>
        <w:adjustRightInd w:val="0"/>
        <w:spacing w:line="360" w:lineRule="auto"/>
        <w:ind w:firstLine="480" w:firstLineChars="200"/>
        <w:jc w:val="left"/>
        <w:textAlignment w:val="baseline"/>
        <w:rPr>
          <w:rFonts w:ascii="宋体" w:hAnsi="宋体" w:cs="宋体"/>
          <w:color w:val="FF0000"/>
          <w:sz w:val="24"/>
          <w:szCs w:val="24"/>
        </w:rPr>
      </w:pPr>
      <w:r>
        <w:rPr>
          <w:rFonts w:hint="eastAsia" w:ascii="宋体" w:hAnsi="宋体" w:cs="宋体"/>
          <w:sz w:val="24"/>
          <w:szCs w:val="24"/>
        </w:rPr>
        <w:t>7.3.2 乙方提交7.3.1条所述可行性研究报告（第二次成果）后，甲方向乙方支付至合同金额的80%（含预付款）。</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7.3.3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7.3.4</w:t>
      </w:r>
      <w:r>
        <w:rPr>
          <w:rFonts w:hint="eastAsia" w:ascii="宋体" w:hAnsi="宋体"/>
          <w:sz w:val="24"/>
          <w:szCs w:val="24"/>
        </w:rPr>
        <w:t>如合同项目非财政性资金投资项目，待相关部门终审结算后，甲方对该可行性报告无异议后，支付至合同结算价的100%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7.4双方委托银行代付代收有关费用。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7.5乙方</w:t>
      </w:r>
      <w:r>
        <w:rPr>
          <w:rFonts w:hint="eastAsia" w:ascii="宋体" w:hAnsi="宋体"/>
          <w:sz w:val="24"/>
          <w:szCs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8.1.1在合同履行期间，已开始编制工作，非乙方原因甲方要求终止或解除合同的，甲方根据乙方已进行的实际工作量按实进行结算，最高支付至合同暂定金额的60%。</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w:t>
      </w:r>
      <w:r>
        <w:rPr>
          <w:rFonts w:ascii="宋体" w:hAnsi="宋体" w:cs="宋体"/>
          <w:sz w:val="24"/>
          <w:szCs w:val="24"/>
        </w:rPr>
        <w:t>2</w:t>
      </w:r>
      <w:r>
        <w:rPr>
          <w:rFonts w:hint="eastAsia" w:ascii="宋体" w:hAnsi="宋体" w:cs="宋体"/>
          <w:sz w:val="24"/>
          <w:szCs w:val="24"/>
        </w:rPr>
        <w:t>甲方要求乙方比合同规定时间提前交付编制文件时，需提前通知乙方，且征得乙方同意，不得严重背离合理编制周期。</w:t>
      </w:r>
    </w:p>
    <w:p>
      <w:pPr>
        <w:pStyle w:val="4"/>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8.2.7合同生效后，非甲方原因乙方要求解除合同的，应赔偿甲方的损失。</w:t>
      </w:r>
    </w:p>
    <w:p>
      <w:pPr>
        <w:pStyle w:val="2"/>
        <w:spacing w:line="360" w:lineRule="auto"/>
        <w:rPr>
          <w:rFonts w:hint="default" w:eastAsia="仿宋_GB2312"/>
          <w:lang w:val="en-US" w:eastAsia="zh-CN"/>
        </w:rPr>
      </w:pPr>
      <w:r>
        <w:rPr>
          <w:rFonts w:hint="eastAsia" w:hAnsi="宋体" w:cs="宋体"/>
          <w:sz w:val="24"/>
          <w:szCs w:val="24"/>
          <w:lang w:val="en-US" w:eastAsia="zh-CN"/>
        </w:rPr>
        <w:t xml:space="preserve">    </w:t>
      </w:r>
      <w:r>
        <w:rPr>
          <w:rFonts w:hint="eastAsia" w:hAnsi="宋体" w:cs="宋体" w:eastAsiaTheme="minorEastAsia"/>
          <w:color w:val="auto"/>
          <w:kern w:val="2"/>
          <w:sz w:val="24"/>
          <w:szCs w:val="24"/>
          <w:lang w:val="en-US" w:eastAsia="zh-CN"/>
        </w:rPr>
        <w:t>8.2.8在合同有效期内，若乙方发生不诚信行为情形的，乙方自愿接受甲方按《广州市净水有限公司经营建设项目参建企业不诚信行为管理办法》处理。</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9"/>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9"/>
        <w:spacing w:line="360" w:lineRule="auto"/>
        <w:ind w:left="0" w:leftChars="0" w:firstLine="723" w:firstLineChars="300"/>
        <w:rPr>
          <w:rFonts w:ascii="宋体" w:hAnsi="宋体" w:cs="宋体"/>
          <w:b/>
          <w:bCs/>
          <w:color w:val="000000"/>
          <w:sz w:val="24"/>
          <w:szCs w:val="24"/>
        </w:rPr>
      </w:pPr>
      <w:r>
        <w:rPr>
          <w:rFonts w:hint="eastAsia" w:ascii="宋体" w:hAnsi="宋体" w:cs="宋体"/>
          <w:b/>
          <w:bCs/>
          <w:color w:val="000000"/>
          <w:sz w:val="24"/>
          <w:szCs w:val="24"/>
        </w:rPr>
        <w:t>附件1：</w:t>
      </w:r>
      <w:r>
        <w:rPr>
          <w:rFonts w:hint="eastAsia" w:ascii="宋体" w:hAnsi="宋体" w:cs="宋体"/>
          <w:b/>
          <w:bCs/>
          <w:szCs w:val="21"/>
        </w:rPr>
        <w:t>发包通知书</w:t>
      </w:r>
      <w:r>
        <w:rPr>
          <w:rFonts w:hint="eastAsia" w:ascii="宋体" w:hAnsi="宋体" w:cs="宋体"/>
          <w:b/>
          <w:bCs/>
          <w:color w:val="000000"/>
          <w:sz w:val="24"/>
          <w:szCs w:val="24"/>
        </w:rPr>
        <w:t xml:space="preserve"> </w:t>
      </w:r>
    </w:p>
    <w:p>
      <w:pPr>
        <w:pStyle w:val="9"/>
        <w:spacing w:line="360" w:lineRule="auto"/>
        <w:ind w:left="584" w:leftChars="278" w:firstLine="120" w:firstLineChars="50"/>
        <w:rPr>
          <w:rFonts w:hint="eastAsia" w:ascii="宋体" w:hAnsi="宋体" w:cs="宋体"/>
          <w:b/>
          <w:bCs/>
          <w:szCs w:val="21"/>
        </w:rPr>
      </w:pPr>
      <w:r>
        <w:rPr>
          <w:rFonts w:hint="eastAsia" w:ascii="宋体" w:hAnsi="宋体" w:cs="宋体"/>
          <w:b/>
          <w:bCs/>
          <w:color w:val="000000"/>
          <w:sz w:val="24"/>
          <w:szCs w:val="24"/>
        </w:rPr>
        <w:t>附件2：</w:t>
      </w:r>
      <w:r>
        <w:rPr>
          <w:rFonts w:hint="eastAsia" w:ascii="宋体" w:hAnsi="宋体" w:cs="宋体"/>
          <w:b/>
          <w:bCs/>
          <w:szCs w:val="21"/>
        </w:rPr>
        <w:t>廉洁协议</w:t>
      </w:r>
    </w:p>
    <w:p>
      <w:pPr>
        <w:pStyle w:val="9"/>
        <w:spacing w:line="360" w:lineRule="auto"/>
        <w:ind w:left="584" w:leftChars="278" w:firstLine="105" w:firstLineChars="50"/>
        <w:rPr>
          <w:rFonts w:hint="default" w:ascii="宋体" w:hAnsi="宋体" w:cs="宋体" w:eastAsiaTheme="minorEastAsia"/>
          <w:b/>
          <w:bCs/>
          <w:szCs w:val="21"/>
          <w:lang w:val="en-US" w:eastAsia="zh-CN"/>
        </w:rPr>
      </w:pPr>
      <w:r>
        <w:rPr>
          <w:rFonts w:hint="eastAsia" w:ascii="宋体" w:hAnsi="宋体" w:cs="宋体"/>
          <w:b/>
          <w:bCs/>
          <w:szCs w:val="21"/>
          <w:lang w:val="en-US" w:eastAsia="zh-CN"/>
        </w:rPr>
        <w:t>附件3：安全协议书</w:t>
      </w:r>
    </w:p>
    <w:p>
      <w:pPr>
        <w:pStyle w:val="9"/>
        <w:spacing w:line="360" w:lineRule="auto"/>
        <w:ind w:left="584" w:leftChars="278" w:firstLine="105" w:firstLineChars="50"/>
        <w:rPr>
          <w:rFonts w:ascii="宋体" w:hAnsi="宋体" w:cs="宋体"/>
          <w:color w:val="000000"/>
          <w:sz w:val="24"/>
          <w:szCs w:val="24"/>
        </w:rPr>
      </w:pPr>
      <w:r>
        <w:rPr>
          <w:rFonts w:hint="eastAsia" w:ascii="宋体" w:hAnsi="宋体" w:cs="宋体"/>
          <w:b/>
          <w:bCs/>
          <w:szCs w:val="21"/>
          <w:lang w:val="en-US" w:eastAsia="zh-CN"/>
        </w:rPr>
        <w:t>附件4：不诚信行为的情形及相应被暂停参与投标活动的处理标准</w:t>
      </w:r>
    </w:p>
    <w:p>
      <w:pPr>
        <w:pStyle w:val="9"/>
        <w:spacing w:line="360" w:lineRule="auto"/>
        <w:ind w:left="465" w:leftChars="50" w:hanging="360" w:hangingChars="150"/>
        <w:rPr>
          <w:rFonts w:ascii="宋体" w:hAnsi="宋体" w:cs="宋体"/>
          <w:color w:val="000000"/>
          <w:sz w:val="24"/>
          <w:szCs w:val="24"/>
        </w:rPr>
      </w:pPr>
      <w:r>
        <w:rPr>
          <w:rFonts w:hint="eastAsia" w:ascii="宋体" w:hAnsi="宋体" w:cs="宋体"/>
          <w:color w:val="000000"/>
          <w:sz w:val="24"/>
          <w:szCs w:val="24"/>
        </w:rPr>
        <w:t>（以下无正文）</w:t>
      </w:r>
    </w:p>
    <w:p/>
    <w:p/>
    <w:p/>
    <w:p/>
    <w:p/>
    <w:p/>
    <w:p/>
    <w:p/>
    <w:p/>
    <w:p/>
    <w:p/>
    <w:p/>
    <w:p/>
    <w:p/>
    <w:p/>
    <w:p>
      <w:pPr>
        <w:pStyle w:val="2"/>
      </w:pPr>
    </w:p>
    <w:p/>
    <w:p/>
    <w:p/>
    <w:p/>
    <w:p>
      <w:pPr>
        <w:jc w:val="center"/>
      </w:pPr>
    </w:p>
    <w:p/>
    <w:tbl>
      <w:tblPr>
        <w:tblStyle w:val="18"/>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2"/>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9"/>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pStyle w:val="2"/>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bookmarkEnd w:id="10"/>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2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pStyle w:val="2"/>
        <w:jc w:val="center"/>
        <w:rPr>
          <w:rFonts w:hint="eastAsia" w:ascii="仿宋_GB2312" w:hAnsi="仿宋_GB2312" w:eastAsia="仿宋_GB2312" w:cs="仿宋_GB2312"/>
          <w:b w:val="0"/>
          <w:bCs/>
          <w:color w:val="auto"/>
          <w:sz w:val="28"/>
          <w:szCs w:val="28"/>
          <w:highlight w:val="none"/>
        </w:rPr>
      </w:pPr>
    </w:p>
    <w:p>
      <w:pPr>
        <w:spacing w:line="360" w:lineRule="auto"/>
        <w:rPr>
          <w:rFonts w:hint="eastAsia" w:ascii="宋体" w:hAnsi="宋体" w:cs="宋体"/>
          <w:b/>
          <w:bCs/>
          <w:sz w:val="24"/>
          <w:szCs w:val="24"/>
        </w:rPr>
      </w:pPr>
      <w:bookmarkStart w:id="11" w:name="_Toc389815031"/>
      <w:bookmarkStart w:id="12" w:name="_Toc389815339"/>
      <w:bookmarkStart w:id="13" w:name="_Toc387080836"/>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val="en-US" w:eastAsia="zh-CN"/>
        </w:rPr>
        <w:t>4</w:t>
      </w:r>
      <w:r>
        <w:rPr>
          <w:rFonts w:hint="eastAsia" w:ascii="宋体" w:hAnsi="宋体" w:cs="宋体"/>
          <w:b/>
          <w:bCs/>
          <w:sz w:val="24"/>
          <w:szCs w:val="24"/>
        </w:rPr>
        <w:t>：不诚信行为的情形及相应被暂停参与投标活动的处理标准</w:t>
      </w:r>
    </w:p>
    <w:p>
      <w:pPr>
        <w:adjustRightInd w:val="0"/>
        <w:snapToGrid w:val="0"/>
        <w:jc w:val="center"/>
        <w:rPr>
          <w:rFonts w:ascii="方正小标宋简体" w:hAnsi="方正小标宋简体" w:eastAsia="方正小标宋简体" w:cs="方正小标宋简体"/>
          <w:sz w:val="32"/>
          <w:szCs w:val="32"/>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tabs>
          <w:tab w:val="left" w:pos="4170"/>
        </w:tabs>
        <w:spacing w:line="360" w:lineRule="auto"/>
        <w:rPr>
          <w:rFonts w:ascii="宋体" w:hAnsi="宋体"/>
          <w:sz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spacing w:line="560" w:lineRule="exact"/>
        <w:jc w:val="left"/>
        <w:rPr>
          <w:rFonts w:hint="default" w:ascii="宋体" w:hAnsi="宋体" w:eastAsia="宋体" w:cs="宋体"/>
          <w:bCs/>
          <w:kern w:val="0"/>
          <w:sz w:val="24"/>
          <w:szCs w:val="24"/>
        </w:rPr>
      </w:pPr>
    </w:p>
    <w:p>
      <w:pPr>
        <w:spacing w:line="560" w:lineRule="exact"/>
        <w:jc w:val="both"/>
        <w:rPr>
          <w:rFonts w:ascii="黑体" w:hAnsi="Batang" w:eastAsia="黑体" w:cs="Batang"/>
          <w:bCs/>
          <w:kern w:val="0"/>
          <w:sz w:val="44"/>
          <w:szCs w:val="44"/>
        </w:rPr>
      </w:pPr>
    </w:p>
    <w:p>
      <w:pPr>
        <w:pStyle w:val="2"/>
      </w:pPr>
    </w:p>
    <w:p>
      <w:pPr>
        <w:spacing w:line="560" w:lineRule="exact"/>
        <w:jc w:val="both"/>
        <w:rPr>
          <w:rFonts w:ascii="黑体" w:hAnsi="Batang" w:eastAsia="黑体" w:cs="Batang"/>
          <w:bCs/>
          <w:kern w:val="0"/>
          <w:sz w:val="44"/>
          <w:szCs w:val="44"/>
        </w:rPr>
      </w:pPr>
    </w:p>
    <w:p>
      <w:pPr>
        <w:spacing w:line="560" w:lineRule="exact"/>
        <w:jc w:val="both"/>
        <w:rPr>
          <w:rFonts w:ascii="黑体" w:hAnsi="Batang" w:eastAsia="黑体" w:cs="Batang"/>
          <w:bCs/>
          <w:kern w:val="0"/>
          <w:sz w:val="44"/>
          <w:szCs w:val="44"/>
        </w:rPr>
      </w:pPr>
    </w:p>
    <w:bookmarkEnd w:id="11"/>
    <w:bookmarkEnd w:id="12"/>
    <w:bookmarkEnd w:id="13"/>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bookmarkStart w:id="14" w:name="_GoBack"/>
      <w:bookmarkEnd w:id="14"/>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项目名称：广州市净水有限公司成立土地开发公司项目可行性研究报告</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sz w:val="24"/>
          <w:szCs w:val="24"/>
        </w:rPr>
        <w:t>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p>
            <w:pPr>
              <w:pStyle w:val="2"/>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（法人姓名）（法人签字或盖私章）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签发日期：</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有效期限：签发日期起至</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r>
        <w:rPr>
          <w:rFonts w:ascii="仿宋" w:hAnsi="仿宋" w:eastAsia="仿宋" w:cs="仿宋_GB2312"/>
          <w:color w:val="000000" w:themeColor="text1"/>
          <w:kern w:val="2"/>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ascii="宋体" w:hAnsi="宋体"/>
          <w:sz w:val="24"/>
          <w:szCs w:val="24"/>
        </w:rPr>
      </w:pPr>
      <w:r>
        <w:rPr>
          <w:rFonts w:hint="eastAsia" w:ascii="宋体" w:hAnsi="宋体" w:eastAsia="宋体" w:cs="Times New Roman"/>
          <w:sz w:val="24"/>
          <w:szCs w:val="24"/>
        </w:rPr>
        <w:t>授权代理人</w:t>
      </w:r>
      <w:r>
        <w:rPr>
          <w:rFonts w:hint="eastAsia" w:ascii="宋体" w:hAnsi="宋体"/>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tc>
      </w:tr>
    </w:tbl>
    <w:p>
      <w:pPr>
        <w:spacing w:line="480" w:lineRule="exact"/>
        <w:ind w:firstLine="843" w:firstLineChars="300"/>
        <w:rPr>
          <w:rFonts w:ascii="仿宋" w:hAnsi="仿宋" w:eastAsia="仿宋" w:cs="仿宋_GB2312"/>
          <w:b/>
          <w:color w:val="00000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28"/>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29"/>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9"/>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29"/>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w:t>
      </w:r>
      <w:r>
        <w:rPr>
          <w:rFonts w:hint="eastAsia" w:ascii="仿宋_GB2312" w:hAnsi="仿宋" w:eastAsia="仿宋_GB2312" w:cs="仿宋_GB2312"/>
          <w:color w:val="000000" w:themeColor="text1"/>
          <w:lang w:val="en-US" w:eastAsia="zh-CN"/>
          <w14:textFill>
            <w14:solidFill>
              <w14:schemeClr w14:val="tx1"/>
            </w14:solidFill>
          </w14:textFill>
        </w:rPr>
        <w:t>私</w:t>
      </w:r>
      <w:r>
        <w:rPr>
          <w:rFonts w:hint="eastAsia" w:ascii="仿宋_GB2312" w:hAnsi="仿宋" w:eastAsia="仿宋_GB2312" w:cs="仿宋_GB2312"/>
          <w:color w:val="000000" w:themeColor="text1"/>
          <w14:textFill>
            <w14:solidFill>
              <w14:schemeClr w14:val="tx1"/>
            </w14:solidFill>
          </w14:textFill>
        </w:rPr>
        <w:t>章）：</w:t>
      </w:r>
    </w:p>
    <w:p>
      <w:pPr>
        <w:pStyle w:val="29"/>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29"/>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both"/>
        <w:rPr>
          <w:rFonts w:ascii="仿宋" w:hAnsi="仿宋" w:eastAsia="仿宋" w:cs="仿宋_GB2312"/>
          <w:color w:val="000000" w:themeColor="text1"/>
          <w:sz w:val="28"/>
          <w:szCs w:val="28"/>
          <w14:textFill>
            <w14:solidFill>
              <w14:schemeClr w14:val="tx1"/>
            </w14:solidFill>
          </w14:textFill>
        </w:rPr>
      </w:pPr>
    </w:p>
    <w:p>
      <w:pPr>
        <w:pStyle w:val="2"/>
        <w:widowControl/>
        <w:snapToGrid w:val="0"/>
        <w:jc w:val="center"/>
        <w:outlineLvl w:val="0"/>
        <w:rPr>
          <w:rFonts w:ascii="仿宋" w:hAnsi="仿宋" w:eastAsia="仿宋" w:cs="仿宋_GB2312"/>
          <w:color w:val="000000" w:themeColor="text1"/>
          <w:sz w:val="28"/>
          <w:szCs w:val="28"/>
          <w14:textFill>
            <w14:solidFill>
              <w14:schemeClr w14:val="tx1"/>
            </w14:solidFill>
          </w14:textFill>
        </w:rPr>
      </w:pPr>
    </w:p>
    <w:p>
      <w:pPr>
        <w:widowControl/>
        <w:snapToGrid w:val="0"/>
        <w:outlineLvl w:val="0"/>
        <w:rPr>
          <w:rFonts w:ascii="仿宋" w:hAnsi="仿宋" w:eastAsia="仿宋" w:cs="仿宋_GB2312"/>
          <w:color w:val="000000" w:themeColor="text1"/>
          <w:kern w:val="0"/>
          <w:sz w:val="28"/>
          <w:szCs w:val="28"/>
          <w14:textFill>
            <w14:solidFill>
              <w14:schemeClr w14:val="tx1"/>
            </w14:solidFill>
          </w14:textFill>
        </w:rPr>
      </w:pPr>
    </w:p>
    <w:p>
      <w:pPr>
        <w:widowControl/>
        <w:snapToGrid w:val="0"/>
        <w:ind w:firstLine="0" w:firstLineChars="0"/>
        <w:outlineLvl w:val="0"/>
        <w:rPr>
          <w:rFonts w:hint="eastAsia" w:ascii="仿宋" w:hAnsi="仿宋" w:eastAsia="仿宋" w:cs="仿宋_GB2312"/>
          <w:color w:val="000000" w:themeColor="text1"/>
          <w:kern w:val="0"/>
          <w:sz w:val="28"/>
          <w:szCs w:val="28"/>
          <w14:textFill>
            <w14:solidFill>
              <w14:schemeClr w14:val="tx1"/>
            </w14:solidFill>
          </w14:textFill>
        </w:rPr>
      </w:pPr>
    </w:p>
    <w:p>
      <w:pPr>
        <w:widowControl/>
        <w:tabs>
          <w:tab w:val="left" w:pos="851"/>
        </w:tabs>
        <w:adjustRightInd w:val="0"/>
        <w:snapToGrid w:val="0"/>
        <w:spacing w:line="384" w:lineRule="auto"/>
        <w:jc w:val="both"/>
        <w:rPr>
          <w:rFonts w:hint="eastAsia" w:ascii="仿宋" w:hAnsi="仿宋" w:eastAsia="仿宋" w:cs="仿宋_GB2312"/>
          <w:b/>
          <w:bCs/>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center"/>
        <w:rPr>
          <w:rFonts w:hint="eastAsia"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lang w:val="en-US" w:eastAsia="zh-CN"/>
          <w14:textFill>
            <w14:solidFill>
              <w14:schemeClr w14:val="tx1"/>
            </w14:solidFill>
          </w14:textFill>
        </w:rPr>
        <w:t>5</w:t>
      </w:r>
      <w:r>
        <w:rPr>
          <w:rFonts w:hint="eastAsia" w:ascii="仿宋" w:hAnsi="仿宋" w:eastAsia="仿宋" w:cs="仿宋_GB2312"/>
          <w:b/>
          <w:bCs/>
          <w:color w:val="000000" w:themeColor="text1"/>
          <w:sz w:val="28"/>
          <w:szCs w:val="28"/>
          <w14:textFill>
            <w14:solidFill>
              <w14:schemeClr w14:val="tx1"/>
            </w14:solidFill>
          </w14:textFill>
        </w:rPr>
        <w:t xml:space="preserve"> 项目单位、人员资格情况</w:t>
      </w:r>
    </w:p>
    <w:p>
      <w:pPr>
        <w:pStyle w:val="17"/>
        <w:ind w:firstLine="578"/>
        <w:jc w:val="center"/>
        <w:rPr>
          <w:rFonts w:hint="eastAsia" w:ascii="仿宋_GB2312" w:hAnsi="仿宋_GB2312" w:eastAsia="仿宋_GB2312" w:cs="仿宋_GB2312"/>
          <w:b/>
          <w:sz w:val="28"/>
          <w:szCs w:val="28"/>
          <w:lang w:val="en-US" w:eastAsia="zh-CN"/>
        </w:rPr>
      </w:pPr>
    </w:p>
    <w:p>
      <w:pPr>
        <w:pStyle w:val="17"/>
        <w:ind w:firstLine="578"/>
        <w:jc w:val="center"/>
        <w:rPr>
          <w:rFonts w:hint="eastAsia" w:ascii="仿宋_GB2312" w:hAnsi="仿宋_GB2312" w:eastAsia="仿宋_GB2312" w:cs="仿宋_GB2312"/>
          <w:b/>
          <w:sz w:val="28"/>
          <w:szCs w:val="28"/>
          <w:lang w:val="en-US" w:eastAsia="zh-CN"/>
        </w:rPr>
      </w:pPr>
    </w:p>
    <w:p>
      <w:pPr>
        <w:pStyle w:val="17"/>
        <w:ind w:firstLine="578"/>
        <w:jc w:val="center"/>
        <w:rPr>
          <w:rFonts w:hint="eastAsia" w:ascii="仿宋_GB2312" w:hAnsi="仿宋_GB2312" w:eastAsia="仿宋_GB2312" w:cs="仿宋_GB2312"/>
          <w:b/>
          <w:sz w:val="28"/>
          <w:szCs w:val="28"/>
          <w:lang w:val="en-US" w:eastAsia="zh-CN"/>
        </w:rPr>
      </w:pPr>
    </w:p>
    <w:p>
      <w:pPr>
        <w:pStyle w:val="17"/>
        <w:ind w:firstLine="0"/>
        <w:jc w:val="both"/>
        <w:rPr>
          <w:rFonts w:hint="eastAsia" w:ascii="仿宋_GB2312" w:hAnsi="仿宋_GB2312" w:eastAsia="仿宋_GB2312" w:cs="仿宋_GB2312"/>
          <w:b/>
          <w:sz w:val="28"/>
          <w:szCs w:val="28"/>
          <w:lang w:val="en-US" w:eastAsia="zh-CN"/>
        </w:rPr>
      </w:pPr>
    </w:p>
    <w:p>
      <w:pPr>
        <w:pStyle w:val="17"/>
        <w:ind w:firstLine="3022" w:firstLineChars="1075"/>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
        <w:ind w:firstLine="560" w:firstLineChars="200"/>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w:t>
      </w:r>
    </w:p>
    <w:p>
      <w:pPr>
        <w:pStyle w:val="2"/>
        <w:ind w:firstLine="562"/>
        <w:jc w:val="both"/>
        <w:rPr>
          <w:rFonts w:ascii="仿宋_GB2312" w:hAnsi="仿宋_GB2312" w:cs="仿宋_GB2312"/>
          <w:b w:val="0"/>
          <w:bCs/>
          <w:color w:val="auto"/>
          <w:kern w:val="2"/>
          <w:sz w:val="28"/>
          <w:szCs w:val="28"/>
        </w:rPr>
      </w:pPr>
    </w:p>
    <w:p>
      <w:pPr>
        <w:pStyle w:val="2"/>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
        <w:jc w:val="center"/>
      </w:pP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2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posOffset>2922905</wp:posOffset>
              </wp:positionH>
              <wp:positionV relativeFrom="paragraph">
                <wp:posOffset>64770</wp:posOffset>
              </wp:positionV>
              <wp:extent cx="233680" cy="131445"/>
              <wp:effectExtent l="0" t="0" r="13970" b="6350"/>
              <wp:wrapNone/>
              <wp:docPr id="4" name="文本框 3"/>
              <wp:cNvGraphicFramePr/>
              <a:graphic xmlns:a="http://schemas.openxmlformats.org/drawingml/2006/main">
                <a:graphicData uri="http://schemas.microsoft.com/office/word/2010/wordprocessingShape">
                  <wps:wsp>
                    <wps:cNvSpPr txBox="1"/>
                    <wps:spPr>
                      <a:xfrm>
                        <a:off x="0" y="0"/>
                        <a:ext cx="233680"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left:230.15pt;margin-top:5.1pt;height:10.35pt;width:18.4pt;mso-position-horizontal-relative:margin;z-index:251659264;mso-width-relative:page;mso-height-relative:page;" filled="f" stroked="f" coordsize="21600,21600" o:gfxdata="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ykOE1wAAAAkB&#10;AAAPAAAAAAAAAAEAIAAAACIAAABkcnMvZG93bnJldi54bWxQSwECFAAUAAAACACHTuJA0Hr/sxwC&#10;AAAVBAAADgAAAAAAAAABACAAAAAmAQAAZHJzL2Uyb0RvYy54bWxQSwUGAAAAAAYABgBZAQAAtAUA&#10;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79557E90"/>
    <w:multiLevelType w:val="multilevel"/>
    <w:tmpl w:val="79557E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10"/>
    <w:rsid w:val="00006910"/>
    <w:rsid w:val="000B211C"/>
    <w:rsid w:val="00132635"/>
    <w:rsid w:val="001939F4"/>
    <w:rsid w:val="001958B9"/>
    <w:rsid w:val="001E1526"/>
    <w:rsid w:val="003A36F6"/>
    <w:rsid w:val="003B0B97"/>
    <w:rsid w:val="003C1359"/>
    <w:rsid w:val="00430599"/>
    <w:rsid w:val="00476E37"/>
    <w:rsid w:val="004E1DC5"/>
    <w:rsid w:val="004E5314"/>
    <w:rsid w:val="00500562"/>
    <w:rsid w:val="00521990"/>
    <w:rsid w:val="00543340"/>
    <w:rsid w:val="00547243"/>
    <w:rsid w:val="00563FC9"/>
    <w:rsid w:val="00597FB9"/>
    <w:rsid w:val="006361CA"/>
    <w:rsid w:val="00652002"/>
    <w:rsid w:val="0071784F"/>
    <w:rsid w:val="00717CEE"/>
    <w:rsid w:val="00756045"/>
    <w:rsid w:val="0078220C"/>
    <w:rsid w:val="0079454B"/>
    <w:rsid w:val="007A3E36"/>
    <w:rsid w:val="007A62A2"/>
    <w:rsid w:val="007E610C"/>
    <w:rsid w:val="0087413B"/>
    <w:rsid w:val="00876E17"/>
    <w:rsid w:val="008A2523"/>
    <w:rsid w:val="008A6C24"/>
    <w:rsid w:val="008B6272"/>
    <w:rsid w:val="008B65F7"/>
    <w:rsid w:val="008D1A64"/>
    <w:rsid w:val="008D3FF6"/>
    <w:rsid w:val="008E3BB5"/>
    <w:rsid w:val="008E4DA6"/>
    <w:rsid w:val="008F4203"/>
    <w:rsid w:val="00941160"/>
    <w:rsid w:val="009C1FC8"/>
    <w:rsid w:val="00A428B1"/>
    <w:rsid w:val="00A677D8"/>
    <w:rsid w:val="00AA7B12"/>
    <w:rsid w:val="00AE1896"/>
    <w:rsid w:val="00B515B4"/>
    <w:rsid w:val="00B5702F"/>
    <w:rsid w:val="00BE1AA7"/>
    <w:rsid w:val="00D125FE"/>
    <w:rsid w:val="00D3408C"/>
    <w:rsid w:val="00D50084"/>
    <w:rsid w:val="00D94BBD"/>
    <w:rsid w:val="00DD718F"/>
    <w:rsid w:val="00E45AA5"/>
    <w:rsid w:val="00E5137E"/>
    <w:rsid w:val="00E53373"/>
    <w:rsid w:val="00F35F75"/>
    <w:rsid w:val="00F71BA8"/>
    <w:rsid w:val="00F855C0"/>
    <w:rsid w:val="00F92BEA"/>
    <w:rsid w:val="00FC53B1"/>
    <w:rsid w:val="01BF11FE"/>
    <w:rsid w:val="03453958"/>
    <w:rsid w:val="03FC7503"/>
    <w:rsid w:val="05971392"/>
    <w:rsid w:val="059B47C4"/>
    <w:rsid w:val="06FC0E15"/>
    <w:rsid w:val="071B3437"/>
    <w:rsid w:val="09A74457"/>
    <w:rsid w:val="09E431B5"/>
    <w:rsid w:val="0B8250C3"/>
    <w:rsid w:val="0D4276CF"/>
    <w:rsid w:val="0DFD1346"/>
    <w:rsid w:val="0F796B3B"/>
    <w:rsid w:val="10FB4027"/>
    <w:rsid w:val="11363EC8"/>
    <w:rsid w:val="11442E96"/>
    <w:rsid w:val="14737393"/>
    <w:rsid w:val="14B20DB0"/>
    <w:rsid w:val="152E3092"/>
    <w:rsid w:val="18691BFE"/>
    <w:rsid w:val="18E27E20"/>
    <w:rsid w:val="192D55A4"/>
    <w:rsid w:val="19607DA6"/>
    <w:rsid w:val="1B4931DB"/>
    <w:rsid w:val="1C88655D"/>
    <w:rsid w:val="1F5E0834"/>
    <w:rsid w:val="22656D43"/>
    <w:rsid w:val="245651BA"/>
    <w:rsid w:val="254C7A91"/>
    <w:rsid w:val="25873DEC"/>
    <w:rsid w:val="25AB4D7B"/>
    <w:rsid w:val="25C518C5"/>
    <w:rsid w:val="26655AD0"/>
    <w:rsid w:val="26715A65"/>
    <w:rsid w:val="26DC7A53"/>
    <w:rsid w:val="28FC416F"/>
    <w:rsid w:val="29585EA2"/>
    <w:rsid w:val="29F305EA"/>
    <w:rsid w:val="2B072C1B"/>
    <w:rsid w:val="2CE5475D"/>
    <w:rsid w:val="2F1547E7"/>
    <w:rsid w:val="2FD9301B"/>
    <w:rsid w:val="30365ABB"/>
    <w:rsid w:val="30734118"/>
    <w:rsid w:val="31784766"/>
    <w:rsid w:val="329E4190"/>
    <w:rsid w:val="33BA2404"/>
    <w:rsid w:val="37EB533E"/>
    <w:rsid w:val="38B2330A"/>
    <w:rsid w:val="39133A81"/>
    <w:rsid w:val="39C34740"/>
    <w:rsid w:val="3CAA741F"/>
    <w:rsid w:val="3CD86558"/>
    <w:rsid w:val="3EBD3B56"/>
    <w:rsid w:val="3ED41FB7"/>
    <w:rsid w:val="3ED9608F"/>
    <w:rsid w:val="3FA7723B"/>
    <w:rsid w:val="40AC0E17"/>
    <w:rsid w:val="40B769CA"/>
    <w:rsid w:val="417A6F8F"/>
    <w:rsid w:val="429D1F22"/>
    <w:rsid w:val="435C0539"/>
    <w:rsid w:val="44E10581"/>
    <w:rsid w:val="46422857"/>
    <w:rsid w:val="47AD53C8"/>
    <w:rsid w:val="489E1476"/>
    <w:rsid w:val="48F77823"/>
    <w:rsid w:val="494B1857"/>
    <w:rsid w:val="4A400017"/>
    <w:rsid w:val="4A535864"/>
    <w:rsid w:val="4C601F2A"/>
    <w:rsid w:val="4D166C53"/>
    <w:rsid w:val="4E3F2967"/>
    <w:rsid w:val="4F542968"/>
    <w:rsid w:val="4FB06192"/>
    <w:rsid w:val="50800490"/>
    <w:rsid w:val="519755DE"/>
    <w:rsid w:val="51D43044"/>
    <w:rsid w:val="51D524AB"/>
    <w:rsid w:val="51F57911"/>
    <w:rsid w:val="52A658DD"/>
    <w:rsid w:val="52D47A5C"/>
    <w:rsid w:val="54E616B8"/>
    <w:rsid w:val="55217A9E"/>
    <w:rsid w:val="558435EF"/>
    <w:rsid w:val="55E35969"/>
    <w:rsid w:val="56B50241"/>
    <w:rsid w:val="591D3AF7"/>
    <w:rsid w:val="5BC92BB2"/>
    <w:rsid w:val="5F9154F8"/>
    <w:rsid w:val="5FAB579F"/>
    <w:rsid w:val="5FCE2104"/>
    <w:rsid w:val="601F5CC7"/>
    <w:rsid w:val="606E6BA4"/>
    <w:rsid w:val="60F37015"/>
    <w:rsid w:val="61830E00"/>
    <w:rsid w:val="62AA2943"/>
    <w:rsid w:val="62E52096"/>
    <w:rsid w:val="63003EEA"/>
    <w:rsid w:val="637829E2"/>
    <w:rsid w:val="6477531B"/>
    <w:rsid w:val="64867873"/>
    <w:rsid w:val="65267F49"/>
    <w:rsid w:val="685D08DE"/>
    <w:rsid w:val="68FB4D8C"/>
    <w:rsid w:val="6BE9353F"/>
    <w:rsid w:val="6E6511DD"/>
    <w:rsid w:val="70E840C9"/>
    <w:rsid w:val="710B1B55"/>
    <w:rsid w:val="72554BCD"/>
    <w:rsid w:val="743A702E"/>
    <w:rsid w:val="747D51CB"/>
    <w:rsid w:val="74D3021D"/>
    <w:rsid w:val="75D52A75"/>
    <w:rsid w:val="775C0EA7"/>
    <w:rsid w:val="797821F3"/>
    <w:rsid w:val="7C037DAB"/>
    <w:rsid w:val="7D22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5">
    <w:name w:val="annotation text"/>
    <w:basedOn w:val="1"/>
    <w:link w:val="30"/>
    <w:qFormat/>
    <w:uiPriority w:val="0"/>
    <w:pPr>
      <w:jc w:val="left"/>
    </w:pPr>
  </w:style>
  <w:style w:type="paragraph" w:styleId="6">
    <w:name w:val="Body Text"/>
    <w:basedOn w:val="1"/>
    <w:unhideWhenUsed/>
    <w:qFormat/>
    <w:uiPriority w:val="99"/>
    <w:rPr>
      <w:sz w:val="28"/>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32"/>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5">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6">
    <w:name w:val="annotation subject"/>
    <w:basedOn w:val="5"/>
    <w:next w:val="5"/>
    <w:link w:val="31"/>
    <w:qFormat/>
    <w:uiPriority w:val="0"/>
    <w:rPr>
      <w:b/>
      <w:bCs/>
    </w:rPr>
  </w:style>
  <w:style w:type="paragraph" w:styleId="17">
    <w:name w:val="Body Text First Indent"/>
    <w:basedOn w:val="6"/>
    <w:unhideWhenUsed/>
    <w:qFormat/>
    <w:uiPriority w:val="99"/>
    <w:pPr>
      <w:spacing w:after="120"/>
      <w:ind w:firstLine="420"/>
    </w:pPr>
    <w:rPr>
      <w:sz w:val="21"/>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22"/>
    <w:rPr>
      <w:rFonts w:eastAsia="宋体"/>
      <w:b/>
      <w:bCs/>
      <w:kern w:val="2"/>
      <w:sz w:val="24"/>
      <w:szCs w:val="24"/>
      <w:lang w:val="en-US" w:eastAsia="zh-CN" w:bidi="ar-SA"/>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列出段落1"/>
    <w:basedOn w:val="1"/>
    <w:qFormat/>
    <w:uiPriority w:val="34"/>
    <w:pPr>
      <w:ind w:firstLine="420" w:firstLineChars="200"/>
    </w:pPr>
    <w:rPr>
      <w:rFonts w:ascii="Calibri" w:hAnsi="Calibri" w:eastAsia="宋体" w:cs="Times New Roman"/>
    </w:rPr>
  </w:style>
  <w:style w:type="paragraph" w:customStyle="1" w:styleId="25">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6">
    <w:name w:val="List Paragraph"/>
    <w:basedOn w:val="1"/>
    <w:qFormat/>
    <w:uiPriority w:val="99"/>
    <w:pPr>
      <w:ind w:firstLine="420" w:firstLineChars="200"/>
    </w:p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character" w:customStyle="1" w:styleId="30">
    <w:name w:val="批注文字 字符"/>
    <w:basedOn w:val="20"/>
    <w:link w:val="5"/>
    <w:qFormat/>
    <w:uiPriority w:val="0"/>
    <w:rPr>
      <w:kern w:val="2"/>
      <w:sz w:val="21"/>
      <w:szCs w:val="22"/>
    </w:rPr>
  </w:style>
  <w:style w:type="character" w:customStyle="1" w:styleId="31">
    <w:name w:val="批注主题 字符"/>
    <w:basedOn w:val="30"/>
    <w:link w:val="16"/>
    <w:qFormat/>
    <w:uiPriority w:val="0"/>
    <w:rPr>
      <w:b/>
      <w:bCs/>
      <w:kern w:val="2"/>
      <w:sz w:val="21"/>
      <w:szCs w:val="22"/>
    </w:rPr>
  </w:style>
  <w:style w:type="character" w:customStyle="1" w:styleId="32">
    <w:name w:val="批注框文本 字符"/>
    <w:basedOn w:val="20"/>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2396</Words>
  <Characters>13663</Characters>
  <Lines>113</Lines>
  <Paragraphs>32</Paragraphs>
  <TotalTime>7</TotalTime>
  <ScaleCrop>false</ScaleCrop>
  <LinksUpToDate>false</LinksUpToDate>
  <CharactersWithSpaces>16027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2021-05-31T00:37:00Z</dcterms:created>
  <dc:creator>Windy1234</dc:creator>
  <cp:lastModifiedBy>林煜韩</cp:lastModifiedBy>
  <cp:lastPrinted>2021-10-20T08:46:00Z</cp:lastPrinted>
  <dcterms:modified xsi:type="dcterms:W3CDTF">2021-10-22T07:27:31Z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EA5A032536B14DB5B781BA1A97C54497</vt:lpwstr>
  </property>
</Properties>
</file>