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b/>
          <w:bCs/>
          <w:sz w:val="72"/>
        </w:rPr>
        <w:t>询价文件</w:t>
      </w:r>
    </w:p>
    <w:p>
      <w:pPr>
        <w:spacing w:line="500" w:lineRule="exact"/>
        <w:jc w:val="center"/>
        <w:rPr>
          <w:rFonts w:ascii="仿宋_GB2312" w:hAnsi="仿宋_GB2312" w:eastAsia="仿宋_GB2312" w:cs="仿宋_GB2312"/>
          <w:bCs/>
        </w:rPr>
      </w:pPr>
    </w:p>
    <w:p>
      <w:pPr>
        <w:spacing w:line="500" w:lineRule="exact"/>
        <w:jc w:val="left"/>
        <w:rPr>
          <w:rFonts w:ascii="仿宋" w:hAnsi="仿宋" w:eastAsia="仿宋" w:cs="仿宋_GB2312"/>
          <w:b/>
          <w:bCs/>
        </w:rPr>
      </w:pPr>
      <w:r>
        <w:rPr>
          <w:rFonts w:hint="eastAsia" w:ascii="仿宋_GB2312" w:hAnsi="仿宋_GB2312" w:eastAsia="仿宋_GB2312" w:cs="仿宋_GB2312"/>
          <w:b/>
          <w:bCs/>
        </w:rPr>
        <w:t xml:space="preserve">       </w:t>
      </w:r>
      <w:r>
        <w:rPr>
          <w:rFonts w:hint="eastAsia" w:ascii="仿宋" w:hAnsi="仿宋" w:eastAsia="仿宋" w:cs="仿宋_GB2312"/>
          <w:b/>
          <w:bCs/>
        </w:rPr>
        <w:t xml:space="preserve">  </w:t>
      </w:r>
    </w:p>
    <w:p>
      <w:pPr>
        <w:spacing w:line="500" w:lineRule="exact"/>
        <w:ind w:firstLine="320" w:firstLineChars="100"/>
        <w:jc w:val="left"/>
        <w:rPr>
          <w:rFonts w:hint="default" w:ascii="仿宋" w:hAnsi="仿宋" w:eastAsia="仿宋" w:cs="仿宋_GB2312"/>
          <w:b/>
          <w:sz w:val="32"/>
          <w:szCs w:val="32"/>
          <w:lang w:val="en-US" w:eastAsia="zh-CN"/>
        </w:rPr>
      </w:pPr>
      <w:r>
        <w:rPr>
          <w:rFonts w:hint="eastAsia" w:ascii="仿宋" w:hAnsi="仿宋" w:eastAsia="仿宋" w:cs="仿宋_GB2312"/>
          <w:b/>
          <w:sz w:val="32"/>
          <w:szCs w:val="32"/>
        </w:rPr>
        <w:t>项目编号：</w:t>
      </w:r>
      <w:r>
        <w:rPr>
          <w:rFonts w:hint="eastAsia" w:ascii="仿宋" w:hAnsi="仿宋" w:eastAsia="仿宋" w:cs="仿宋_GB2312"/>
          <w:b/>
          <w:sz w:val="32"/>
          <w:szCs w:val="32"/>
          <w:lang w:val="en-US" w:eastAsia="zh-CN"/>
        </w:rPr>
        <w:t>XJ-20210917-1</w:t>
      </w:r>
    </w:p>
    <w:p>
      <w:pPr>
        <w:spacing w:line="500" w:lineRule="exact"/>
        <w:ind w:left="3200" w:leftChars="0" w:hanging="3200" w:hangingChars="1000"/>
        <w:jc w:val="left"/>
        <w:rPr>
          <w:rFonts w:ascii="仿宋" w:hAnsi="仿宋" w:eastAsia="仿宋" w:cs="仿宋_GB2312"/>
          <w:b/>
          <w:sz w:val="32"/>
          <w:szCs w:val="32"/>
        </w:rPr>
      </w:pPr>
      <w:r>
        <w:rPr>
          <w:rFonts w:hint="eastAsia" w:ascii="仿宋" w:hAnsi="仿宋" w:eastAsia="仿宋" w:cs="仿宋_GB2312"/>
          <w:b/>
          <w:sz w:val="32"/>
          <w:szCs w:val="32"/>
        </w:rPr>
        <w:t xml:space="preserve">  项目名称：广州市净水有限公司2021-2022年度无纸化</w:t>
      </w:r>
    </w:p>
    <w:p>
      <w:pPr>
        <w:spacing w:line="500" w:lineRule="exact"/>
        <w:ind w:left="3195" w:leftChars="912" w:hanging="1280" w:hangingChars="400"/>
        <w:jc w:val="left"/>
        <w:rPr>
          <w:rFonts w:ascii="仿宋" w:hAnsi="仿宋" w:eastAsia="仿宋" w:cs="仿宋_GB2312"/>
          <w:b/>
          <w:sz w:val="28"/>
          <w:szCs w:val="28"/>
          <w:u w:val="single"/>
        </w:rPr>
      </w:pPr>
      <w:r>
        <w:rPr>
          <w:rFonts w:hint="eastAsia" w:ascii="仿宋" w:hAnsi="仿宋" w:eastAsia="仿宋" w:cs="仿宋_GB2312"/>
          <w:b/>
          <w:sz w:val="32"/>
          <w:szCs w:val="32"/>
        </w:rPr>
        <w:t>及视频会议系统维保服务项目</w:t>
      </w:r>
      <w:r>
        <w:fldChar w:fldCharType="begin"/>
      </w:r>
      <w:r>
        <w:instrText xml:space="preserve"> DOCVARIABLE  项目名称  \* MERGEFORMAT </w:instrText>
      </w:r>
      <w:r>
        <w:fldChar w:fldCharType="end"/>
      </w: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 编制</w:t>
      </w: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p>
    <w:p>
      <w:pPr>
        <w:spacing w:line="360" w:lineRule="auto"/>
        <w:jc w:val="center"/>
        <w:rPr>
          <w:rFonts w:ascii="仿宋_GB2312" w:hAnsi="仿宋_GB2312" w:eastAsia="仿宋_GB2312" w:cs="仿宋_GB2312"/>
        </w:rPr>
      </w:pPr>
      <w:r>
        <w:rPr>
          <w:rFonts w:hint="eastAsia" w:ascii="仿宋_GB2312" w:hAnsi="仿宋_GB2312" w:eastAsia="仿宋_GB2312" w:cs="仿宋_GB2312"/>
          <w:b/>
          <w:bCs/>
          <w:sz w:val="28"/>
        </w:rPr>
        <w:t>发布日期：20</w:t>
      </w:r>
      <w:r>
        <w:rPr>
          <w:rFonts w:ascii="仿宋_GB2312" w:hAnsi="仿宋_GB2312" w:eastAsia="仿宋_GB2312" w:cs="仿宋_GB2312"/>
          <w:b/>
          <w:bCs/>
          <w:sz w:val="28"/>
        </w:rPr>
        <w:t>2</w:t>
      </w:r>
      <w:r>
        <w:rPr>
          <w:rFonts w:hint="eastAsia" w:ascii="仿宋_GB2312" w:hAnsi="仿宋_GB2312" w:eastAsia="仿宋_GB2312" w:cs="仿宋_GB2312"/>
          <w:b/>
          <w:bCs/>
          <w:sz w:val="28"/>
        </w:rPr>
        <w:t>1年</w:t>
      </w:r>
      <w:r>
        <w:rPr>
          <w:rFonts w:hint="eastAsia" w:ascii="仿宋_GB2312" w:hAnsi="仿宋_GB2312" w:eastAsia="仿宋_GB2312" w:cs="仿宋_GB2312"/>
          <w:b/>
          <w:bCs/>
          <w:sz w:val="28"/>
          <w:lang w:val="en-US" w:eastAsia="zh-CN"/>
        </w:rPr>
        <w:t>9</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17</w:t>
      </w:r>
      <w:r>
        <w:rPr>
          <w:rFonts w:hint="eastAsia" w:ascii="仿宋_GB2312" w:hAnsi="仿宋_GB2312" w:eastAsia="仿宋_GB2312" w:cs="仿宋_GB2312"/>
          <w:b/>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7"/>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21"/>
      </w:pPr>
      <w:r>
        <w:rPr>
          <w:rFonts w:hint="eastAsia"/>
        </w:rPr>
        <w:t>第一部分 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2021-2022年度无纸化及视频会议系统维保服务项目</w:t>
      </w:r>
      <w:bookmarkStart w:id="30" w:name="_GoBack"/>
      <w:bookmarkEnd w:id="30"/>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一、资金计划：自筹</w:t>
      </w:r>
      <w:r>
        <w:rPr>
          <w:rFonts w:hint="eastAsia" w:ascii="仿宋_GB2312" w:hAnsi="仿宋_GB2312" w:eastAsia="仿宋_GB2312" w:cs="仿宋_GB2312"/>
          <w:sz w:val="28"/>
          <w:szCs w:val="28"/>
        </w:rPr>
        <w:t>资金</w:t>
      </w:r>
    </w:p>
    <w:p>
      <w:pPr>
        <w:autoSpaceDE w:val="0"/>
        <w:autoSpaceDN w:val="0"/>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XJ-20210917-1</w:t>
      </w:r>
    </w:p>
    <w:p>
      <w:pPr>
        <w:ind w:left="2518" w:leftChars="266" w:hanging="1960" w:hangingChars="700"/>
        <w:rPr>
          <w:rFonts w:ascii="仿宋_GB2312" w:hAnsi="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广州市净水有限公司2021-2022年度无纸化及视频</w:t>
      </w:r>
    </w:p>
    <w:p>
      <w:pPr>
        <w:autoSpaceDE w:val="0"/>
        <w:autoSpaceDN w:val="0"/>
        <w:ind w:left="0" w:leftChars="0" w:firstLine="0" w:firstLine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会议系统维保服务项目</w:t>
      </w:r>
    </w:p>
    <w:p>
      <w:pPr>
        <w:autoSpaceDE w:val="0"/>
        <w:autoSpaceDN w:val="0"/>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sz w:val="28"/>
          <w:szCs w:val="28"/>
          <w:lang w:val="zh-CN"/>
        </w:rPr>
        <w:t>四、最高限价：</w:t>
      </w:r>
      <w:r>
        <w:rPr>
          <w:rFonts w:ascii="仿宋_GB2312" w:hAnsi="仿宋_GB2312" w:eastAsia="仿宋_GB2312" w:cs="仿宋_GB2312"/>
          <w:sz w:val="28"/>
          <w:szCs w:val="28"/>
          <w:u w:val="single"/>
          <w:lang w:val="zh-CN"/>
        </w:rPr>
        <w:t>22.596192</w:t>
      </w:r>
      <w:r>
        <w:rPr>
          <w:rFonts w:hint="eastAsia" w:ascii="仿宋_GB2312" w:hAnsi="仿宋_GB2312" w:eastAsia="仿宋_GB2312" w:cs="仿宋_GB2312"/>
          <w:sz w:val="28"/>
          <w:szCs w:val="28"/>
          <w:u w:val="single"/>
          <w:lang w:val="zh-CN"/>
        </w:rPr>
        <w:t>万元（人民币）</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项目内容及需求：(工程概况)</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对我公司无纸化、视频会议系统开展维保服务，详见第二部分项目内容。</w:t>
      </w:r>
    </w:p>
    <w:p>
      <w:pPr>
        <w:numPr>
          <w:ilvl w:val="0"/>
          <w:numId w:val="1"/>
        </w:numPr>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报价单位资格要求：</w:t>
      </w:r>
    </w:p>
    <w:p>
      <w:pPr>
        <w:pStyle w:val="38"/>
        <w:autoSpaceDE w:val="0"/>
        <w:autoSpaceDN w:val="0"/>
        <w:ind w:firstLine="560"/>
        <w:jc w:val="left"/>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rPr>
        <w:t>1.</w:t>
      </w:r>
      <w:r>
        <w:rPr>
          <w:rFonts w:ascii="仿宋_GB2312" w:hAnsi="仿宋_GB2312" w:eastAsia="仿宋_GB2312" w:cs="仿宋_GB2312"/>
          <w:sz w:val="28"/>
          <w:szCs w:val="28"/>
          <w:u w:val="single"/>
          <w:lang w:val="zh-CN"/>
        </w:rPr>
        <w:t>报价单位须是在中华人民共和国境内注册的独立法人或其他组织，</w:t>
      </w:r>
      <w:r>
        <w:rPr>
          <w:rFonts w:hint="eastAsia" w:ascii="仿宋_GB2312" w:hAnsi="仿宋_GB2312" w:eastAsia="仿宋_GB2312" w:cs="仿宋_GB2312"/>
          <w:sz w:val="28"/>
          <w:szCs w:val="28"/>
          <w:u w:val="single"/>
        </w:rPr>
        <w:t>具有独立法人资格，</w:t>
      </w:r>
      <w:r>
        <w:rPr>
          <w:rFonts w:ascii="仿宋_GB2312" w:hAnsi="仿宋_GB2312" w:eastAsia="仿宋_GB2312" w:cs="仿宋_GB2312"/>
          <w:sz w:val="28"/>
          <w:szCs w:val="28"/>
          <w:u w:val="single"/>
          <w:lang w:val="zh-CN"/>
        </w:rPr>
        <w:t>持有工商行政管理部门核发的营业执照，且能开具增值税发票</w:t>
      </w:r>
      <w:r>
        <w:rPr>
          <w:rFonts w:hint="eastAsia" w:ascii="仿宋_GB2312" w:hAnsi="仿宋_GB2312" w:eastAsia="仿宋_GB2312" w:cs="仿宋_GB2312"/>
          <w:sz w:val="28"/>
          <w:szCs w:val="28"/>
          <w:u w:val="single"/>
          <w:lang w:val="zh-CN"/>
        </w:rPr>
        <w:t>；</w:t>
      </w:r>
    </w:p>
    <w:p>
      <w:pPr>
        <w:pStyle w:val="38"/>
        <w:autoSpaceDE w:val="0"/>
        <w:autoSpaceDN w:val="0"/>
        <w:ind w:firstLine="560"/>
        <w:jc w:val="left"/>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2.业绩要求：2018年1月1日至今，至少具有一项无纸化或视频会议系统</w:t>
      </w:r>
      <w:r>
        <w:rPr>
          <w:rFonts w:hint="eastAsia" w:ascii="仿宋_GB2312" w:hAnsi="仿宋_GB2312" w:eastAsia="仿宋_GB2312" w:cs="仿宋_GB2312"/>
          <w:color w:val="000000"/>
          <w:sz w:val="28"/>
          <w:szCs w:val="28"/>
          <w:u w:val="single"/>
        </w:rPr>
        <w:t>维保</w:t>
      </w:r>
      <w:r>
        <w:rPr>
          <w:rFonts w:hint="eastAsia" w:ascii="仿宋_GB2312" w:hAnsi="仿宋_GB2312" w:eastAsia="仿宋_GB2312" w:cs="仿宋_GB2312"/>
          <w:color w:val="000000"/>
          <w:sz w:val="28"/>
          <w:szCs w:val="28"/>
          <w:u w:val="single"/>
          <w:lang w:val="zh-CN"/>
        </w:rPr>
        <w:t>服务业绩（提供合同复印件证明，包括但不限于项目名称、金额及实施内容、合同双方签字盖章、签订日期，并加盖单位公章）。</w:t>
      </w:r>
    </w:p>
    <w:p>
      <w:pPr>
        <w:pStyle w:val="38"/>
        <w:autoSpaceDE w:val="0"/>
        <w:autoSpaceDN w:val="0"/>
        <w:ind w:firstLine="560"/>
        <w:jc w:val="left"/>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u w:val="single"/>
          <w:lang w:val="zh-CN"/>
        </w:rPr>
        <w:t>3</w:t>
      </w:r>
      <w:r>
        <w:rPr>
          <w:rFonts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sz w:val="28"/>
          <w:szCs w:val="28"/>
          <w:u w:val="single"/>
          <w:lang w:val="zh-CN"/>
        </w:rPr>
        <w:t>授权要求：</w:t>
      </w:r>
      <w:r>
        <w:rPr>
          <w:rFonts w:hint="eastAsia" w:ascii="仿宋_GB2312" w:hAnsi="仿宋_GB2312" w:eastAsia="仿宋_GB2312" w:cs="仿宋_GB2312"/>
          <w:color w:val="000000"/>
          <w:sz w:val="28"/>
          <w:szCs w:val="28"/>
          <w:u w:val="single"/>
        </w:rPr>
        <w:t>报价单位</w:t>
      </w:r>
      <w:r>
        <w:rPr>
          <w:rFonts w:hint="eastAsia" w:ascii="仿宋_GB2312" w:hAnsi="仿宋_GB2312" w:eastAsia="仿宋_GB2312" w:cs="仿宋_GB2312"/>
          <w:color w:val="000000"/>
          <w:sz w:val="28"/>
          <w:szCs w:val="28"/>
          <w:u w:val="single"/>
          <w:lang w:val="zh-CN"/>
        </w:rPr>
        <w:t>须</w:t>
      </w:r>
      <w:r>
        <w:rPr>
          <w:rFonts w:hint="eastAsia" w:ascii="仿宋_GB2312" w:hAnsi="仿宋_GB2312" w:eastAsia="仿宋_GB2312" w:cs="仿宋_GB2312"/>
          <w:color w:val="000000"/>
          <w:sz w:val="28"/>
          <w:szCs w:val="28"/>
          <w:u w:val="single"/>
        </w:rPr>
        <w:t>取得</w:t>
      </w:r>
      <w:r>
        <w:rPr>
          <w:rFonts w:hint="eastAsia" w:ascii="仿宋_GB2312" w:hAnsi="仿宋_GB2312" w:eastAsia="仿宋_GB2312" w:cs="仿宋_GB2312"/>
          <w:color w:val="000000"/>
          <w:sz w:val="28"/>
          <w:szCs w:val="28"/>
          <w:u w:val="single"/>
          <w:lang w:val="zh-CN"/>
        </w:rPr>
        <w:t>ITC</w:t>
      </w:r>
      <w:r>
        <w:rPr>
          <w:rFonts w:hint="eastAsia" w:ascii="仿宋_GB2312" w:hAnsi="仿宋_GB2312" w:eastAsia="仿宋_GB2312" w:cs="仿宋_GB2312"/>
          <w:color w:val="auto"/>
          <w:sz w:val="28"/>
          <w:szCs w:val="28"/>
          <w:u w:val="single"/>
          <w:lang w:val="zh-CN"/>
        </w:rPr>
        <w:t>、道天勤</w:t>
      </w:r>
      <w:r>
        <w:rPr>
          <w:rFonts w:hint="eastAsia" w:ascii="仿宋_GB2312" w:hAnsi="仿宋_GB2312" w:eastAsia="仿宋_GB2312" w:cs="仿宋_GB2312"/>
          <w:color w:val="000000"/>
          <w:sz w:val="28"/>
          <w:szCs w:val="28"/>
          <w:u w:val="single"/>
          <w:lang w:val="zh-CN"/>
        </w:rPr>
        <w:t>原厂授权文件，授权关系</w:t>
      </w:r>
      <w:r>
        <w:rPr>
          <w:rFonts w:hint="eastAsia" w:ascii="仿宋_GB2312" w:hAnsi="仿宋_GB2312" w:eastAsia="仿宋_GB2312" w:cs="仿宋_GB2312"/>
          <w:color w:val="000000"/>
          <w:sz w:val="28"/>
          <w:szCs w:val="28"/>
          <w:u w:val="single"/>
        </w:rPr>
        <w:t>须</w:t>
      </w:r>
      <w:r>
        <w:rPr>
          <w:rFonts w:hint="eastAsia" w:ascii="仿宋_GB2312" w:hAnsi="仿宋_GB2312" w:eastAsia="仿宋_GB2312" w:cs="仿宋_GB2312"/>
          <w:color w:val="000000"/>
          <w:sz w:val="28"/>
          <w:szCs w:val="28"/>
          <w:u w:val="single"/>
          <w:lang w:val="zh-CN"/>
        </w:rPr>
        <w:t>完整明确。</w:t>
      </w:r>
    </w:p>
    <w:p>
      <w:pPr>
        <w:autoSpaceDE w:val="0"/>
        <w:autoSpaceDN w:val="0"/>
        <w:spacing w:line="54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、现场踏勘(答疑会)时间地点（也可由报价人自行踏勘现场）：/</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26</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26</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26</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sz w:val="28"/>
          <w:szCs w:val="28"/>
        </w:rPr>
        <w:t>注：基于近期疫情防控形势，授权委托人须出示健康码绿码、14日内的行程码及疫苗接种情况，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十一、评审时间：2021年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十二、评审地点：广州市净水有限公司六楼招标办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询价人：</w:t>
      </w:r>
      <w:r>
        <w:rPr>
          <w:rFonts w:hint="eastAsia" w:ascii="仿宋_GB2312" w:hAnsi="仿宋_GB2312" w:eastAsia="仿宋_GB2312" w:cs="仿宋_GB2312"/>
          <w:color w:val="000000"/>
          <w:sz w:val="28"/>
          <w:szCs w:val="28"/>
        </w:rPr>
        <w:t>广州市净水有限公司</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联系地址：广州市天河区临江大道501号 </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黄</w:t>
      </w:r>
      <w:r>
        <w:rPr>
          <w:rFonts w:hint="eastAsia" w:ascii="仿宋_GB2312" w:hAnsi="仿宋_GB2312" w:eastAsia="仿宋_GB2312" w:cs="仿宋_GB2312"/>
          <w:color w:val="000000"/>
          <w:kern w:val="0"/>
          <w:sz w:val="28"/>
          <w:szCs w:val="28"/>
        </w:rPr>
        <w:t>工                 联系方式：020-</w:t>
      </w:r>
      <w:r>
        <w:rPr>
          <w:rFonts w:hint="eastAsia" w:ascii="仿宋_GB2312" w:hAnsi="仿宋_GB2312" w:eastAsia="仿宋_GB2312" w:cs="仿宋_GB2312"/>
          <w:color w:val="000000"/>
          <w:kern w:val="0"/>
          <w:sz w:val="28"/>
          <w:szCs w:val="28"/>
          <w:lang w:val="en-US" w:eastAsia="zh-CN"/>
        </w:rPr>
        <w:t>62315524</w:t>
      </w:r>
    </w:p>
    <w:p>
      <w:pPr>
        <w:ind w:firstLine="4340" w:firstLineChars="15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spacing w:line="300" w:lineRule="auto"/>
        <w:ind w:firstLine="3920" w:firstLineChars="1400"/>
        <w:rPr>
          <w:rFonts w:ascii="仿宋" w:hAnsi="仿宋" w:eastAsia="仿宋" w:cs="仿宋_GB2312"/>
          <w:sz w:val="28"/>
          <w:szCs w:val="28"/>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日</w:t>
      </w:r>
    </w:p>
    <w:p>
      <w:pPr>
        <w:rPr>
          <w:rFonts w:ascii="仿宋_GB2312" w:hAnsi="仿宋_GB2312" w:eastAsia="仿宋_GB2312" w:cs="仿宋_GB2312"/>
          <w:sz w:val="28"/>
          <w:szCs w:val="28"/>
        </w:rPr>
        <w:sectPr>
          <w:headerReference r:id="rId3" w:type="default"/>
          <w:footerReference r:id="rId4" w:type="default"/>
          <w:footerReference r:id="rId5" w:type="even"/>
          <w:pgSz w:w="11906" w:h="16838"/>
          <w:pgMar w:top="1985" w:right="1531" w:bottom="1985" w:left="1531" w:header="851" w:footer="992" w:gutter="0"/>
          <w:cols w:space="720" w:num="1"/>
          <w:docGrid w:type="linesAndChars" w:linePitch="312" w:charSpace="0"/>
        </w:sectPr>
      </w:pPr>
    </w:p>
    <w:p>
      <w:pPr>
        <w:pStyle w:val="21"/>
        <w:rPr>
          <w:rFonts w:ascii="仿宋_GB2312" w:hAnsi="仿宋_GB2312" w:eastAsia="仿宋_GB2312" w:cs="仿宋_GB2312"/>
          <w:sz w:val="28"/>
          <w:szCs w:val="28"/>
          <w:lang w:val="zh-CN"/>
        </w:rPr>
      </w:pPr>
      <w:r>
        <w:rPr>
          <w:rFonts w:hint="eastAsia"/>
          <w:sz w:val="36"/>
          <w:lang w:val="zh-CN"/>
        </w:rPr>
        <w:t xml:space="preserve">第二部分 </w:t>
      </w:r>
      <w:r>
        <w:rPr>
          <w:rFonts w:hint="eastAsia"/>
          <w:sz w:val="36"/>
        </w:rPr>
        <w:t xml:space="preserve"> </w:t>
      </w:r>
      <w:r>
        <w:rPr>
          <w:rFonts w:hint="eastAsia"/>
          <w:sz w:val="36"/>
          <w:lang w:val="zh-CN"/>
        </w:rPr>
        <w:t>项目内容</w:t>
      </w:r>
    </w:p>
    <w:p>
      <w:pPr>
        <w:pStyle w:val="3"/>
        <w:rPr>
          <w:rFonts w:ascii="仿宋_GB2312"/>
          <w:sz w:val="32"/>
          <w:szCs w:val="32"/>
        </w:rPr>
      </w:pPr>
      <w:r>
        <w:rPr>
          <w:rFonts w:hint="eastAsia" w:ascii="仿宋_GB2312"/>
          <w:sz w:val="32"/>
          <w:szCs w:val="32"/>
        </w:rPr>
        <w:t>一、项目需求：</w:t>
      </w:r>
    </w:p>
    <w:p>
      <w:pPr>
        <w:pStyle w:val="40"/>
        <w:ind w:firstLine="560"/>
        <w:rPr>
          <w:rFonts w:ascii="仿宋_GB2312" w:eastAsia="仿宋_GB2312"/>
          <w:sz w:val="28"/>
          <w:szCs w:val="28"/>
        </w:rPr>
      </w:pPr>
      <w:r>
        <w:rPr>
          <w:rFonts w:hint="eastAsia" w:ascii="仿宋_GB2312" w:eastAsia="仿宋_GB2312"/>
          <w:sz w:val="28"/>
          <w:szCs w:val="28"/>
        </w:rPr>
        <w:t>为满足公司会议需求，保障无纸化会议、视频会议效果，对无纸化会议系统、视频会议系统、LED大屏相关设备、软件、辅助材料进行维护，保障无纸化会议系统、视频会议系统稳定运行。</w:t>
      </w:r>
    </w:p>
    <w:p>
      <w:pPr>
        <w:pStyle w:val="3"/>
        <w:rPr>
          <w:rFonts w:ascii="仿宋_GB2312" w:eastAsia="仿宋_GB2312"/>
          <w:sz w:val="32"/>
          <w:szCs w:val="32"/>
        </w:rPr>
      </w:pPr>
      <w:r>
        <w:rPr>
          <w:rFonts w:hint="eastAsia" w:ascii="仿宋_GB2312" w:eastAsia="仿宋_GB2312"/>
          <w:sz w:val="32"/>
          <w:szCs w:val="32"/>
        </w:rPr>
        <w:t>二、服务内容</w:t>
      </w:r>
    </w:p>
    <w:p>
      <w:pPr>
        <w:pStyle w:val="4"/>
        <w:rPr>
          <w:sz w:val="28"/>
          <w:szCs w:val="28"/>
        </w:rPr>
      </w:pPr>
      <w:r>
        <w:rPr>
          <w:rFonts w:hint="eastAsia"/>
          <w:sz w:val="28"/>
          <w:szCs w:val="28"/>
        </w:rPr>
        <w:t>（一）设备维保</w:t>
      </w:r>
    </w:p>
    <w:p>
      <w:pPr>
        <w:spacing w:line="480" w:lineRule="auto"/>
        <w:ind w:firstLine="420" w:firstLineChars="200"/>
      </w:pPr>
      <w:r>
        <w:rPr>
          <w:rFonts w:hint="eastAsia"/>
        </w:rPr>
        <w:t>对视频会议系统、无纸化会议系统相关设备进行维保，设备清单如下：</w:t>
      </w:r>
    </w:p>
    <w:tbl>
      <w:tblPr>
        <w:tblStyle w:val="23"/>
        <w:tblW w:w="9783" w:type="dxa"/>
        <w:tblInd w:w="108" w:type="dxa"/>
        <w:tblLayout w:type="autofit"/>
        <w:tblCellMar>
          <w:top w:w="0" w:type="dxa"/>
          <w:left w:w="108" w:type="dxa"/>
          <w:bottom w:w="0" w:type="dxa"/>
          <w:right w:w="108" w:type="dxa"/>
        </w:tblCellMar>
      </w:tblPr>
      <w:tblGrid>
        <w:gridCol w:w="848"/>
        <w:gridCol w:w="2271"/>
        <w:gridCol w:w="916"/>
        <w:gridCol w:w="1496"/>
        <w:gridCol w:w="850"/>
        <w:gridCol w:w="851"/>
        <w:gridCol w:w="1415"/>
        <w:gridCol w:w="1136"/>
      </w:tblGrid>
      <w:tr>
        <w:tblPrEx>
          <w:tblCellMar>
            <w:top w:w="0" w:type="dxa"/>
            <w:left w:w="108" w:type="dxa"/>
            <w:bottom w:w="0" w:type="dxa"/>
            <w:right w:w="108" w:type="dxa"/>
          </w:tblCellMar>
        </w:tblPrEx>
        <w:trPr>
          <w:trHeight w:val="416" w:hRule="atLeast"/>
        </w:trPr>
        <w:tc>
          <w:tcPr>
            <w:tcW w:w="8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内容</w:t>
            </w:r>
          </w:p>
        </w:tc>
        <w:tc>
          <w:tcPr>
            <w:tcW w:w="22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设备或材料名称</w:t>
            </w:r>
          </w:p>
        </w:tc>
        <w:tc>
          <w:tcPr>
            <w:tcW w:w="9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品牌</w:t>
            </w:r>
          </w:p>
        </w:tc>
        <w:tc>
          <w:tcPr>
            <w:tcW w:w="14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14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服务期</w:t>
            </w:r>
          </w:p>
        </w:tc>
        <w:tc>
          <w:tcPr>
            <w:tcW w:w="11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281" w:hRule="atLeast"/>
        </w:trPr>
        <w:tc>
          <w:tcPr>
            <w:tcW w:w="84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主会场视频会议系统</w:t>
            </w: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调音台</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TS-16P-4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5</w:t>
            </w:r>
            <w:r>
              <w:rPr>
                <w:rFonts w:hint="eastAsia" w:ascii="宋体" w:hAnsi="宋体" w:cs="宋体"/>
                <w:color w:val="000000"/>
                <w:kern w:val="0"/>
                <w:sz w:val="22"/>
                <w:szCs w:val="22"/>
              </w:rPr>
              <w:t>个月</w:t>
            </w:r>
          </w:p>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6"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70"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抑制器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TS-224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7"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电源时序器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TS-820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38"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会议系统主机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TS-W100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4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会议主席单元</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XM-0202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65"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会议代表单元</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XM-0202A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68"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视频会议主机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VCS8000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TV-620HC</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67"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视频转换器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NT90HDB</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8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视频切换器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TS-9104UHM</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62"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摄像跟踪主机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TS-0699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3"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NT90MB</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28"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系统软件及升级维护</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93"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辅材及其他</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90" w:hRule="atLeast"/>
        </w:trPr>
        <w:tc>
          <w:tcPr>
            <w:tcW w:w="84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主会场LED大屏</w:t>
            </w: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小间距全彩LED显示屏</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TV-PH166-YM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1415"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97"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发送卡</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TV-81OS4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41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00"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接收卡</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TV-81RI5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41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多画面拼接处理器 </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TV-8910P</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41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66"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屏体包边装饰</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定制</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141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88" w:hRule="atLeast"/>
        </w:trPr>
        <w:tc>
          <w:tcPr>
            <w:tcW w:w="84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pPr>
            <w:r>
              <w:rPr>
                <w:rFonts w:hint="eastAsia" w:ascii="宋体" w:hAnsi="宋体" w:cs="宋体"/>
                <w:color w:val="000000"/>
                <w:kern w:val="0"/>
                <w:sz w:val="24"/>
              </w:rPr>
              <w:t>无纸化会议系统</w:t>
            </w: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无纸化会议系统主机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道天勤</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DTY-913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r>
              <w:rPr>
                <w:rFonts w:hint="eastAsia" w:ascii="宋体" w:hAnsi="宋体" w:cs="宋体"/>
                <w:color w:val="000000"/>
                <w:kern w:val="0"/>
                <w:sz w:val="22"/>
                <w:szCs w:val="22"/>
              </w:rPr>
              <w:t>个月</w:t>
            </w:r>
          </w:p>
        </w:tc>
        <w:tc>
          <w:tcPr>
            <w:tcW w:w="11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62"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大屏同步终端</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道天勤</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DTY-833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2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平板电脑</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华为</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MatePad Pro</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5"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平板专用笔套装</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华为</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M-Pencil</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33"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无线控制器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H3C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WX2510H-PWR</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41"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企业无线路由器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H3C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WA5530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分布式综合管理平台</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AY-713A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7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分布式采集盒</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AY-711HK</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66"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分布式输出盒</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AY-712AK</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62"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系统软件及升级维护</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62"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辅材及其他</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7" w:hRule="atLeast"/>
        </w:trPr>
        <w:tc>
          <w:tcPr>
            <w:tcW w:w="848"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4"/>
              </w:rPr>
              <w:t>分会场视频会议系统</w:t>
            </w: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NT90MB</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5个月</w:t>
            </w:r>
          </w:p>
        </w:tc>
        <w:tc>
          <w:tcPr>
            <w:tcW w:w="11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大坦沙、沥滘、石井、石井净、西朗、龙归、大沙地、竹料、京溪、从化1</w:t>
            </w:r>
            <w:r>
              <w:rPr>
                <w:rFonts w:ascii="宋体" w:hAnsi="宋体" w:cs="宋体"/>
                <w:color w:val="000000"/>
                <w:kern w:val="0"/>
                <w:sz w:val="20"/>
                <w:szCs w:val="20"/>
              </w:rPr>
              <w:t>0</w:t>
            </w:r>
            <w:r>
              <w:rPr>
                <w:rFonts w:hint="eastAsia" w:ascii="宋体" w:hAnsi="宋体" w:cs="宋体"/>
                <w:color w:val="000000"/>
                <w:kern w:val="0"/>
                <w:sz w:val="20"/>
                <w:szCs w:val="20"/>
              </w:rPr>
              <w:t>个分会场</w:t>
            </w:r>
          </w:p>
        </w:tc>
      </w:tr>
      <w:tr>
        <w:trPr>
          <w:trHeight w:val="415"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TV-612USB</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279"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无线话筒</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T-521UZ</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2045"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有源音箱</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T-250H</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86" w:hRule="atLeast"/>
        </w:trPr>
        <w:tc>
          <w:tcPr>
            <w:tcW w:w="848"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新建分会场会议系统</w:t>
            </w:r>
          </w:p>
        </w:tc>
        <w:tc>
          <w:tcPr>
            <w:tcW w:w="22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NT90MB</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r>
              <w:rPr>
                <w:rFonts w:hint="eastAsia" w:ascii="宋体" w:hAnsi="宋体" w:cs="宋体"/>
                <w:color w:val="000000"/>
                <w:kern w:val="0"/>
                <w:sz w:val="22"/>
                <w:szCs w:val="22"/>
              </w:rPr>
              <w:t>个月</w:t>
            </w:r>
          </w:p>
        </w:tc>
        <w:tc>
          <w:tcPr>
            <w:tcW w:w="11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猎德（备用主会场）、水质中心、大观、健康城、江高</w:t>
            </w:r>
            <w:r>
              <w:rPr>
                <w:rFonts w:ascii="宋体" w:hAnsi="宋体" w:cs="宋体"/>
                <w:color w:val="000000"/>
                <w:kern w:val="0"/>
                <w:sz w:val="20"/>
                <w:szCs w:val="20"/>
              </w:rPr>
              <w:t>5</w:t>
            </w:r>
            <w:r>
              <w:rPr>
                <w:rFonts w:hint="eastAsia" w:ascii="宋体" w:hAnsi="宋体" w:cs="宋体"/>
                <w:color w:val="000000"/>
                <w:kern w:val="0"/>
                <w:sz w:val="20"/>
                <w:szCs w:val="20"/>
              </w:rPr>
              <w:t>个分会场</w:t>
            </w:r>
          </w:p>
        </w:tc>
      </w:tr>
      <w:tr>
        <w:tblPrEx>
          <w:tblCellMar>
            <w:top w:w="0" w:type="dxa"/>
            <w:left w:w="108" w:type="dxa"/>
            <w:bottom w:w="0" w:type="dxa"/>
            <w:right w:w="108" w:type="dxa"/>
          </w:tblCellMar>
        </w:tblPrEx>
        <w:trPr>
          <w:trHeight w:val="420" w:hRule="atLeast"/>
        </w:trPr>
        <w:tc>
          <w:tcPr>
            <w:tcW w:w="848" w:type="dxa"/>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TV-612USB</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13" w:hRule="atLeast"/>
        </w:trPr>
        <w:tc>
          <w:tcPr>
            <w:tcW w:w="848" w:type="dxa"/>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无线话筒</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T-521UH</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18" w:hRule="atLeast"/>
        </w:trPr>
        <w:tc>
          <w:tcPr>
            <w:tcW w:w="848" w:type="dxa"/>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有源音箱</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T-250H</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24" w:hRule="atLeast"/>
        </w:trPr>
        <w:tc>
          <w:tcPr>
            <w:tcW w:w="848"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会议系统主机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TS-W100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5" w:hRule="atLeast"/>
        </w:trPr>
        <w:tc>
          <w:tcPr>
            <w:tcW w:w="848"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会议主席单元</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XM-0202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4" w:hRule="atLeast"/>
        </w:trPr>
        <w:tc>
          <w:tcPr>
            <w:tcW w:w="848"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会议代表单元</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XM-0202A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48"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HDMI矩阵切换器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Unnlink</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matrix 8x8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89" w:hRule="atLeast"/>
        </w:trPr>
        <w:tc>
          <w:tcPr>
            <w:tcW w:w="8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辅材及其他</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bl>
    <w:p>
      <w:pPr>
        <w:pStyle w:val="4"/>
        <w:rPr>
          <w:sz w:val="28"/>
          <w:szCs w:val="28"/>
        </w:rPr>
      </w:pPr>
      <w:r>
        <w:rPr>
          <w:rFonts w:hint="eastAsia"/>
          <w:sz w:val="28"/>
          <w:szCs w:val="28"/>
        </w:rPr>
        <w:t>（二）软件维护升级</w:t>
      </w:r>
    </w:p>
    <w:p>
      <w:pPr>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视频会议系统软件维护升级</w:t>
      </w:r>
    </w:p>
    <w:p>
      <w:pPr>
        <w:ind w:firstLine="560" w:firstLineChars="200"/>
        <w:rPr>
          <w:rFonts w:ascii="仿宋_GB2312" w:eastAsia="仿宋_GB2312"/>
          <w:sz w:val="28"/>
          <w:szCs w:val="28"/>
        </w:rPr>
      </w:pPr>
      <w:r>
        <w:rPr>
          <w:rFonts w:hint="eastAsia" w:ascii="仿宋_GB2312" w:eastAsia="仿宋_GB2312"/>
          <w:sz w:val="28"/>
          <w:szCs w:val="28"/>
        </w:rPr>
        <w:t>对LED大屏幕控制软件、会议系统音频传输内嵌软件、会议主席控制内嵌软件、会议代表控制内嵌软件、视频会议MCU嵌入软件、视频会议终端嵌入软件</w:t>
      </w:r>
      <w:r>
        <w:rPr>
          <w:rFonts w:hint="eastAsia" w:ascii="微软雅黑" w:hAnsi="微软雅黑" w:eastAsia="微软雅黑" w:cs="微软雅黑"/>
          <w:sz w:val="28"/>
          <w:szCs w:val="28"/>
        </w:rPr>
        <w:t>﹑</w:t>
      </w:r>
      <w:r>
        <w:rPr>
          <w:rFonts w:hint="eastAsia" w:ascii="仿宋_GB2312" w:hAnsi="仿宋_GB2312" w:eastAsia="仿宋_GB2312" w:cs="仿宋_GB2312"/>
          <w:sz w:val="28"/>
          <w:szCs w:val="28"/>
        </w:rPr>
        <w:t>视频会议专用摄像头内嵌软件、无缝混插矩阵切换内嵌软件、话筒呼叫控制嵌入软件等软件进行维护升级，保障视频会议系</w:t>
      </w:r>
      <w:r>
        <w:rPr>
          <w:rFonts w:hint="eastAsia" w:ascii="仿宋_GB2312" w:eastAsia="仿宋_GB2312"/>
          <w:sz w:val="28"/>
          <w:szCs w:val="28"/>
        </w:rPr>
        <w:t>统运行稳定。</w:t>
      </w:r>
    </w:p>
    <w:p>
      <w:pPr>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无纸化会议系统软件维护升级</w:t>
      </w:r>
    </w:p>
    <w:p>
      <w:pPr>
        <w:ind w:firstLine="560" w:firstLineChars="200"/>
        <w:rPr>
          <w:rFonts w:ascii="仿宋_GB2312" w:eastAsia="仿宋_GB2312"/>
          <w:sz w:val="28"/>
          <w:szCs w:val="28"/>
        </w:rPr>
      </w:pPr>
      <w:r>
        <w:rPr>
          <w:rFonts w:hint="eastAsia" w:ascii="仿宋_GB2312" w:eastAsia="仿宋_GB2312"/>
          <w:sz w:val="28"/>
          <w:szCs w:val="28"/>
        </w:rPr>
        <w:t>对无纸化会议服务端管理软件、大屏同步终端嵌入软件、无纸化会议客户端软件、分布式拼接显示系统终端嵌入式软件、分布式综合管理平台嵌入软件、分布式拼接显示系统管理软件、分布式拼接显示系统终端嵌入式软件进行维护升级，保障无纸化会议系统运行稳定。</w:t>
      </w:r>
    </w:p>
    <w:p>
      <w:pPr>
        <w:pStyle w:val="4"/>
        <w:ind w:left="420"/>
        <w:rPr>
          <w:rFonts w:ascii="仿宋_GB2312"/>
          <w:sz w:val="28"/>
          <w:szCs w:val="28"/>
        </w:rPr>
      </w:pPr>
      <w:r>
        <w:rPr>
          <w:rFonts w:hint="eastAsia" w:ascii="仿宋_GB2312"/>
          <w:sz w:val="28"/>
          <w:szCs w:val="28"/>
        </w:rPr>
        <w:t>（三）定期检查工作</w:t>
      </w:r>
    </w:p>
    <w:p>
      <w:pPr>
        <w:ind w:firstLine="560" w:firstLineChars="200"/>
        <w:rPr>
          <w:rFonts w:ascii="仿宋_GB2312" w:eastAsia="仿宋_GB2312"/>
          <w:sz w:val="28"/>
          <w:szCs w:val="28"/>
        </w:rPr>
      </w:pPr>
      <w:r>
        <w:rPr>
          <w:rFonts w:hint="eastAsia" w:ascii="仿宋_GB2312" w:eastAsia="仿宋_GB2312"/>
          <w:sz w:val="28"/>
          <w:szCs w:val="28"/>
        </w:rPr>
        <w:t>1.定期开展视频会议系统主会场、无纸化会议系统检查工作，每月开展一次检查，并出具检查报告。</w:t>
      </w:r>
    </w:p>
    <w:p>
      <w:pPr>
        <w:pStyle w:val="42"/>
        <w:spacing w:line="360" w:lineRule="auto"/>
        <w:ind w:firstLine="56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.更新、完善视频会议系统、无纸化会议系统相关操作手册。</w:t>
      </w:r>
    </w:p>
    <w:p>
      <w:pPr>
        <w:pStyle w:val="3"/>
        <w:rPr>
          <w:rFonts w:ascii="仿宋_GB2312" w:eastAsia="仿宋_GB2312"/>
          <w:sz w:val="32"/>
          <w:szCs w:val="32"/>
        </w:rPr>
      </w:pPr>
      <w:r>
        <w:rPr>
          <w:rFonts w:hint="eastAsia" w:ascii="仿宋_GB2312" w:eastAsia="仿宋_GB2312"/>
          <w:sz w:val="32"/>
          <w:szCs w:val="32"/>
        </w:rPr>
        <w:t>三、项目商务要求</w:t>
      </w:r>
    </w:p>
    <w:p>
      <w:pPr>
        <w:pStyle w:val="42"/>
        <w:spacing w:line="360" w:lineRule="auto"/>
        <w:ind w:firstLine="56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服务起止时间：自合同签订起至2</w:t>
      </w:r>
      <w:r>
        <w:rPr>
          <w:rFonts w:ascii="仿宋_GB2312" w:eastAsia="仿宋_GB2312"/>
          <w:sz w:val="28"/>
          <w:szCs w:val="28"/>
        </w:rPr>
        <w:t>022</w:t>
      </w:r>
      <w:r>
        <w:rPr>
          <w:rFonts w:hint="eastAsia" w:ascii="仿宋_GB2312" w:eastAsia="仿宋_GB2312"/>
          <w:sz w:val="28"/>
          <w:szCs w:val="28"/>
        </w:rPr>
        <w:t>年1</w:t>
      </w:r>
      <w:r>
        <w:rPr>
          <w:rFonts w:ascii="仿宋_GB2312" w:eastAsia="仿宋_GB2312"/>
          <w:sz w:val="28"/>
          <w:szCs w:val="28"/>
        </w:rPr>
        <w:t>2</w:t>
      </w:r>
      <w:r>
        <w:rPr>
          <w:rFonts w:hint="eastAsia" w:ascii="仿宋_GB2312" w:eastAsia="仿宋_GB2312"/>
          <w:sz w:val="28"/>
          <w:szCs w:val="28"/>
        </w:rPr>
        <w:t>月3</w:t>
      </w:r>
      <w:r>
        <w:rPr>
          <w:rFonts w:ascii="仿宋_GB2312" w:eastAsia="仿宋_GB2312"/>
          <w:sz w:val="28"/>
          <w:szCs w:val="28"/>
        </w:rPr>
        <w:t>1</w:t>
      </w:r>
      <w:r>
        <w:rPr>
          <w:rFonts w:hint="eastAsia" w:ascii="仿宋_GB2312" w:eastAsia="仿宋_GB2312"/>
          <w:sz w:val="28"/>
          <w:szCs w:val="28"/>
        </w:rPr>
        <w:t>日。</w:t>
      </w:r>
    </w:p>
    <w:p>
      <w:pPr>
        <w:spacing w:line="500" w:lineRule="exact"/>
        <w:ind w:firstLine="562"/>
        <w:rPr>
          <w:rFonts w:ascii="仿宋_GB2312" w:hAnsi="Calibri" w:eastAsia="仿宋_GB2312"/>
          <w:sz w:val="28"/>
          <w:szCs w:val="28"/>
        </w:rPr>
      </w:pPr>
      <w:r>
        <w:rPr>
          <w:rFonts w:hint="eastAsia" w:ascii="仿宋_GB2312" w:hAnsi="Calibri" w:eastAsia="仿宋_GB2312"/>
          <w:sz w:val="28"/>
          <w:szCs w:val="28"/>
        </w:rPr>
        <w:t>（1）公司主会场及10个分会场视频会议系统维保服务期：自合同签订起-2022年12月31日；</w:t>
      </w:r>
    </w:p>
    <w:p>
      <w:pPr>
        <w:spacing w:line="500" w:lineRule="exact"/>
        <w:ind w:firstLine="562"/>
        <w:rPr>
          <w:rFonts w:ascii="仿宋_GB2312" w:hAnsi="Calibri" w:eastAsia="仿宋_GB2312"/>
          <w:sz w:val="28"/>
          <w:szCs w:val="28"/>
        </w:rPr>
      </w:pPr>
      <w:r>
        <w:rPr>
          <w:rFonts w:hint="eastAsia" w:ascii="仿宋_GB2312" w:hAnsi="Calibri" w:eastAsia="仿宋_GB2312"/>
          <w:sz w:val="28"/>
          <w:szCs w:val="28"/>
        </w:rPr>
        <w:t>（2）猎德备用主会场及4个分会场维保服务期：2021年12月15日-2022年12月31日；</w:t>
      </w:r>
    </w:p>
    <w:p>
      <w:pPr>
        <w:spacing w:line="500" w:lineRule="exact"/>
        <w:ind w:firstLine="562"/>
        <w:rPr>
          <w:rFonts w:ascii="仿宋_GB2312" w:hAnsi="Calibri" w:eastAsia="仿宋_GB2312"/>
          <w:sz w:val="28"/>
          <w:szCs w:val="28"/>
        </w:rPr>
      </w:pPr>
      <w:r>
        <w:rPr>
          <w:rFonts w:hint="eastAsia" w:ascii="仿宋_GB2312" w:hAnsi="Calibri" w:eastAsia="仿宋_GB2312"/>
          <w:sz w:val="28"/>
          <w:szCs w:val="28"/>
        </w:rPr>
        <w:t>（3）无纸化会议系统维保服务期：2021年12月17日-2022年12月31日。</w:t>
      </w:r>
    </w:p>
    <w:p>
      <w:pPr>
        <w:pStyle w:val="42"/>
        <w:spacing w:line="360" w:lineRule="auto"/>
        <w:ind w:firstLine="56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付款方式：采用支票、网银两种支付方式。</w:t>
      </w:r>
    </w:p>
    <w:p>
      <w:pPr>
        <w:pStyle w:val="42"/>
        <w:spacing w:line="360" w:lineRule="auto"/>
        <w:ind w:firstLine="56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.总包及分包规定：本项目不接受分包。</w:t>
      </w:r>
    </w:p>
    <w:p>
      <w:pPr>
        <w:pStyle w:val="42"/>
        <w:spacing w:line="360" w:lineRule="auto"/>
        <w:ind w:firstLine="560"/>
        <w:rPr>
          <w:rFonts w:ascii="仿宋_GB2312" w:eastAsia="仿宋_GB2312"/>
          <w:sz w:val="28"/>
          <w:szCs w:val="28"/>
        </w:rPr>
      </w:pPr>
      <w:r>
        <w:rPr>
          <w:rFonts w:hint="eastAsia" w:ascii="仿宋_GB2312" w:eastAsia="仿宋_GB2312"/>
          <w:sz w:val="28"/>
          <w:szCs w:val="28"/>
        </w:rPr>
        <w:t xml:space="preserve">4.承包方式:总价包干。  </w:t>
      </w:r>
    </w:p>
    <w:p>
      <w:pPr>
        <w:pStyle w:val="42"/>
        <w:spacing w:line="360" w:lineRule="auto"/>
        <w:ind w:firstLine="56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项目结算:项目竣工验收合格后，经甲方或甲方委托有资质第三方机构审核后，若结算审核价比合同暂定总价低，则以结算审核价作为合同结算价，否则以合同暂定总价为合同结算价。</w:t>
      </w:r>
    </w:p>
    <w:p>
      <w:pPr>
        <w:pStyle w:val="42"/>
        <w:spacing w:line="360" w:lineRule="auto"/>
        <w:ind w:firstLine="56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w:t>
      </w:r>
      <w:r>
        <w:rPr>
          <w:rFonts w:ascii="仿宋_GB2312" w:hAnsi="仿宋_GB2312" w:eastAsia="仿宋_GB2312" w:cs="仿宋_GB2312"/>
          <w:color w:val="000000"/>
          <w:sz w:val="28"/>
          <w:szCs w:val="28"/>
          <w:u w:val="none"/>
          <w:lang w:val="zh-CN"/>
        </w:rPr>
        <w:t>项目</w:t>
      </w:r>
      <w:r>
        <w:rPr>
          <w:rFonts w:hint="eastAsia" w:ascii="仿宋_GB2312" w:hAnsi="仿宋_GB2312" w:eastAsia="仿宋_GB2312" w:cs="仿宋_GB2312"/>
          <w:color w:val="000000"/>
          <w:sz w:val="28"/>
          <w:szCs w:val="28"/>
          <w:u w:val="none"/>
        </w:rPr>
        <w:t>负责人要求：</w:t>
      </w:r>
      <w:r>
        <w:rPr>
          <w:rFonts w:hint="eastAsia" w:ascii="仿宋_GB2312" w:hAnsi="仿宋_GB2312" w:eastAsia="仿宋_GB2312" w:cs="仿宋_GB2312"/>
          <w:color w:val="000000"/>
          <w:sz w:val="28"/>
          <w:szCs w:val="28"/>
          <w:u w:val="none"/>
          <w:lang w:val="en-US" w:eastAsia="zh-CN"/>
        </w:rPr>
        <w:t>响应文件须附上</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项目负责人</w:t>
      </w:r>
      <w:r>
        <w:rPr>
          <w:rFonts w:hint="eastAsia" w:ascii="仿宋_GB2312" w:hAnsi="仿宋_GB2312" w:eastAsia="仿宋_GB2312" w:cs="仿宋_GB2312"/>
          <w:color w:val="000000" w:themeColor="text1"/>
          <w:sz w:val="28"/>
          <w:szCs w:val="28"/>
          <w:u w:val="none"/>
          <w14:textFill>
            <w14:solidFill>
              <w14:schemeClr w14:val="tx1"/>
            </w14:solidFill>
          </w14:textFill>
        </w:rPr>
        <w:t>在本单位近三个月社保证明，以加盖社会保险基金管理中心印章的《缴费历史明细表》或《社会保险参保人员证明》为准</w:t>
      </w:r>
      <w:r>
        <w:rPr>
          <w:rFonts w:hint="eastAsia" w:ascii="仿宋_GB2312" w:hAnsi="仿宋_GB2312" w:eastAsia="仿宋_GB2312" w:cs="仿宋_GB2312"/>
          <w:color w:val="000000"/>
          <w:sz w:val="28"/>
          <w:szCs w:val="28"/>
          <w:lang w:val="zh-CN"/>
        </w:rPr>
        <w:t>。</w:t>
      </w:r>
    </w:p>
    <w:p>
      <w:pPr>
        <w:pStyle w:val="42"/>
        <w:spacing w:line="360" w:lineRule="auto"/>
        <w:ind w:firstLine="56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.其它要求：备件要求</w:t>
      </w:r>
    </w:p>
    <w:p>
      <w:pPr>
        <w:pStyle w:val="42"/>
        <w:spacing w:line="360" w:lineRule="auto"/>
        <w:ind w:firstLine="560"/>
        <w:rPr>
          <w:rFonts w:ascii="仿宋_GB2312" w:eastAsia="仿宋_GB2312"/>
          <w:sz w:val="28"/>
          <w:szCs w:val="28"/>
        </w:rPr>
      </w:pPr>
      <w:r>
        <w:rPr>
          <w:rFonts w:hint="eastAsia" w:ascii="仿宋_GB2312" w:eastAsia="仿宋_GB2312"/>
          <w:sz w:val="28"/>
          <w:szCs w:val="28"/>
        </w:rPr>
        <w:t>（1）要求中标人在签订合同后5天内将关键设备备件运送到询价人指定的位置停放至少45个工作日，以供询价人查验关键设备备件的有效性、可用性、完整性。</w:t>
      </w:r>
    </w:p>
    <w:p>
      <w:pPr>
        <w:pStyle w:val="42"/>
        <w:spacing w:line="360" w:lineRule="auto"/>
        <w:ind w:firstLine="560"/>
        <w:rPr>
          <w:rFonts w:ascii="仿宋_GB2312" w:eastAsia="仿宋_GB2312"/>
          <w:sz w:val="28"/>
          <w:szCs w:val="28"/>
        </w:rPr>
      </w:pPr>
      <w:r>
        <w:rPr>
          <w:rFonts w:hint="eastAsia" w:ascii="仿宋_GB2312" w:eastAsia="仿宋_GB2312"/>
          <w:sz w:val="28"/>
          <w:szCs w:val="28"/>
        </w:rPr>
        <w:t>（2）所有备件规格、型号、配件数量、操作系统必须和当前在用的视频会议系统设备保持一致。</w:t>
      </w:r>
    </w:p>
    <w:p>
      <w:pPr>
        <w:pStyle w:val="42"/>
        <w:spacing w:line="360" w:lineRule="auto"/>
        <w:ind w:firstLine="560"/>
        <w:rPr>
          <w:rFonts w:ascii="仿宋_GB2312" w:eastAsia="仿宋_GB2312"/>
          <w:sz w:val="28"/>
          <w:szCs w:val="28"/>
        </w:rPr>
      </w:pPr>
      <w:r>
        <w:rPr>
          <w:rFonts w:hint="eastAsia" w:ascii="仿宋_GB2312" w:eastAsia="仿宋_GB2312"/>
          <w:sz w:val="28"/>
          <w:szCs w:val="28"/>
        </w:rPr>
        <w:t>（3）关键设备清单如下：</w:t>
      </w:r>
    </w:p>
    <w:tbl>
      <w:tblPr>
        <w:tblStyle w:val="23"/>
        <w:tblW w:w="9072" w:type="dxa"/>
        <w:tblInd w:w="299" w:type="dxa"/>
        <w:tblLayout w:type="fixed"/>
        <w:tblCellMar>
          <w:top w:w="0" w:type="dxa"/>
          <w:left w:w="0" w:type="dxa"/>
          <w:bottom w:w="0" w:type="dxa"/>
          <w:right w:w="0" w:type="dxa"/>
        </w:tblCellMar>
      </w:tblPr>
      <w:tblGrid>
        <w:gridCol w:w="3402"/>
        <w:gridCol w:w="1134"/>
        <w:gridCol w:w="1984"/>
        <w:gridCol w:w="1276"/>
        <w:gridCol w:w="1276"/>
      </w:tblGrid>
      <w:tr>
        <w:tblPrEx>
          <w:tblCellMar>
            <w:top w:w="0" w:type="dxa"/>
            <w:left w:w="0" w:type="dxa"/>
            <w:bottom w:w="0" w:type="dxa"/>
            <w:right w:w="0" w:type="dxa"/>
          </w:tblCellMar>
        </w:tblPrEx>
        <w:trPr>
          <w:trHeight w:val="270" w:hRule="atLeast"/>
        </w:trPr>
        <w:tc>
          <w:tcPr>
            <w:tcW w:w="340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仿宋_GB2312" w:hAnsi="宋体" w:eastAsia="仿宋_GB2312" w:cs="宋体"/>
                <w:b/>
                <w:color w:val="000000"/>
                <w:sz w:val="24"/>
                <w:szCs w:val="22"/>
              </w:rPr>
            </w:pPr>
            <w:r>
              <w:rPr>
                <w:rFonts w:hint="eastAsia" w:ascii="仿宋_GB2312" w:hAnsi="宋体" w:eastAsia="仿宋_GB2312" w:cs="宋体"/>
                <w:b/>
                <w:color w:val="000000"/>
                <w:sz w:val="24"/>
                <w:szCs w:val="22"/>
              </w:rPr>
              <w:t>设备名称</w:t>
            </w:r>
          </w:p>
        </w:tc>
        <w:tc>
          <w:tcPr>
            <w:tcW w:w="113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仿宋_GB2312" w:hAnsi="宋体" w:eastAsia="仿宋_GB2312" w:cs="宋体"/>
                <w:b/>
                <w:color w:val="000000"/>
                <w:sz w:val="24"/>
                <w:szCs w:val="22"/>
              </w:rPr>
            </w:pPr>
            <w:r>
              <w:rPr>
                <w:rFonts w:hint="eastAsia" w:ascii="仿宋_GB2312" w:hAnsi="宋体" w:eastAsia="仿宋_GB2312" w:cs="宋体"/>
                <w:b/>
                <w:color w:val="000000"/>
                <w:kern w:val="0"/>
                <w:sz w:val="24"/>
                <w:szCs w:val="22"/>
                <w:lang w:bidi="ar"/>
              </w:rPr>
              <w:t>品牌</w:t>
            </w:r>
          </w:p>
        </w:tc>
        <w:tc>
          <w:tcPr>
            <w:tcW w:w="198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仿宋_GB2312" w:hAnsi="宋体" w:eastAsia="仿宋_GB2312" w:cs="宋体"/>
                <w:b/>
                <w:color w:val="000000"/>
                <w:sz w:val="24"/>
                <w:szCs w:val="22"/>
              </w:rPr>
            </w:pPr>
            <w:r>
              <w:rPr>
                <w:rFonts w:hint="eastAsia" w:ascii="仿宋_GB2312" w:hAnsi="宋体" w:eastAsia="仿宋_GB2312" w:cs="宋体"/>
                <w:b/>
                <w:color w:val="000000"/>
                <w:kern w:val="0"/>
                <w:sz w:val="24"/>
                <w:szCs w:val="22"/>
                <w:lang w:bidi="ar"/>
              </w:rPr>
              <w:t>型号</w:t>
            </w:r>
          </w:p>
        </w:tc>
        <w:tc>
          <w:tcPr>
            <w:tcW w:w="1276" w:type="dxa"/>
            <w:tcBorders>
              <w:top w:val="single" w:color="000000" w:sz="4" w:space="0"/>
              <w:left w:val="single" w:color="000000" w:sz="4" w:space="0"/>
              <w:bottom w:val="single" w:color="000000" w:sz="4" w:space="0"/>
              <w:right w:val="single" w:color="000000" w:sz="4" w:space="0"/>
            </w:tcBorders>
            <w:shd w:val="clear" w:color="auto" w:fill="FFFF00"/>
          </w:tcPr>
          <w:p>
            <w:pPr>
              <w:widowControl/>
              <w:jc w:val="center"/>
              <w:textAlignment w:val="center"/>
              <w:rPr>
                <w:rFonts w:ascii="仿宋_GB2312" w:hAnsi="宋体" w:eastAsia="仿宋_GB2312" w:cs="宋体"/>
                <w:b/>
                <w:color w:val="000000"/>
                <w:kern w:val="0"/>
                <w:sz w:val="24"/>
                <w:szCs w:val="22"/>
                <w:lang w:bidi="ar"/>
              </w:rPr>
            </w:pPr>
            <w:r>
              <w:rPr>
                <w:rFonts w:hint="eastAsia" w:ascii="仿宋_GB2312" w:hAnsi="宋体" w:eastAsia="仿宋_GB2312" w:cs="宋体"/>
                <w:b/>
                <w:color w:val="000000"/>
                <w:kern w:val="0"/>
                <w:sz w:val="24"/>
                <w:szCs w:val="22"/>
                <w:lang w:bidi="ar"/>
              </w:rPr>
              <w:t>单位</w:t>
            </w:r>
          </w:p>
        </w:tc>
        <w:tc>
          <w:tcPr>
            <w:tcW w:w="1276"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仿宋_GB2312" w:hAnsi="宋体" w:eastAsia="仿宋_GB2312" w:cs="宋体"/>
                <w:b/>
                <w:color w:val="000000"/>
                <w:sz w:val="24"/>
                <w:szCs w:val="22"/>
              </w:rPr>
            </w:pPr>
            <w:r>
              <w:rPr>
                <w:rFonts w:hint="eastAsia" w:ascii="仿宋_GB2312" w:hAnsi="宋体" w:eastAsia="仿宋_GB2312" w:cs="宋体"/>
                <w:b/>
                <w:color w:val="000000"/>
                <w:kern w:val="0"/>
                <w:sz w:val="24"/>
                <w:szCs w:val="22"/>
                <w:lang w:bidi="ar"/>
              </w:rPr>
              <w:t>数量</w:t>
            </w:r>
          </w:p>
        </w:tc>
      </w:tr>
      <w:tr>
        <w:tblPrEx>
          <w:tblCellMar>
            <w:top w:w="0" w:type="dxa"/>
            <w:left w:w="0" w:type="dxa"/>
            <w:bottom w:w="0" w:type="dxa"/>
            <w:right w:w="0" w:type="dxa"/>
          </w:tblCellMar>
        </w:tblPrEx>
        <w:trPr>
          <w:trHeight w:val="1080" w:hRule="atLeast"/>
        </w:trPr>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kern w:val="0"/>
                <w:sz w:val="24"/>
                <w:szCs w:val="20"/>
              </w:rPr>
              <w:t>视频会议终端</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kern w:val="0"/>
                <w:sz w:val="24"/>
                <w:szCs w:val="20"/>
              </w:rPr>
              <w:t>ITC</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kern w:val="0"/>
                <w:sz w:val="24"/>
                <w:szCs w:val="20"/>
              </w:rPr>
              <w:t>NT90MB</w:t>
            </w:r>
          </w:p>
        </w:tc>
        <w:tc>
          <w:tcPr>
            <w:tcW w:w="1276" w:type="dxa"/>
            <w:tcBorders>
              <w:top w:val="single" w:color="000000" w:sz="4" w:space="0"/>
              <w:left w:val="single" w:color="000000" w:sz="4" w:space="0"/>
              <w:bottom w:val="single" w:color="000000" w:sz="4" w:space="0"/>
              <w:right w:val="single" w:color="000000" w:sz="4" w:space="0"/>
            </w:tcBorders>
          </w:tcPr>
          <w:p>
            <w:pPr>
              <w:widowControl/>
              <w:spacing w:line="840" w:lineRule="auto"/>
              <w:jc w:val="center"/>
              <w:textAlignment w:val="center"/>
            </w:pPr>
            <w:r>
              <w:rPr>
                <w:rFonts w:hint="eastAsia" w:ascii="仿宋_GB2312" w:hAnsi="宋体" w:eastAsia="仿宋_GB2312" w:cs="宋体"/>
                <w:color w:val="000000"/>
                <w:kern w:val="0"/>
                <w:sz w:val="24"/>
                <w:szCs w:val="20"/>
              </w:rPr>
              <w:t>台</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_GB2312" w:hAnsi="宋体" w:eastAsia="仿宋_GB2312" w:cs="宋体"/>
                <w:color w:val="000000"/>
                <w:kern w:val="0"/>
                <w:sz w:val="24"/>
                <w:szCs w:val="20"/>
              </w:rPr>
            </w:pPr>
            <w:r>
              <w:rPr>
                <w:rFonts w:hint="eastAsia" w:ascii="仿宋_GB2312" w:hAnsi="宋体" w:eastAsia="仿宋_GB2312" w:cs="宋体"/>
                <w:color w:val="000000"/>
                <w:kern w:val="0"/>
                <w:sz w:val="24"/>
                <w:szCs w:val="20"/>
              </w:rPr>
              <w:t>1</w:t>
            </w:r>
          </w:p>
        </w:tc>
      </w:tr>
      <w:tr>
        <w:tblPrEx>
          <w:tblCellMar>
            <w:top w:w="0" w:type="dxa"/>
            <w:left w:w="0" w:type="dxa"/>
            <w:bottom w:w="0" w:type="dxa"/>
            <w:right w:w="0" w:type="dxa"/>
          </w:tblCellMar>
        </w:tblPrEx>
        <w:trPr>
          <w:trHeight w:val="845" w:hRule="atLeast"/>
        </w:trPr>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kern w:val="0"/>
                <w:sz w:val="24"/>
                <w:szCs w:val="20"/>
              </w:rPr>
              <w:t>摄像机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kern w:val="0"/>
                <w:sz w:val="24"/>
                <w:szCs w:val="20"/>
              </w:rPr>
              <w:t>ITC</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kern w:val="0"/>
                <w:sz w:val="24"/>
                <w:szCs w:val="20"/>
              </w:rPr>
              <w:t>TV-620HC</w:t>
            </w:r>
          </w:p>
        </w:tc>
        <w:tc>
          <w:tcPr>
            <w:tcW w:w="1276" w:type="dxa"/>
            <w:tcBorders>
              <w:top w:val="single" w:color="000000" w:sz="4" w:space="0"/>
              <w:left w:val="single" w:color="000000" w:sz="4" w:space="0"/>
              <w:bottom w:val="single" w:color="000000" w:sz="4" w:space="0"/>
              <w:right w:val="single" w:color="000000" w:sz="4" w:space="0"/>
            </w:tcBorders>
          </w:tcPr>
          <w:p>
            <w:pPr>
              <w:widowControl/>
              <w:spacing w:line="840" w:lineRule="auto"/>
              <w:ind w:firstLine="480" w:firstLineChars="200"/>
              <w:textAlignment w:val="center"/>
              <w:rPr>
                <w:rFonts w:ascii="仿宋_GB2312" w:hAnsi="宋体" w:eastAsia="仿宋_GB2312" w:cs="宋体"/>
                <w:color w:val="000000"/>
                <w:sz w:val="24"/>
                <w:szCs w:val="22"/>
              </w:rPr>
            </w:pPr>
            <w:r>
              <w:rPr>
                <w:rFonts w:hint="eastAsia" w:ascii="仿宋_GB2312" w:hAnsi="宋体" w:eastAsia="仿宋_GB2312" w:cs="宋体"/>
                <w:color w:val="000000"/>
                <w:sz w:val="24"/>
                <w:szCs w:val="22"/>
              </w:rPr>
              <w:t>台</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sz w:val="24"/>
                <w:szCs w:val="22"/>
              </w:rPr>
              <w:t>2</w:t>
            </w:r>
          </w:p>
        </w:tc>
      </w:tr>
      <w:tr>
        <w:tblPrEx>
          <w:tblCellMar>
            <w:top w:w="0" w:type="dxa"/>
            <w:left w:w="0" w:type="dxa"/>
            <w:bottom w:w="0" w:type="dxa"/>
            <w:right w:w="0" w:type="dxa"/>
          </w:tblCellMar>
        </w:tblPrEx>
        <w:trPr>
          <w:trHeight w:val="810" w:hRule="atLeast"/>
        </w:trPr>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kern w:val="0"/>
                <w:sz w:val="24"/>
                <w:szCs w:val="20"/>
              </w:rPr>
              <w:t>小间距全彩LED显示屏模块</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kern w:val="0"/>
                <w:sz w:val="24"/>
                <w:szCs w:val="20"/>
              </w:rPr>
              <w:t>ITC</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kern w:val="0"/>
                <w:sz w:val="24"/>
                <w:szCs w:val="20"/>
              </w:rPr>
              <w:t>TV-PH166-YM</w:t>
            </w:r>
          </w:p>
        </w:tc>
        <w:tc>
          <w:tcPr>
            <w:tcW w:w="1276" w:type="dxa"/>
            <w:tcBorders>
              <w:top w:val="single" w:color="000000" w:sz="4" w:space="0"/>
              <w:left w:val="single" w:color="000000" w:sz="4" w:space="0"/>
              <w:bottom w:val="single" w:color="000000" w:sz="4" w:space="0"/>
              <w:right w:val="single" w:color="000000" w:sz="4" w:space="0"/>
            </w:tcBorders>
          </w:tcPr>
          <w:p>
            <w:pPr>
              <w:widowControl/>
              <w:spacing w:line="840" w:lineRule="auto"/>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sz w:val="24"/>
                <w:szCs w:val="22"/>
              </w:rPr>
              <w:t>块</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2"/>
              </w:rPr>
            </w:pPr>
            <w:r>
              <w:rPr>
                <w:rFonts w:hint="eastAsia" w:ascii="仿宋_GB2312" w:hAnsi="宋体" w:eastAsia="仿宋_GB2312" w:cs="宋体"/>
                <w:color w:val="000000"/>
                <w:sz w:val="24"/>
                <w:szCs w:val="22"/>
              </w:rPr>
              <w:t>4</w:t>
            </w:r>
          </w:p>
        </w:tc>
      </w:tr>
    </w:tbl>
    <w:p>
      <w:pPr>
        <w:pStyle w:val="3"/>
        <w:rPr>
          <w:sz w:val="32"/>
          <w:szCs w:val="32"/>
        </w:rPr>
      </w:pPr>
      <w:r>
        <w:rPr>
          <w:rFonts w:hint="eastAsia" w:ascii="仿宋_GB2312"/>
          <w:sz w:val="32"/>
          <w:szCs w:val="32"/>
        </w:rPr>
        <w:t>四、突</w:t>
      </w:r>
      <w:r>
        <w:rPr>
          <w:rFonts w:hint="eastAsia"/>
          <w:sz w:val="32"/>
          <w:szCs w:val="32"/>
        </w:rPr>
        <w:t>发事件处理</w:t>
      </w:r>
    </w:p>
    <w:p>
      <w:pPr>
        <w:pStyle w:val="42"/>
        <w:spacing w:line="360" w:lineRule="auto"/>
        <w:rPr>
          <w:rFonts w:ascii="仿宋_GB2312" w:eastAsia="仿宋_GB2312"/>
          <w:sz w:val="28"/>
          <w:szCs w:val="28"/>
        </w:rPr>
      </w:pPr>
      <w:r>
        <w:rPr>
          <w:rFonts w:hint="eastAsia" w:ascii="仿宋_GB2312" w:eastAsia="仿宋_GB2312"/>
          <w:sz w:val="28"/>
          <w:szCs w:val="28"/>
        </w:rPr>
        <w:t>当设备</w:t>
      </w:r>
      <w:r>
        <w:rPr>
          <w:rFonts w:ascii="仿宋_GB2312" w:eastAsia="仿宋_GB2312"/>
          <w:sz w:val="28"/>
          <w:szCs w:val="28"/>
        </w:rPr>
        <w:t>出现故障</w:t>
      </w:r>
      <w:r>
        <w:rPr>
          <w:rFonts w:hint="eastAsia" w:ascii="仿宋_GB2312" w:eastAsia="仿宋_GB2312"/>
          <w:sz w:val="28"/>
          <w:szCs w:val="28"/>
        </w:rPr>
        <w:t>时</w:t>
      </w:r>
      <w:r>
        <w:rPr>
          <w:rFonts w:ascii="仿宋_GB2312" w:eastAsia="仿宋_GB2312"/>
          <w:sz w:val="28"/>
          <w:szCs w:val="28"/>
        </w:rPr>
        <w:t>，</w:t>
      </w:r>
      <w:r>
        <w:rPr>
          <w:rFonts w:hint="eastAsia" w:ascii="仿宋_GB2312" w:eastAsia="仿宋_GB2312"/>
          <w:sz w:val="28"/>
          <w:szCs w:val="28"/>
        </w:rPr>
        <w:t>乙方</w:t>
      </w:r>
      <w:r>
        <w:rPr>
          <w:rFonts w:ascii="仿宋_GB2312" w:eastAsia="仿宋_GB2312"/>
          <w:sz w:val="28"/>
          <w:szCs w:val="28"/>
        </w:rPr>
        <w:t>应当派遣有经验的人员</w:t>
      </w:r>
      <w:r>
        <w:rPr>
          <w:rFonts w:hint="eastAsia" w:ascii="仿宋_GB2312" w:eastAsia="仿宋_GB2312"/>
          <w:sz w:val="28"/>
          <w:szCs w:val="28"/>
        </w:rPr>
        <w:t>，</w:t>
      </w:r>
      <w:r>
        <w:rPr>
          <w:rFonts w:hint="eastAsia" w:ascii="仿宋_GB2312" w:hAnsi="Times New Roman" w:eastAsia="仿宋_GB2312"/>
          <w:sz w:val="28"/>
          <w:szCs w:val="28"/>
        </w:rPr>
        <w:t>对视频会议系统、无纸化会议系统故障进行处理，要求</w:t>
      </w:r>
      <w:r>
        <w:rPr>
          <w:rFonts w:ascii="仿宋_GB2312" w:hAnsi="Times New Roman" w:eastAsia="仿宋_GB2312"/>
          <w:sz w:val="28"/>
          <w:szCs w:val="28"/>
        </w:rPr>
        <w:t>30</w:t>
      </w:r>
      <w:r>
        <w:rPr>
          <w:rFonts w:hint="eastAsia" w:ascii="仿宋_GB2312" w:hAnsi="Times New Roman" w:eastAsia="仿宋_GB2312"/>
          <w:sz w:val="28"/>
          <w:szCs w:val="28"/>
        </w:rPr>
        <w:t>分钟以内响应，4小时之内到达现场并恢复正常，如该故障为L</w:t>
      </w:r>
      <w:r>
        <w:rPr>
          <w:rFonts w:ascii="仿宋_GB2312" w:hAnsi="Times New Roman" w:eastAsia="仿宋_GB2312"/>
          <w:sz w:val="28"/>
          <w:szCs w:val="28"/>
        </w:rPr>
        <w:t>ED</w:t>
      </w:r>
      <w:r>
        <w:rPr>
          <w:rFonts w:hint="eastAsia" w:ascii="仿宋_GB2312" w:hAnsi="Times New Roman" w:eastAsia="仿宋_GB2312"/>
          <w:sz w:val="28"/>
          <w:szCs w:val="28"/>
        </w:rPr>
        <w:t>大屏故障，应在8小时内恢复正常。事故处理完后，应在</w:t>
      </w:r>
      <w:r>
        <w:rPr>
          <w:rFonts w:ascii="仿宋_GB2312" w:hAnsi="Times New Roman" w:eastAsia="仿宋_GB2312"/>
          <w:sz w:val="28"/>
          <w:szCs w:val="28"/>
        </w:rPr>
        <w:t>3</w:t>
      </w:r>
      <w:r>
        <w:rPr>
          <w:rFonts w:hint="eastAsia" w:ascii="仿宋_GB2312" w:hAnsi="Times New Roman" w:eastAsia="仿宋_GB2312"/>
          <w:sz w:val="28"/>
          <w:szCs w:val="28"/>
        </w:rPr>
        <w:t>个工作日内</w:t>
      </w:r>
      <w:r>
        <w:rPr>
          <w:rFonts w:hint="eastAsia" w:ascii="仿宋_GB2312" w:eastAsia="仿宋_GB2312"/>
          <w:sz w:val="28"/>
          <w:szCs w:val="28"/>
        </w:rPr>
        <w:t>提交事件处理报告（报告</w:t>
      </w:r>
      <w:r>
        <w:rPr>
          <w:rFonts w:ascii="仿宋_GB2312" w:eastAsia="仿宋_GB2312"/>
          <w:sz w:val="28"/>
          <w:szCs w:val="28"/>
        </w:rPr>
        <w:t>须含事件起因、处理过程</w:t>
      </w:r>
      <w:r>
        <w:rPr>
          <w:rFonts w:hint="eastAsia" w:ascii="仿宋_GB2312" w:eastAsia="仿宋_GB2312"/>
          <w:sz w:val="28"/>
          <w:szCs w:val="28"/>
        </w:rPr>
        <w:t>等）。</w:t>
      </w:r>
    </w:p>
    <w:p>
      <w:pPr>
        <w:ind w:firstLine="560" w:firstLineChars="200"/>
        <w:jc w:val="left"/>
        <w:rPr>
          <w:rFonts w:ascii="仿宋_GB2312" w:eastAsia="仿宋_GB2312"/>
          <w:sz w:val="28"/>
          <w:szCs w:val="28"/>
        </w:rPr>
      </w:pPr>
      <w:r>
        <w:rPr>
          <w:rFonts w:hint="eastAsia" w:ascii="仿宋_GB2312" w:eastAsia="仿宋_GB2312"/>
          <w:sz w:val="28"/>
          <w:szCs w:val="28"/>
        </w:rPr>
        <w:t>如无法修理则予以更换，设备</w:t>
      </w:r>
      <w:r>
        <w:rPr>
          <w:rFonts w:ascii="仿宋_GB2312" w:eastAsia="仿宋_GB2312"/>
          <w:sz w:val="28"/>
          <w:szCs w:val="28"/>
        </w:rPr>
        <w:t>包括但</w:t>
      </w:r>
      <w:r>
        <w:rPr>
          <w:rFonts w:hint="eastAsia" w:ascii="仿宋_GB2312" w:eastAsia="仿宋_GB2312"/>
          <w:sz w:val="28"/>
          <w:szCs w:val="28"/>
        </w:rPr>
        <w:t>不限于以下设备</w:t>
      </w:r>
      <w:r>
        <w:rPr>
          <w:rFonts w:ascii="仿宋_GB2312" w:eastAsia="仿宋_GB2312"/>
          <w:sz w:val="28"/>
          <w:szCs w:val="28"/>
        </w:rPr>
        <w:t>清单</w:t>
      </w:r>
      <w:r>
        <w:rPr>
          <w:rFonts w:hint="eastAsia" w:ascii="仿宋_GB2312" w:eastAsia="仿宋_GB2312"/>
          <w:sz w:val="28"/>
          <w:szCs w:val="28"/>
        </w:rPr>
        <w:t>。当涉及更换配件或设备时，替换件属于甲方财产。乙方必须保证替换件为原厂产品，且与被替换产品属于同一品牌相同或更高产品。替换件可以不是全新产品，但应确保处于良好的工作状态，并且在功能、性能上不得低于被替换下来的配件或设备。替换件承接被替换下来的配件或设备的原有保修服务地位。</w:t>
      </w:r>
    </w:p>
    <w:p>
      <w:pPr>
        <w:pStyle w:val="3"/>
        <w:rPr>
          <w:rFonts w:ascii="仿宋_GB2312"/>
          <w:sz w:val="32"/>
          <w:szCs w:val="32"/>
        </w:rPr>
      </w:pPr>
      <w:r>
        <w:rPr>
          <w:rFonts w:hint="eastAsia" w:ascii="仿宋_GB2312"/>
          <w:sz w:val="32"/>
          <w:szCs w:val="32"/>
        </w:rPr>
        <w:t>五、培训</w:t>
      </w:r>
    </w:p>
    <w:p>
      <w:pPr>
        <w:pStyle w:val="42"/>
        <w:spacing w:line="360" w:lineRule="auto"/>
        <w:ind w:firstLine="560"/>
        <w:rPr>
          <w:rFonts w:ascii="仿宋_GB2312" w:eastAsia="仿宋_GB2312"/>
          <w:sz w:val="28"/>
          <w:szCs w:val="28"/>
        </w:rPr>
      </w:pPr>
      <w:r>
        <w:rPr>
          <w:rFonts w:hint="eastAsia" w:ascii="仿宋_GB2312" w:eastAsia="仿宋_GB2312"/>
          <w:sz w:val="28"/>
          <w:szCs w:val="28"/>
        </w:rPr>
        <w:t>乙</w:t>
      </w:r>
      <w:r>
        <w:rPr>
          <w:rFonts w:ascii="仿宋_GB2312" w:eastAsia="仿宋_GB2312"/>
          <w:sz w:val="28"/>
          <w:szCs w:val="28"/>
        </w:rPr>
        <w:t>方负责对</w:t>
      </w:r>
      <w:r>
        <w:rPr>
          <w:rFonts w:hint="eastAsia" w:ascii="仿宋_GB2312" w:eastAsia="仿宋_GB2312"/>
          <w:sz w:val="28"/>
          <w:szCs w:val="28"/>
        </w:rPr>
        <w:t>视频会议系统、无纸化会议系统用户、技术人员开展培训，培训次数不少于两次。</w:t>
      </w:r>
    </w:p>
    <w:p>
      <w:pPr>
        <w:pStyle w:val="3"/>
        <w:rPr>
          <w:rFonts w:ascii="仿宋_GB2312"/>
          <w:sz w:val="32"/>
          <w:szCs w:val="32"/>
        </w:rPr>
      </w:pPr>
      <w:r>
        <w:rPr>
          <w:rFonts w:hint="eastAsia" w:ascii="仿宋_GB2312"/>
          <w:sz w:val="32"/>
          <w:szCs w:val="32"/>
        </w:rPr>
        <w:t>六、技术支持</w:t>
      </w:r>
    </w:p>
    <w:p>
      <w:pPr>
        <w:pStyle w:val="42"/>
        <w:spacing w:line="360" w:lineRule="auto"/>
        <w:ind w:firstLine="560"/>
      </w:pPr>
      <w:r>
        <w:rPr>
          <w:rFonts w:hint="eastAsia" w:ascii="仿宋_GB2312" w:eastAsia="仿宋_GB2312"/>
          <w:sz w:val="28"/>
          <w:szCs w:val="28"/>
        </w:rPr>
        <w:t>配合开展视频会议系统调试、对接、扩建等工作，提供相应技术支持。</w:t>
      </w:r>
    </w:p>
    <w:p>
      <w:pPr>
        <w:pStyle w:val="21"/>
        <w:rPr>
          <w:lang w:val="zh-CN"/>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21"/>
      </w:pPr>
      <w:r>
        <w:rPr>
          <w:rFonts w:hint="eastAsia"/>
          <w:lang w:val="zh-CN"/>
        </w:rPr>
        <w:t xml:space="preserve">第三部分 </w:t>
      </w:r>
      <w:r>
        <w:rPr>
          <w:rFonts w:hint="eastAsia"/>
        </w:rPr>
        <w:t xml:space="preserve"> 报价须知</w:t>
      </w:r>
    </w:p>
    <w:p>
      <w:pPr>
        <w:pStyle w:val="12"/>
        <w:adjustRightInd w:val="0"/>
        <w:snapToGrid w:val="0"/>
        <w:spacing w:line="300" w:lineRule="auto"/>
        <w:rPr>
          <w:rFonts w:ascii="仿宋" w:hAnsi="仿宋" w:eastAsia="仿宋" w:cs="仿宋_GB2312"/>
          <w:b/>
          <w:sz w:val="28"/>
          <w:szCs w:val="28"/>
        </w:rPr>
      </w:pP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2"/>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2"/>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w:t>
      </w:r>
      <w:r>
        <w:rPr>
          <w:rFonts w:hint="eastAsia" w:ascii="仿宋" w:hAnsi="仿宋" w:eastAsia="仿宋" w:cs="仿宋_GB2312"/>
          <w:color w:val="000000" w:themeColor="text1"/>
          <w:sz w:val="28"/>
          <w:szCs w:val="28"/>
          <w14:textFill>
            <w14:solidFill>
              <w14:schemeClr w14:val="tx1"/>
            </w14:solidFill>
          </w14:textFill>
        </w:rPr>
        <w:t>予以答复</w:t>
      </w:r>
      <w:r>
        <w:rPr>
          <w:rFonts w:hint="eastAsia" w:ascii="仿宋_GB2312" w:hAnsi="仿宋_GB2312" w:eastAsia="仿宋_GB2312" w:cs="仿宋_GB2312"/>
          <w:color w:val="000000" w:themeColor="text1"/>
          <w:sz w:val="28"/>
          <w:szCs w:val="28"/>
          <w14:textFill>
            <w14:solidFill>
              <w14:schemeClr w14:val="tx1"/>
            </w14:solidFill>
          </w14:textFill>
        </w:rPr>
        <w:t>或以净水公司门户网站公告的形式发布，（答复中不包括问题的来源）。报价单位在收到上述答复后，应立即向询价人回函确认，该答复作为询价文件的一部分，对报价单位有约束力。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７.3询价文件的修改或澄清将以</w:t>
      </w:r>
      <w:r>
        <w:rPr>
          <w:rFonts w:hint="eastAsia" w:ascii="仿宋" w:hAnsi="仿宋" w:eastAsia="仿宋" w:cs="仿宋_GB2312"/>
          <w:color w:val="000000" w:themeColor="text1"/>
          <w:sz w:val="28"/>
          <w:szCs w:val="28"/>
          <w14:textFill>
            <w14:solidFill>
              <w14:schemeClr w14:val="tx1"/>
            </w14:solidFill>
          </w14:textFill>
        </w:rPr>
        <w:t>书面形式通知所有购买询价文件的报价单位或以</w:t>
      </w:r>
      <w:r>
        <w:rPr>
          <w:rFonts w:hint="eastAsia" w:ascii="仿宋_GB2312" w:hAnsi="仿宋_GB2312" w:eastAsia="仿宋_GB2312" w:cs="仿宋_GB2312"/>
          <w:color w:val="000000" w:themeColor="text1"/>
          <w:sz w:val="28"/>
          <w:szCs w:val="28"/>
          <w14:textFill>
            <w14:solidFill>
              <w14:schemeClr w14:val="tx1"/>
            </w14:solidFill>
          </w14:textFill>
        </w:rPr>
        <w:t>净水公司门户网站公告的形式发布，并对其具有约束力。</w:t>
      </w:r>
      <w:r>
        <w:rPr>
          <w:rFonts w:hint="eastAsia" w:ascii="仿宋" w:hAnsi="仿宋" w:eastAsia="仿宋" w:cs="仿宋_GB2312"/>
          <w:color w:val="000000" w:themeColor="text1"/>
          <w:sz w:val="28"/>
          <w:szCs w:val="28"/>
          <w14:textFill>
            <w14:solidFill>
              <w14:schemeClr w14:val="tx1"/>
            </w14:solidFill>
          </w14:textFill>
        </w:rPr>
        <w:t>报价单位在收到上述通知后，应立即向询价人回函确认。</w:t>
      </w:r>
    </w:p>
    <w:p>
      <w:pPr>
        <w:pStyle w:val="12"/>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7.4询价人可以视询价具体情况，延长递交询价响应文件截止时间，并将变更时间以</w:t>
      </w:r>
      <w:r>
        <w:rPr>
          <w:rFonts w:hint="eastAsia" w:ascii="仿宋" w:hAnsi="仿宋" w:eastAsia="仿宋" w:cs="仿宋_GB2312"/>
          <w:color w:val="000000" w:themeColor="text1"/>
          <w:sz w:val="28"/>
          <w:szCs w:val="28"/>
          <w14:textFill>
            <w14:solidFill>
              <w14:schemeClr w14:val="tx1"/>
            </w14:solidFill>
          </w14:textFill>
        </w:rPr>
        <w:t>书面形式</w:t>
      </w:r>
      <w:r>
        <w:rPr>
          <w:rFonts w:hint="eastAsia" w:ascii="仿宋_GB2312" w:hAnsi="仿宋_GB2312" w:eastAsia="仿宋_GB2312" w:cs="仿宋_GB2312"/>
          <w:color w:val="000000" w:themeColor="text1"/>
          <w:sz w:val="28"/>
          <w:szCs w:val="28"/>
          <w14:textFill>
            <w14:solidFill>
              <w14:schemeClr w14:val="tx1"/>
            </w14:solidFill>
          </w14:textFill>
        </w:rPr>
        <w:t>通知所有询价文件收受人</w:t>
      </w:r>
      <w:r>
        <w:rPr>
          <w:rFonts w:hint="eastAsia" w:ascii="仿宋" w:hAnsi="仿宋" w:eastAsia="仿宋" w:cs="仿宋_GB2312"/>
          <w:color w:val="000000" w:themeColor="text1"/>
          <w:sz w:val="28"/>
          <w:szCs w:val="28"/>
          <w14:textFill>
            <w14:solidFill>
              <w14:schemeClr w14:val="tx1"/>
            </w14:solidFill>
          </w14:textFill>
        </w:rPr>
        <w:t>或以</w:t>
      </w:r>
      <w:r>
        <w:rPr>
          <w:rFonts w:hint="eastAsia" w:ascii="仿宋_GB2312" w:hAnsi="仿宋_GB2312" w:eastAsia="仿宋_GB2312" w:cs="仿宋_GB2312"/>
          <w:color w:val="000000" w:themeColor="text1"/>
          <w:sz w:val="28"/>
          <w:szCs w:val="28"/>
          <w14:textFill>
            <w14:solidFill>
              <w14:schemeClr w14:val="tx1"/>
            </w14:solidFill>
          </w14:textFill>
        </w:rPr>
        <w:t>净水公司门户网站公告的形式发布。</w:t>
      </w:r>
    </w:p>
    <w:p>
      <w:pPr>
        <w:pStyle w:val="12"/>
        <w:adjustRightInd w:val="0"/>
        <w:snapToGrid w:val="0"/>
        <w:spacing w:line="300" w:lineRule="auto"/>
        <w:ind w:left="420" w:hanging="420"/>
        <w:rPr>
          <w:rFonts w:ascii="仿宋" w:hAnsi="仿宋" w:eastAsia="仿宋"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w:t>
      </w:r>
    </w:p>
    <w:p>
      <w:pPr>
        <w:pStyle w:val="12"/>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（8）在参加本项目前3年内在存在重大违法记录；</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（9）被“全国企业信用信息公示系统”（网址：http://www.gsxt.gov.cn/）列入经营异常名录和严重违法企业名单；</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（10）被《信用中国》网站（www.credITChina.gov.cn）公示存在不良信用记录；</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 xml:space="preserve">（11）本项目截止时间前的半年中，在询价人组织的招标、询价活动中有被查实提供虚假材料的。 </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15.1询价响应文件应在递交响应文件截止之日起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2"/>
        <w:spacing w:line="360" w:lineRule="auto"/>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20.4拆封询价响应文件时，出现下列情形之一的，不参与评审：</w:t>
      </w:r>
    </w:p>
    <w:p>
      <w:pPr>
        <w:pStyle w:val="2"/>
        <w:spacing w:line="360" w:lineRule="auto"/>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（1）响应文件没密封完整的，或封面未注明报价单位名称、项目名称、日期等项目信息的；</w:t>
      </w:r>
    </w:p>
    <w:p>
      <w:pPr>
        <w:pStyle w:val="2"/>
        <w:spacing w:line="360" w:lineRule="auto"/>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（2）响应文件中的法定代表人或授权代理人与报价响应文件登记表的信息不一致的。</w:t>
      </w:r>
    </w:p>
    <w:p>
      <w:pPr>
        <w:pStyle w:val="2"/>
        <w:spacing w:line="360" w:lineRule="auto"/>
      </w:pPr>
      <w:r>
        <w:rPr>
          <w:rFonts w:hint="eastAsia" w:ascii="仿宋_GB2312" w:hAnsi="仿宋_GB2312" w:cs="仿宋_GB2312"/>
          <w:color w:val="000000" w:themeColor="text1"/>
          <w:sz w:val="28"/>
          <w:szCs w:val="28"/>
          <w14:textFill>
            <w14:solidFill>
              <w14:schemeClr w14:val="tx1"/>
            </w14:solidFill>
          </w14:textFill>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color w:val="000000" w:themeColor="text1"/>
          <w:kern w:val="0"/>
          <w:sz w:val="28"/>
          <w:szCs w:val="28"/>
          <w14:textFill>
            <w14:solidFill>
              <w14:schemeClr w14:val="tx1"/>
            </w14:solidFill>
          </w14:textFill>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14:textFill>
            <w14:solidFill>
              <w14:schemeClr w14:val="tx1"/>
            </w14:solidFill>
          </w14:textFill>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widowControl/>
        <w:jc w:val="left"/>
        <w:rPr>
          <w:rFonts w:ascii="仿宋_GB2312" w:hAnsi="仿宋_GB2312" w:eastAsia="仿宋_GB2312" w:cs="仿宋_GB2312"/>
          <w:color w:val="000000"/>
        </w:rPr>
      </w:pPr>
      <w:bookmarkStart w:id="0" w:name="_Toc144974548"/>
      <w:bookmarkStart w:id="1" w:name="_Toc152042358"/>
      <w:bookmarkStart w:id="2" w:name="_Toc247085739"/>
      <w:bookmarkStart w:id="3" w:name="_Toc179632599"/>
      <w:bookmarkStart w:id="4" w:name="_Toc152045581"/>
      <w:bookmarkStart w:id="5" w:name="_Toc371433002"/>
      <w:r>
        <w:rPr>
          <w:rFonts w:hint="eastAsia" w:ascii="仿宋_GB2312" w:hAnsi="仿宋_GB2312" w:eastAsia="仿宋_GB2312" w:cs="仿宋_GB2312"/>
          <w:color w:val="000000"/>
          <w:sz w:val="28"/>
          <w:szCs w:val="28"/>
        </w:rPr>
        <w:t>附件一</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 xml:space="preserve"> 广州市净水有限公司2021-2022年度无纸化及视频会议系统维保服务项目</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3"/>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ind w:firstLine="105" w:firstLineChars="50"/>
        <w:rPr>
          <w:rFonts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广州市净水有限公司小额工程项目询价评审记录表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宋体" w:hAnsi="宋体" w:cs="宋体"/>
          <w:sz w:val="24"/>
          <w:u w:val="single"/>
        </w:rPr>
        <w:t>广州市净水有限公司2021-2022年度无纸化及视频会议系统维保服务项目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000000"/>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sz w:val="24"/>
              </w:rPr>
            </w:pPr>
          </w:p>
        </w:tc>
      </w:tr>
    </w:tbl>
    <w:p>
      <w:pPr>
        <w:ind w:left="840" w:hanging="840" w:hangingChars="400"/>
      </w:pPr>
    </w:p>
    <w:p>
      <w:pPr>
        <w:ind w:left="840" w:hanging="840" w:hangingChars="400"/>
      </w:pPr>
      <w:r>
        <w:rPr>
          <w:rFonts w:hint="eastAsia"/>
        </w:rPr>
        <w:t>备注：1、审核情况填写“符合”或“不符合；或者打“√”或“×”。</w:t>
      </w:r>
    </w:p>
    <w:p>
      <w:pPr>
        <w:numPr>
          <w:ilvl w:val="0"/>
          <w:numId w:val="3"/>
        </w:numPr>
        <w:ind w:firstLine="630" w:firstLineChars="300"/>
      </w:pPr>
      <w:r>
        <w:rPr>
          <w:rFonts w:hint="eastAsia"/>
        </w:rPr>
        <w:t>本表所有审核情况均为符合的，结论为报名成功。若有一项或以上审核情况为不符合的，结论为报名不成功。</w:t>
      </w:r>
    </w:p>
    <w:p>
      <w:pPr>
        <w:rPr>
          <w:rFonts w:ascii="仿宋_GB2312" w:hAnsi="仿宋_GB2312" w:eastAsia="仿宋_GB2312" w:cs="仿宋_GB2312"/>
          <w:b/>
          <w:bCs/>
          <w:color w:val="000000"/>
          <w:sz w:val="32"/>
          <w:szCs w:val="32"/>
        </w:rPr>
      </w:pPr>
    </w:p>
    <w:p>
      <w:pPr>
        <w:rPr>
          <w:rFonts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jc w:val="center"/>
        <w:rPr>
          <w:rFonts w:ascii="仿宋_GB2312" w:hAnsi="仿宋_GB2312" w:eastAsia="仿宋_GB2312" w:cs="仿宋_GB2312"/>
          <w:b/>
          <w:sz w:val="36"/>
          <w:szCs w:val="36"/>
        </w:rPr>
      </w:pPr>
      <w:r>
        <w:rPr>
          <w:rFonts w:hint="eastAsia" w:ascii="仿宋_GB2312" w:hAnsi="STSong-Light" w:eastAsia="仿宋_GB2312" w:cs="STSong-Light"/>
          <w:color w:val="000000"/>
          <w:kern w:val="0"/>
          <w:sz w:val="32"/>
          <w:szCs w:val="32"/>
        </w:rPr>
        <w:t xml:space="preserve">                                        年  月  日</w:t>
      </w: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rPr>
          <w:lang w:val="zh-CN"/>
        </w:rPr>
      </w:pPr>
      <w:r>
        <w:rPr>
          <w:rFonts w:hint="eastAsia"/>
          <w:lang w:val="zh-CN"/>
        </w:rPr>
        <w:br w:type="page"/>
      </w:r>
    </w:p>
    <w:p>
      <w:pPr>
        <w:pStyle w:val="21"/>
        <w:rPr>
          <w:rFonts w:ascii="仿宋_GB2312" w:hAnsi="仿宋_GB2312" w:eastAsia="仿宋_GB2312" w:cs="仿宋_GB2312"/>
          <w:sz w:val="28"/>
          <w:szCs w:val="28"/>
        </w:rPr>
      </w:pPr>
      <w:r>
        <w:rPr>
          <w:rFonts w:hint="eastAsia"/>
          <w:lang w:val="zh-CN"/>
        </w:rPr>
        <w:t>第四部分 合同书格式</w:t>
      </w:r>
    </w:p>
    <w:p>
      <w:pPr>
        <w:spacing w:line="400" w:lineRule="atLeast"/>
        <w:jc w:val="right"/>
        <w:rPr>
          <w:rFonts w:ascii="宋体" w:hAnsi="宋体" w:cs="宋体"/>
          <w:b/>
          <w:bCs/>
          <w:sz w:val="18"/>
          <w:szCs w:val="18"/>
        </w:rPr>
      </w:pPr>
      <w:r>
        <w:rPr>
          <w:rFonts w:hint="eastAsia" w:ascii="宋体" w:hAnsi="宋体" w:cs="宋体"/>
          <w:b/>
          <w:bCs/>
          <w:sz w:val="48"/>
          <w:szCs w:val="48"/>
        </w:rPr>
        <w:t xml:space="preserve">            </w:t>
      </w:r>
    </w:p>
    <w:p>
      <w:pPr>
        <w:spacing w:line="400" w:lineRule="atLeast"/>
        <w:jc w:val="center"/>
        <w:rPr>
          <w:rFonts w:ascii="宋体" w:hAnsi="宋体" w:cs="宋体"/>
          <w:b/>
          <w:bCs/>
          <w:sz w:val="48"/>
          <w:szCs w:val="48"/>
        </w:rPr>
      </w:pPr>
    </w:p>
    <w:p>
      <w:pPr>
        <w:spacing w:line="400" w:lineRule="atLeast"/>
        <w:jc w:val="center"/>
        <w:rPr>
          <w:rFonts w:ascii="宋体" w:hAnsi="宋体" w:cs="宋体"/>
          <w:b/>
          <w:bCs/>
          <w:color w:val="000000" w:themeColor="text1"/>
          <w:sz w:val="48"/>
          <w:szCs w:val="48"/>
          <w14:textFill>
            <w14:solidFill>
              <w14:schemeClr w14:val="tx1"/>
            </w14:solidFill>
          </w14:textFill>
        </w:rPr>
      </w:pPr>
    </w:p>
    <w:p>
      <w:pPr>
        <w:spacing w:line="400" w:lineRule="atLeast"/>
        <w:jc w:val="center"/>
        <w:rPr>
          <w:rFonts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14:textFill>
            <w14:solidFill>
              <w14:schemeClr w14:val="tx1"/>
            </w14:solidFill>
          </w14:textFill>
        </w:rPr>
        <w:t>广州市净水有限公司</w:t>
      </w:r>
    </w:p>
    <w:p>
      <w:pPr>
        <w:spacing w:line="400" w:lineRule="atLeast"/>
        <w:jc w:val="center"/>
        <w:rPr>
          <w:rFonts w:ascii="宋体" w:hAnsi="宋体" w:cs="宋体"/>
          <w:b/>
          <w:bCs/>
          <w:color w:val="000000" w:themeColor="text1"/>
          <w:sz w:val="48"/>
          <w:szCs w:val="48"/>
          <w14:textFill>
            <w14:solidFill>
              <w14:schemeClr w14:val="tx1"/>
            </w14:solidFill>
          </w14:textFill>
        </w:rPr>
      </w:pPr>
      <w:r>
        <w:rPr>
          <w:rFonts w:ascii="宋体" w:hAnsi="宋体" w:cs="宋体"/>
          <w:b/>
          <w:bCs/>
          <w:color w:val="000000" w:themeColor="text1"/>
          <w:sz w:val="48"/>
          <w:szCs w:val="48"/>
          <w:u w:val="single"/>
          <w14:textFill>
            <w14:solidFill>
              <w14:schemeClr w14:val="tx1"/>
            </w14:solidFill>
          </w14:textFill>
        </w:rPr>
        <w:t>2020</w:t>
      </w:r>
      <w:r>
        <w:rPr>
          <w:rFonts w:hint="eastAsia" w:ascii="宋体" w:hAnsi="宋体" w:cs="宋体"/>
          <w:b/>
          <w:bCs/>
          <w:color w:val="000000" w:themeColor="text1"/>
          <w:sz w:val="48"/>
          <w:szCs w:val="48"/>
          <w:u w:val="single"/>
          <w14:textFill>
            <w14:solidFill>
              <w14:schemeClr w14:val="tx1"/>
            </w14:solidFill>
          </w14:textFill>
        </w:rPr>
        <w:t>-</w:t>
      </w:r>
      <w:r>
        <w:rPr>
          <w:rFonts w:ascii="宋体" w:hAnsi="宋体" w:cs="宋体"/>
          <w:b/>
          <w:bCs/>
          <w:color w:val="000000" w:themeColor="text1"/>
          <w:sz w:val="48"/>
          <w:szCs w:val="48"/>
          <w:u w:val="single"/>
          <w14:textFill>
            <w14:solidFill>
              <w14:schemeClr w14:val="tx1"/>
            </w14:solidFill>
          </w14:textFill>
        </w:rPr>
        <w:t>2021</w:t>
      </w:r>
      <w:r>
        <w:rPr>
          <w:rFonts w:hint="eastAsia" w:ascii="宋体" w:hAnsi="宋体" w:cs="宋体"/>
          <w:b/>
          <w:bCs/>
          <w:color w:val="000000" w:themeColor="text1"/>
          <w:sz w:val="48"/>
          <w:szCs w:val="48"/>
          <w14:textFill>
            <w14:solidFill>
              <w14:schemeClr w14:val="tx1"/>
            </w14:solidFill>
          </w14:textFill>
        </w:rPr>
        <w:t>年度无纸化及视频会议系统</w:t>
      </w:r>
    </w:p>
    <w:p>
      <w:pPr>
        <w:spacing w:line="400" w:lineRule="atLeast"/>
        <w:jc w:val="center"/>
        <w:rPr>
          <w:rFonts w:asciiTheme="majorHAnsi" w:hAnsiTheme="majorHAnsi" w:eastAsiaTheme="majorEastAsia"/>
          <w:b/>
          <w:bCs/>
          <w:color w:val="000000" w:themeColor="text1"/>
          <w:sz w:val="52"/>
          <w:szCs w:val="52"/>
          <w14:textFill>
            <w14:solidFill>
              <w14:schemeClr w14:val="tx1"/>
            </w14:solidFill>
          </w14:textFill>
        </w:rPr>
      </w:pPr>
      <w:r>
        <w:rPr>
          <w:rFonts w:hint="eastAsia" w:ascii="宋体" w:hAnsi="宋体" w:cs="宋体"/>
          <w:b/>
          <w:bCs/>
          <w:color w:val="000000" w:themeColor="text1"/>
          <w:sz w:val="48"/>
          <w:szCs w:val="48"/>
          <w14:textFill>
            <w14:solidFill>
              <w14:schemeClr w14:val="tx1"/>
            </w14:solidFill>
          </w14:textFill>
        </w:rPr>
        <w:t>维保服务合同</w:t>
      </w:r>
    </w:p>
    <w:p>
      <w:pPr>
        <w:spacing w:line="400" w:lineRule="atLeast"/>
        <w:jc w:val="center"/>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（示范文本）</w:t>
      </w:r>
    </w:p>
    <w:p>
      <w:pPr>
        <w:spacing w:line="400" w:lineRule="atLeast"/>
        <w:jc w:val="center"/>
        <w:rPr>
          <w:rFonts w:ascii="宋体" w:hAnsi="宋体"/>
          <w:b/>
          <w:color w:val="000000" w:themeColor="text1"/>
          <w:sz w:val="28"/>
          <w14:textFill>
            <w14:solidFill>
              <w14:schemeClr w14:val="tx1"/>
            </w14:solidFill>
          </w14:textFill>
        </w:rPr>
      </w:pPr>
    </w:p>
    <w:p>
      <w:pPr>
        <w:spacing w:line="400" w:lineRule="atLeast"/>
        <w:jc w:val="both"/>
        <w:rPr>
          <w:rFonts w:ascii="宋体" w:hAnsi="宋体"/>
          <w:b/>
          <w:color w:val="000000" w:themeColor="text1"/>
          <w:sz w:val="28"/>
          <w14:textFill>
            <w14:solidFill>
              <w14:schemeClr w14:val="tx1"/>
            </w14:solidFill>
          </w14:textFill>
        </w:rPr>
      </w:pPr>
    </w:p>
    <w:p>
      <w:pPr>
        <w:spacing w:line="0" w:lineRule="atLeast"/>
        <w:rPr>
          <w:rFonts w:ascii="宋体" w:hAnsi="宋体"/>
          <w:b/>
          <w:color w:val="000000" w:themeColor="text1"/>
          <w:sz w:val="30"/>
          <w14:textFill>
            <w14:solidFill>
              <w14:schemeClr w14:val="tx1"/>
            </w14:solidFill>
          </w14:textFill>
        </w:rPr>
      </w:pPr>
    </w:p>
    <w:p>
      <w:pPr>
        <w:spacing w:line="0" w:lineRule="atLeast"/>
        <w:rPr>
          <w:rFonts w:ascii="仿宋_GB2312" w:hAnsi="宋体" w:eastAsia="仿宋_GB2312"/>
          <w:b/>
          <w:color w:val="000000" w:themeColor="text1"/>
          <w:sz w:val="30"/>
          <w:szCs w:val="30"/>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项目名称</w:t>
      </w:r>
      <w:r>
        <w:rPr>
          <w:rFonts w:ascii="宋体" w:hAnsi="宋体" w:cs="宋体"/>
          <w:b/>
          <w:color w:val="000000" w:themeColor="text1"/>
          <w:sz w:val="30"/>
          <w:szCs w:val="30"/>
          <w14:textFill>
            <w14:solidFill>
              <w14:schemeClr w14:val="tx1"/>
            </w14:solidFill>
          </w14:textFill>
        </w:rPr>
        <w:t xml:space="preserve">: </w:t>
      </w:r>
    </w:p>
    <w:p>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项目编号：</w:t>
      </w:r>
      <w:r>
        <w:rPr>
          <w:rFonts w:ascii="宋体" w:hAnsi="宋体" w:cs="宋体"/>
          <w:b/>
          <w:color w:val="000000" w:themeColor="text1"/>
          <w:sz w:val="30"/>
          <w:szCs w:val="30"/>
          <w14:textFill>
            <w14:solidFill>
              <w14:schemeClr w14:val="tx1"/>
            </w14:solidFill>
          </w14:textFill>
        </w:rPr>
        <w:t xml:space="preserve"> </w:t>
      </w:r>
    </w:p>
    <w:p>
      <w:pPr>
        <w:spacing w:line="400" w:lineRule="atLeast"/>
        <w:rPr>
          <w:rFonts w:ascii="宋体" w:hAnsi="宋体" w:cs="宋体"/>
          <w:b/>
          <w:color w:val="000000" w:themeColor="text1"/>
          <w:sz w:val="30"/>
          <w:szCs w:val="30"/>
          <w14:textFill>
            <w14:solidFill>
              <w14:schemeClr w14:val="tx1"/>
            </w14:solidFill>
          </w14:textFill>
        </w:rPr>
      </w:pPr>
    </w:p>
    <w:p>
      <w:pPr>
        <w:spacing w:line="480" w:lineRule="auto"/>
        <w:rPr>
          <w:rFonts w:ascii="宋体" w:hAnsi="宋体" w:cs="宋体"/>
          <w:b/>
          <w:bCs/>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合同编号：</w:t>
      </w:r>
      <w:r>
        <w:rPr>
          <w:rFonts w:hint="eastAsia" w:ascii="宋体" w:hAnsi="宋体" w:cs="宋体"/>
          <w:b/>
          <w:bCs/>
          <w:color w:val="000000" w:themeColor="text1"/>
          <w:sz w:val="30"/>
          <w:szCs w:val="30"/>
          <w14:textFill>
            <w14:solidFill>
              <w14:schemeClr w14:val="tx1"/>
            </w14:solidFill>
          </w14:textFill>
        </w:rPr>
        <w:t>穗净水合</w:t>
      </w:r>
      <w:r>
        <w:rPr>
          <w:rFonts w:ascii="宋体" w:hAnsi="宋体" w:cs="宋体"/>
          <w:b/>
          <w:bCs/>
          <w:color w:val="000000" w:themeColor="text1"/>
          <w:sz w:val="30"/>
          <w:szCs w:val="30"/>
          <w14:textFill>
            <w14:solidFill>
              <w14:schemeClr w14:val="tx1"/>
            </w14:solidFill>
          </w14:textFill>
        </w:rPr>
        <w:t xml:space="preserve">[     ]    </w:t>
      </w:r>
      <w:r>
        <w:rPr>
          <w:rFonts w:hint="eastAsia" w:ascii="宋体" w:hAnsi="宋体" w:cs="宋体"/>
          <w:b/>
          <w:bCs/>
          <w:color w:val="000000" w:themeColor="text1"/>
          <w:sz w:val="30"/>
          <w:szCs w:val="30"/>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14:textFill>
            <w14:solidFill>
              <w14:schemeClr w14:val="tx1"/>
            </w14:solidFill>
          </w14:textFill>
        </w:rPr>
      </w:pPr>
    </w:p>
    <w:p>
      <w:pPr>
        <w:spacing w:line="400" w:lineRule="atLeast"/>
        <w:rPr>
          <w:rFonts w:ascii="宋体" w:hAnsi="宋体" w:cs="宋体"/>
          <w:b/>
          <w:color w:val="000000" w:themeColor="text1"/>
          <w:sz w:val="30"/>
          <w:szCs w:val="30"/>
          <w14:textFill>
            <w14:solidFill>
              <w14:schemeClr w14:val="tx1"/>
            </w14:solidFill>
          </w14:textFill>
        </w:rPr>
      </w:pPr>
    </w:p>
    <w:p>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甲方： 广州市净水有限公司</w:t>
      </w:r>
    </w:p>
    <w:p>
      <w:pPr>
        <w:spacing w:line="400" w:lineRule="atLeast"/>
        <w:rPr>
          <w:rFonts w:ascii="宋体" w:hAnsi="宋体" w:cs="宋体"/>
          <w:b/>
          <w:color w:val="000000" w:themeColor="text1"/>
          <w:sz w:val="30"/>
          <w:szCs w:val="30"/>
          <w14:textFill>
            <w14:solidFill>
              <w14:schemeClr w14:val="tx1"/>
            </w14:solidFill>
          </w14:textFill>
        </w:rPr>
      </w:pPr>
    </w:p>
    <w:p>
      <w:pPr>
        <w:rPr>
          <w:rFonts w:ascii="仿宋_GB2312" w:eastAsia="仿宋_GB2312"/>
          <w:bCs/>
          <w:color w:val="000000" w:themeColor="text1"/>
          <w:sz w:val="28"/>
          <w:szCs w:val="28"/>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乙方</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b/>
          <w:color w:val="000000" w:themeColor="text1"/>
          <w:sz w:val="30"/>
          <w:szCs w:val="30"/>
          <w14:textFill>
            <w14:solidFill>
              <w14:schemeClr w14:val="tx1"/>
            </w14:solidFill>
          </w14:textFill>
        </w:rPr>
        <w:t xml:space="preserve"> </w:t>
      </w:r>
    </w:p>
    <w:p>
      <w:pPr>
        <w:rPr>
          <w:rFonts w:ascii="仿宋_GB2312" w:eastAsia="仿宋_GB2312"/>
          <w:bCs/>
          <w:color w:val="000000" w:themeColor="text1"/>
          <w:sz w:val="28"/>
          <w:szCs w:val="28"/>
          <w14:textFill>
            <w14:solidFill>
              <w14:schemeClr w14:val="tx1"/>
            </w14:solidFill>
          </w14:textFill>
        </w:rPr>
      </w:pPr>
    </w:p>
    <w:p>
      <w:pPr>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br w:type="textWrapping"/>
      </w:r>
    </w:p>
    <w:p>
      <w:pPr>
        <w:spacing w:before="93" w:beforeLines="30" w:line="500" w:lineRule="exact"/>
        <w:ind w:firstLine="720" w:firstLineChars="300"/>
        <w:rPr>
          <w:rFonts w:ascii="宋体" w:hAnsi="宋体" w:cs="宋体"/>
          <w:color w:val="000000" w:themeColor="text1"/>
          <w:sz w:val="24"/>
          <w:u w:val="single"/>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spacing w:before="93" w:beforeLines="30" w:line="500" w:lineRule="exact"/>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广州市净水有限公司</w:t>
      </w:r>
      <w:r>
        <w:rPr>
          <w:rFonts w:hint="eastAsia" w:ascii="宋体" w:hAnsi="宋体" w:cs="宋体"/>
          <w:color w:val="000000" w:themeColor="text1"/>
          <w:sz w:val="24"/>
          <w14:textFill>
            <w14:solidFill>
              <w14:schemeClr w14:val="tx1"/>
            </w14:solidFill>
          </w14:textFill>
        </w:rPr>
        <w:t>（以下简称“甲方”）与</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（以下简称“乙方”）依照</w:t>
      </w:r>
      <w:r>
        <w:rPr>
          <w:rFonts w:hint="eastAsia" w:ascii="宋体" w:hAnsi="宋体" w:cs="Arial"/>
          <w:color w:val="000000" w:themeColor="text1"/>
          <w:sz w:val="24"/>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14:textFill>
            <w14:solidFill>
              <w14:schemeClr w14:val="tx1"/>
            </w14:solidFill>
          </w14:textFill>
        </w:rPr>
        <w:t>法律法规，就</w:t>
      </w:r>
      <w:r>
        <w:rPr>
          <w:rFonts w:ascii="宋体" w:hAnsi="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项目遵循平等、自愿、公平和诚实信用的原则，经双方协商一致，特订立本合同。</w:t>
      </w:r>
    </w:p>
    <w:p>
      <w:pPr>
        <w:spacing w:line="500" w:lineRule="exact"/>
        <w:ind w:firstLine="562"/>
        <w:outlineLvl w:val="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一、组成合同的文件及优先顺序</w:t>
      </w:r>
    </w:p>
    <w:p>
      <w:pPr>
        <w:spacing w:line="500" w:lineRule="exact"/>
        <w:ind w:firstLine="482"/>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⑴</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在本合同实施过程双方签署的补充与修正文件</w:t>
      </w:r>
      <w:r>
        <w:rPr>
          <w:rFonts w:hint="eastAsia" w:ascii="宋体" w:hAnsi="宋体" w:cs="宋体"/>
          <w:bCs/>
          <w:color w:val="000000" w:themeColor="text1"/>
          <w:sz w:val="24"/>
          <w14:textFill>
            <w14:solidFill>
              <w14:schemeClr w14:val="tx1"/>
            </w14:solidFill>
          </w14:textFill>
        </w:rPr>
        <w:t>；</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⑵</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本合同书；</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⑶</w:t>
      </w:r>
      <w:r>
        <w:rPr>
          <w:rFonts w:ascii="宋体" w:hAnsi="宋体" w:cs="宋体"/>
          <w:bCs/>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发包通知书；</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⑷</w:t>
      </w:r>
      <w:r>
        <w:rPr>
          <w:rFonts w:ascii="宋体" w:hAnsi="宋体" w:cs="宋体"/>
          <w:bCs/>
          <w:color w:val="000000" w:themeColor="text1"/>
          <w:sz w:val="24"/>
          <w14:textFill>
            <w14:solidFill>
              <w14:schemeClr w14:val="tx1"/>
            </w14:solidFill>
          </w14:textFill>
        </w:rPr>
        <w:t xml:space="preserve"> 询价文件；</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⑸</w:t>
      </w:r>
      <w:r>
        <w:rPr>
          <w:rFonts w:ascii="宋体" w:hAnsi="宋体" w:cs="宋体"/>
          <w:bCs/>
          <w:color w:val="000000" w:themeColor="text1"/>
          <w:sz w:val="24"/>
          <w14:textFill>
            <w14:solidFill>
              <w14:schemeClr w14:val="tx1"/>
            </w14:solidFill>
          </w14:textFill>
        </w:rPr>
        <w:t xml:space="preserve"> 响应文件；</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⑹</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标准、规范及有关技术性文件；</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⑺</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技术需求</w:t>
      </w:r>
    </w:p>
    <w:p>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⑻本合同其他附件；</w:t>
      </w:r>
    </w:p>
    <w:p>
      <w:pPr>
        <w:spacing w:line="500" w:lineRule="exact"/>
        <w:ind w:firstLine="562"/>
        <w:outlineLvl w:val="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 维护概况及内容</w:t>
      </w: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2.1服务地点：</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广州市净水有限公司</w:t>
      </w:r>
      <w:r>
        <w:rPr>
          <w:rFonts w:ascii="宋体" w:hAnsi="宋体" w:cs="宋体"/>
          <w:color w:val="000000" w:themeColor="text1"/>
          <w:sz w:val="24"/>
          <w:u w:val="single"/>
          <w14:textFill>
            <w14:solidFill>
              <w14:schemeClr w14:val="tx1"/>
            </w14:solidFill>
          </w14:textFill>
        </w:rPr>
        <w:t>。</w:t>
      </w: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2.2服务内容：</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无纸化、视频会议系统维保，具体服务内容见附件2。</w:t>
      </w: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2.3维护目标：</w:t>
      </w:r>
      <w:r>
        <w:rPr>
          <w:rFonts w:hint="eastAsia" w:ascii="宋体" w:hAnsi="宋体" w:cs="宋体"/>
          <w:color w:val="000000" w:themeColor="text1"/>
          <w:sz w:val="24"/>
          <w:u w:val="single"/>
          <w14:textFill>
            <w14:solidFill>
              <w14:schemeClr w14:val="tx1"/>
            </w14:solidFill>
          </w14:textFill>
        </w:rPr>
        <w:t>保障无纸化会议系统、视频会议系统稳定运行</w:t>
      </w:r>
      <w:r>
        <w:rPr>
          <w:rFonts w:ascii="宋体" w:hAnsi="宋体" w:cs="宋体"/>
          <w:color w:val="000000" w:themeColor="text1"/>
          <w:sz w:val="24"/>
          <w:u w:val="single"/>
          <w14:textFill>
            <w14:solidFill>
              <w14:schemeClr w14:val="tx1"/>
            </w14:solidFill>
          </w14:textFill>
        </w:rPr>
        <w:t>。</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乙方须向甲方提供以下资料：</w:t>
      </w:r>
    </w:p>
    <w:p>
      <w:pPr>
        <w:spacing w:line="500" w:lineRule="exact"/>
        <w:ind w:firstLine="5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合同签订后</w:t>
      </w:r>
      <w:r>
        <w:rPr>
          <w:rFonts w:ascii="宋体" w:hAnsi="宋体"/>
          <w:color w:val="000000" w:themeColor="text1"/>
          <w:sz w:val="24"/>
          <w:u w:val="single"/>
          <w14:textFill>
            <w14:solidFill>
              <w14:schemeClr w14:val="tx1"/>
            </w14:solidFill>
          </w14:textFill>
        </w:rPr>
        <w:t>7</w:t>
      </w:r>
      <w:r>
        <w:rPr>
          <w:rFonts w:hint="eastAsia" w:ascii="宋体" w:hAnsi="宋体"/>
          <w:color w:val="000000" w:themeColor="text1"/>
          <w:sz w:val="24"/>
          <w:u w:val="single"/>
          <w14:textFill>
            <w14:solidFill>
              <w14:schemeClr w14:val="tx1"/>
            </w14:solidFill>
          </w14:textFill>
        </w:rPr>
        <w:t>个工作日内提供服务计划书，包括不限于：运维服务计划、技术服务人员名单、7×24小时联系电话、备品备件情况等。</w:t>
      </w:r>
    </w:p>
    <w:p>
      <w:pPr>
        <w:spacing w:line="500" w:lineRule="exact"/>
        <w:ind w:firstLine="562"/>
        <w:outlineLvl w:val="0"/>
        <w:rPr>
          <w:rFonts w:ascii="宋体" w:hAnsi="宋体"/>
          <w:b/>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hint="eastAsia" w:ascii="宋体" w:hAnsi="宋体"/>
          <w:b/>
          <w:color w:val="000000" w:themeColor="text1"/>
          <w:sz w:val="24"/>
          <w14:textFill>
            <w14:solidFill>
              <w14:schemeClr w14:val="tx1"/>
            </w14:solidFill>
          </w14:textFill>
        </w:rPr>
        <w:t>服务期限：</w:t>
      </w:r>
      <w:r>
        <w:rPr>
          <w:rFonts w:hint="eastAsia" w:ascii="宋体" w:hAnsi="宋体"/>
          <w:b/>
          <w:color w:val="000000" w:themeColor="text1"/>
          <w:sz w:val="24"/>
          <w:u w:val="single"/>
          <w14:textFill>
            <w14:solidFill>
              <w14:schemeClr w14:val="tx1"/>
            </w14:solidFill>
          </w14:textFill>
        </w:rPr>
        <w:t>自合同签订起至</w:t>
      </w:r>
      <w:r>
        <w:rPr>
          <w:rFonts w:ascii="宋体" w:hAnsi="宋体"/>
          <w:b/>
          <w:color w:val="000000" w:themeColor="text1"/>
          <w:sz w:val="24"/>
          <w:u w:val="single"/>
          <w14:textFill>
            <w14:solidFill>
              <w14:schemeClr w14:val="tx1"/>
            </w14:solidFill>
          </w14:textFill>
        </w:rPr>
        <w:t>2022</w:t>
      </w:r>
      <w:r>
        <w:rPr>
          <w:rFonts w:hint="eastAsia" w:ascii="宋体" w:hAnsi="宋体"/>
          <w:b/>
          <w:color w:val="000000" w:themeColor="text1"/>
          <w:sz w:val="24"/>
          <w:u w:val="single"/>
          <w14:textFill>
            <w14:solidFill>
              <w14:schemeClr w14:val="tx1"/>
            </w14:solidFill>
          </w14:textFill>
        </w:rPr>
        <w:t>年</w:t>
      </w:r>
      <w:r>
        <w:rPr>
          <w:rFonts w:ascii="宋体" w:hAnsi="宋体"/>
          <w:b/>
          <w:color w:val="000000" w:themeColor="text1"/>
          <w:sz w:val="24"/>
          <w:u w:val="single"/>
          <w14:textFill>
            <w14:solidFill>
              <w14:schemeClr w14:val="tx1"/>
            </w14:solidFill>
          </w14:textFill>
        </w:rPr>
        <w:t>12</w:t>
      </w:r>
      <w:r>
        <w:rPr>
          <w:rFonts w:hint="eastAsia" w:ascii="宋体" w:hAnsi="宋体"/>
          <w:b/>
          <w:color w:val="000000" w:themeColor="text1"/>
          <w:sz w:val="24"/>
          <w:u w:val="single"/>
          <w14:textFill>
            <w14:solidFill>
              <w14:schemeClr w14:val="tx1"/>
            </w14:solidFill>
          </w14:textFill>
        </w:rPr>
        <w:t>月</w:t>
      </w:r>
      <w:r>
        <w:rPr>
          <w:rFonts w:ascii="宋体" w:hAnsi="宋体"/>
          <w:b/>
          <w:color w:val="000000" w:themeColor="text1"/>
          <w:sz w:val="24"/>
          <w:u w:val="single"/>
          <w14:textFill>
            <w14:solidFill>
              <w14:schemeClr w14:val="tx1"/>
            </w14:solidFill>
          </w14:textFill>
        </w:rPr>
        <w:t>31</w:t>
      </w:r>
      <w:r>
        <w:rPr>
          <w:rFonts w:hint="eastAsia" w:ascii="宋体" w:hAnsi="宋体"/>
          <w:b/>
          <w:color w:val="000000" w:themeColor="text1"/>
          <w:sz w:val="24"/>
          <w:u w:val="single"/>
          <w14:textFill>
            <w14:solidFill>
              <w14:schemeClr w14:val="tx1"/>
            </w14:solidFill>
          </w14:textFill>
        </w:rPr>
        <w:t>日止。</w:t>
      </w:r>
    </w:p>
    <w:p>
      <w:pPr>
        <w:spacing w:line="500" w:lineRule="exact"/>
        <w:ind w:firstLine="56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（1）公司主会场及1</w:t>
      </w:r>
      <w:r>
        <w:rPr>
          <w:rFonts w:ascii="宋体" w:hAnsi="宋体"/>
          <w:color w:val="000000" w:themeColor="text1"/>
          <w:sz w:val="24"/>
          <w:u w:val="single"/>
          <w14:textFill>
            <w14:solidFill>
              <w14:schemeClr w14:val="tx1"/>
            </w14:solidFill>
          </w14:textFill>
        </w:rPr>
        <w:t>0</w:t>
      </w:r>
      <w:r>
        <w:rPr>
          <w:rFonts w:hint="eastAsia" w:ascii="宋体" w:hAnsi="宋体"/>
          <w:color w:val="000000" w:themeColor="text1"/>
          <w:sz w:val="24"/>
          <w:u w:val="single"/>
          <w14:textFill>
            <w14:solidFill>
              <w14:schemeClr w14:val="tx1"/>
            </w14:solidFill>
          </w14:textFill>
        </w:rPr>
        <w:t>个分会场视频会议系统维保服务期：自合同签订起-</w:t>
      </w:r>
      <w:r>
        <w:rPr>
          <w:rFonts w:ascii="宋体" w:hAnsi="宋体"/>
          <w:color w:val="000000" w:themeColor="text1"/>
          <w:sz w:val="24"/>
          <w:u w:val="single"/>
          <w14:textFill>
            <w14:solidFill>
              <w14:schemeClr w14:val="tx1"/>
            </w14:solidFill>
          </w14:textFill>
        </w:rPr>
        <w:t>2022</w:t>
      </w:r>
      <w:r>
        <w:rPr>
          <w:rFonts w:hint="eastAsia" w:ascii="宋体" w:hAnsi="宋体"/>
          <w:color w:val="000000" w:themeColor="text1"/>
          <w:sz w:val="24"/>
          <w:u w:val="single"/>
          <w14:textFill>
            <w14:solidFill>
              <w14:schemeClr w14:val="tx1"/>
            </w14:solidFill>
          </w14:textFill>
        </w:rPr>
        <w:t>年</w:t>
      </w:r>
      <w:r>
        <w:rPr>
          <w:rFonts w:ascii="宋体" w:hAnsi="宋体"/>
          <w:color w:val="000000" w:themeColor="text1"/>
          <w:sz w:val="24"/>
          <w:u w:val="single"/>
          <w14:textFill>
            <w14:solidFill>
              <w14:schemeClr w14:val="tx1"/>
            </w14:solidFill>
          </w14:textFill>
        </w:rPr>
        <w:t>12</w:t>
      </w:r>
      <w:r>
        <w:rPr>
          <w:rFonts w:hint="eastAsia" w:ascii="宋体" w:hAnsi="宋体"/>
          <w:color w:val="000000" w:themeColor="text1"/>
          <w:sz w:val="24"/>
          <w:u w:val="single"/>
          <w14:textFill>
            <w14:solidFill>
              <w14:schemeClr w14:val="tx1"/>
            </w14:solidFill>
          </w14:textFill>
        </w:rPr>
        <w:t>月</w:t>
      </w:r>
      <w:r>
        <w:rPr>
          <w:rFonts w:ascii="宋体" w:hAnsi="宋体"/>
          <w:color w:val="000000" w:themeColor="text1"/>
          <w:sz w:val="24"/>
          <w:u w:val="single"/>
          <w14:textFill>
            <w14:solidFill>
              <w14:schemeClr w14:val="tx1"/>
            </w14:solidFill>
          </w14:textFill>
        </w:rPr>
        <w:t>31</w:t>
      </w:r>
      <w:r>
        <w:rPr>
          <w:rFonts w:hint="eastAsia" w:ascii="宋体" w:hAnsi="宋体"/>
          <w:color w:val="000000" w:themeColor="text1"/>
          <w:sz w:val="24"/>
          <w:u w:val="single"/>
          <w14:textFill>
            <w14:solidFill>
              <w14:schemeClr w14:val="tx1"/>
            </w14:solidFill>
          </w14:textFill>
        </w:rPr>
        <w:t>日；</w:t>
      </w:r>
    </w:p>
    <w:p>
      <w:pPr>
        <w:spacing w:line="500" w:lineRule="exact"/>
        <w:ind w:firstLine="56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（2）猎德备用主会场及4个分会场维保服务期为：2</w:t>
      </w:r>
      <w:r>
        <w:rPr>
          <w:rFonts w:ascii="宋体" w:hAnsi="宋体"/>
          <w:color w:val="000000" w:themeColor="text1"/>
          <w:sz w:val="24"/>
          <w:u w:val="single"/>
          <w14:textFill>
            <w14:solidFill>
              <w14:schemeClr w14:val="tx1"/>
            </w14:solidFill>
          </w14:textFill>
        </w:rPr>
        <w:t>021</w:t>
      </w:r>
      <w:r>
        <w:rPr>
          <w:rFonts w:hint="eastAsia" w:ascii="宋体" w:hAnsi="宋体"/>
          <w:color w:val="000000" w:themeColor="text1"/>
          <w:sz w:val="24"/>
          <w:u w:val="single"/>
          <w14:textFill>
            <w14:solidFill>
              <w14:schemeClr w14:val="tx1"/>
            </w14:solidFill>
          </w14:textFill>
        </w:rPr>
        <w:t>年</w:t>
      </w:r>
      <w:r>
        <w:rPr>
          <w:rFonts w:ascii="宋体" w:hAnsi="宋体"/>
          <w:color w:val="000000" w:themeColor="text1"/>
          <w:sz w:val="24"/>
          <w:u w:val="single"/>
          <w14:textFill>
            <w14:solidFill>
              <w14:schemeClr w14:val="tx1"/>
            </w14:solidFill>
          </w14:textFill>
        </w:rPr>
        <w:t>12</w:t>
      </w:r>
      <w:r>
        <w:rPr>
          <w:rFonts w:hint="eastAsia" w:ascii="宋体" w:hAnsi="宋体"/>
          <w:color w:val="000000" w:themeColor="text1"/>
          <w:sz w:val="24"/>
          <w:u w:val="single"/>
          <w14:textFill>
            <w14:solidFill>
              <w14:schemeClr w14:val="tx1"/>
            </w14:solidFill>
          </w14:textFill>
        </w:rPr>
        <w:t>月</w:t>
      </w:r>
      <w:r>
        <w:rPr>
          <w:rFonts w:ascii="宋体" w:hAnsi="宋体"/>
          <w:color w:val="000000" w:themeColor="text1"/>
          <w:sz w:val="24"/>
          <w:u w:val="single"/>
          <w14:textFill>
            <w14:solidFill>
              <w14:schemeClr w14:val="tx1"/>
            </w14:solidFill>
          </w14:textFill>
        </w:rPr>
        <w:t>15</w:t>
      </w:r>
      <w:r>
        <w:rPr>
          <w:rFonts w:hint="eastAsia" w:ascii="宋体" w:hAnsi="宋体"/>
          <w:color w:val="000000" w:themeColor="text1"/>
          <w:sz w:val="24"/>
          <w:u w:val="single"/>
          <w14:textFill>
            <w14:solidFill>
              <w14:schemeClr w14:val="tx1"/>
            </w14:solidFill>
          </w14:textFill>
        </w:rPr>
        <w:t>日-</w:t>
      </w:r>
      <w:r>
        <w:rPr>
          <w:rFonts w:ascii="宋体" w:hAnsi="宋体"/>
          <w:color w:val="000000" w:themeColor="text1"/>
          <w:sz w:val="24"/>
          <w:u w:val="single"/>
          <w14:textFill>
            <w14:solidFill>
              <w14:schemeClr w14:val="tx1"/>
            </w14:solidFill>
          </w14:textFill>
        </w:rPr>
        <w:t>2022</w:t>
      </w:r>
      <w:r>
        <w:rPr>
          <w:rFonts w:hint="eastAsia" w:ascii="宋体" w:hAnsi="宋体"/>
          <w:color w:val="000000" w:themeColor="text1"/>
          <w:sz w:val="24"/>
          <w:u w:val="single"/>
          <w14:textFill>
            <w14:solidFill>
              <w14:schemeClr w14:val="tx1"/>
            </w14:solidFill>
          </w14:textFill>
        </w:rPr>
        <w:t>年</w:t>
      </w:r>
      <w:r>
        <w:rPr>
          <w:rFonts w:ascii="宋体" w:hAnsi="宋体"/>
          <w:color w:val="000000" w:themeColor="text1"/>
          <w:sz w:val="24"/>
          <w:u w:val="single"/>
          <w14:textFill>
            <w14:solidFill>
              <w14:schemeClr w14:val="tx1"/>
            </w14:solidFill>
          </w14:textFill>
        </w:rPr>
        <w:t>12</w:t>
      </w:r>
      <w:r>
        <w:rPr>
          <w:rFonts w:hint="eastAsia" w:ascii="宋体" w:hAnsi="宋体"/>
          <w:color w:val="000000" w:themeColor="text1"/>
          <w:sz w:val="24"/>
          <w:u w:val="single"/>
          <w14:textFill>
            <w14:solidFill>
              <w14:schemeClr w14:val="tx1"/>
            </w14:solidFill>
          </w14:textFill>
        </w:rPr>
        <w:t>月</w:t>
      </w:r>
      <w:r>
        <w:rPr>
          <w:rFonts w:ascii="宋体" w:hAnsi="宋体"/>
          <w:color w:val="000000" w:themeColor="text1"/>
          <w:sz w:val="24"/>
          <w:u w:val="single"/>
          <w14:textFill>
            <w14:solidFill>
              <w14:schemeClr w14:val="tx1"/>
            </w14:solidFill>
          </w14:textFill>
        </w:rPr>
        <w:t>31</w:t>
      </w:r>
      <w:r>
        <w:rPr>
          <w:rFonts w:hint="eastAsia" w:ascii="宋体" w:hAnsi="宋体"/>
          <w:color w:val="000000" w:themeColor="text1"/>
          <w:sz w:val="24"/>
          <w:u w:val="single"/>
          <w14:textFill>
            <w14:solidFill>
              <w14:schemeClr w14:val="tx1"/>
            </w14:solidFill>
          </w14:textFill>
        </w:rPr>
        <w:t>日；</w:t>
      </w:r>
    </w:p>
    <w:p>
      <w:pPr>
        <w:spacing w:line="500" w:lineRule="exact"/>
        <w:ind w:firstLine="56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（3）无纸化会议系统维保服务期：2021年12月17日-2022年12月31日。</w:t>
      </w:r>
    </w:p>
    <w:p>
      <w:pPr>
        <w:spacing w:line="500" w:lineRule="exact"/>
        <w:ind w:firstLine="602" w:firstLineChars="25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四、合同价及支付方式</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4.1</w:t>
      </w:r>
      <w:r>
        <w:rPr>
          <w:rFonts w:ascii="宋体" w:hAnsi="宋体" w:cs="Courier New"/>
          <w:bCs/>
          <w:color w:val="000000" w:themeColor="text1"/>
          <w:spacing w:val="2"/>
          <w:kern w:val="36"/>
          <w:position w:val="2"/>
          <w:sz w:val="24"/>
          <w:szCs w:val="21"/>
          <w14:textFill>
            <w14:solidFill>
              <w14:schemeClr w14:val="tx1"/>
            </w14:solidFill>
          </w14:textFill>
        </w:rPr>
        <w:t>合同</w:t>
      </w:r>
      <w:r>
        <w:rPr>
          <w:rFonts w:ascii="宋体" w:hAnsi="宋体" w:cs="宋体"/>
          <w:color w:val="000000" w:themeColor="text1"/>
          <w:sz w:val="24"/>
          <w14:textFill>
            <w14:solidFill>
              <w14:schemeClr w14:val="tx1"/>
            </w14:solidFill>
          </w14:textFill>
        </w:rPr>
        <w:t>暂定总价为：</w:t>
      </w:r>
      <w:r>
        <w:rPr>
          <w:rFonts w:hint="eastAsia" w:ascii="宋体" w:hAnsi="宋体" w:cs="宋体"/>
          <w:b/>
          <w:color w:val="000000" w:themeColor="text1"/>
          <w:sz w:val="24"/>
          <w:u w:val="single"/>
          <w14:textFill>
            <w14:solidFill>
              <w14:schemeClr w14:val="tx1"/>
            </w14:solidFill>
          </w14:textFill>
        </w:rPr>
        <w:t>人民币</w:t>
      </w:r>
      <w:r>
        <w:rPr>
          <w:rFonts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w:t>
      </w:r>
      <w:r>
        <w:rPr>
          <w:rFonts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元</w:t>
      </w:r>
      <w:r>
        <w:rPr>
          <w:rFonts w:hint="eastAsia" w:ascii="宋体" w:hAnsi="宋体" w:cs="宋体"/>
          <w:color w:val="000000" w:themeColor="text1"/>
          <w:sz w:val="24"/>
          <w14:textFill>
            <w14:solidFill>
              <w14:schemeClr w14:val="tx1"/>
            </w14:solidFill>
          </w14:textFill>
        </w:rPr>
        <w:t>（大写</w:t>
      </w:r>
      <w:r>
        <w:rPr>
          <w:rFonts w:ascii="宋体" w:hAnsi="宋体" w:cs="宋体"/>
          <w:color w:val="000000" w:themeColor="text1"/>
          <w:sz w:val="24"/>
          <w14:textFill>
            <w14:solidFill>
              <w14:schemeClr w14:val="tx1"/>
            </w14:solidFill>
          </w14:textFill>
        </w:rPr>
        <w:t>:</w:t>
      </w:r>
      <w:r>
        <w:rPr>
          <w:rFonts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4.2</w:t>
      </w:r>
      <w:r>
        <w:rPr>
          <w:rFonts w:hint="eastAsia" w:ascii="宋体" w:hAnsi="宋体" w:cs="宋体"/>
          <w:color w:val="000000" w:themeColor="text1"/>
          <w:kern w:val="0"/>
          <w:sz w:val="24"/>
          <w14:textFill>
            <w14:solidFill>
              <w14:schemeClr w14:val="tx1"/>
            </w14:solidFill>
          </w14:textFill>
        </w:rPr>
        <w:t>本合同约定的价格为含税价价格</w:t>
      </w:r>
      <w:r>
        <w:rPr>
          <w:rFonts w:hint="eastAsia" w:ascii="宋体" w:hAnsi="宋体" w:cs="宋体"/>
          <w:color w:val="000000" w:themeColor="text1"/>
          <w:sz w:val="24"/>
          <w14:textFill>
            <w14:solidFill>
              <w14:schemeClr w14:val="tx1"/>
            </w14:solidFill>
          </w14:textFill>
        </w:rPr>
        <w:t>（税率</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602" w:firstLineChars="25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五、付款及履约担保：</w:t>
      </w:r>
    </w:p>
    <w:p>
      <w:pPr>
        <w:pStyle w:val="12"/>
        <w:spacing w:line="500" w:lineRule="exact"/>
        <w:ind w:firstLine="488" w:firstLineChars="200"/>
        <w:rPr>
          <w:rFonts w:hAnsi="宋体" w:cs="宋体"/>
          <w:bCs/>
          <w:color w:val="000000" w:themeColor="text1"/>
          <w:sz w:val="24"/>
          <w:u w:val="single"/>
          <w14:textFill>
            <w14:solidFill>
              <w14:schemeClr w14:val="tx1"/>
            </w14:solidFill>
          </w14:textFill>
        </w:rPr>
      </w:pPr>
      <w:r>
        <w:rPr>
          <w:rFonts w:hAnsi="宋体"/>
          <w:bCs/>
          <w:color w:val="000000" w:themeColor="text1"/>
          <w:spacing w:val="2"/>
          <w:kern w:val="36"/>
          <w:position w:val="2"/>
          <w:sz w:val="24"/>
          <w14:textFill>
            <w14:solidFill>
              <w14:schemeClr w14:val="tx1"/>
            </w14:solidFill>
          </w14:textFill>
        </w:rPr>
        <w:t>5.1</w:t>
      </w:r>
      <w:r>
        <w:rPr>
          <w:rFonts w:hint="eastAsia" w:hAnsi="宋体" w:cs="宋体"/>
          <w:bCs/>
          <w:color w:val="000000" w:themeColor="text1"/>
          <w:sz w:val="24"/>
          <w14:textFill>
            <w14:solidFill>
              <w14:schemeClr w14:val="tx1"/>
            </w14:solidFill>
          </w14:textFill>
        </w:rPr>
        <w:t>预付款的支付：</w:t>
      </w:r>
      <w:r>
        <w:rPr>
          <w:rFonts w:hint="eastAsia" w:ascii="仿宋_GB2312" w:hAnsi="仿宋_GB2312" w:eastAsia="仿宋_GB2312" w:cs="仿宋_GB2312"/>
          <w:bCs/>
          <w:sz w:val="28"/>
          <w:szCs w:val="28"/>
        </w:rPr>
        <w:sym w:font="Wingdings" w:char="00FE"/>
      </w:r>
      <w:r>
        <w:rPr>
          <w:rFonts w:hint="eastAsia" w:hAnsi="宋体" w:cs="宋体"/>
          <w:bCs/>
          <w:color w:val="000000" w:themeColor="text1"/>
          <w:sz w:val="24"/>
          <w14:textFill>
            <w14:solidFill>
              <w14:schemeClr w14:val="tx1"/>
            </w14:solidFill>
          </w14:textFill>
        </w:rPr>
        <w:t>无；</w:t>
      </w:r>
      <w:r>
        <w:rPr>
          <w:rFonts w:hAnsi="宋体" w:cs="宋体"/>
          <w:bCs/>
          <w:color w:val="000000" w:themeColor="text1"/>
          <w:sz w:val="24"/>
          <w14:textFill>
            <w14:solidFill>
              <w14:schemeClr w14:val="tx1"/>
            </w14:solidFill>
          </w14:textFill>
        </w:rPr>
        <w:t xml:space="preserve">     </w:t>
      </w:r>
      <w:r>
        <w:rPr>
          <w:rFonts w:hAnsi="宋体" w:cs="宋体"/>
          <w:bCs/>
          <w:color w:val="000000" w:themeColor="text1"/>
          <w:sz w:val="24"/>
          <w14:textFill>
            <w14:solidFill>
              <w14:schemeClr w14:val="tx1"/>
            </w14:solidFill>
          </w14:textFill>
        </w:rPr>
        <w:sym w:font="Wingdings" w:char="F0A8"/>
      </w:r>
      <w:r>
        <w:rPr>
          <w:rFonts w:hint="eastAsia" w:hAnsi="宋体" w:cs="宋体"/>
          <w:bCs/>
          <w:color w:val="000000" w:themeColor="text1"/>
          <w:sz w:val="24"/>
          <w14:textFill>
            <w14:solidFill>
              <w14:schemeClr w14:val="tx1"/>
            </w14:solidFill>
          </w14:textFill>
        </w:rPr>
        <w:t>有，合同签订后乙方开具等额的增值税专用发票及提交履约担保担保（如有），由乙方提交</w:t>
      </w:r>
      <w:r>
        <w:rPr>
          <w:rFonts w:hint="eastAsia" w:hAnsi="宋体" w:cs="宋体"/>
          <w:bCs/>
          <w:color w:val="000000" w:themeColor="text1"/>
          <w:sz w:val="24"/>
          <w:u w:val="single"/>
          <w14:textFill>
            <w14:solidFill>
              <w14:schemeClr w14:val="tx1"/>
            </w14:solidFill>
          </w14:textFill>
        </w:rPr>
        <w:t>申请支付资料</w:t>
      </w:r>
      <w:r>
        <w:rPr>
          <w:rFonts w:hint="eastAsia" w:hAnsi="宋体" w:cs="宋体"/>
          <w:bCs/>
          <w:color w:val="000000" w:themeColor="text1"/>
          <w:sz w:val="24"/>
          <w14:textFill>
            <w14:solidFill>
              <w14:schemeClr w14:val="tx1"/>
            </w14:solidFill>
          </w14:textFill>
        </w:rPr>
        <w:t>及开具等额的增值税专用发票后</w:t>
      </w:r>
      <w:r>
        <w:rPr>
          <w:rFonts w:hAnsi="宋体" w:cs="宋体"/>
          <w:bCs/>
          <w:color w:val="000000" w:themeColor="text1"/>
          <w:sz w:val="24"/>
          <w:u w:val="single"/>
          <w14:textFill>
            <w14:solidFill>
              <w14:schemeClr w14:val="tx1"/>
            </w14:solidFill>
          </w14:textFill>
        </w:rPr>
        <w:t>15</w:t>
      </w:r>
      <w:r>
        <w:rPr>
          <w:rFonts w:hint="eastAsia" w:hAnsi="宋体" w:cs="宋体"/>
          <w:bCs/>
          <w:color w:val="000000" w:themeColor="text1"/>
          <w:sz w:val="24"/>
          <w:u w:val="single"/>
          <w14:textFill>
            <w14:solidFill>
              <w14:schemeClr w14:val="tx1"/>
            </w14:solidFill>
          </w14:textFill>
        </w:rPr>
        <w:t>个</w:t>
      </w:r>
      <w:r>
        <w:rPr>
          <w:rFonts w:hint="eastAsia" w:hAnsi="宋体" w:cs="宋体"/>
          <w:bCs/>
          <w:color w:val="000000" w:themeColor="text1"/>
          <w:sz w:val="24"/>
          <w14:textFill>
            <w14:solidFill>
              <w14:schemeClr w14:val="tx1"/>
            </w14:solidFill>
          </w14:textFill>
        </w:rPr>
        <w:t>工作日内，甲方支付合同</w:t>
      </w:r>
      <w:r>
        <w:rPr>
          <w:rFonts w:hint="eastAsia" w:hAnsi="宋体" w:cs="宋体"/>
          <w:color w:val="000000" w:themeColor="text1"/>
          <w:sz w:val="24"/>
          <w14:textFill>
            <w14:solidFill>
              <w14:schemeClr w14:val="tx1"/>
            </w14:solidFill>
          </w14:textFill>
        </w:rPr>
        <w:t>暂定总价</w:t>
      </w:r>
      <w:r>
        <w:rPr>
          <w:rFonts w:hint="eastAsia" w:hAnsi="宋体" w:cs="宋体"/>
          <w:bCs/>
          <w:color w:val="000000" w:themeColor="text1"/>
          <w:sz w:val="24"/>
          <w14:textFill>
            <w14:solidFill>
              <w14:schemeClr w14:val="tx1"/>
            </w14:solidFill>
          </w14:textFill>
        </w:rPr>
        <w:t>的</w:t>
      </w:r>
      <w:r>
        <w:rPr>
          <w:rFonts w:hAnsi="宋体" w:cs="宋体"/>
          <w:bCs/>
          <w:color w:val="000000" w:themeColor="text1"/>
          <w:sz w:val="24"/>
          <w:u w:val="single"/>
          <w14:textFill>
            <w14:solidFill>
              <w14:schemeClr w14:val="tx1"/>
            </w14:solidFill>
          </w14:textFill>
        </w:rPr>
        <w:t xml:space="preserve">  （不得超过30%）  </w:t>
      </w:r>
      <w:r>
        <w:rPr>
          <w:rFonts w:hint="eastAsia" w:hAnsi="宋体" w:cs="宋体"/>
          <w:color w:val="000000" w:themeColor="text1"/>
          <w:sz w:val="24"/>
          <w14:textFill>
            <w14:solidFill>
              <w14:schemeClr w14:val="tx1"/>
            </w14:solidFill>
          </w14:textFill>
        </w:rPr>
        <w:t>即</w:t>
      </w:r>
      <w:r>
        <w:rPr>
          <w:rFonts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u w:val="single"/>
          <w14:textFill>
            <w14:solidFill>
              <w14:schemeClr w14:val="tx1"/>
            </w14:solidFill>
          </w14:textFill>
        </w:rPr>
        <w:t>…</w:t>
      </w:r>
      <w:r>
        <w:rPr>
          <w:rFonts w:hAnsi="宋体" w:cs="宋体"/>
          <w:color w:val="000000" w:themeColor="text1"/>
          <w:sz w:val="24"/>
          <w:u w:val="single"/>
          <w14:textFill>
            <w14:solidFill>
              <w14:schemeClr w14:val="tx1"/>
            </w14:solidFill>
          </w14:textFill>
        </w:rPr>
        <w:t>，（大写：…）</w:t>
      </w:r>
      <w:r>
        <w:rPr>
          <w:rFonts w:hAnsi="宋体" w:cs="宋体"/>
          <w:color w:val="000000" w:themeColor="text1"/>
          <w:sz w:val="24"/>
          <w14:textFill>
            <w14:solidFill>
              <w14:schemeClr w14:val="tx1"/>
            </w14:solidFill>
          </w14:textFill>
        </w:rPr>
        <w:t xml:space="preserve"> </w:t>
      </w:r>
      <w:r>
        <w:rPr>
          <w:rFonts w:hint="eastAsia" w:hAnsi="宋体" w:cs="宋体"/>
          <w:bCs/>
          <w:color w:val="000000" w:themeColor="text1"/>
          <w:sz w:val="24"/>
          <w14:textFill>
            <w14:solidFill>
              <w14:schemeClr w14:val="tx1"/>
            </w14:solidFill>
          </w14:textFill>
        </w:rPr>
        <w:t>。</w:t>
      </w:r>
    </w:p>
    <w:p>
      <w:pPr>
        <w:pStyle w:val="12"/>
        <w:spacing w:line="50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5.2</w:t>
      </w:r>
      <w:r>
        <w:rPr>
          <w:rFonts w:hint="eastAsia" w:hAnsi="宋体" w:cs="宋体"/>
          <w:color w:val="000000" w:themeColor="text1"/>
          <w:sz w:val="24"/>
          <w:szCs w:val="24"/>
          <w:highlight w:val="none"/>
          <w:u w:val="single"/>
          <w14:textFill>
            <w14:solidFill>
              <w14:schemeClr w14:val="tx1"/>
            </w14:solidFill>
          </w14:textFill>
        </w:rPr>
        <w:t>乙方提供关键设备备件由甲方人员验证有效性、可用性、完整性，同时</w:t>
      </w:r>
      <w:r>
        <w:rPr>
          <w:rFonts w:hint="eastAsia" w:hAnsi="宋体" w:cs="宋体"/>
          <w:color w:val="000000" w:themeColor="text1"/>
          <w:sz w:val="24"/>
          <w:szCs w:val="24"/>
          <w:u w:val="single"/>
          <w14:textFill>
            <w14:solidFill>
              <w14:schemeClr w14:val="tx1"/>
            </w14:solidFill>
          </w14:textFill>
        </w:rPr>
        <w:t>乙方提交服务计划书并经甲方审核通过后</w:t>
      </w:r>
      <w:r>
        <w:rPr>
          <w:rFonts w:hint="eastAsia" w:hAnsi="宋体" w:cs="宋体"/>
          <w:color w:val="000000" w:themeColor="text1"/>
          <w:sz w:val="24"/>
          <w:szCs w:val="24"/>
          <w14:textFill>
            <w14:solidFill>
              <w14:schemeClr w14:val="tx1"/>
            </w14:solidFill>
          </w14:textFill>
        </w:rPr>
        <w:t>，乙方提交等额发票后</w:t>
      </w:r>
      <w:r>
        <w:rPr>
          <w:rFonts w:hAnsi="宋体" w:cs="宋体"/>
          <w:color w:val="000000" w:themeColor="text1"/>
          <w:sz w:val="24"/>
          <w:szCs w:val="24"/>
          <w:u w:val="single"/>
          <w14:textFill>
            <w14:solidFill>
              <w14:schemeClr w14:val="tx1"/>
            </w14:solidFill>
          </w14:textFill>
        </w:rPr>
        <w:t xml:space="preserve">15 </w:t>
      </w:r>
      <w:r>
        <w:rPr>
          <w:rFonts w:hint="eastAsia" w:hAnsi="宋体" w:cs="宋体"/>
          <w:color w:val="000000" w:themeColor="text1"/>
          <w:sz w:val="24"/>
          <w:szCs w:val="24"/>
          <w14:textFill>
            <w14:solidFill>
              <w14:schemeClr w14:val="tx1"/>
            </w14:solidFill>
          </w14:textFill>
        </w:rPr>
        <w:t>个工作日内，甲方支付至合同暂定总价的</w:t>
      </w:r>
      <w:r>
        <w:rPr>
          <w:rFonts w:hAnsi="宋体" w:cs="宋体"/>
          <w:color w:val="000000" w:themeColor="text1"/>
          <w:sz w:val="24"/>
          <w:szCs w:val="24"/>
          <w:u w:val="single"/>
          <w14:textFill>
            <w14:solidFill>
              <w14:schemeClr w14:val="tx1"/>
            </w14:solidFill>
          </w14:textFill>
        </w:rPr>
        <w:t>30</w:t>
      </w:r>
      <w:r>
        <w:rPr>
          <w:rFonts w:hint="eastAsia" w:hAnsi="宋体" w:cs="宋体"/>
          <w:color w:val="000000" w:themeColor="text1"/>
          <w:sz w:val="24"/>
          <w:szCs w:val="24"/>
          <w14:textFill>
            <w14:solidFill>
              <w14:schemeClr w14:val="tx1"/>
            </w14:solidFill>
          </w14:textFill>
        </w:rPr>
        <w:t>％即￥</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万元</w:t>
      </w:r>
      <w:r>
        <w:rPr>
          <w:rFonts w:hint="eastAsia" w:hAnsi="宋体" w:cs="宋体"/>
          <w:color w:val="000000" w:themeColor="text1"/>
          <w:sz w:val="24"/>
          <w:szCs w:val="24"/>
          <w14:textFill>
            <w14:solidFill>
              <w14:schemeClr w14:val="tx1"/>
            </w14:solidFill>
          </w14:textFill>
        </w:rPr>
        <w:t>。</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5.3项目服务至</w:t>
      </w:r>
      <w:r>
        <w:rPr>
          <w:rFonts w:ascii="宋体" w:hAnsi="宋体" w:cs="宋体"/>
          <w:color w:val="000000" w:themeColor="text1"/>
          <w:sz w:val="24"/>
          <w:u w:val="single"/>
          <w14:textFill>
            <w14:solidFill>
              <w14:schemeClr w14:val="tx1"/>
            </w14:solidFill>
          </w14:textFill>
        </w:rPr>
        <w:t>2022 年 8</w:t>
      </w:r>
      <w:r>
        <w:rPr>
          <w:rFonts w:hint="eastAsia" w:ascii="宋体" w:hAnsi="宋体" w:cs="宋体"/>
          <w:color w:val="000000" w:themeColor="text1"/>
          <w:sz w:val="24"/>
          <w:u w:val="single"/>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16</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，乙方提交阶段性总结报告经甲方审核通过后，乙方提交申请等额增值税发票后</w:t>
      </w:r>
      <w:r>
        <w:rPr>
          <w:rFonts w:ascii="宋体" w:hAnsi="宋体" w:cs="宋体"/>
          <w:color w:val="000000" w:themeColor="text1"/>
          <w:sz w:val="24"/>
          <w:u w:val="single"/>
          <w14:textFill>
            <w14:solidFill>
              <w14:schemeClr w14:val="tx1"/>
            </w14:solidFill>
          </w14:textFill>
        </w:rPr>
        <w:t>15</w:t>
      </w:r>
      <w:r>
        <w:rPr>
          <w:rFonts w:ascii="宋体" w:hAnsi="宋体" w:cs="宋体"/>
          <w:color w:val="000000" w:themeColor="text1"/>
          <w:sz w:val="24"/>
          <w14:textFill>
            <w14:solidFill>
              <w14:schemeClr w14:val="tx1"/>
            </w14:solidFill>
          </w14:textFill>
        </w:rPr>
        <w:t xml:space="preserve"> 个工作日内，甲方支付至合同暂定总价的</w:t>
      </w:r>
      <w:r>
        <w:rPr>
          <w:rFonts w:ascii="宋体" w:hAnsi="宋体" w:cs="宋体"/>
          <w:color w:val="000000" w:themeColor="text1"/>
          <w:sz w:val="24"/>
          <w:u w:val="single"/>
          <w14:textFill>
            <w14:solidFill>
              <w14:schemeClr w14:val="tx1"/>
            </w14:solidFill>
          </w14:textFill>
        </w:rPr>
        <w:t>70％</w:t>
      </w:r>
      <w:r>
        <w:rPr>
          <w:rFonts w:hint="eastAsia" w:ascii="宋体" w:hAnsi="宋体" w:cs="宋体"/>
          <w:color w:val="000000" w:themeColor="text1"/>
          <w:sz w:val="24"/>
          <w14:textFill>
            <w14:solidFill>
              <w14:schemeClr w14:val="tx1"/>
            </w14:solidFill>
          </w14:textFill>
        </w:rPr>
        <w:t>即￥</w:t>
      </w:r>
      <w:r>
        <w:rPr>
          <w:rFonts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万元。</w:t>
      </w: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5.4</w:t>
      </w:r>
      <w:r>
        <w:rPr>
          <w:rFonts w:ascii="宋体" w:hAnsi="宋体" w:cs="宋体"/>
          <w:color w:val="000000" w:themeColor="text1"/>
          <w:sz w:val="24"/>
          <w14:textFill>
            <w14:solidFill>
              <w14:schemeClr w14:val="tx1"/>
            </w14:solidFill>
          </w14:textFill>
        </w:rPr>
        <w:t>合同履约完毕</w:t>
      </w:r>
      <w:r>
        <w:rPr>
          <w:rFonts w:hint="eastAsia" w:ascii="宋体" w:hAnsi="宋体" w:cs="宋体"/>
          <w:color w:val="000000" w:themeColor="text1"/>
          <w:sz w:val="24"/>
          <w14:textFill>
            <w14:solidFill>
              <w14:schemeClr w14:val="tx1"/>
            </w14:solidFill>
          </w14:textFill>
        </w:rPr>
        <w:t>并经甲方验收合格后</w:t>
      </w:r>
      <w:r>
        <w:rPr>
          <w:rFonts w:ascii="宋体" w:hAnsi="宋体" w:cs="宋体"/>
          <w:color w:val="000000" w:themeColor="text1"/>
          <w:sz w:val="24"/>
          <w14:textFill>
            <w14:solidFill>
              <w14:schemeClr w14:val="tx1"/>
            </w14:solidFill>
          </w14:textFill>
        </w:rPr>
        <w:t>5日内</w:t>
      </w:r>
      <w:r>
        <w:rPr>
          <w:rFonts w:hint="eastAsia" w:ascii="宋体" w:hAnsi="宋体" w:cs="宋体"/>
          <w:color w:val="000000" w:themeColor="text1"/>
          <w:sz w:val="24"/>
          <w14:textFill>
            <w14:solidFill>
              <w14:schemeClr w14:val="tx1"/>
            </w14:solidFill>
          </w14:textFill>
        </w:rPr>
        <w:t>，乙方提交工作总结报告。经甲方或甲方委托有资质第三方机构结算审核后，由乙方提交申请支付资料及等额发票后</w:t>
      </w:r>
      <w:r>
        <w:rPr>
          <w:rFonts w:ascii="宋体" w:hAnsi="宋体" w:cs="宋体"/>
          <w:color w:val="000000" w:themeColor="text1"/>
          <w:sz w:val="24"/>
          <w:u w:val="single"/>
          <w14:textFill>
            <w14:solidFill>
              <w14:schemeClr w14:val="tx1"/>
            </w14:solidFill>
          </w14:textFill>
        </w:rPr>
        <w:t xml:space="preserve"> 15 </w:t>
      </w:r>
      <w:r>
        <w:rPr>
          <w:rFonts w:hint="eastAsia" w:ascii="宋体" w:hAnsi="宋体" w:cs="宋体"/>
          <w:color w:val="000000" w:themeColor="text1"/>
          <w:sz w:val="24"/>
          <w14:textFill>
            <w14:solidFill>
              <w14:schemeClr w14:val="tx1"/>
            </w14:solidFill>
          </w14:textFill>
        </w:rPr>
        <w:t>个工作日内，甲方支付至合同结算价的100%</w:t>
      </w:r>
      <w:r>
        <w:rPr>
          <w:rFonts w:hint="eastAsia" w:ascii="宋体" w:hAnsi="宋体" w:cs="宋体"/>
          <w:color w:val="000000" w:themeColor="text1"/>
          <w:sz w:val="24"/>
          <w:u w:val="single"/>
          <w14:textFill>
            <w14:solidFill>
              <w14:schemeClr w14:val="tx1"/>
            </w14:solidFill>
          </w14:textFill>
        </w:rPr>
        <w:t>。</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u w:val="single"/>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5.6乙方收款账户：</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pPr>
        <w:spacing w:line="500" w:lineRule="exact"/>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收款账号：</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pPr>
        <w:spacing w:line="500" w:lineRule="exact"/>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开户行：</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5.7乙方在收款前需提交等额增值税专用发票给甲方。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增值税专用发票信息：</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 xml:space="preserve">                            </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5.8履约担保：</w:t>
      </w:r>
      <w:r>
        <w:rPr>
          <w:rFonts w:hint="eastAsia" w:ascii="宋体" w:hAnsi="宋体" w:cs="宋体"/>
          <w:color w:val="000000" w:themeColor="text1"/>
          <w:sz w:val="24"/>
          <w14:textFill>
            <w14:solidFill>
              <w14:schemeClr w14:val="tx1"/>
            </w14:solidFill>
          </w14:textFill>
        </w:rPr>
        <w:sym w:font="Wingdings 2" w:char="0052"/>
      </w:r>
      <w:r>
        <w:rPr>
          <w:rFonts w:hint="eastAsia" w:ascii="宋体" w:hAnsi="宋体" w:cs="宋体"/>
          <w:bCs/>
          <w:color w:val="000000" w:themeColor="text1"/>
          <w:sz w:val="24"/>
          <w14:textFill>
            <w14:solidFill>
              <w14:schemeClr w14:val="tx1"/>
            </w14:solidFill>
          </w14:textFill>
        </w:rPr>
        <w:t xml:space="preserve">无；     </w:t>
      </w:r>
      <w:r>
        <w:rPr>
          <w:rFonts w:hint="eastAsia" w:ascii="宋体" w:hAnsi="宋体" w:cs="宋体"/>
          <w:color w:val="000000" w:themeColor="text1"/>
          <w:sz w:val="24"/>
          <w14:textFill>
            <w14:solidFill>
              <w14:schemeClr w14:val="tx1"/>
            </w14:solidFill>
          </w14:textFill>
        </w:rPr>
        <w:t>□有，乙方于本合同签订后</w:t>
      </w:r>
      <w:r>
        <w:rPr>
          <w:rFonts w:hint="eastAsia" w:ascii="宋体" w:hAnsi="宋体" w:cs="宋体"/>
          <w:color w:val="000000" w:themeColor="text1"/>
          <w:sz w:val="24"/>
          <w:u w:val="single"/>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日内按照</w:t>
      </w:r>
      <w:r>
        <w:rPr>
          <w:rFonts w:hint="eastAsia" w:ascii="宋体" w:hAnsi="宋体" w:cs="宋体"/>
          <w:color w:val="000000" w:themeColor="text1"/>
          <w:sz w:val="24"/>
          <w:u w:val="single"/>
          <w14:textFill>
            <w14:solidFill>
              <w14:schemeClr w14:val="tx1"/>
            </w14:solidFill>
          </w14:textFill>
        </w:rPr>
        <w:t>合同暂定总价的10%提供履约保证金，</w:t>
      </w:r>
      <w:r>
        <w:rPr>
          <w:rFonts w:hint="eastAsia" w:ascii="宋体" w:hAnsi="宋体" w:cs="宋体"/>
          <w:color w:val="000000" w:themeColor="text1"/>
          <w:sz w:val="24"/>
          <w14:textFill>
            <w14:solidFill>
              <w14:schemeClr w14:val="tx1"/>
            </w14:solidFill>
          </w14:textFill>
        </w:rPr>
        <w:t>金额：</w:t>
      </w:r>
      <w:r>
        <w:rPr>
          <w:rFonts w:hint="eastAsia" w:ascii="宋体" w:hAnsi="宋体" w:cs="宋体"/>
          <w:color w:val="000000" w:themeColor="text1"/>
          <w:sz w:val="24"/>
          <w:u w:val="single"/>
          <w14:textFill>
            <w14:solidFill>
              <w14:schemeClr w14:val="tx1"/>
            </w14:solidFill>
          </w14:textFill>
        </w:rPr>
        <w:t>…（大写人民币：…），</w:t>
      </w:r>
      <w:r>
        <w:rPr>
          <w:rFonts w:hint="eastAsia" w:ascii="宋体" w:hAnsi="宋体" w:cs="宋体"/>
          <w:color w:val="000000" w:themeColor="text1"/>
          <w:sz w:val="24"/>
          <w14:textFill>
            <w14:solidFill>
              <w14:schemeClr w14:val="tx1"/>
            </w14:solidFill>
          </w14:textFill>
        </w:rPr>
        <w:t>未按时提供的，甲方有权解除合同并要求乙方支付</w:t>
      </w:r>
      <w:r>
        <w:rPr>
          <w:rFonts w:hint="eastAsia" w:ascii="宋体" w:hAnsi="宋体" w:cs="宋体"/>
          <w:color w:val="000000" w:themeColor="text1"/>
          <w:sz w:val="24"/>
          <w:u w:val="single"/>
          <w14:textFill>
            <w14:solidFill>
              <w14:schemeClr w14:val="tx1"/>
            </w14:solidFill>
          </w14:textFill>
        </w:rPr>
        <w:t>合同暂定总价20%</w:t>
      </w:r>
      <w:r>
        <w:rPr>
          <w:rFonts w:hint="eastAsia" w:ascii="宋体" w:hAnsi="宋体" w:cs="宋体"/>
          <w:color w:val="000000" w:themeColor="text1"/>
          <w:sz w:val="24"/>
          <w14:textFill>
            <w14:solidFill>
              <w14:schemeClr w14:val="tx1"/>
            </w14:solidFill>
          </w14:textFill>
        </w:rPr>
        <w:t>作为违约金。</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5.8.1履约担保按以下任一种形式提供：</w:t>
      </w:r>
    </w:p>
    <w:p>
      <w:pPr>
        <w:pStyle w:val="19"/>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（1）符合甲方要求（详见附件7保函格式）的银行独立保函，</w:t>
      </w:r>
    </w:p>
    <w:p>
      <w:pPr>
        <w:pStyle w:val="19"/>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开户行：浦发银行广州分行</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5.8.2履约担保的担保期限和返还</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⑵ 履约银行保函在合同履行完成后，由乙方提出申请，甲方在28日内返还，不支付利息： </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u w:val="single"/>
          <w14:textFill>
            <w14:solidFill>
              <w14:schemeClr w14:val="tx1"/>
            </w14:solidFill>
          </w14:textFill>
        </w:rPr>
        <w:t xml:space="preserve"> 7 </w:t>
      </w:r>
      <w:r>
        <w:rPr>
          <w:rFonts w:hint="eastAsia" w:ascii="宋体" w:hAnsi="宋体" w:cs="宋体"/>
          <w:color w:val="000000" w:themeColor="text1"/>
          <w:sz w:val="24"/>
          <w14:textFill>
            <w14:solidFill>
              <w14:schemeClr w14:val="tx1"/>
            </w14:solidFill>
          </w14:textFill>
        </w:rPr>
        <w:t>日向甲方提交新的保函以替换即将到期的保函。如乙方未及时提交的，甲方有权直接要求担保银行支付其担保的全部金额并解除合同。</w:t>
      </w:r>
    </w:p>
    <w:p>
      <w:pPr>
        <w:pStyle w:val="19"/>
        <w:spacing w:before="156" w:beforeAutospacing="0" w:after="156" w:afterAutospacing="0" w:line="500" w:lineRule="exact"/>
        <w:ind w:left="199" w:leftChars="95" w:firstLine="360" w:firstLineChars="15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（4）现金履约保证金的退还：合同履行完成后，由乙方提出申请，甲方在</w:t>
      </w:r>
      <w:r>
        <w:rPr>
          <w:rFonts w:hint="eastAsia" w:cs="宋体"/>
          <w:color w:val="000000" w:themeColor="text1"/>
          <w:u w:val="single"/>
          <w14:textFill>
            <w14:solidFill>
              <w14:schemeClr w14:val="tx1"/>
            </w14:solidFill>
          </w14:textFill>
        </w:rPr>
        <w:t>28日</w:t>
      </w:r>
      <w:r>
        <w:rPr>
          <w:rFonts w:hint="eastAsia" w:cs="宋体"/>
          <w:color w:val="000000" w:themeColor="text1"/>
          <w14:textFill>
            <w14:solidFill>
              <w14:schemeClr w14:val="tx1"/>
            </w14:solidFill>
          </w14:textFill>
        </w:rPr>
        <w:t>内将剩余保证金（无息）返还。</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5.8.3甲方按本合同规定提取履约担保金额后，乙方应在收到甲方通知后</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5.9付款方式： </w:t>
      </w: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 xml:space="preserve">网银支付；  </w:t>
      </w: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 xml:space="preserve">支票；   </w:t>
      </w: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其他：</w:t>
      </w:r>
      <w:r>
        <w:rPr>
          <w:rFonts w:hint="eastAsia" w:ascii="宋体" w:hAnsi="宋体" w:cs="宋体"/>
          <w:color w:val="000000" w:themeColor="text1"/>
          <w:sz w:val="24"/>
          <w:u w:val="single"/>
          <w14:textFill>
            <w14:solidFill>
              <w14:schemeClr w14:val="tx1"/>
            </w14:solidFill>
          </w14:textFill>
        </w:rPr>
        <w:t xml:space="preserve"> … </w:t>
      </w:r>
    </w:p>
    <w:p>
      <w:pPr>
        <w:tabs>
          <w:tab w:val="left" w:pos="851"/>
        </w:tabs>
        <w:adjustRightInd w:val="0"/>
        <w:snapToGrid w:val="0"/>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（建议采用网银支付、支票两种形式中之一）</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5.10结算价超过合同暂定总价时，暂停合同的工程款支付程序，签订补充协议后支付。</w:t>
      </w:r>
    </w:p>
    <w:p>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六、双方责任</w:t>
      </w:r>
    </w:p>
    <w:p>
      <w:pPr>
        <w:pStyle w:val="44"/>
        <w:spacing w:line="500" w:lineRule="exact"/>
        <w:ind w:firstLineChars="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6.1</w:t>
      </w:r>
      <w:r>
        <w:rPr>
          <w:rFonts w:hint="eastAsia" w:ascii="宋体" w:hAnsi="宋体"/>
          <w:color w:val="000000" w:themeColor="text1"/>
          <w:sz w:val="24"/>
          <w:szCs w:val="24"/>
          <w14:textFill>
            <w14:solidFill>
              <w14:schemeClr w14:val="tx1"/>
            </w14:solidFill>
          </w14:textFill>
        </w:rPr>
        <w:t>乙方不得传播公司内部网络、服务器、应用系统等有关的资料。</w:t>
      </w:r>
    </w:p>
    <w:p>
      <w:pPr>
        <w:spacing w:line="500" w:lineRule="exact"/>
        <w:ind w:left="54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6.2乙方履行合同时，应严格遵守国家法律法规和甲方相关的各项规章制度，服从甲</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方管理指挥。乙方不按规范作业或者乙方原因造成的财产损失、人员伤亡，由乙方自行承担责任。</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6.4</w:t>
      </w:r>
      <w:r>
        <w:rPr>
          <w:rFonts w:hint="eastAsia" w:ascii="宋体" w:hAnsi="宋体"/>
          <w:color w:val="000000" w:themeColor="text1"/>
          <w:sz w:val="24"/>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6.5</w:t>
      </w:r>
      <w:r>
        <w:rPr>
          <w:rFonts w:hint="eastAsia" w:ascii="宋体" w:hAnsi="宋体"/>
          <w:color w:val="000000" w:themeColor="text1"/>
          <w:sz w:val="24"/>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6.7</w:t>
      </w:r>
      <w:r>
        <w:rPr>
          <w:rFonts w:hint="eastAsia" w:ascii="宋体" w:hAnsi="宋体" w:cs="宋体"/>
          <w:sz w:val="24"/>
        </w:rPr>
        <w:t>驻场服务：</w:t>
      </w:r>
      <w:r>
        <w:rPr>
          <w:rFonts w:ascii="宋体" w:hAnsi="宋体" w:cs="宋体"/>
          <w:sz w:val="24"/>
          <w:u w:val="single"/>
        </w:rPr>
        <w:t>/</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6.9甲方发现故障时及时通知乙方，乙方在收到通知</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4小时内提供维护，并排除故障。</w:t>
      </w:r>
      <w:r>
        <w:rPr>
          <w:rFonts w:hint="eastAsia" w:ascii="宋体" w:hAnsi="宋体"/>
          <w:color w:val="000000" w:themeColor="text1"/>
          <w:sz w:val="24"/>
          <w14:textFill>
            <w14:solidFill>
              <w14:schemeClr w14:val="tx1"/>
            </w14:solidFill>
          </w14:textFill>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6.10甲方保证所涉及的</w:t>
      </w:r>
      <w:r>
        <w:rPr>
          <w:rFonts w:hint="eastAsia" w:ascii="宋体" w:hAnsi="宋体"/>
          <w:color w:val="000000" w:themeColor="text1"/>
          <w:sz w:val="24"/>
          <w:u w:val="single"/>
          <w14:textFill>
            <w14:solidFill>
              <w14:schemeClr w14:val="tx1"/>
            </w14:solidFill>
          </w14:textFill>
        </w:rPr>
        <w:t>视频会议系统、无纸化会议系统</w:t>
      </w:r>
      <w:r>
        <w:rPr>
          <w:rFonts w:hint="eastAsia" w:ascii="宋体" w:hAnsi="宋体"/>
          <w:color w:val="000000" w:themeColor="text1"/>
          <w:sz w:val="24"/>
          <w14:textFill>
            <w14:solidFill>
              <w14:schemeClr w14:val="tx1"/>
            </w14:solidFill>
          </w14:textFill>
        </w:rPr>
        <w:t>处于良好运行环境。</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6.11甲方对本合同所保修的</w:t>
      </w:r>
      <w:r>
        <w:rPr>
          <w:rFonts w:hint="eastAsia" w:ascii="宋体" w:hAnsi="宋体"/>
          <w:color w:val="000000" w:themeColor="text1"/>
          <w:sz w:val="24"/>
          <w:u w:val="single"/>
          <w14:textFill>
            <w14:solidFill>
              <w14:schemeClr w14:val="tx1"/>
            </w14:solidFill>
          </w14:textFill>
        </w:rPr>
        <w:t>视频会议系统、无纸化会议系统</w:t>
      </w:r>
      <w:r>
        <w:rPr>
          <w:rFonts w:hint="eastAsia" w:ascii="宋体" w:hAnsi="宋体"/>
          <w:color w:val="000000" w:themeColor="text1"/>
          <w:sz w:val="24"/>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6.12乙方负责对甲方涉及</w:t>
      </w:r>
      <w:r>
        <w:rPr>
          <w:rFonts w:hint="eastAsia" w:ascii="宋体" w:hAnsi="宋体"/>
          <w:color w:val="000000" w:themeColor="text1"/>
          <w:sz w:val="24"/>
          <w:u w:val="single"/>
          <w14:textFill>
            <w14:solidFill>
              <w14:schemeClr w14:val="tx1"/>
            </w14:solidFill>
          </w14:textFill>
        </w:rPr>
        <w:t>视频会议系统、无纸化会议系统</w:t>
      </w:r>
      <w:r>
        <w:rPr>
          <w:rFonts w:hint="eastAsia" w:ascii="宋体" w:hAnsi="宋体"/>
          <w:color w:val="000000" w:themeColor="text1"/>
          <w:sz w:val="24"/>
          <w14:textFill>
            <w14:solidFill>
              <w14:schemeClr w14:val="tx1"/>
            </w14:solidFill>
          </w14:textFill>
        </w:rPr>
        <w:t>管理技术人员进行</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使用方法的专项培训。</w:t>
      </w:r>
    </w:p>
    <w:p>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七、违约责任</w:t>
      </w:r>
    </w:p>
    <w:p>
      <w:pPr>
        <w:spacing w:line="500" w:lineRule="exact"/>
        <w:ind w:firstLine="560"/>
        <w:rPr>
          <w:rFonts w:ascii="宋体" w:hAnsi="宋体" w:cs="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7.1</w:t>
      </w:r>
      <w:r>
        <w:rPr>
          <w:rFonts w:hint="eastAsia" w:ascii="宋体" w:hAnsi="宋体" w:cs="宋体"/>
          <w:bCs/>
          <w:color w:val="000000" w:themeColor="text1"/>
          <w:sz w:val="24"/>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bCs/>
          <w:color w:val="000000" w:themeColor="text1"/>
          <w:sz w:val="24"/>
          <w14:textFill>
            <w14:solidFill>
              <w14:schemeClr w14:val="tx1"/>
            </w14:solidFill>
          </w14:textFill>
        </w:rPr>
        <w:t>1日支付违约金人民币</w:t>
      </w:r>
      <w:r>
        <w:rPr>
          <w:rFonts w:ascii="宋体" w:hAnsi="宋体" w:cs="宋体"/>
          <w:bCs/>
          <w:color w:val="000000" w:themeColor="text1"/>
          <w:sz w:val="24"/>
          <w:u w:val="single"/>
          <w14:textFill>
            <w14:solidFill>
              <w14:schemeClr w14:val="tx1"/>
            </w14:solidFill>
          </w14:textFill>
        </w:rPr>
        <w:t>1万元</w:t>
      </w:r>
      <w:r>
        <w:rPr>
          <w:rFonts w:hint="eastAsia" w:ascii="宋体" w:hAnsi="宋体" w:cs="宋体"/>
          <w:bCs/>
          <w:color w:val="000000" w:themeColor="text1"/>
          <w:sz w:val="24"/>
          <w14:textFill>
            <w14:solidFill>
              <w14:schemeClr w14:val="tx1"/>
            </w14:solidFill>
          </w14:textFill>
        </w:rPr>
        <w:t>，超过</w:t>
      </w:r>
      <w:r>
        <w:rPr>
          <w:rFonts w:ascii="宋体" w:hAnsi="宋体" w:cs="宋体"/>
          <w:bCs/>
          <w:color w:val="000000" w:themeColor="text1"/>
          <w:sz w:val="24"/>
          <w:highlight w:val="none"/>
          <w14:textFill>
            <w14:solidFill>
              <w14:schemeClr w14:val="tx1"/>
            </w14:solidFill>
          </w14:textFill>
        </w:rPr>
        <w:t>30</w:t>
      </w:r>
      <w:r>
        <w:rPr>
          <w:rFonts w:hint="eastAsia" w:ascii="宋体" w:hAnsi="宋体" w:cs="宋体"/>
          <w:bCs/>
          <w:color w:val="000000" w:themeColor="text1"/>
          <w:sz w:val="24"/>
          <w14:textFill>
            <w14:solidFill>
              <w14:schemeClr w14:val="tx1"/>
            </w14:solidFill>
          </w14:textFill>
        </w:rPr>
        <w:t>日，甲方有权解除合同并要求乙方支付</w:t>
      </w:r>
      <w:r>
        <w:rPr>
          <w:rFonts w:hint="eastAsia" w:ascii="宋体" w:hAnsi="宋体" w:cs="宋体"/>
          <w:bCs/>
          <w:color w:val="000000" w:themeColor="text1"/>
          <w:sz w:val="24"/>
          <w:u w:val="single"/>
          <w14:textFill>
            <w14:solidFill>
              <w14:schemeClr w14:val="tx1"/>
            </w14:solidFill>
          </w14:textFill>
        </w:rPr>
        <w:t>合同暂定总价的</w:t>
      </w:r>
      <w:r>
        <w:rPr>
          <w:rFonts w:ascii="宋体" w:hAnsi="宋体" w:cs="宋体"/>
          <w:bCs/>
          <w:color w:val="000000" w:themeColor="text1"/>
          <w:sz w:val="24"/>
          <w:u w:val="single"/>
          <w14:textFill>
            <w14:solidFill>
              <w14:schemeClr w14:val="tx1"/>
            </w14:solidFill>
          </w14:textFill>
        </w:rPr>
        <w:t>20%</w:t>
      </w:r>
      <w:r>
        <w:rPr>
          <w:rFonts w:hint="eastAsia" w:ascii="宋体" w:hAnsi="宋体" w:cs="宋体"/>
          <w:bCs/>
          <w:color w:val="000000" w:themeColor="text1"/>
          <w:sz w:val="24"/>
          <w14:textFill>
            <w14:solidFill>
              <w14:schemeClr w14:val="tx1"/>
            </w14:solidFill>
          </w14:textFill>
        </w:rPr>
        <w:t>作为违约金，由此造成的责任及损失由乙方承担。</w:t>
      </w:r>
      <w:r>
        <w:rPr>
          <w:rFonts w:hint="eastAsia" w:ascii="宋体" w:hAnsi="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如合同另行约定违约责任，从其约定</w:t>
      </w:r>
      <w:r>
        <w:rPr>
          <w:rFonts w:hint="eastAsia" w:ascii="宋体" w:hAnsi="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7.3乙方未能及时处理故障，每延误故障处理1日，甲方有权要求乙方支付</w:t>
      </w:r>
      <w:r>
        <w:rPr>
          <w:rFonts w:hint="eastAsia" w:ascii="宋体" w:hAnsi="宋体"/>
          <w:color w:val="000000" w:themeColor="text1"/>
          <w:sz w:val="24"/>
          <w:u w:val="single"/>
          <w14:textFill>
            <w14:solidFill>
              <w14:schemeClr w14:val="tx1"/>
            </w14:solidFill>
          </w14:textFill>
        </w:rPr>
        <w:t xml:space="preserve">合同暂定总价的 </w:t>
      </w:r>
      <w:r>
        <w:rPr>
          <w:rFonts w:ascii="宋体" w:hAnsi="宋体" w:cs="Arial Unicode MS"/>
          <w:color w:val="000000" w:themeColor="text1"/>
          <w:sz w:val="24"/>
          <w:u w:val="single"/>
          <w14:textFill>
            <w14:solidFill>
              <w14:schemeClr w14:val="tx1"/>
            </w14:solidFill>
          </w14:textFill>
        </w:rPr>
        <w:t xml:space="preserve">10 </w:t>
      </w:r>
      <w:r>
        <w:rPr>
          <w:rFonts w:hint="eastAsia" w:ascii="宋体" w:hAnsi="宋体"/>
          <w:color w:val="000000" w:themeColor="text1"/>
          <w:sz w:val="24"/>
          <w:u w:val="single"/>
          <w14:textFill>
            <w14:solidFill>
              <w14:schemeClr w14:val="tx1"/>
            </w14:solidFill>
          </w14:textFill>
        </w:rPr>
        <w:t>‰</w:t>
      </w:r>
      <w:r>
        <w:rPr>
          <w:rFonts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作为违约金。</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7.4乙方无正当理由终止合同，双方按实际工作量结算后，乙方向甲方支付</w:t>
      </w:r>
      <w:r>
        <w:rPr>
          <w:rFonts w:hint="eastAsia" w:ascii="宋体" w:hAnsi="宋体"/>
          <w:color w:val="000000" w:themeColor="text1"/>
          <w:sz w:val="24"/>
          <w:u w:val="single"/>
          <w14:textFill>
            <w14:solidFill>
              <w14:schemeClr w14:val="tx1"/>
            </w14:solidFill>
          </w14:textFill>
        </w:rPr>
        <w:t>合同暂定总价的10%</w:t>
      </w:r>
      <w:r>
        <w:rPr>
          <w:rFonts w:hint="eastAsia" w:ascii="宋体" w:hAnsi="宋体"/>
          <w:color w:val="000000" w:themeColor="text1"/>
          <w:sz w:val="24"/>
          <w14:textFill>
            <w14:solidFill>
              <w14:schemeClr w14:val="tx1"/>
            </w14:solidFill>
          </w14:textFill>
        </w:rPr>
        <w:t>作为违约金。</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7.5甲方无正当理由终止合同，双方按实际工作量结算后，甲方向乙方支付</w:t>
      </w:r>
      <w:r>
        <w:rPr>
          <w:rFonts w:hint="eastAsia" w:ascii="宋体" w:hAnsi="宋体"/>
          <w:color w:val="000000" w:themeColor="text1"/>
          <w:sz w:val="24"/>
          <w:u w:val="single"/>
          <w14:textFill>
            <w14:solidFill>
              <w14:schemeClr w14:val="tx1"/>
            </w14:solidFill>
          </w14:textFill>
        </w:rPr>
        <w:t>合同暂定总价的10%</w:t>
      </w:r>
      <w:r>
        <w:rPr>
          <w:rFonts w:hint="eastAsia" w:ascii="宋体" w:hAnsi="宋体"/>
          <w:color w:val="000000" w:themeColor="text1"/>
          <w:sz w:val="24"/>
          <w14:textFill>
            <w14:solidFill>
              <w14:schemeClr w14:val="tx1"/>
            </w14:solidFill>
          </w14:textFill>
        </w:rPr>
        <w:t>作为违约金。</w:t>
      </w:r>
    </w:p>
    <w:p>
      <w:pPr>
        <w:topLinePunct/>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7.6</w:t>
      </w:r>
      <w:r>
        <w:rPr>
          <w:rFonts w:hint="eastAsia" w:ascii="宋体" w:hAnsi="宋体" w:cs="宋体"/>
          <w:color w:val="000000" w:themeColor="text1"/>
          <w:sz w:val="24"/>
          <w14:textFill>
            <w14:solidFill>
              <w14:schemeClr w14:val="tx1"/>
            </w14:solidFill>
          </w14:textFill>
        </w:rPr>
        <w:t>在合同有效期内，若乙方发生不诚信行为情形的，乙方自愿接受甲方按《广州市净水有限公司经营建设项目参建企业不诚信行为管理办法》处理。</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7.7因不可抗力因素引起合同不能按期履行，由双方另行协商解决。</w:t>
      </w:r>
    </w:p>
    <w:p>
      <w:pPr>
        <w:spacing w:before="156" w:beforeLines="50" w:after="156" w:afterLines="50" w:line="500" w:lineRule="exact"/>
        <w:ind w:firstLine="422" w:firstLineChars="175"/>
        <w:jc w:val="left"/>
        <w:rPr>
          <w:rFonts w:ascii="宋体" w:hAnsi="宋体" w:cs="宋体"/>
          <w:color w:val="000000" w:themeColor="text1"/>
          <w:sz w:val="24"/>
          <w14:textFill>
            <w14:solidFill>
              <w14:schemeClr w14:val="tx1"/>
            </w14:solidFill>
          </w14:textFill>
        </w:rPr>
      </w:pPr>
      <w:bookmarkStart w:id="6" w:name="_Toc19692"/>
      <w:bookmarkStart w:id="7" w:name="_Toc306350467"/>
      <w:bookmarkStart w:id="8" w:name="_Toc107446862"/>
      <w:bookmarkStart w:id="9" w:name="_Toc183666531"/>
      <w:bookmarkStart w:id="10" w:name="_Toc518993000"/>
      <w:bookmarkStart w:id="11" w:name="_Toc107447255"/>
      <w:bookmarkStart w:id="12" w:name="_Toc474245226"/>
      <w:bookmarkStart w:id="13" w:name="_Toc520190040"/>
      <w:r>
        <w:rPr>
          <w:rFonts w:hint="eastAsia" w:ascii="宋体" w:hAnsi="宋体" w:cs="宋体"/>
          <w:b/>
          <w:bCs/>
          <w:color w:val="000000" w:themeColor="text1"/>
          <w:sz w:val="24"/>
          <w14:textFill>
            <w14:solidFill>
              <w14:schemeClr w14:val="tx1"/>
            </w14:solidFill>
          </w14:textFill>
        </w:rPr>
        <w:t>八、不可抗力</w:t>
      </w:r>
      <w:bookmarkEnd w:id="6"/>
      <w:bookmarkEnd w:id="7"/>
      <w:bookmarkEnd w:id="8"/>
      <w:bookmarkEnd w:id="9"/>
      <w:bookmarkEnd w:id="10"/>
      <w:bookmarkEnd w:id="11"/>
      <w:bookmarkEnd w:id="12"/>
      <w:bookmarkEnd w:id="13"/>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bookmarkStart w:id="14" w:name="_Toc12010"/>
      <w:bookmarkStart w:id="15" w:name="_Toc183666532"/>
      <w:bookmarkStart w:id="16" w:name="_Toc306350468"/>
      <w:r>
        <w:rPr>
          <w:rFonts w:ascii="宋体" w:hAnsi="宋体" w:cs="宋体"/>
          <w:bCs/>
          <w:color w:val="000000" w:themeColor="text1"/>
          <w:sz w:val="24"/>
          <w14:textFill>
            <w14:solidFill>
              <w14:schemeClr w14:val="tx1"/>
            </w14:solidFill>
          </w14:textFill>
        </w:rPr>
        <w:t xml:space="preserve">8.1 </w:t>
      </w:r>
      <w:r>
        <w:rPr>
          <w:rFonts w:hint="eastAsia" w:ascii="宋体" w:hAnsi="宋体" w:cs="宋体"/>
          <w:bCs/>
          <w:color w:val="000000" w:themeColor="text1"/>
          <w:sz w:val="24"/>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⑴</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⑵</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8.2 </w:t>
      </w:r>
      <w:r>
        <w:rPr>
          <w:rFonts w:hint="eastAsia" w:ascii="宋体" w:hAnsi="宋体" w:cs="宋体"/>
          <w:bCs/>
          <w:color w:val="000000" w:themeColor="text1"/>
          <w:sz w:val="24"/>
          <w14:textFill>
            <w14:solidFill>
              <w14:schemeClr w14:val="tx1"/>
            </w14:solidFill>
          </w14:textFill>
        </w:rPr>
        <w:t>声称受到不可抗力影响的一方，应在发生不可抗力或知道发生不可抗力之后</w:t>
      </w:r>
      <w:r>
        <w:rPr>
          <w:rFonts w:ascii="宋体" w:hAnsi="宋体" w:cs="宋体"/>
          <w:bCs/>
          <w:color w:val="000000" w:themeColor="text1"/>
          <w:sz w:val="24"/>
          <w14:textFill>
            <w14:solidFill>
              <w14:schemeClr w14:val="tx1"/>
            </w14:solidFill>
          </w14:textFill>
        </w:rPr>
        <w:t>5日内书面通知另一方，详细描述不可抗力的发生情况和对该方履行在本合同项</w:t>
      </w:r>
      <w:r>
        <w:rPr>
          <w:rFonts w:hint="eastAsia" w:ascii="宋体" w:hAnsi="宋体" w:cs="宋体"/>
          <w:bCs/>
          <w:color w:val="000000" w:themeColor="text1"/>
          <w:sz w:val="24"/>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8.4 </w:t>
      </w:r>
      <w:r>
        <w:rPr>
          <w:rFonts w:hint="eastAsia" w:ascii="宋体" w:hAnsi="宋体" w:cs="宋体"/>
          <w:bCs/>
          <w:color w:val="000000" w:themeColor="text1"/>
          <w:sz w:val="24"/>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520190041"/>
      <w:bookmarkStart w:id="18" w:name="_Toc107446864"/>
      <w:bookmarkStart w:id="19" w:name="_Toc474245227"/>
      <w:bookmarkStart w:id="20" w:name="_Toc518993001"/>
      <w:bookmarkStart w:id="21" w:name="_Toc118172294"/>
      <w:bookmarkStart w:id="22" w:name="_Toc107447257"/>
    </w:p>
    <w:p>
      <w:pPr>
        <w:spacing w:before="156" w:beforeLines="50" w:after="156" w:afterLines="50" w:line="500" w:lineRule="exact"/>
        <w:ind w:firstLine="482"/>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w:t>
      </w:r>
      <w:r>
        <w:rPr>
          <w:rFonts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争议解决</w:t>
      </w:r>
      <w:bookmarkEnd w:id="14"/>
      <w:bookmarkEnd w:id="15"/>
      <w:bookmarkEnd w:id="16"/>
      <w:bookmarkEnd w:id="17"/>
      <w:bookmarkEnd w:id="18"/>
      <w:bookmarkEnd w:id="19"/>
      <w:bookmarkEnd w:id="20"/>
      <w:bookmarkEnd w:id="21"/>
      <w:bookmarkEnd w:id="22"/>
    </w:p>
    <w:p>
      <w:pPr>
        <w:spacing w:line="500" w:lineRule="exact"/>
        <w:ind w:firstLine="482"/>
        <w:rPr>
          <w:rFonts w:ascii="宋体" w:hAnsi="宋体" w:cs="宋体"/>
          <w:bCs/>
          <w:color w:val="000000" w:themeColor="text1"/>
          <w:sz w:val="24"/>
          <w14:textFill>
            <w14:solidFill>
              <w14:schemeClr w14:val="tx1"/>
            </w14:solidFill>
          </w14:textFill>
        </w:rPr>
      </w:pPr>
      <w:bookmarkStart w:id="23" w:name="_Toc306350469"/>
      <w:bookmarkStart w:id="24" w:name="_Toc183666533"/>
      <w:r>
        <w:rPr>
          <w:rFonts w:ascii="宋体" w:hAnsi="宋体" w:cs="宋体"/>
          <w:bCs/>
          <w:color w:val="000000" w:themeColor="text1"/>
          <w:sz w:val="24"/>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9.2 </w:t>
      </w:r>
      <w:r>
        <w:rPr>
          <w:rFonts w:hint="eastAsia" w:ascii="宋体" w:hAnsi="宋体" w:cs="宋体"/>
          <w:color w:val="000000" w:themeColor="text1"/>
          <w:sz w:val="24"/>
          <w14:textFill>
            <w14:solidFill>
              <w14:schemeClr w14:val="tx1"/>
            </w14:solidFill>
          </w14:textFill>
        </w:rPr>
        <w:t>在甲方同意的情况下，除有争议之外的合同其它部分在争议解决前应继续执行。</w:t>
      </w:r>
      <w:bookmarkEnd w:id="23"/>
      <w:bookmarkEnd w:id="24"/>
      <w:bookmarkStart w:id="25" w:name="_Toc474245229"/>
      <w:bookmarkStart w:id="26" w:name="_Toc520190043"/>
      <w:bookmarkStart w:id="27" w:name="_Toc518993003"/>
    </w:p>
    <w:p>
      <w:pPr>
        <w:spacing w:line="500" w:lineRule="exact"/>
        <w:ind w:firstLine="482"/>
        <w:jc w:val="left"/>
        <w:rPr>
          <w:rFonts w:ascii="宋体" w:hAnsi="宋体" w:cs="宋体"/>
          <w:b/>
          <w:bCs/>
          <w:color w:val="000000" w:themeColor="text1"/>
          <w:sz w:val="24"/>
          <w14:textFill>
            <w14:solidFill>
              <w14:schemeClr w14:val="tx1"/>
            </w14:solidFill>
          </w14:textFill>
        </w:rPr>
      </w:pPr>
      <w:bookmarkStart w:id="28" w:name="_Toc107446871"/>
      <w:bookmarkStart w:id="29" w:name="_Toc107447264"/>
      <w:r>
        <w:rPr>
          <w:rFonts w:hint="eastAsia" w:ascii="宋体" w:hAnsi="宋体" w:cs="宋体"/>
          <w:b/>
          <w:bCs/>
          <w:color w:val="000000" w:themeColor="text1"/>
          <w:sz w:val="24"/>
          <w14:textFill>
            <w14:solidFill>
              <w14:schemeClr w14:val="tx1"/>
            </w14:solidFill>
          </w14:textFill>
        </w:rPr>
        <w:t>十、合同生效及其他</w:t>
      </w:r>
      <w:bookmarkEnd w:id="25"/>
      <w:bookmarkEnd w:id="26"/>
      <w:bookmarkEnd w:id="27"/>
      <w:bookmarkEnd w:id="28"/>
      <w:bookmarkEnd w:id="29"/>
    </w:p>
    <w:p>
      <w:pPr>
        <w:spacing w:line="50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10.1本合同经双方法定代表人或授权代表签字并加盖双方公章后生效.</w:t>
      </w:r>
    </w:p>
    <w:p>
      <w:pPr>
        <w:spacing w:line="50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10.2本合同正文一式</w:t>
      </w:r>
      <w:r>
        <w:rPr>
          <w:rFonts w:ascii="宋体" w:hAnsi="宋体" w:cs="宋体"/>
          <w:color w:val="000000" w:themeColor="text1"/>
          <w:sz w:val="24"/>
          <w:u w:val="single"/>
          <w14:textFill>
            <w14:solidFill>
              <w14:schemeClr w14:val="tx1"/>
            </w14:solidFill>
          </w14:textFill>
        </w:rPr>
        <w:t xml:space="preserve"> 4</w:t>
      </w:r>
      <w:r>
        <w:rPr>
          <w:rFonts w:ascii="宋体" w:hAnsi="宋体" w:cs="宋体"/>
          <w:color w:val="000000" w:themeColor="text1"/>
          <w:sz w:val="24"/>
          <w14:textFill>
            <w14:solidFill>
              <w14:schemeClr w14:val="tx1"/>
            </w14:solidFill>
          </w14:textFill>
        </w:rPr>
        <w:t>份，其中：甲方</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份，乙方</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份。</w:t>
      </w:r>
    </w:p>
    <w:p>
      <w:pPr>
        <w:spacing w:line="500" w:lineRule="exact"/>
        <w:ind w:firstLine="480"/>
        <w:rPr>
          <w:rFonts w:ascii="宋体" w:hAnsi="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10.3</w:t>
      </w:r>
      <w:r>
        <w:rPr>
          <w:rFonts w:hint="eastAsia" w:ascii="宋体" w:hAnsi="宋体" w:cs="宋体"/>
          <w:color w:val="000000" w:themeColor="text1"/>
          <w:sz w:val="24"/>
          <w14:textFill>
            <w14:solidFill>
              <w14:schemeClr w14:val="tx1"/>
            </w14:solidFill>
          </w14:textFill>
        </w:rPr>
        <w:t>补</w:t>
      </w:r>
      <w:r>
        <w:rPr>
          <w:rFonts w:ascii="宋体" w:hAnsi="宋体" w:cs="宋体"/>
          <w:color w:val="000000" w:themeColor="text1"/>
          <w:sz w:val="24"/>
          <w14:textFill>
            <w14:solidFill>
              <w14:schemeClr w14:val="tx1"/>
            </w14:solidFill>
          </w14:textFill>
        </w:rPr>
        <w:t>充条款</w:t>
      </w:r>
      <w:r>
        <w:rPr>
          <w:rFonts w:hint="eastAsia" w:ascii="宋体" w:hAnsi="宋体" w:cs="宋体"/>
          <w:color w:val="000000" w:themeColor="text1"/>
          <w:sz w:val="24"/>
          <w:u w:val="single"/>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p>
    <w:p>
      <w:pPr>
        <w:spacing w:line="500" w:lineRule="exact"/>
        <w:ind w:firstLine="560"/>
        <w:rPr>
          <w:rFonts w:ascii="宋体" w:hAnsi="宋体" w:cs="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w:t>
      </w:r>
      <w:r>
        <w:rPr>
          <w:rFonts w:hint="eastAsia" w:ascii="宋体" w:hAnsi="宋体" w:cs="宋体"/>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发包通知书</w:t>
      </w:r>
    </w:p>
    <w:p>
      <w:pPr>
        <w:spacing w:line="500" w:lineRule="exact"/>
        <w:ind w:firstLine="1274" w:firstLineChars="531"/>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2.服务内容</w:t>
      </w:r>
    </w:p>
    <w:p>
      <w:pPr>
        <w:spacing w:line="500" w:lineRule="exact"/>
        <w:ind w:firstLine="1274" w:firstLineChars="53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3.廉洁协议书</w:t>
      </w:r>
    </w:p>
    <w:p>
      <w:pPr>
        <w:spacing w:line="500" w:lineRule="exact"/>
        <w:ind w:left="283" w:hanging="283" w:hangingChars="1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4.保密协议</w:t>
      </w:r>
    </w:p>
    <w:p>
      <w:pPr>
        <w:spacing w:line="500" w:lineRule="exact"/>
        <w:ind w:firstLine="1320" w:firstLine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安全管理协议书</w:t>
      </w:r>
    </w:p>
    <w:p>
      <w:pPr>
        <w:spacing w:line="500" w:lineRule="exact"/>
        <w:ind w:firstLine="1320" w:firstLine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项目投入人员架构表</w:t>
      </w:r>
    </w:p>
    <w:p>
      <w:pPr>
        <w:spacing w:line="5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Ansi="宋体"/>
          <w:color w:val="000000" w:themeColor="text1"/>
          <w14:textFill>
            <w14:solidFill>
              <w14:schemeClr w14:val="tx1"/>
            </w14:solidFill>
          </w14:textFill>
        </w:rPr>
        <w:t>7.</w:t>
      </w:r>
      <w:r>
        <w:rPr>
          <w:rFonts w:hint="eastAsia" w:hAnsi="宋体" w:eastAsia="宋体" w:cs="Times New Roman"/>
          <w:color w:val="000000" w:themeColor="text1"/>
          <w:kern w:val="2"/>
          <w14:textFill>
            <w14:solidFill>
              <w14:schemeClr w14:val="tx1"/>
            </w14:solidFill>
          </w14:textFill>
        </w:rPr>
        <w:t>不诚信行为的情形及相应被暂停参与投标活动的处理标准</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甲方：广州市净水有限公司（盖章）</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乙方：（盖章）</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法定代表人或</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授权代理人：</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授权代理人：</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地址：</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经办人：</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经办人：</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p>
    <w:p>
      <w:pPr>
        <w:spacing w:line="500" w:lineRule="exact"/>
        <w:ind w:left="6360" w:hanging="6360" w:hangingChars="26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传真：</w:t>
      </w:r>
    </w:p>
    <w:p>
      <w:pPr>
        <w:spacing w:line="480" w:lineRule="exact"/>
        <w:ind w:left="6360" w:hanging="6360" w:hangingChars="2650"/>
        <w:rPr>
          <w:rFonts w:ascii="宋体" w:hAnsi="宋体" w:cs="宋体"/>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签署日期：</w:t>
      </w:r>
      <w:r>
        <w:rPr>
          <w:rFonts w:ascii="宋体" w:hAnsi="宋体" w:cs="宋体"/>
          <w:color w:val="000000" w:themeColor="text1"/>
          <w:sz w:val="24"/>
          <w14:textFill>
            <w14:solidFill>
              <w14:schemeClr w14:val="tx1"/>
            </w14:solidFill>
          </w14:textFill>
        </w:rPr>
        <w:t xml:space="preserve">    年    月    日         签署日期：    年    月    日 </w:t>
      </w:r>
    </w:p>
    <w:p>
      <w:pPr>
        <w:pStyle w:val="3"/>
        <w:rPr>
          <w:rFonts w:ascii="仿宋_GB2312" w:hAnsi="仿宋_GB2312" w:eastAsia="仿宋_GB2312" w:cs="仿宋_GB2312"/>
          <w:b w:val="0"/>
          <w:bCs w:val="0"/>
          <w:sz w:val="32"/>
          <w:szCs w:val="32"/>
        </w:rPr>
      </w:pPr>
      <w:r>
        <w:rPr>
          <w:rFonts w:hint="eastAsia" w:ascii="宋体" w:hAnsi="宋体" w:eastAsia="宋体" w:cs="宋体"/>
          <w:b/>
          <w:bCs/>
          <w:sz w:val="21"/>
          <w:szCs w:val="21"/>
        </w:rPr>
        <w:t>附件1：发包通知书</w:t>
      </w:r>
    </w:p>
    <w:p>
      <w:pPr>
        <w:rPr>
          <w:rFonts w:ascii="宋体" w:hAnsi="宋体" w:cs="宋体"/>
          <w:b/>
          <w:bCs/>
          <w:sz w:val="30"/>
          <w:szCs w:val="30"/>
        </w:rPr>
      </w:pPr>
      <w:r>
        <w:rPr>
          <w:rFonts w:hint="eastAsia" w:ascii="宋体" w:hAnsi="宋体" w:cs="宋体"/>
          <w:b/>
          <w:bCs/>
          <w:sz w:val="30"/>
          <w:szCs w:val="30"/>
        </w:rPr>
        <w:br w:type="page"/>
      </w:r>
    </w:p>
    <w:p>
      <w:pPr>
        <w:pStyle w:val="3"/>
        <w:rPr>
          <w:rFonts w:ascii="宋体" w:hAnsi="宋体" w:cs="宋体"/>
          <w:b w:val="0"/>
          <w:bCs w:val="0"/>
          <w:sz w:val="30"/>
          <w:szCs w:val="30"/>
        </w:rPr>
      </w:pPr>
      <w:r>
        <w:rPr>
          <w:rFonts w:hint="eastAsia" w:ascii="宋体" w:hAnsi="宋体" w:cs="宋体"/>
          <w:b/>
          <w:bCs/>
          <w:sz w:val="21"/>
          <w:szCs w:val="21"/>
        </w:rPr>
        <w:t>附件2：服务内容</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服务内容</w:t>
      </w:r>
    </w:p>
    <w:p>
      <w:pPr>
        <w:pStyle w:val="4"/>
        <w:rPr>
          <w:sz w:val="28"/>
          <w:szCs w:val="28"/>
        </w:rPr>
      </w:pPr>
      <w:r>
        <w:rPr>
          <w:rFonts w:hint="eastAsia"/>
          <w:sz w:val="28"/>
          <w:szCs w:val="28"/>
        </w:rPr>
        <w:t>一、设备维保</w:t>
      </w:r>
    </w:p>
    <w:p>
      <w:pPr>
        <w:spacing w:line="480" w:lineRule="auto"/>
        <w:ind w:firstLine="420" w:firstLineChars="200"/>
      </w:pPr>
      <w:r>
        <w:rPr>
          <w:rFonts w:hint="eastAsia"/>
        </w:rPr>
        <w:t>对视频会议系统、无纸化会议系统相关设备进行维保，设备清单如下：</w:t>
      </w:r>
    </w:p>
    <w:tbl>
      <w:tblPr>
        <w:tblStyle w:val="23"/>
        <w:tblW w:w="9783" w:type="dxa"/>
        <w:tblInd w:w="108" w:type="dxa"/>
        <w:tblLayout w:type="autofit"/>
        <w:tblCellMar>
          <w:top w:w="0" w:type="dxa"/>
          <w:left w:w="108" w:type="dxa"/>
          <w:bottom w:w="0" w:type="dxa"/>
          <w:right w:w="108" w:type="dxa"/>
        </w:tblCellMar>
      </w:tblPr>
      <w:tblGrid>
        <w:gridCol w:w="848"/>
        <w:gridCol w:w="2271"/>
        <w:gridCol w:w="916"/>
        <w:gridCol w:w="1496"/>
        <w:gridCol w:w="850"/>
        <w:gridCol w:w="851"/>
        <w:gridCol w:w="1415"/>
        <w:gridCol w:w="1136"/>
      </w:tblGrid>
      <w:tr>
        <w:tblPrEx>
          <w:tblCellMar>
            <w:top w:w="0" w:type="dxa"/>
            <w:left w:w="108" w:type="dxa"/>
            <w:bottom w:w="0" w:type="dxa"/>
            <w:right w:w="108" w:type="dxa"/>
          </w:tblCellMar>
        </w:tblPrEx>
        <w:trPr>
          <w:trHeight w:val="416" w:hRule="atLeast"/>
        </w:trPr>
        <w:tc>
          <w:tcPr>
            <w:tcW w:w="8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内容</w:t>
            </w:r>
          </w:p>
        </w:tc>
        <w:tc>
          <w:tcPr>
            <w:tcW w:w="22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设备或材料名称</w:t>
            </w:r>
          </w:p>
        </w:tc>
        <w:tc>
          <w:tcPr>
            <w:tcW w:w="9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品牌</w:t>
            </w:r>
          </w:p>
        </w:tc>
        <w:tc>
          <w:tcPr>
            <w:tcW w:w="14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14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服务期</w:t>
            </w:r>
          </w:p>
        </w:tc>
        <w:tc>
          <w:tcPr>
            <w:tcW w:w="11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281" w:hRule="atLeast"/>
        </w:trPr>
        <w:tc>
          <w:tcPr>
            <w:tcW w:w="84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主会场视频会议系统</w:t>
            </w: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调音台</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TS-16P-4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restart"/>
            <w:tcBorders>
              <w:top w:val="nil"/>
              <w:left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自合同签订起-2022年12月31日</w:t>
            </w:r>
          </w:p>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6"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70"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抑制器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TS-224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7"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电源时序器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TS-820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38"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会议系统主机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TS-W100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4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会议主席单元</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XM-0202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65"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会议代表单元</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XM-0202A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68"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视频会议主机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VCS8000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TV-620HC</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67"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视频转换器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NT90HDB</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8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视频切换器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TS-9104UHM</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62"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摄像跟踪主机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TS-0699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3"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NT90MB</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28"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系统软件及升级维护</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93"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辅材及其他</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90" w:hRule="atLeast"/>
        </w:trPr>
        <w:tc>
          <w:tcPr>
            <w:tcW w:w="84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主会场LED大屏</w:t>
            </w: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小间距全彩LED显示屏</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TV-PH166-YM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1415"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136"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97"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发送卡</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TV-81OS4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41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00"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接收卡</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TV-81RI5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41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多画面拼接处理器 </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TV-8910P</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41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66"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屏体包边装饰</w:t>
            </w:r>
          </w:p>
        </w:tc>
        <w:tc>
          <w:tcPr>
            <w:tcW w:w="9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定制</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141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88" w:hRule="atLeast"/>
        </w:trPr>
        <w:tc>
          <w:tcPr>
            <w:tcW w:w="84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pPr>
            <w:r>
              <w:rPr>
                <w:rFonts w:hint="eastAsia" w:ascii="宋体" w:hAnsi="宋体" w:cs="宋体"/>
                <w:color w:val="000000"/>
                <w:kern w:val="0"/>
                <w:sz w:val="24"/>
              </w:rPr>
              <w:t>无纸化会议系统</w:t>
            </w: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无纸化会议系统主机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道天勤</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DTY-913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0"/>
                <w:szCs w:val="20"/>
              </w:rPr>
              <w:t>2021年12月17日-2022年12月31日</w:t>
            </w:r>
          </w:p>
        </w:tc>
        <w:tc>
          <w:tcPr>
            <w:tcW w:w="11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62"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大屏同步终端</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道天勤</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DTY-833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2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平板电脑</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华为</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MatePad Pro</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5"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平板专用笔套装</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华为</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M-Pencil</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33"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无线控制器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H3C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WX2510H-PWR</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41"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企业无线路由器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H3C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WA5530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分布式综合管理平台</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AY-713A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74"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分布式采集盒</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AY-711HK</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66"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分布式输出盒</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AY-712AK</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62"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系统软件及升级维护</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62"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辅材及其他</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7" w:hRule="atLeast"/>
        </w:trPr>
        <w:tc>
          <w:tcPr>
            <w:tcW w:w="848"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4"/>
              </w:rPr>
              <w:t>分会场视频会议系统</w:t>
            </w: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NT90MB</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自合同签订起-2022年12月31日</w:t>
            </w:r>
          </w:p>
        </w:tc>
        <w:tc>
          <w:tcPr>
            <w:tcW w:w="11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大坦沙、沥滘、石井、石井净、西朗、龙归、大沙地、竹料、京溪、从化1</w:t>
            </w:r>
            <w:r>
              <w:rPr>
                <w:rFonts w:ascii="宋体" w:hAnsi="宋体" w:cs="宋体"/>
                <w:color w:val="000000"/>
                <w:kern w:val="0"/>
                <w:sz w:val="20"/>
                <w:szCs w:val="20"/>
              </w:rPr>
              <w:t>0</w:t>
            </w:r>
            <w:r>
              <w:rPr>
                <w:rFonts w:hint="eastAsia" w:ascii="宋体" w:hAnsi="宋体" w:cs="宋体"/>
                <w:color w:val="000000"/>
                <w:kern w:val="0"/>
                <w:sz w:val="20"/>
                <w:szCs w:val="20"/>
              </w:rPr>
              <w:t>个分会场</w:t>
            </w:r>
          </w:p>
        </w:tc>
      </w:tr>
      <w:tr>
        <w:tblPrEx>
          <w:tblCellMar>
            <w:top w:w="0" w:type="dxa"/>
            <w:left w:w="108" w:type="dxa"/>
            <w:bottom w:w="0" w:type="dxa"/>
            <w:right w:w="108" w:type="dxa"/>
          </w:tblCellMar>
        </w:tblPrEx>
        <w:trPr>
          <w:trHeight w:val="415"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TV-612USB</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279"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无线话筒</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T-521UZ</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2045" w:hRule="atLeast"/>
        </w:trPr>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有源音箱</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T-250H</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86" w:hRule="atLeast"/>
        </w:trPr>
        <w:tc>
          <w:tcPr>
            <w:tcW w:w="848"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新建分会场会议系统</w:t>
            </w:r>
          </w:p>
        </w:tc>
        <w:tc>
          <w:tcPr>
            <w:tcW w:w="22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NT90MB</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2021年12月15日-2022年12月31日</w:t>
            </w:r>
          </w:p>
        </w:tc>
        <w:tc>
          <w:tcPr>
            <w:tcW w:w="11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猎德（备用主会场）、水质中心、大观、健康城、江高</w:t>
            </w:r>
            <w:r>
              <w:rPr>
                <w:rFonts w:ascii="宋体" w:hAnsi="宋体" w:cs="宋体"/>
                <w:color w:val="000000"/>
                <w:kern w:val="0"/>
                <w:sz w:val="20"/>
                <w:szCs w:val="20"/>
              </w:rPr>
              <w:t>5</w:t>
            </w:r>
            <w:r>
              <w:rPr>
                <w:rFonts w:hint="eastAsia" w:ascii="宋体" w:hAnsi="宋体" w:cs="宋体"/>
                <w:color w:val="000000"/>
                <w:kern w:val="0"/>
                <w:sz w:val="20"/>
                <w:szCs w:val="20"/>
              </w:rPr>
              <w:t>个分会场</w:t>
            </w:r>
          </w:p>
        </w:tc>
      </w:tr>
      <w:tr>
        <w:tblPrEx>
          <w:tblCellMar>
            <w:top w:w="0" w:type="dxa"/>
            <w:left w:w="108" w:type="dxa"/>
            <w:bottom w:w="0" w:type="dxa"/>
            <w:right w:w="108" w:type="dxa"/>
          </w:tblCellMar>
        </w:tblPrEx>
        <w:trPr>
          <w:trHeight w:val="420" w:hRule="atLeast"/>
        </w:trPr>
        <w:tc>
          <w:tcPr>
            <w:tcW w:w="848" w:type="dxa"/>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TV-612USB</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13" w:hRule="atLeast"/>
        </w:trPr>
        <w:tc>
          <w:tcPr>
            <w:tcW w:w="848" w:type="dxa"/>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无线话筒</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T-521UH</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18" w:hRule="atLeast"/>
        </w:trPr>
        <w:tc>
          <w:tcPr>
            <w:tcW w:w="848" w:type="dxa"/>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有源音箱</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T-250H</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24" w:hRule="atLeast"/>
        </w:trPr>
        <w:tc>
          <w:tcPr>
            <w:tcW w:w="848"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会议系统主机</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TS-W100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5" w:hRule="atLeast"/>
        </w:trPr>
        <w:tc>
          <w:tcPr>
            <w:tcW w:w="848"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会议主席单元</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XM-0202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4" w:hRule="atLeast"/>
        </w:trPr>
        <w:tc>
          <w:tcPr>
            <w:tcW w:w="848"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会议代表单元</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ITC</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XM-0202A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48"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HDMI矩阵切换器</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Unnlink</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matrix 8x8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89" w:hRule="atLeast"/>
        </w:trPr>
        <w:tc>
          <w:tcPr>
            <w:tcW w:w="8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辅材及其他</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bl>
    <w:p/>
    <w:p>
      <w:pPr>
        <w:pStyle w:val="4"/>
        <w:rPr>
          <w:sz w:val="28"/>
          <w:szCs w:val="28"/>
        </w:rPr>
      </w:pPr>
      <w:r>
        <w:rPr>
          <w:rFonts w:hint="eastAsia"/>
          <w:sz w:val="28"/>
          <w:szCs w:val="28"/>
        </w:rPr>
        <w:t>二、软件维护升级</w:t>
      </w:r>
    </w:p>
    <w:p>
      <w:pPr>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视频会议系统软件维护升级</w:t>
      </w:r>
    </w:p>
    <w:p>
      <w:pPr>
        <w:ind w:firstLine="560" w:firstLineChars="200"/>
        <w:rPr>
          <w:rFonts w:ascii="仿宋_GB2312" w:eastAsia="仿宋_GB2312"/>
          <w:sz w:val="28"/>
          <w:szCs w:val="28"/>
        </w:rPr>
      </w:pPr>
      <w:r>
        <w:rPr>
          <w:rFonts w:hint="eastAsia" w:ascii="仿宋_GB2312" w:eastAsia="仿宋_GB2312"/>
          <w:sz w:val="28"/>
          <w:szCs w:val="28"/>
        </w:rPr>
        <w:t>对LED大屏幕控制软件、会议系统音频传输内嵌软件、会议主席控制内嵌软件、会议代表控制内嵌软件、视频会议MCU嵌入软件、视频会议终端嵌入软件</w:t>
      </w:r>
      <w:r>
        <w:rPr>
          <w:rFonts w:hint="eastAsia" w:ascii="微软雅黑" w:hAnsi="微软雅黑" w:eastAsia="微软雅黑" w:cs="微软雅黑"/>
          <w:sz w:val="28"/>
          <w:szCs w:val="28"/>
        </w:rPr>
        <w:t>﹑</w:t>
      </w:r>
      <w:r>
        <w:rPr>
          <w:rFonts w:hint="eastAsia" w:ascii="仿宋_GB2312" w:hAnsi="仿宋_GB2312" w:eastAsia="仿宋_GB2312" w:cs="仿宋_GB2312"/>
          <w:sz w:val="28"/>
          <w:szCs w:val="28"/>
        </w:rPr>
        <w:t>视频会议专用摄像头内嵌软件、无缝混插矩阵切换内嵌软件、话筒呼叫控制嵌入软件等软件进行维护升级，保障视频会议系</w:t>
      </w:r>
      <w:r>
        <w:rPr>
          <w:rFonts w:hint="eastAsia" w:ascii="仿宋_GB2312" w:eastAsia="仿宋_GB2312"/>
          <w:sz w:val="28"/>
          <w:szCs w:val="28"/>
        </w:rPr>
        <w:t>统运行稳定。</w:t>
      </w:r>
    </w:p>
    <w:p>
      <w:pPr>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无纸化会议系统软件维护升级</w:t>
      </w:r>
    </w:p>
    <w:p>
      <w:pPr>
        <w:ind w:firstLine="560" w:firstLineChars="200"/>
        <w:rPr>
          <w:rFonts w:ascii="仿宋_GB2312" w:eastAsia="仿宋_GB2312"/>
          <w:sz w:val="28"/>
          <w:szCs w:val="28"/>
        </w:rPr>
      </w:pPr>
      <w:r>
        <w:rPr>
          <w:rFonts w:hint="eastAsia" w:ascii="仿宋_GB2312" w:eastAsia="仿宋_GB2312"/>
          <w:sz w:val="28"/>
          <w:szCs w:val="28"/>
        </w:rPr>
        <w:t>对无纸化会议服务端管理软件、大屏同步终端嵌入软件、无纸化会议客户端软件、分布式拼接显示系统终端嵌入式软件、分布式综合管理平台嵌入软件、分布式拼接显示系统管理软件、分布式拼接显示系统终端嵌入式软件进行维护升级，保障无纸化会议系统运行稳定。</w:t>
      </w:r>
    </w:p>
    <w:p>
      <w:pPr>
        <w:pStyle w:val="4"/>
        <w:rPr>
          <w:rFonts w:ascii="仿宋_GB2312"/>
          <w:sz w:val="28"/>
          <w:szCs w:val="28"/>
        </w:rPr>
      </w:pPr>
      <w:r>
        <w:rPr>
          <w:rFonts w:hint="eastAsia" w:ascii="仿宋_GB2312"/>
          <w:sz w:val="28"/>
          <w:szCs w:val="28"/>
        </w:rPr>
        <w:t>三、定期检查工作</w:t>
      </w:r>
    </w:p>
    <w:p>
      <w:pPr>
        <w:ind w:firstLine="560" w:firstLineChars="200"/>
        <w:rPr>
          <w:rFonts w:ascii="仿宋_GB2312" w:eastAsia="仿宋_GB2312"/>
          <w:sz w:val="28"/>
          <w:szCs w:val="28"/>
        </w:rPr>
      </w:pPr>
      <w:r>
        <w:rPr>
          <w:rFonts w:hint="eastAsia" w:ascii="仿宋_GB2312" w:eastAsia="仿宋_GB2312"/>
          <w:sz w:val="28"/>
          <w:szCs w:val="28"/>
        </w:rPr>
        <w:t>1.定期开展视频会议系统主会场、无纸化会议系统检查工作，每月开展一次检查，并出具检查报告。</w:t>
      </w:r>
    </w:p>
    <w:p>
      <w:pPr>
        <w:pStyle w:val="42"/>
        <w:spacing w:line="360" w:lineRule="auto"/>
        <w:ind w:firstLine="56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.更新、完善视频会议系统、无纸化会议系统相关操作手册。</w:t>
      </w:r>
    </w:p>
    <w:p>
      <w:pPr>
        <w:pStyle w:val="4"/>
        <w:rPr>
          <w:sz w:val="28"/>
          <w:szCs w:val="28"/>
        </w:rPr>
      </w:pPr>
      <w:r>
        <w:rPr>
          <w:rFonts w:hint="eastAsia" w:ascii="仿宋_GB2312"/>
          <w:sz w:val="28"/>
          <w:szCs w:val="28"/>
        </w:rPr>
        <w:t>四、突</w:t>
      </w:r>
      <w:r>
        <w:rPr>
          <w:rFonts w:hint="eastAsia"/>
          <w:sz w:val="28"/>
          <w:szCs w:val="28"/>
        </w:rPr>
        <w:t>发事件处理</w:t>
      </w:r>
    </w:p>
    <w:p>
      <w:pPr>
        <w:pStyle w:val="42"/>
        <w:spacing w:line="360" w:lineRule="auto"/>
        <w:ind w:firstLine="560"/>
        <w:rPr>
          <w:rFonts w:ascii="仿宋_GB2312" w:eastAsia="仿宋_GB2312"/>
          <w:sz w:val="28"/>
          <w:szCs w:val="28"/>
        </w:rPr>
      </w:pPr>
      <w:r>
        <w:rPr>
          <w:rFonts w:hint="eastAsia" w:ascii="仿宋_GB2312" w:eastAsia="仿宋_GB2312"/>
          <w:sz w:val="28"/>
          <w:szCs w:val="28"/>
        </w:rPr>
        <w:t>当设备</w:t>
      </w:r>
      <w:r>
        <w:rPr>
          <w:rFonts w:ascii="仿宋_GB2312" w:eastAsia="仿宋_GB2312"/>
          <w:sz w:val="28"/>
          <w:szCs w:val="28"/>
        </w:rPr>
        <w:t>出现故障</w:t>
      </w:r>
      <w:r>
        <w:rPr>
          <w:rFonts w:hint="eastAsia" w:ascii="仿宋_GB2312" w:eastAsia="仿宋_GB2312"/>
          <w:sz w:val="28"/>
          <w:szCs w:val="28"/>
        </w:rPr>
        <w:t>时</w:t>
      </w:r>
      <w:r>
        <w:rPr>
          <w:rFonts w:ascii="仿宋_GB2312" w:eastAsia="仿宋_GB2312"/>
          <w:sz w:val="28"/>
          <w:szCs w:val="28"/>
        </w:rPr>
        <w:t>，</w:t>
      </w:r>
      <w:r>
        <w:rPr>
          <w:rFonts w:hint="eastAsia" w:ascii="仿宋_GB2312" w:eastAsia="仿宋_GB2312"/>
          <w:sz w:val="28"/>
          <w:szCs w:val="28"/>
        </w:rPr>
        <w:t>乙方</w:t>
      </w:r>
      <w:r>
        <w:rPr>
          <w:rFonts w:ascii="仿宋_GB2312" w:eastAsia="仿宋_GB2312"/>
          <w:sz w:val="28"/>
          <w:szCs w:val="28"/>
        </w:rPr>
        <w:t>应当派遣有经验的人员</w:t>
      </w:r>
      <w:r>
        <w:rPr>
          <w:rFonts w:hint="eastAsia" w:ascii="仿宋_GB2312" w:eastAsia="仿宋_GB2312"/>
          <w:sz w:val="28"/>
          <w:szCs w:val="28"/>
        </w:rPr>
        <w:t>，</w:t>
      </w:r>
      <w:r>
        <w:rPr>
          <w:rFonts w:hint="eastAsia" w:ascii="仿宋_GB2312" w:hAnsi="Times New Roman" w:eastAsia="仿宋_GB2312"/>
          <w:sz w:val="28"/>
          <w:szCs w:val="28"/>
        </w:rPr>
        <w:t>对视频会议系统、无纸化会议系统故障进行处理，要求</w:t>
      </w:r>
      <w:r>
        <w:rPr>
          <w:rFonts w:ascii="仿宋_GB2312" w:hAnsi="Times New Roman" w:eastAsia="仿宋_GB2312"/>
          <w:sz w:val="28"/>
          <w:szCs w:val="28"/>
        </w:rPr>
        <w:t>30</w:t>
      </w:r>
      <w:r>
        <w:rPr>
          <w:rFonts w:hint="eastAsia" w:ascii="仿宋_GB2312" w:hAnsi="Times New Roman" w:eastAsia="仿宋_GB2312"/>
          <w:sz w:val="28"/>
          <w:szCs w:val="28"/>
        </w:rPr>
        <w:t>分钟以内响应，4小时之内到达现场并恢复正常，如该故障为L</w:t>
      </w:r>
      <w:r>
        <w:rPr>
          <w:rFonts w:ascii="仿宋_GB2312" w:hAnsi="Times New Roman" w:eastAsia="仿宋_GB2312"/>
          <w:sz w:val="28"/>
          <w:szCs w:val="28"/>
        </w:rPr>
        <w:t>ED</w:t>
      </w:r>
      <w:r>
        <w:rPr>
          <w:rFonts w:hint="eastAsia" w:ascii="仿宋_GB2312" w:hAnsi="Times New Roman" w:eastAsia="仿宋_GB2312"/>
          <w:sz w:val="28"/>
          <w:szCs w:val="28"/>
        </w:rPr>
        <w:t>大屏故障，应在8小时内恢复正常。事故处理完后，应在</w:t>
      </w:r>
      <w:r>
        <w:rPr>
          <w:rFonts w:ascii="仿宋_GB2312" w:hAnsi="Times New Roman" w:eastAsia="仿宋_GB2312"/>
          <w:sz w:val="28"/>
          <w:szCs w:val="28"/>
        </w:rPr>
        <w:t>3</w:t>
      </w:r>
      <w:r>
        <w:rPr>
          <w:rFonts w:hint="eastAsia" w:ascii="仿宋_GB2312" w:hAnsi="Times New Roman" w:eastAsia="仿宋_GB2312"/>
          <w:sz w:val="28"/>
          <w:szCs w:val="28"/>
        </w:rPr>
        <w:t>个工作日内</w:t>
      </w:r>
      <w:r>
        <w:rPr>
          <w:rFonts w:hint="eastAsia" w:ascii="仿宋_GB2312" w:eastAsia="仿宋_GB2312"/>
          <w:sz w:val="28"/>
          <w:szCs w:val="28"/>
        </w:rPr>
        <w:t>提交事件处理报告（报告</w:t>
      </w:r>
      <w:r>
        <w:rPr>
          <w:rFonts w:ascii="仿宋_GB2312" w:eastAsia="仿宋_GB2312"/>
          <w:sz w:val="28"/>
          <w:szCs w:val="28"/>
        </w:rPr>
        <w:t>须含事件起因、处理过程</w:t>
      </w:r>
      <w:r>
        <w:rPr>
          <w:rFonts w:hint="eastAsia" w:ascii="仿宋_GB2312" w:eastAsia="仿宋_GB2312"/>
          <w:sz w:val="28"/>
          <w:szCs w:val="28"/>
        </w:rPr>
        <w:t>等）。</w:t>
      </w:r>
    </w:p>
    <w:p>
      <w:pPr>
        <w:ind w:firstLine="560" w:firstLineChars="200"/>
        <w:jc w:val="left"/>
        <w:rPr>
          <w:rFonts w:ascii="仿宋_GB2312" w:eastAsia="仿宋_GB2312"/>
          <w:sz w:val="28"/>
          <w:szCs w:val="28"/>
        </w:rPr>
      </w:pPr>
      <w:r>
        <w:rPr>
          <w:rFonts w:hint="eastAsia" w:ascii="仿宋_GB2312" w:eastAsia="仿宋_GB2312"/>
          <w:sz w:val="28"/>
          <w:szCs w:val="28"/>
        </w:rPr>
        <w:t>如无法修理则予以更换，设备</w:t>
      </w:r>
      <w:r>
        <w:rPr>
          <w:rFonts w:ascii="仿宋_GB2312" w:eastAsia="仿宋_GB2312"/>
          <w:sz w:val="28"/>
          <w:szCs w:val="28"/>
        </w:rPr>
        <w:t>包括但</w:t>
      </w:r>
      <w:r>
        <w:rPr>
          <w:rFonts w:hint="eastAsia" w:ascii="仿宋_GB2312" w:eastAsia="仿宋_GB2312"/>
          <w:sz w:val="28"/>
          <w:szCs w:val="28"/>
        </w:rPr>
        <w:t>不限于以下设备</w:t>
      </w:r>
      <w:r>
        <w:rPr>
          <w:rFonts w:ascii="仿宋_GB2312" w:eastAsia="仿宋_GB2312"/>
          <w:sz w:val="28"/>
          <w:szCs w:val="28"/>
        </w:rPr>
        <w:t>清单</w:t>
      </w:r>
      <w:r>
        <w:rPr>
          <w:rFonts w:hint="eastAsia" w:ascii="仿宋_GB2312" w:eastAsia="仿宋_GB2312"/>
          <w:sz w:val="28"/>
          <w:szCs w:val="28"/>
        </w:rPr>
        <w:t>。当涉及更换配件或设备时，替换件属于甲方财产。乙方必须保证替换件为原厂产品，且与被替换产品属于同一品牌相同或更高产品。替换件可以不是全新产品，但应确保处于良好的工作状态，并且在功能、性能上不得低于被替换下来的配件或设备。替换件承接被替换下来的配件或设备的原有保修服务地位。</w:t>
      </w:r>
    </w:p>
    <w:p>
      <w:pPr>
        <w:pStyle w:val="4"/>
        <w:rPr>
          <w:rFonts w:ascii="仿宋_GB2312"/>
          <w:sz w:val="28"/>
          <w:szCs w:val="28"/>
        </w:rPr>
      </w:pPr>
      <w:r>
        <w:rPr>
          <w:rFonts w:hint="eastAsia" w:ascii="仿宋_GB2312"/>
          <w:sz w:val="28"/>
          <w:szCs w:val="28"/>
        </w:rPr>
        <w:t>五、培训</w:t>
      </w:r>
    </w:p>
    <w:p>
      <w:pPr>
        <w:pStyle w:val="42"/>
        <w:spacing w:line="360" w:lineRule="auto"/>
        <w:ind w:firstLine="560"/>
        <w:rPr>
          <w:rFonts w:ascii="仿宋_GB2312" w:eastAsia="仿宋_GB2312"/>
          <w:sz w:val="28"/>
          <w:szCs w:val="28"/>
        </w:rPr>
      </w:pPr>
      <w:r>
        <w:rPr>
          <w:rFonts w:hint="eastAsia" w:ascii="仿宋_GB2312" w:eastAsia="仿宋_GB2312"/>
          <w:sz w:val="28"/>
          <w:szCs w:val="28"/>
        </w:rPr>
        <w:t>乙</w:t>
      </w:r>
      <w:r>
        <w:rPr>
          <w:rFonts w:ascii="仿宋_GB2312" w:eastAsia="仿宋_GB2312"/>
          <w:sz w:val="28"/>
          <w:szCs w:val="28"/>
        </w:rPr>
        <w:t>方负责对</w:t>
      </w:r>
      <w:r>
        <w:rPr>
          <w:rFonts w:hint="eastAsia" w:ascii="仿宋_GB2312" w:eastAsia="仿宋_GB2312"/>
          <w:sz w:val="28"/>
          <w:szCs w:val="28"/>
        </w:rPr>
        <w:t>视频会议系统、无纸化会议系统用户、技术人员开展培训，培训次数不少于两次。</w:t>
      </w:r>
    </w:p>
    <w:p>
      <w:pPr>
        <w:pStyle w:val="2"/>
      </w:pPr>
    </w:p>
    <w:p>
      <w:pPr>
        <w:pStyle w:val="4"/>
        <w:rPr>
          <w:rFonts w:ascii="仿宋_GB2312"/>
          <w:sz w:val="28"/>
          <w:szCs w:val="28"/>
        </w:rPr>
      </w:pPr>
      <w:r>
        <w:rPr>
          <w:rFonts w:hint="eastAsia" w:ascii="仿宋_GB2312"/>
          <w:sz w:val="28"/>
          <w:szCs w:val="28"/>
        </w:rPr>
        <w:t>六、技术支持</w:t>
      </w:r>
    </w:p>
    <w:p>
      <w:pPr>
        <w:pStyle w:val="42"/>
        <w:spacing w:line="360" w:lineRule="auto"/>
        <w:ind w:firstLine="560"/>
      </w:pPr>
      <w:r>
        <w:rPr>
          <w:rFonts w:hint="eastAsia" w:ascii="仿宋_GB2312" w:eastAsia="仿宋_GB2312"/>
          <w:sz w:val="28"/>
          <w:szCs w:val="28"/>
        </w:rPr>
        <w:t>配合开展视频会议系统调试、对接、扩建等工作，提供相应技术支持。</w:t>
      </w:r>
    </w:p>
    <w:p>
      <w:pPr>
        <w:pStyle w:val="2"/>
      </w:pPr>
    </w:p>
    <w:p>
      <w:pPr>
        <w:rPr>
          <w:rFonts w:ascii="宋体" w:hAnsi="宋体" w:cs="宋体"/>
          <w:b/>
          <w:bCs/>
          <w:sz w:val="30"/>
          <w:szCs w:val="30"/>
        </w:rPr>
      </w:pPr>
      <w:r>
        <w:rPr>
          <w:rFonts w:hint="eastAsia" w:ascii="宋体" w:hAnsi="宋体" w:cs="宋体"/>
          <w:b/>
          <w:bCs/>
          <w:sz w:val="30"/>
          <w:szCs w:val="30"/>
        </w:rPr>
        <w:br w:type="page"/>
      </w:r>
    </w:p>
    <w:p>
      <w:pPr>
        <w:pStyle w:val="3"/>
        <w:widowControl/>
        <w:spacing w:after="200" w:line="240" w:lineRule="auto"/>
        <w:jc w:val="left"/>
        <w:rPr>
          <w:rFonts w:ascii="宋体" w:hAnsi="宋体" w:cs="宋体"/>
          <w:b w:val="0"/>
          <w:bCs w:val="0"/>
          <w:color w:val="000000" w:themeColor="text1"/>
          <w:sz w:val="32"/>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附件</w:t>
      </w:r>
      <w:r>
        <w:rPr>
          <w:rFonts w:ascii="宋体" w:hAnsi="宋体" w:cs="宋体"/>
          <w:b/>
          <w:bCs/>
          <w:color w:val="000000" w:themeColor="text1"/>
          <w:sz w:val="21"/>
          <w:szCs w:val="21"/>
          <w14:textFill>
            <w14:solidFill>
              <w14:schemeClr w14:val="tx1"/>
            </w14:solidFill>
          </w14:textFill>
        </w:rPr>
        <w:t>3</w:t>
      </w:r>
    </w:p>
    <w:p>
      <w:pPr>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2021-2022年度无纸化及视频会议系统维保项目</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3"/>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9"/>
        <w:spacing w:beforeAutospacing="0" w:after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9"/>
        <w:widowControl w:val="0"/>
        <w:spacing w:before="0" w:beforeAutospacing="0" w:after="0" w:after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19"/>
        <w:widowControl w:val="0"/>
        <w:spacing w:before="0" w:beforeAutospacing="0" w:after="0" w:after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19"/>
        <w:widowControl w:val="0"/>
        <w:spacing w:before="0" w:beforeAutospacing="0" w:after="0" w:after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19"/>
        <w:widowControl w:val="0"/>
        <w:spacing w:before="0" w:beforeAutospacing="0" w:after="0" w:after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19"/>
        <w:widowControl w:val="0"/>
        <w:spacing w:before="0" w:beforeAutospacing="0" w:after="0" w:after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19"/>
        <w:widowControl w:val="0"/>
        <w:spacing w:before="0" w:beforeAutospacing="0" w:after="0" w:after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19"/>
        <w:widowControl w:val="0"/>
        <w:spacing w:before="0" w:beforeAutospacing="0" w:after="0" w:after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（2021-2022年度无纸化及视频会议系统维保项目合同）+（合同编号）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4</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3</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1</w:t>
      </w:r>
      <w:r>
        <w:rPr>
          <w:rFonts w:hint="eastAsia" w:ascii="仿宋_GB2312" w:hAnsi="仿宋_GB2312" w:eastAsia="仿宋_GB2312" w:cs="仿宋_GB2312"/>
          <w:bCs/>
          <w:sz w:val="28"/>
          <w:szCs w:val="28"/>
        </w:rPr>
        <w:t>份。</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甲方（盖章）：                     乙方（盖章）：</w:t>
      </w:r>
    </w:p>
    <w:p>
      <w:pPr>
        <w:pStyle w:val="38"/>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spacing w:line="540" w:lineRule="exact"/>
        <w:rPr>
          <w:rFonts w:ascii="宋体" w:hAnsi="宋体" w:cs="宋体"/>
          <w:color w:val="000000" w:themeColor="text1"/>
          <w:szCs w:val="21"/>
          <w14:textFill>
            <w14:solidFill>
              <w14:schemeClr w14:val="tx1"/>
            </w14:solidFill>
          </w14:textFill>
        </w:rPr>
      </w:pPr>
      <w:r>
        <w:rPr>
          <w:rFonts w:hint="eastAsia" w:ascii="仿宋_GB2312" w:hAnsi="仿宋_GB2312" w:eastAsia="仿宋_GB2312" w:cs="仿宋_GB2312"/>
          <w:bCs w:val="0"/>
          <w:sz w:val="28"/>
          <w:szCs w:val="28"/>
        </w:rPr>
        <w:t>日期:    年  月  日</w:t>
      </w:r>
      <w:r>
        <w:rPr>
          <w:rFonts w:hint="eastAsia" w:ascii="仿宋_GB2312" w:hAnsi="仿宋_GB2312" w:eastAsia="仿宋_GB2312" w:cs="仿宋_GB2312"/>
          <w:bCs w:val="0"/>
          <w:sz w:val="28"/>
          <w:szCs w:val="28"/>
        </w:rPr>
        <w:tab/>
      </w:r>
      <w:r>
        <w:rPr>
          <w:rFonts w:ascii="仿宋_GB2312" w:hAnsi="仿宋_GB2312" w:eastAsia="仿宋_GB2312" w:cs="仿宋_GB2312"/>
          <w:bCs w:val="0"/>
          <w:sz w:val="28"/>
          <w:szCs w:val="28"/>
        </w:rPr>
        <w:t xml:space="preserve">               </w:t>
      </w:r>
      <w:r>
        <w:rPr>
          <w:rFonts w:hint="eastAsia" w:ascii="仿宋_GB2312" w:hAnsi="仿宋_GB2312" w:eastAsia="仿宋_GB2312" w:cs="仿宋_GB2312"/>
          <w:bCs w:val="0"/>
          <w:sz w:val="28"/>
          <w:szCs w:val="28"/>
        </w:rPr>
        <w:t>日期：  年  月  日</w:t>
      </w:r>
    </w:p>
    <w:p>
      <w:pPr>
        <w:spacing w:line="540" w:lineRule="exact"/>
        <w:rPr>
          <w:rFonts w:ascii="宋体" w:hAnsi="宋体" w:cs="宋体"/>
          <w:color w:val="000000" w:themeColor="text1"/>
          <w:szCs w:val="21"/>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3"/>
        <w:rPr>
          <w:rFonts w:ascii="宋体" w:hAnsi="宋体" w:cs="宋体"/>
          <w:b w:val="0"/>
          <w:color w:val="000000" w:themeColor="text1"/>
          <w:sz w:val="24"/>
          <w:szCs w:val="21"/>
          <w14:textFill>
            <w14:solidFill>
              <w14:schemeClr w14:val="tx1"/>
            </w14:solidFill>
          </w14:textFill>
        </w:rPr>
      </w:pPr>
      <w:r>
        <w:rPr>
          <w:rFonts w:hint="eastAsia" w:ascii="宋体" w:hAnsi="宋体" w:cs="宋体"/>
          <w:b/>
          <w:bCs w:val="0"/>
          <w:color w:val="000000" w:themeColor="text1"/>
          <w:sz w:val="21"/>
          <w:szCs w:val="21"/>
          <w14:textFill>
            <w14:solidFill>
              <w14:schemeClr w14:val="tx1"/>
            </w14:solidFill>
          </w14:textFill>
        </w:rPr>
        <w:t>附件</w:t>
      </w:r>
      <w:r>
        <w:rPr>
          <w:rFonts w:ascii="宋体" w:hAnsi="宋体" w:cs="宋体"/>
          <w:b/>
          <w:bCs w:val="0"/>
          <w:color w:val="000000" w:themeColor="text1"/>
          <w:sz w:val="21"/>
          <w:szCs w:val="21"/>
          <w14:textFill>
            <w14:solidFill>
              <w14:schemeClr w14:val="tx1"/>
            </w14:solidFill>
          </w14:textFill>
        </w:rPr>
        <w:t>4</w:t>
      </w:r>
    </w:p>
    <w:p>
      <w:pPr>
        <w:spacing w:line="5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 2021-2022年度无纸化及视频会议系统维保项目</w:t>
      </w:r>
      <w:r>
        <w:rPr>
          <w:rFonts w:hint="eastAsia" w:ascii="宋体" w:hAnsi="宋体" w:cs="宋体"/>
          <w:b/>
          <w:color w:val="000000" w:themeColor="text1"/>
          <w:szCs w:val="21"/>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甲乙双方就</w:t>
      </w:r>
      <w:r>
        <w:rPr>
          <w:rFonts w:hint="eastAsia" w:ascii="宋体" w:hAnsi="宋体" w:cs="宋体"/>
          <w:color w:val="000000" w:themeColor="text1"/>
          <w:szCs w:val="21"/>
          <w:u w:val="single"/>
          <w14:textFill>
            <w14:solidFill>
              <w14:schemeClr w14:val="tx1"/>
            </w14:solidFill>
          </w14:textFill>
        </w:rPr>
        <w:t xml:space="preserve">    2021-2022年度无纸化及视频会议系统维保项目   </w:t>
      </w:r>
      <w:r>
        <w:rPr>
          <w:rFonts w:hint="eastAsia" w:ascii="宋体" w:hAnsi="宋体" w:cs="宋体"/>
          <w:color w:val="000000" w:themeColor="text1"/>
          <w:szCs w:val="21"/>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8"/>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二、保密义务</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管，不得遗失、转借、复印。</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三、本协议作为</w:t>
      </w:r>
      <w:r>
        <w:rPr>
          <w:rFonts w:hint="eastAsia" w:ascii="宋体" w:hAnsi="宋体" w:cs="宋体"/>
          <w:color w:val="000000" w:themeColor="text1"/>
          <w:szCs w:val="21"/>
          <w:u w:val="single"/>
          <w14:textFill>
            <w14:solidFill>
              <w14:schemeClr w14:val="tx1"/>
            </w14:solidFill>
          </w14:textFill>
        </w:rPr>
        <w:t>无纸化及视频会议系统维保项目+（合同编号）</w:t>
      </w:r>
      <w:r>
        <w:rPr>
          <w:rFonts w:hint="eastAsia" w:ascii="宋体" w:hAnsi="宋体" w:cs="宋体"/>
          <w:color w:val="000000" w:themeColor="text1"/>
          <w:szCs w:val="21"/>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四、本协议一式</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份，甲方执</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份，乙方执</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甲方（盖章）： 　　　　　　　乙方（盖章）：       </w:t>
      </w:r>
    </w:p>
    <w:p>
      <w:pPr>
        <w:kinsoku w:val="0"/>
        <w:overflowPunct w:val="0"/>
        <w:autoSpaceDE w:val="0"/>
        <w:autoSpaceDN w:val="0"/>
        <w:spacing w:line="440" w:lineRule="exact"/>
        <w:ind w:firstLine="42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签约代表：                   签约代表：</w:t>
      </w:r>
    </w:p>
    <w:p>
      <w:pPr>
        <w:kinsoku w:val="0"/>
        <w:overflowPunct w:val="0"/>
        <w:autoSpaceDE w:val="0"/>
        <w:autoSpaceDN w:val="0"/>
        <w:spacing w:line="440" w:lineRule="exact"/>
        <w:ind w:firstLine="42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日期：                       日期：  </w:t>
      </w:r>
    </w:p>
    <w:p>
      <w:pPr>
        <w:spacing w:line="560" w:lineRule="exact"/>
        <w:ind w:firstLine="105" w:firstLineChars="50"/>
        <w:rPr>
          <w:rFonts w:ascii="宋体" w:hAnsi="宋体" w:cs="宋体"/>
          <w:color w:val="000000" w:themeColor="text1"/>
          <w:szCs w:val="21"/>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3"/>
        <w:jc w:val="both"/>
      </w:pPr>
      <w:r>
        <w:rPr>
          <w:rFonts w:hint="eastAsia" w:ascii="宋体" w:hAnsi="宋体" w:cs="宋体"/>
          <w:b/>
          <w:bCs w:val="0"/>
          <w:color w:val="000000" w:themeColor="text1"/>
          <w:sz w:val="21"/>
          <w:szCs w:val="21"/>
          <w14:textFill>
            <w14:solidFill>
              <w14:schemeClr w14:val="tx1"/>
            </w14:solidFill>
          </w14:textFill>
        </w:rPr>
        <w:t>附件</w:t>
      </w:r>
      <w:r>
        <w:rPr>
          <w:rFonts w:ascii="宋体" w:hAnsi="宋体" w:cs="宋体"/>
          <w:b/>
          <w:bCs w:val="0"/>
          <w:color w:val="000000" w:themeColor="text1"/>
          <w:sz w:val="21"/>
          <w:szCs w:val="21"/>
          <w14:textFill>
            <w14:solidFill>
              <w14:schemeClr w14:val="tx1"/>
            </w14:solidFill>
          </w14:textFill>
        </w:rPr>
        <w:t xml:space="preserve">5 </w:t>
      </w:r>
      <w:r>
        <w:rPr>
          <w:rFonts w:hint="eastAsia" w:ascii="宋体" w:hAnsi="宋体" w:cs="宋体"/>
          <w:b/>
          <w:bCs w:val="0"/>
          <w:color w:val="000000" w:themeColor="text1"/>
          <w:sz w:val="21"/>
          <w:szCs w:val="21"/>
          <w14:textFill>
            <w14:solidFill>
              <w14:schemeClr w14:val="tx1"/>
            </w14:solidFill>
          </w14:textFill>
        </w:rPr>
        <w:t>安全管理协议书</w:t>
      </w:r>
    </w:p>
    <w:p>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w:t>
      </w:r>
      <w:r>
        <w:rPr>
          <w:rFonts w:hint="eastAsia" w:ascii="宋体" w:hAnsi="宋体" w:cs="宋体"/>
          <w:color w:val="000000" w:themeColor="text1"/>
          <w:szCs w:val="21"/>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6"/>
          <w:rFonts w:ascii="宋体" w:hAnsi="宋体" w:cs="宋体"/>
          <w:b w:val="0"/>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承包人: </w:t>
      </w:r>
    </w:p>
    <w:p>
      <w:pPr>
        <w:adjustRightInd w:val="0"/>
        <w:snapToGri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14:textFill>
            <w14:solidFill>
              <w14:schemeClr w14:val="tx1"/>
            </w14:solidFill>
          </w14:textFill>
        </w:rPr>
        <w:t>工作场所职业卫生管理规定</w:t>
      </w:r>
      <w:r>
        <w:rPr>
          <w:rFonts w:hint="eastAsia" w:ascii="宋体" w:hAnsi="宋体" w:cs="宋体"/>
          <w:color w:val="000000" w:themeColor="text1"/>
          <w:szCs w:val="21"/>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本协议作为</w:t>
      </w:r>
      <w:r>
        <w:rPr>
          <w:rFonts w:ascii="宋体" w:hAnsi="宋体" w:cs="宋体"/>
          <w:color w:val="000000" w:themeColor="text1"/>
          <w:szCs w:val="21"/>
          <w:u w:val="single"/>
          <w14:textFill>
            <w14:solidFill>
              <w14:schemeClr w14:val="tx1"/>
            </w14:solidFill>
          </w14:textFill>
        </w:rPr>
        <w:t>2021-2022年度无纸化及视频会议系统维保项目</w:t>
      </w:r>
      <w:r>
        <w:rPr>
          <w:rFonts w:hint="eastAsia" w:ascii="宋体" w:hAnsi="宋体" w:cs="宋体"/>
          <w:color w:val="000000" w:themeColor="text1"/>
          <w:szCs w:val="21"/>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p>
    <w:p>
      <w:pPr>
        <w:pStyle w:val="54"/>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五、补充条款：</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w:t>
      </w:r>
    </w:p>
    <w:p>
      <w:pPr>
        <w:adjustRightInd w:val="0"/>
        <w:snapToGrid w:val="0"/>
        <w:spacing w:line="440" w:lineRule="exact"/>
        <w:rPr>
          <w:rFonts w:ascii="宋体" w:hAnsi="宋体" w:cs="宋体"/>
          <w:color w:val="000000" w:themeColor="text1"/>
          <w:szCs w:val="21"/>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   月  　日</w:t>
      </w:r>
    </w:p>
    <w:p>
      <w:pPr>
        <w:pStyle w:val="3"/>
        <w:rPr>
          <w:rFonts w:ascii="宋体" w:hAnsi="宋体" w:cs="宋体"/>
          <w:b w:val="0"/>
          <w:bCs w:val="0"/>
          <w:sz w:val="30"/>
          <w:szCs w:val="30"/>
        </w:rPr>
      </w:pPr>
      <w:r>
        <w:rPr>
          <w:rFonts w:hint="eastAsia" w:ascii="宋体" w:hAnsi="宋体" w:cs="宋体"/>
          <w:b/>
          <w:bCs/>
          <w:sz w:val="21"/>
          <w:szCs w:val="21"/>
        </w:rPr>
        <w:t>附件</w:t>
      </w:r>
      <w:r>
        <w:rPr>
          <w:rFonts w:ascii="宋体" w:hAnsi="宋体" w:cs="宋体"/>
          <w:b/>
          <w:bCs/>
          <w:sz w:val="21"/>
          <w:szCs w:val="21"/>
        </w:rPr>
        <w:t>6</w:t>
      </w:r>
      <w:r>
        <w:rPr>
          <w:rFonts w:hint="eastAsia" w:ascii="宋体" w:hAnsi="宋体" w:cs="宋体"/>
          <w:sz w:val="21"/>
          <w:szCs w:val="21"/>
        </w:rPr>
        <w:t xml:space="preserve"> </w:t>
      </w:r>
      <w:r>
        <w:rPr>
          <w:rFonts w:ascii="宋体" w:hAnsi="宋体" w:cs="宋体"/>
          <w:b/>
          <w:bCs/>
          <w:sz w:val="21"/>
          <w:szCs w:val="21"/>
        </w:rPr>
        <w:t>项目投入人员架构表</w:t>
      </w:r>
    </w:p>
    <w:p>
      <w:pPr>
        <w:rPr>
          <w:rFonts w:ascii="宋体" w:hAnsi="宋体" w:cs="宋体"/>
          <w:b/>
          <w:bCs/>
          <w:sz w:val="30"/>
          <w:szCs w:val="30"/>
        </w:rPr>
        <w:sectPr>
          <w:pgSz w:w="11906" w:h="16838"/>
          <w:pgMar w:top="1089" w:right="1466" w:bottom="1089" w:left="1077" w:header="851" w:footer="992" w:gutter="0"/>
          <w:cols w:space="720" w:num="1"/>
          <w:docGrid w:type="lines" w:linePitch="312" w:charSpace="0"/>
        </w:sectPr>
      </w:pPr>
      <w:r>
        <w:rPr>
          <w:rFonts w:hint="eastAsia" w:ascii="宋体" w:hAnsi="宋体" w:cs="宋体"/>
          <w:b/>
          <w:bCs/>
          <w:sz w:val="30"/>
          <w:szCs w:val="30"/>
        </w:rPr>
        <w:br w:type="page"/>
      </w:r>
    </w:p>
    <w:p>
      <w:pPr>
        <w:pStyle w:val="3"/>
        <w:adjustRightInd w:val="0"/>
        <w:snapToGrid w:val="0"/>
        <w:jc w:val="left"/>
        <w:rPr>
          <w:rFonts w:ascii="仿宋_GB2312" w:hAnsi="仿宋_GB2312" w:eastAsia="仿宋_GB2312" w:cs="仿宋_GB2312"/>
          <w:sz w:val="24"/>
        </w:rPr>
      </w:pPr>
      <w:r>
        <w:rPr>
          <w:rFonts w:hint="eastAsia" w:ascii="宋体" w:hAnsi="宋体" w:eastAsia="宋体" w:cs="宋体"/>
          <w:sz w:val="21"/>
          <w:szCs w:val="21"/>
        </w:rPr>
        <w:t>附件7</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备注：本处罚标准出自</w:t>
      </w:r>
      <w:r>
        <w:rPr>
          <w:rFonts w:hint="eastAsia" w:ascii="仿宋_GB2312" w:hAnsi="仿宋_GB2312" w:eastAsia="仿宋_GB2312" w:cs="仿宋_GB2312"/>
          <w:color w:val="000000" w:themeColor="text1"/>
          <w:sz w:val="24"/>
          <w14:textFill>
            <w14:solidFill>
              <w14:schemeClr w14:val="tx1"/>
            </w14:solidFill>
          </w14:textFill>
        </w:rPr>
        <w:t>《广州市净水有限公司经营建设项目参建企业不诚信行为管理办法》。</w:t>
      </w: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rPr>
          <w:rFonts w:ascii="宋体" w:hAnsi="宋体" w:cs="宋体"/>
          <w:b/>
          <w:bCs/>
          <w:sz w:val="30"/>
          <w:szCs w:val="30"/>
        </w:rPr>
      </w:pPr>
    </w:p>
    <w:p>
      <w:pPr>
        <w:sectPr>
          <w:pgSz w:w="11906" w:h="16838"/>
          <w:pgMar w:top="1089" w:right="1466" w:bottom="1089" w:left="1077" w:header="851" w:footer="992" w:gutter="0"/>
          <w:cols w:space="720" w:num="1"/>
          <w:docGrid w:type="lines" w:linePitch="312" w:charSpace="0"/>
        </w:sectPr>
      </w:pPr>
    </w:p>
    <w:p/>
    <w:p>
      <w:pPr>
        <w:pStyle w:val="21"/>
      </w:pPr>
      <w:r>
        <w:rPr>
          <w:rFonts w:hint="eastAsia"/>
        </w:rPr>
        <w:t>第五部分　响应文件格式</w:t>
      </w:r>
    </w:p>
    <w:p>
      <w:pPr>
        <w:pStyle w:val="12"/>
        <w:spacing w:line="360" w:lineRule="auto"/>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rPr>
        <w:t>广州市净水有限公司2021-2022年度无纸化及视频会议系统维保项目</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2626" w:firstLineChars="938"/>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b/>
          <w:sz w:val="28"/>
          <w:szCs w:val="28"/>
          <w:u w:val="single"/>
        </w:rPr>
        <w:t xml:space="preserve">                               </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rPr>
      </w:pPr>
      <w:r>
        <w:rPr>
          <w:rFonts w:ascii="仿宋_GB2312" w:hAnsi="仿宋_GB2312" w:eastAsia="仿宋_GB2312" w:cs="仿宋_GB2312"/>
          <w:b/>
          <w:bCs/>
          <w:sz w:val="32"/>
          <w:szCs w:val="3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sz w:val="24"/>
        </w:rPr>
        <w:t>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人像面</w:t>
            </w:r>
            <w:r>
              <w:rPr>
                <w:rFonts w:hint="eastAsia" w:ascii="宋体" w:hAnsi="宋体"/>
                <w:sz w:val="24"/>
              </w:rPr>
              <w:t>，盖单位公章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国徽面</w:t>
            </w:r>
            <w:r>
              <w:rPr>
                <w:rFonts w:hint="eastAsia" w:ascii="宋体" w:hAnsi="宋体"/>
                <w:sz w:val="24"/>
              </w:rPr>
              <w:t>，盖单位公章</w:t>
            </w:r>
          </w:p>
          <w:p>
            <w:pPr>
              <w:pStyle w:val="2"/>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color w:val="000000" w:themeColor="text1"/>
          <w:sz w:val="24"/>
          <w14:textFill>
            <w14:solidFill>
              <w14:schemeClr w14:val="tx1"/>
            </w14:solidFill>
          </w14:textFill>
        </w:rPr>
        <w:t>授权代理人</w:t>
      </w:r>
      <w:r>
        <w:rPr>
          <w:rFonts w:hint="eastAsia" w:ascii="宋体" w:hAnsi="宋体"/>
          <w:sz w:val="24"/>
        </w:rPr>
        <w:t>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themeColor="text1"/>
                <w:sz w:val="24"/>
                <w14:textFill>
                  <w14:solidFill>
                    <w14:schemeClr w14:val="tx1"/>
                  </w14:solidFill>
                </w14:textFill>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480" w:lineRule="exact"/>
        <w:rPr>
          <w:rFonts w:ascii="仿宋_GB2312" w:hAnsi="仿宋_GB2312" w:eastAsia="仿宋_GB2312" w:cs="仿宋_GB2312"/>
          <w:b/>
          <w:bCs/>
          <w:sz w:val="28"/>
          <w:szCs w:val="28"/>
        </w:rPr>
      </w:pPr>
    </w:p>
    <w:p>
      <w:pPr>
        <w:pStyle w:val="2"/>
        <w:rPr>
          <w:rFonts w:ascii="仿宋_GB2312" w:hAnsi="仿宋_GB2312" w:cs="仿宋_GB2312"/>
          <w:b/>
          <w:bCs/>
          <w:sz w:val="28"/>
          <w:szCs w:val="28"/>
        </w:rPr>
      </w:pPr>
    </w:p>
    <w:p>
      <w:pPr>
        <w:pStyle w:val="2"/>
        <w:rPr>
          <w:rFonts w:ascii="仿宋_GB2312" w:hAnsi="仿宋_GB2312" w:cs="仿宋_GB2312"/>
          <w:b/>
          <w:bCs/>
          <w:sz w:val="28"/>
          <w:szCs w:val="28"/>
        </w:rPr>
      </w:pPr>
    </w:p>
    <w:p>
      <w:pPr>
        <w:pStyle w:val="2"/>
        <w:rPr>
          <w:rFonts w:ascii="仿宋_GB2312" w:hAnsi="仿宋_GB2312" w:cs="仿宋_GB2312"/>
          <w:b/>
          <w:bCs/>
          <w:sz w:val="28"/>
          <w:szCs w:val="28"/>
        </w:rPr>
      </w:pPr>
    </w:p>
    <w:p>
      <w:pPr>
        <w:pStyle w:val="2"/>
        <w:rPr>
          <w:rFonts w:ascii="仿宋_GB2312" w:hAnsi="仿宋_GB2312" w:cs="仿宋_GB2312"/>
          <w:b/>
          <w:bCs/>
          <w:sz w:val="28"/>
          <w:szCs w:val="28"/>
        </w:rPr>
      </w:pPr>
    </w:p>
    <w:p>
      <w:pPr>
        <w:pStyle w:val="2"/>
        <w:rPr>
          <w:rFonts w:ascii="仿宋_GB2312" w:hAnsi="仿宋_GB2312" w:cs="仿宋_GB2312"/>
          <w:b/>
          <w:bCs/>
          <w:sz w:val="28"/>
          <w:szCs w:val="28"/>
        </w:rPr>
      </w:pPr>
    </w:p>
    <w:p>
      <w:pPr>
        <w:pStyle w:val="2"/>
        <w:rPr>
          <w:rFonts w:ascii="仿宋_GB2312" w:hAnsi="仿宋_GB2312" w:cs="仿宋_GB2312"/>
          <w:b/>
          <w:bCs/>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的</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元（小写：</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元，含税，税率  %，）的报价，承包本次交易所包含的所有工作，其中绿色施工安全防护措施费为非竞争性费用，在报价时按询价文件规定的金额填写，不参与竞争，否则按无效报价处理，并承担任何质量缺陷责任。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3.我方保证将按照本项目询价文件第二部分项目内容要求完成本项目。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4.我方同意承包意向在询价文件规定的交易有效期</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（证书编号为：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7.我方就参加本项目交易工作，做出以下郑重声明：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 本公司没有处于被责令停业的状态；没有处于被行政部门取消投标资格的处罚期内；没有处于财产被接管、冻结、破产的状态；在报名资料核对截止日期前两年内没有行政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 本公司及其有隶属关系的机构没有参加本项目的前期工作编写工作。</w:t>
      </w:r>
    </w:p>
    <w:p>
      <w:pPr>
        <w:pStyle w:val="33"/>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3"/>
        <w:ind w:firstLine="496"/>
        <w:rPr>
          <w:rFonts w:ascii="仿宋" w:hAnsi="仿宋" w:eastAsia="仿宋" w:cs="仿宋_GB2312"/>
          <w:color w:val="000000" w:themeColor="text1"/>
          <w14:textFill>
            <w14:solidFill>
              <w14:schemeClr w14:val="tx1"/>
            </w14:solidFill>
          </w14:textFill>
        </w:rPr>
      </w:pPr>
    </w:p>
    <w:p>
      <w:pPr>
        <w:pStyle w:val="33"/>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承包意向人：(盖公章)</w:t>
      </w:r>
      <w:r>
        <w:rPr>
          <w:rFonts w:hint="eastAsia" w:ascii="仿宋" w:hAnsi="仿宋" w:eastAsia="仿宋" w:cs="仿宋_GB2312"/>
          <w:color w:val="000000" w:themeColor="text1"/>
          <w:u w:val="single"/>
          <w14:textFill>
            <w14:solidFill>
              <w14:schemeClr w14:val="tx1"/>
            </w14:solidFill>
          </w14:textFill>
        </w:rPr>
        <w:t xml:space="preserve">                                   </w:t>
      </w:r>
    </w:p>
    <w:p>
      <w:pPr>
        <w:pStyle w:val="33"/>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法定代表人（签名或盖私章）：</w:t>
      </w:r>
      <w:r>
        <w:rPr>
          <w:rFonts w:hint="eastAsia" w:ascii="仿宋" w:hAnsi="仿宋" w:eastAsia="仿宋" w:cs="仿宋_GB2312"/>
          <w:color w:val="000000" w:themeColor="text1"/>
          <w:u w:val="single"/>
          <w14:textFill>
            <w14:solidFill>
              <w14:schemeClr w14:val="tx1"/>
            </w14:solidFill>
          </w14:textFill>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期：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年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月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hint="eastAsia" w:ascii="仿宋_GB2312" w:hAnsi="仿宋_GB2312" w:eastAsia="仿宋_GB2312" w:cs="仿宋_GB2312"/>
          <w:snapToGrid w:val="0"/>
          <w:spacing w:val="4"/>
          <w:kern w:val="0"/>
          <w:sz w:val="24"/>
        </w:rPr>
        <w:t xml:space="preserve">    </w:t>
      </w:r>
    </w:p>
    <w:p>
      <w:pPr>
        <w:pStyle w:val="33"/>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pStyle w:val="2"/>
        <w:rPr>
          <w:rFonts w:ascii="仿宋_GB2312" w:hAnsi="仿宋_GB2312" w:cs="仿宋_GB2312"/>
          <w:b/>
          <w:sz w:val="28"/>
          <w:szCs w:val="28"/>
        </w:rPr>
      </w:pPr>
    </w:p>
    <w:p>
      <w:pPr>
        <w:pStyle w:val="2"/>
        <w:rPr>
          <w:rFonts w:ascii="仿宋_GB2312" w:hAnsi="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 项目单位、人员资格情况</w:t>
      </w:r>
    </w:p>
    <w:p>
      <w:pPr>
        <w:jc w:val="center"/>
        <w:rPr>
          <w:rFonts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6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广州市净水有限公司：</w:t>
      </w:r>
    </w:p>
    <w:p>
      <w:pPr>
        <w:ind w:firstLine="562"/>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sz w:val="28"/>
          <w:szCs w:val="28"/>
          <w:lang w:val="en-US" w:eastAsia="zh-CN"/>
        </w:rPr>
        <w:t>响应文件</w:t>
      </w:r>
      <w:r>
        <w:rPr>
          <w:rFonts w:hint="eastAsia" w:ascii="仿宋_GB2312" w:hAnsi="仿宋_GB2312" w:eastAsia="仿宋_GB2312" w:cs="仿宋_GB2312"/>
          <w:b/>
          <w:sz w:val="28"/>
          <w:szCs w:val="28"/>
        </w:rPr>
        <w:t>无效。由于我司提供资</w:t>
      </w:r>
    </w:p>
    <w:p>
      <w:pPr>
        <w:ind w:firstLine="0"/>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料不实或与询价文件中所有条款不符而造成的责任和后果由我</w:t>
      </w:r>
      <w:r>
        <w:rPr>
          <w:rFonts w:hint="eastAsia" w:ascii="仿宋_GB2312" w:hAnsi="仿宋_GB2312" w:eastAsia="仿宋_GB2312" w:cs="仿宋_GB2312"/>
          <w:b/>
          <w:sz w:val="28"/>
          <w:szCs w:val="28"/>
          <w:lang w:val="en-US" w:eastAsia="zh-CN"/>
        </w:rPr>
        <w:t>司</w:t>
      </w:r>
      <w:r>
        <w:rPr>
          <w:rFonts w:hint="eastAsia" w:ascii="仿宋_GB2312" w:hAnsi="仿宋_GB2312" w:eastAsia="仿宋_GB2312" w:cs="仿宋_GB2312"/>
          <w:b/>
          <w:sz w:val="28"/>
          <w:szCs w:val="28"/>
        </w:rPr>
        <w:t>承担。</w:t>
      </w:r>
    </w:p>
    <w:p>
      <w:pPr>
        <w:ind w:firstLine="0"/>
        <w:jc w:val="both"/>
        <w:rPr>
          <w:rFonts w:ascii="仿宋_GB2312" w:hAnsi="仿宋_GB2312" w:eastAsia="仿宋_GB2312" w:cs="仿宋_GB2312"/>
          <w:b/>
          <w:sz w:val="28"/>
          <w:szCs w:val="28"/>
        </w:rPr>
      </w:pPr>
    </w:p>
    <w:p>
      <w:pPr>
        <w:ind w:firstLine="0"/>
        <w:jc w:val="right"/>
        <w:rPr>
          <w:rFonts w:ascii="仿宋_GB2312" w:hAnsi="仿宋_GB2312" w:eastAsia="仿宋_GB2312" w:cs="仿宋_GB2312"/>
          <w:b/>
          <w:sz w:val="28"/>
          <w:szCs w:val="28"/>
        </w:rPr>
      </w:pPr>
      <w:r>
        <w:rPr>
          <w:rFonts w:hint="eastAsia" w:ascii="仿宋_GB2312" w:hAnsi="仿宋_GB2312" w:eastAsia="仿宋_GB2312" w:cs="仿宋_GB2312"/>
          <w:b/>
          <w:sz w:val="28"/>
          <w:szCs w:val="28"/>
        </w:rPr>
        <w:t>报价单位（盖公章）：</w:t>
      </w:r>
    </w:p>
    <w:p>
      <w:pPr>
        <w:ind w:firstLine="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年  月  日</w:t>
      </w:r>
    </w:p>
    <w:p>
      <w:pPr>
        <w:pStyle w:val="2"/>
        <w:jc w:val="both"/>
        <w:rPr>
          <w:rFonts w:hint="eastAsia" w:ascii="仿宋_GB2312" w:hAnsi="仿宋_GB2312" w:cs="仿宋_GB2312"/>
          <w:b/>
          <w:sz w:val="28"/>
          <w:szCs w:val="28"/>
          <w:lang w:val="en-US" w:eastAsia="zh-CN"/>
        </w:rPr>
      </w:pPr>
    </w:p>
    <w:p>
      <w:pPr>
        <w:pStyle w:val="2"/>
        <w:jc w:val="center"/>
        <w:rPr>
          <w:rFonts w:hint="eastAsia" w:ascii="仿宋_GB2312" w:hAnsi="仿宋_GB2312" w:cs="仿宋_GB2312"/>
          <w:b/>
          <w:sz w:val="28"/>
          <w:szCs w:val="28"/>
          <w:lang w:val="en-US" w:eastAsia="zh-CN"/>
        </w:rPr>
      </w:pPr>
      <w:r>
        <w:rPr>
          <w:rFonts w:hint="eastAsia" w:ascii="仿宋_GB2312" w:hAnsi="仿宋_GB2312" w:cs="仿宋_GB2312"/>
          <w:b/>
          <w:sz w:val="28"/>
          <w:szCs w:val="28"/>
          <w:lang w:val="en-US" w:eastAsia="zh-CN"/>
        </w:rPr>
        <w:t>7 项目负责人在本单位社保记录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themeColor="text1"/>
                <w:sz w:val="24"/>
                <w14:textFill>
                  <w14:solidFill>
                    <w14:schemeClr w14:val="tx1"/>
                  </w14:solidFill>
                </w14:textFill>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lang w:val="en-US" w:eastAsia="zh-CN"/>
              </w:rPr>
              <w:t>项目负责人</w:t>
            </w:r>
            <w:r>
              <w:rPr>
                <w:rFonts w:hint="eastAsia" w:ascii="宋体" w:hAnsi="宋体"/>
                <w:sz w:val="24"/>
              </w:rPr>
              <w:t>人在本单位近三个月社保记录，（以加盖社会保险基金管理中心印章的《缴费历史明细表》或《社会保险参保人员证明》为准，盖单位公章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pStyle w:val="2"/>
        <w:jc w:val="center"/>
        <w:rPr>
          <w:rFonts w:hint="default" w:ascii="仿宋_GB2312" w:hAnsi="仿宋_GB2312" w:cs="仿宋_GB2312"/>
          <w:b/>
          <w:sz w:val="28"/>
          <w:szCs w:val="28"/>
          <w:lang w:val="en-US" w:eastAsia="zh-C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7"/>
                            </w:rPr>
                          </w:pPr>
                          <w:r>
                            <w:fldChar w:fldCharType="begin"/>
                          </w:r>
                          <w:r>
                            <w:rPr>
                              <w:rStyle w:val="27"/>
                            </w:rPr>
                            <w:instrText xml:space="preserve">PAGE  </w:instrText>
                          </w:r>
                          <w:r>
                            <w:fldChar w:fldCharType="separate"/>
                          </w:r>
                          <w:r>
                            <w:rPr>
                              <w:rStyle w:val="27"/>
                            </w:rPr>
                            <w:t>6</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5"/>
                      <w:rPr>
                        <w:rStyle w:val="27"/>
                      </w:rPr>
                    </w:pPr>
                    <w:r>
                      <w:fldChar w:fldCharType="begin"/>
                    </w:r>
                    <w:r>
                      <w:rPr>
                        <w:rStyle w:val="27"/>
                      </w:rPr>
                      <w:instrText xml:space="preserve">PAGE  </w:instrText>
                    </w:r>
                    <w:r>
                      <w:fldChar w:fldCharType="separate"/>
                    </w:r>
                    <w:r>
                      <w:rPr>
                        <w:rStyle w:val="27"/>
                      </w:rPr>
                      <w:t>6</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3043EF1"/>
    <w:multiLevelType w:val="multilevel"/>
    <w:tmpl w:val="43043EF1"/>
    <w:lvl w:ilvl="0" w:tentative="0">
      <w:start w:val="6"/>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34B5C71"/>
    <w:multiLevelType w:val="singleLevel"/>
    <w:tmpl w:val="534B5C71"/>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B97"/>
    <w:rsid w:val="00010421"/>
    <w:rsid w:val="00011A8A"/>
    <w:rsid w:val="000122A4"/>
    <w:rsid w:val="000246E3"/>
    <w:rsid w:val="00035492"/>
    <w:rsid w:val="00053487"/>
    <w:rsid w:val="00070462"/>
    <w:rsid w:val="0007653B"/>
    <w:rsid w:val="000A3DEA"/>
    <w:rsid w:val="000A4AFD"/>
    <w:rsid w:val="000A4F02"/>
    <w:rsid w:val="000A781B"/>
    <w:rsid w:val="000B494B"/>
    <w:rsid w:val="000C315D"/>
    <w:rsid w:val="000C3FA5"/>
    <w:rsid w:val="000C4543"/>
    <w:rsid w:val="000C68BE"/>
    <w:rsid w:val="000D2041"/>
    <w:rsid w:val="000E4844"/>
    <w:rsid w:val="001159FD"/>
    <w:rsid w:val="00117703"/>
    <w:rsid w:val="00123DB3"/>
    <w:rsid w:val="00142D4A"/>
    <w:rsid w:val="0014656E"/>
    <w:rsid w:val="00161C66"/>
    <w:rsid w:val="00165527"/>
    <w:rsid w:val="00170E2E"/>
    <w:rsid w:val="00172A27"/>
    <w:rsid w:val="001743A2"/>
    <w:rsid w:val="00190568"/>
    <w:rsid w:val="00194076"/>
    <w:rsid w:val="0019626E"/>
    <w:rsid w:val="001A4178"/>
    <w:rsid w:val="001A78A7"/>
    <w:rsid w:val="001C3C6F"/>
    <w:rsid w:val="001C4496"/>
    <w:rsid w:val="001C48A1"/>
    <w:rsid w:val="001C5D72"/>
    <w:rsid w:val="001C6BAE"/>
    <w:rsid w:val="001D4F0B"/>
    <w:rsid w:val="001E1F76"/>
    <w:rsid w:val="001E5E69"/>
    <w:rsid w:val="001E7EF8"/>
    <w:rsid w:val="00201891"/>
    <w:rsid w:val="002206A3"/>
    <w:rsid w:val="00227A2F"/>
    <w:rsid w:val="00227E12"/>
    <w:rsid w:val="00235041"/>
    <w:rsid w:val="002433D8"/>
    <w:rsid w:val="0029277B"/>
    <w:rsid w:val="002C406F"/>
    <w:rsid w:val="002C5FFA"/>
    <w:rsid w:val="002D18A7"/>
    <w:rsid w:val="003174EE"/>
    <w:rsid w:val="00333C8E"/>
    <w:rsid w:val="0034418B"/>
    <w:rsid w:val="003514BB"/>
    <w:rsid w:val="0035527A"/>
    <w:rsid w:val="0036078F"/>
    <w:rsid w:val="00361C29"/>
    <w:rsid w:val="00370388"/>
    <w:rsid w:val="003731AC"/>
    <w:rsid w:val="003731F3"/>
    <w:rsid w:val="00374190"/>
    <w:rsid w:val="00383745"/>
    <w:rsid w:val="0039128B"/>
    <w:rsid w:val="003A728D"/>
    <w:rsid w:val="003B0662"/>
    <w:rsid w:val="003B6335"/>
    <w:rsid w:val="003C1891"/>
    <w:rsid w:val="003D3FF5"/>
    <w:rsid w:val="004118E3"/>
    <w:rsid w:val="00412572"/>
    <w:rsid w:val="00413672"/>
    <w:rsid w:val="00415956"/>
    <w:rsid w:val="00416C2A"/>
    <w:rsid w:val="00420A13"/>
    <w:rsid w:val="00426A1F"/>
    <w:rsid w:val="00432B6A"/>
    <w:rsid w:val="00443B9E"/>
    <w:rsid w:val="00446A14"/>
    <w:rsid w:val="00457D1A"/>
    <w:rsid w:val="00463DBF"/>
    <w:rsid w:val="00480864"/>
    <w:rsid w:val="00490F9A"/>
    <w:rsid w:val="004A5483"/>
    <w:rsid w:val="004B45DB"/>
    <w:rsid w:val="004B5FE0"/>
    <w:rsid w:val="004C0B3E"/>
    <w:rsid w:val="004D5E0D"/>
    <w:rsid w:val="004F7991"/>
    <w:rsid w:val="005009AA"/>
    <w:rsid w:val="00505D8C"/>
    <w:rsid w:val="005109E5"/>
    <w:rsid w:val="00512B8F"/>
    <w:rsid w:val="00512D95"/>
    <w:rsid w:val="005152A7"/>
    <w:rsid w:val="00522AC1"/>
    <w:rsid w:val="00532D6D"/>
    <w:rsid w:val="005722CF"/>
    <w:rsid w:val="00572DC3"/>
    <w:rsid w:val="00587237"/>
    <w:rsid w:val="005C1424"/>
    <w:rsid w:val="005C60DA"/>
    <w:rsid w:val="005E103A"/>
    <w:rsid w:val="005E3D93"/>
    <w:rsid w:val="005F3E64"/>
    <w:rsid w:val="00612926"/>
    <w:rsid w:val="00632DE3"/>
    <w:rsid w:val="00637F1C"/>
    <w:rsid w:val="0065167E"/>
    <w:rsid w:val="0066236B"/>
    <w:rsid w:val="00667D5C"/>
    <w:rsid w:val="0067141B"/>
    <w:rsid w:val="00681EB3"/>
    <w:rsid w:val="006D38A2"/>
    <w:rsid w:val="006D6433"/>
    <w:rsid w:val="006D6AD1"/>
    <w:rsid w:val="006E2487"/>
    <w:rsid w:val="006F4043"/>
    <w:rsid w:val="006F475E"/>
    <w:rsid w:val="00701ADB"/>
    <w:rsid w:val="00704DEB"/>
    <w:rsid w:val="00715B71"/>
    <w:rsid w:val="0071677B"/>
    <w:rsid w:val="00724810"/>
    <w:rsid w:val="0074727F"/>
    <w:rsid w:val="007542E9"/>
    <w:rsid w:val="007558CD"/>
    <w:rsid w:val="00780733"/>
    <w:rsid w:val="00793670"/>
    <w:rsid w:val="007C0867"/>
    <w:rsid w:val="007D60B6"/>
    <w:rsid w:val="007E56BF"/>
    <w:rsid w:val="00803199"/>
    <w:rsid w:val="00823936"/>
    <w:rsid w:val="00832897"/>
    <w:rsid w:val="00836212"/>
    <w:rsid w:val="0084163C"/>
    <w:rsid w:val="00844B15"/>
    <w:rsid w:val="00863E6C"/>
    <w:rsid w:val="00875AF2"/>
    <w:rsid w:val="0088340E"/>
    <w:rsid w:val="008A4004"/>
    <w:rsid w:val="008A4890"/>
    <w:rsid w:val="008B3C79"/>
    <w:rsid w:val="009019E1"/>
    <w:rsid w:val="0090473A"/>
    <w:rsid w:val="00910213"/>
    <w:rsid w:val="0091184E"/>
    <w:rsid w:val="0092779B"/>
    <w:rsid w:val="009332DF"/>
    <w:rsid w:val="00934777"/>
    <w:rsid w:val="00940B4E"/>
    <w:rsid w:val="00944322"/>
    <w:rsid w:val="00950459"/>
    <w:rsid w:val="00950A06"/>
    <w:rsid w:val="00961B4C"/>
    <w:rsid w:val="009B2D06"/>
    <w:rsid w:val="009C0F43"/>
    <w:rsid w:val="009D34D8"/>
    <w:rsid w:val="009F6D41"/>
    <w:rsid w:val="00A03DF9"/>
    <w:rsid w:val="00A042BC"/>
    <w:rsid w:val="00A061FB"/>
    <w:rsid w:val="00A0721A"/>
    <w:rsid w:val="00A13169"/>
    <w:rsid w:val="00A1353B"/>
    <w:rsid w:val="00A1384C"/>
    <w:rsid w:val="00A30285"/>
    <w:rsid w:val="00A34E84"/>
    <w:rsid w:val="00A52E13"/>
    <w:rsid w:val="00A639C9"/>
    <w:rsid w:val="00A65E2B"/>
    <w:rsid w:val="00A74312"/>
    <w:rsid w:val="00A76CE7"/>
    <w:rsid w:val="00A90DAC"/>
    <w:rsid w:val="00A969DE"/>
    <w:rsid w:val="00AA04E5"/>
    <w:rsid w:val="00AC362E"/>
    <w:rsid w:val="00AD09EB"/>
    <w:rsid w:val="00AE4B83"/>
    <w:rsid w:val="00B32292"/>
    <w:rsid w:val="00B40370"/>
    <w:rsid w:val="00B40757"/>
    <w:rsid w:val="00B4077B"/>
    <w:rsid w:val="00B51EB0"/>
    <w:rsid w:val="00B5461D"/>
    <w:rsid w:val="00B626FF"/>
    <w:rsid w:val="00B71748"/>
    <w:rsid w:val="00B86264"/>
    <w:rsid w:val="00BA026E"/>
    <w:rsid w:val="00BA23C2"/>
    <w:rsid w:val="00BA5541"/>
    <w:rsid w:val="00BA5A56"/>
    <w:rsid w:val="00BB200C"/>
    <w:rsid w:val="00BC5265"/>
    <w:rsid w:val="00BD30CB"/>
    <w:rsid w:val="00BE46E0"/>
    <w:rsid w:val="00BE742A"/>
    <w:rsid w:val="00BF1655"/>
    <w:rsid w:val="00BF363F"/>
    <w:rsid w:val="00BF3AFD"/>
    <w:rsid w:val="00C14C3C"/>
    <w:rsid w:val="00C244CD"/>
    <w:rsid w:val="00C34908"/>
    <w:rsid w:val="00C66BB8"/>
    <w:rsid w:val="00C676E4"/>
    <w:rsid w:val="00C7405F"/>
    <w:rsid w:val="00C75328"/>
    <w:rsid w:val="00C83D69"/>
    <w:rsid w:val="00C84B70"/>
    <w:rsid w:val="00CA4848"/>
    <w:rsid w:val="00CA5423"/>
    <w:rsid w:val="00CA7F1C"/>
    <w:rsid w:val="00CB077B"/>
    <w:rsid w:val="00CC58A1"/>
    <w:rsid w:val="00CD773C"/>
    <w:rsid w:val="00CF1428"/>
    <w:rsid w:val="00D0337C"/>
    <w:rsid w:val="00D06BBE"/>
    <w:rsid w:val="00D102FB"/>
    <w:rsid w:val="00D13D9B"/>
    <w:rsid w:val="00D24CE2"/>
    <w:rsid w:val="00D62E57"/>
    <w:rsid w:val="00D63507"/>
    <w:rsid w:val="00D63E9F"/>
    <w:rsid w:val="00D84DD7"/>
    <w:rsid w:val="00DA1D10"/>
    <w:rsid w:val="00DB7C0C"/>
    <w:rsid w:val="00DC1CB8"/>
    <w:rsid w:val="00DF0428"/>
    <w:rsid w:val="00DF4DE3"/>
    <w:rsid w:val="00EE1F3A"/>
    <w:rsid w:val="00EE5B0F"/>
    <w:rsid w:val="00EE5B8C"/>
    <w:rsid w:val="00EF52E4"/>
    <w:rsid w:val="00EF561B"/>
    <w:rsid w:val="00F11AAB"/>
    <w:rsid w:val="00F25D0E"/>
    <w:rsid w:val="00F31201"/>
    <w:rsid w:val="00F35EC6"/>
    <w:rsid w:val="00F50D78"/>
    <w:rsid w:val="00F54A9C"/>
    <w:rsid w:val="00F5668F"/>
    <w:rsid w:val="00F610BD"/>
    <w:rsid w:val="00F63592"/>
    <w:rsid w:val="00F73CCA"/>
    <w:rsid w:val="00F97EC3"/>
    <w:rsid w:val="00FA162F"/>
    <w:rsid w:val="00FA7B9E"/>
    <w:rsid w:val="00FC4A1D"/>
    <w:rsid w:val="00FC4D4C"/>
    <w:rsid w:val="00FD212B"/>
    <w:rsid w:val="00FD3865"/>
    <w:rsid w:val="00FD4BDC"/>
    <w:rsid w:val="00FE6BA8"/>
    <w:rsid w:val="00FF014C"/>
    <w:rsid w:val="00FF2889"/>
    <w:rsid w:val="012279AB"/>
    <w:rsid w:val="01983CC9"/>
    <w:rsid w:val="02996C6B"/>
    <w:rsid w:val="03E24917"/>
    <w:rsid w:val="05452A41"/>
    <w:rsid w:val="058A0A8F"/>
    <w:rsid w:val="08311475"/>
    <w:rsid w:val="08777538"/>
    <w:rsid w:val="09A7457B"/>
    <w:rsid w:val="0A4F158B"/>
    <w:rsid w:val="0AA65986"/>
    <w:rsid w:val="0B6E560C"/>
    <w:rsid w:val="0BA729F6"/>
    <w:rsid w:val="0BDE60C7"/>
    <w:rsid w:val="0C3064EE"/>
    <w:rsid w:val="0D217D73"/>
    <w:rsid w:val="0E7F3827"/>
    <w:rsid w:val="11462BAE"/>
    <w:rsid w:val="11640DD4"/>
    <w:rsid w:val="12445E87"/>
    <w:rsid w:val="1258643E"/>
    <w:rsid w:val="13A32FA7"/>
    <w:rsid w:val="14296DCF"/>
    <w:rsid w:val="15C73041"/>
    <w:rsid w:val="162560CE"/>
    <w:rsid w:val="179970F1"/>
    <w:rsid w:val="18561049"/>
    <w:rsid w:val="18564423"/>
    <w:rsid w:val="194D7B8A"/>
    <w:rsid w:val="19B066E4"/>
    <w:rsid w:val="19DF2576"/>
    <w:rsid w:val="1BEB7AE8"/>
    <w:rsid w:val="1C653B43"/>
    <w:rsid w:val="1E7B2997"/>
    <w:rsid w:val="1F6F4CE4"/>
    <w:rsid w:val="1F9B0DCC"/>
    <w:rsid w:val="1FC84FA2"/>
    <w:rsid w:val="2134717D"/>
    <w:rsid w:val="235F5D7C"/>
    <w:rsid w:val="244F008C"/>
    <w:rsid w:val="24F22666"/>
    <w:rsid w:val="25577173"/>
    <w:rsid w:val="265657DB"/>
    <w:rsid w:val="26B70BC7"/>
    <w:rsid w:val="26E11C64"/>
    <w:rsid w:val="27EA447F"/>
    <w:rsid w:val="29D97E0B"/>
    <w:rsid w:val="2ACF4009"/>
    <w:rsid w:val="2B861882"/>
    <w:rsid w:val="2C417DB5"/>
    <w:rsid w:val="2C6001C1"/>
    <w:rsid w:val="2C6E65EC"/>
    <w:rsid w:val="2CA96BE9"/>
    <w:rsid w:val="2D1C7FE8"/>
    <w:rsid w:val="2DBA4EBB"/>
    <w:rsid w:val="2DDB7A30"/>
    <w:rsid w:val="2E3A6DED"/>
    <w:rsid w:val="2E874264"/>
    <w:rsid w:val="2F0A52C8"/>
    <w:rsid w:val="2F1913E9"/>
    <w:rsid w:val="2F3E4532"/>
    <w:rsid w:val="308C0528"/>
    <w:rsid w:val="30A0050B"/>
    <w:rsid w:val="315178CC"/>
    <w:rsid w:val="316F5588"/>
    <w:rsid w:val="319E0970"/>
    <w:rsid w:val="31B63D34"/>
    <w:rsid w:val="323D5023"/>
    <w:rsid w:val="32C81932"/>
    <w:rsid w:val="332F3CE6"/>
    <w:rsid w:val="3340798D"/>
    <w:rsid w:val="33691C13"/>
    <w:rsid w:val="34D43CB0"/>
    <w:rsid w:val="35A32AE6"/>
    <w:rsid w:val="35F33C0C"/>
    <w:rsid w:val="368505BB"/>
    <w:rsid w:val="36983C2A"/>
    <w:rsid w:val="36C30AD2"/>
    <w:rsid w:val="374A4942"/>
    <w:rsid w:val="38640478"/>
    <w:rsid w:val="391D3A42"/>
    <w:rsid w:val="39764202"/>
    <w:rsid w:val="39CD517C"/>
    <w:rsid w:val="3A4E7E0B"/>
    <w:rsid w:val="3A58631B"/>
    <w:rsid w:val="3A5C7DF5"/>
    <w:rsid w:val="3A751316"/>
    <w:rsid w:val="3A82075E"/>
    <w:rsid w:val="3B7F0A0B"/>
    <w:rsid w:val="3C18195E"/>
    <w:rsid w:val="3F73143C"/>
    <w:rsid w:val="3FE854BB"/>
    <w:rsid w:val="402846ED"/>
    <w:rsid w:val="40DF3E16"/>
    <w:rsid w:val="411302F8"/>
    <w:rsid w:val="415E448E"/>
    <w:rsid w:val="42890CE4"/>
    <w:rsid w:val="42BB7A34"/>
    <w:rsid w:val="437845B7"/>
    <w:rsid w:val="438402CD"/>
    <w:rsid w:val="44AD0ADB"/>
    <w:rsid w:val="456A45E8"/>
    <w:rsid w:val="464131D2"/>
    <w:rsid w:val="47D61405"/>
    <w:rsid w:val="48F16348"/>
    <w:rsid w:val="49AE5C6B"/>
    <w:rsid w:val="4B016A12"/>
    <w:rsid w:val="4B016A29"/>
    <w:rsid w:val="4BFA6832"/>
    <w:rsid w:val="4CAF0717"/>
    <w:rsid w:val="4CB15D8A"/>
    <w:rsid w:val="4E6622DF"/>
    <w:rsid w:val="4E84340B"/>
    <w:rsid w:val="4F803910"/>
    <w:rsid w:val="4FEB4D82"/>
    <w:rsid w:val="4FF7589D"/>
    <w:rsid w:val="5025209B"/>
    <w:rsid w:val="508E0231"/>
    <w:rsid w:val="523D1F63"/>
    <w:rsid w:val="524E4CE3"/>
    <w:rsid w:val="53850C93"/>
    <w:rsid w:val="53A4398E"/>
    <w:rsid w:val="54906F49"/>
    <w:rsid w:val="55B96496"/>
    <w:rsid w:val="5617637D"/>
    <w:rsid w:val="56AB3622"/>
    <w:rsid w:val="57C40C1A"/>
    <w:rsid w:val="58AC4A38"/>
    <w:rsid w:val="597E09D7"/>
    <w:rsid w:val="5A482D48"/>
    <w:rsid w:val="5A8607CB"/>
    <w:rsid w:val="5BC27249"/>
    <w:rsid w:val="5C470DB0"/>
    <w:rsid w:val="5C9A221B"/>
    <w:rsid w:val="5D1F002C"/>
    <w:rsid w:val="5F82232D"/>
    <w:rsid w:val="61B238BA"/>
    <w:rsid w:val="61F25308"/>
    <w:rsid w:val="6218685C"/>
    <w:rsid w:val="62751C03"/>
    <w:rsid w:val="62B47487"/>
    <w:rsid w:val="6398140B"/>
    <w:rsid w:val="63CA17EE"/>
    <w:rsid w:val="63CA29E6"/>
    <w:rsid w:val="64645DC3"/>
    <w:rsid w:val="64D406DE"/>
    <w:rsid w:val="653B0003"/>
    <w:rsid w:val="65695B8C"/>
    <w:rsid w:val="685D521C"/>
    <w:rsid w:val="6895626B"/>
    <w:rsid w:val="692B2D35"/>
    <w:rsid w:val="6A6B3111"/>
    <w:rsid w:val="6AD5453A"/>
    <w:rsid w:val="6C08638D"/>
    <w:rsid w:val="6C9403BA"/>
    <w:rsid w:val="6CCC34F2"/>
    <w:rsid w:val="6DD359F3"/>
    <w:rsid w:val="6F4357AD"/>
    <w:rsid w:val="6F794FF9"/>
    <w:rsid w:val="6FD3295D"/>
    <w:rsid w:val="702962B4"/>
    <w:rsid w:val="70302164"/>
    <w:rsid w:val="70DC0CA7"/>
    <w:rsid w:val="724A0ECD"/>
    <w:rsid w:val="72860A7A"/>
    <w:rsid w:val="75564949"/>
    <w:rsid w:val="75F21B13"/>
    <w:rsid w:val="77A004C8"/>
    <w:rsid w:val="77F73815"/>
    <w:rsid w:val="782038F7"/>
    <w:rsid w:val="78252645"/>
    <w:rsid w:val="7885056D"/>
    <w:rsid w:val="79FD7009"/>
    <w:rsid w:val="7B564715"/>
    <w:rsid w:val="7C465E50"/>
    <w:rsid w:val="7C8E7457"/>
    <w:rsid w:val="7D637046"/>
    <w:rsid w:val="7DFE4C77"/>
    <w:rsid w:val="7E075BC0"/>
    <w:rsid w:val="7E437374"/>
    <w:rsid w:val="7E960D56"/>
    <w:rsid w:val="7F9A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46"/>
    <w:semiHidden/>
    <w:unhideWhenUsed/>
    <w:qFormat/>
    <w:uiPriority w:val="0"/>
    <w:pPr>
      <w:jc w:val="left"/>
    </w:pPr>
  </w:style>
  <w:style w:type="paragraph" w:styleId="10">
    <w:name w:val="Body Text 3"/>
    <w:basedOn w:val="1"/>
    <w:qFormat/>
    <w:uiPriority w:val="0"/>
    <w:pPr>
      <w:spacing w:after="120"/>
    </w:pPr>
    <w:rPr>
      <w:sz w:val="16"/>
      <w:szCs w:val="16"/>
    </w:r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link w:val="45"/>
    <w:qFormat/>
    <w:uiPriority w:val="0"/>
    <w:rPr>
      <w:rFonts w:ascii="宋体" w:hAnsi="Courier New" w:cs="Courier New"/>
      <w:szCs w:val="21"/>
    </w:rPr>
  </w:style>
  <w:style w:type="paragraph" w:styleId="13">
    <w:name w:val="Body Text Indent 2"/>
    <w:basedOn w:val="1"/>
    <w:semiHidden/>
    <w:unhideWhenUsed/>
    <w:qFormat/>
    <w:uiPriority w:val="99"/>
    <w:pPr>
      <w:spacing w:after="120" w:line="480" w:lineRule="auto"/>
      <w:ind w:left="420" w:leftChars="200"/>
    </w:pPr>
  </w:style>
  <w:style w:type="paragraph" w:styleId="14">
    <w:name w:val="Balloon Text"/>
    <w:basedOn w:val="1"/>
    <w:link w:val="37"/>
    <w:qFormat/>
    <w:uiPriority w:val="0"/>
    <w:rPr>
      <w:sz w:val="18"/>
      <w:szCs w:val="18"/>
    </w:rPr>
  </w:style>
  <w:style w:type="paragraph" w:styleId="15">
    <w:name w:val="footer"/>
    <w:basedOn w:val="1"/>
    <w:link w:val="49"/>
    <w:qFormat/>
    <w:uiPriority w:val="99"/>
    <w:pPr>
      <w:tabs>
        <w:tab w:val="center" w:pos="4153"/>
        <w:tab w:val="right" w:pos="8306"/>
      </w:tabs>
      <w:snapToGrid w:val="0"/>
      <w:jc w:val="left"/>
    </w:pPr>
    <w:rPr>
      <w:sz w:val="18"/>
    </w:rPr>
  </w:style>
  <w:style w:type="paragraph" w:styleId="16">
    <w:name w:val="header"/>
    <w:basedOn w:val="1"/>
    <w:link w:val="5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Subtitle"/>
    <w:basedOn w:val="1"/>
    <w:next w:val="1"/>
    <w:link w:val="5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paragraph" w:styleId="22">
    <w:name w:val="annotation subject"/>
    <w:basedOn w:val="9"/>
    <w:next w:val="9"/>
    <w:link w:val="47"/>
    <w:semiHidden/>
    <w:unhideWhenUsed/>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annotation reference"/>
    <w:basedOn w:val="25"/>
    <w:semiHidden/>
    <w:unhideWhenUsed/>
    <w:qFormat/>
    <w:uiPriority w:val="0"/>
    <w:rPr>
      <w:sz w:val="21"/>
      <w:szCs w:val="21"/>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Char"/>
    <w:basedOn w:val="1"/>
    <w:qFormat/>
    <w:uiPriority w:val="0"/>
    <w:pPr>
      <w:spacing w:line="480" w:lineRule="exact"/>
    </w:pPr>
    <w:rPr>
      <w:sz w:val="24"/>
    </w:rPr>
  </w:style>
  <w:style w:type="paragraph" w:customStyle="1" w:styleId="31">
    <w:name w:val="题注4"/>
    <w:basedOn w:val="1"/>
    <w:next w:val="8"/>
    <w:qFormat/>
    <w:uiPriority w:val="0"/>
    <w:pPr>
      <w:ind w:left="-132" w:leftChars="-64" w:right="-105" w:rightChars="-50" w:hanging="2"/>
      <w:jc w:val="center"/>
    </w:pPr>
    <w:rPr>
      <w:b/>
      <w:color w:val="FF0000"/>
      <w:szCs w:val="21"/>
      <w:lang w:val="en-GB"/>
    </w:rPr>
  </w:style>
  <w:style w:type="paragraph" w:customStyle="1" w:styleId="32">
    <w:name w:val="表格文字"/>
    <w:basedOn w:val="1"/>
    <w:qFormat/>
    <w:uiPriority w:val="0"/>
    <w:pPr>
      <w:spacing w:before="25" w:after="25"/>
      <w:jc w:val="left"/>
    </w:pPr>
    <w:rPr>
      <w:bCs/>
      <w:spacing w:val="10"/>
      <w:kern w:val="0"/>
      <w:sz w:val="24"/>
      <w:szCs w:val="20"/>
    </w:rPr>
  </w:style>
  <w:style w:type="paragraph" w:customStyle="1" w:styleId="33">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
    <w:name w:val="Char Char2 Char"/>
    <w:basedOn w:val="1"/>
    <w:qFormat/>
    <w:uiPriority w:val="0"/>
  </w:style>
  <w:style w:type="character" w:customStyle="1" w:styleId="37">
    <w:name w:val="批注框文本 字符"/>
    <w:link w:val="14"/>
    <w:qFormat/>
    <w:uiPriority w:val="0"/>
    <w:rPr>
      <w:kern w:val="2"/>
      <w:sz w:val="18"/>
      <w:szCs w:val="18"/>
    </w:rPr>
  </w:style>
  <w:style w:type="paragraph" w:styleId="38">
    <w:name w:val="List Paragraph"/>
    <w:basedOn w:val="1"/>
    <w:qFormat/>
    <w:uiPriority w:val="34"/>
    <w:pPr>
      <w:ind w:firstLine="420" w:firstLineChars="200"/>
    </w:pPr>
    <w:rPr>
      <w:rFonts w:ascii="Calibri" w:hAnsi="Calibri"/>
      <w:szCs w:val="22"/>
    </w:rPr>
  </w:style>
  <w:style w:type="character" w:customStyle="1" w:styleId="39">
    <w:name w:val="标题 1 字符"/>
    <w:link w:val="3"/>
    <w:qFormat/>
    <w:uiPriority w:val="9"/>
    <w:rPr>
      <w:rFonts w:ascii="Calibri" w:hAnsi="Calibri"/>
      <w:b/>
      <w:bCs/>
      <w:kern w:val="44"/>
      <w:sz w:val="44"/>
      <w:szCs w:val="44"/>
    </w:rPr>
  </w:style>
  <w:style w:type="paragraph" w:customStyle="1" w:styleId="40">
    <w:name w:val="z-窗体顶端1"/>
    <w:basedOn w:val="1"/>
    <w:link w:val="41"/>
    <w:qFormat/>
    <w:uiPriority w:val="34"/>
    <w:pPr>
      <w:ind w:firstLine="420" w:firstLineChars="200"/>
    </w:pPr>
    <w:rPr>
      <w:rFonts w:ascii="Calibri" w:hAnsi="Calibri"/>
      <w:szCs w:val="22"/>
    </w:rPr>
  </w:style>
  <w:style w:type="character" w:customStyle="1" w:styleId="41">
    <w:name w:val="z-窗体顶端 字符"/>
    <w:link w:val="40"/>
    <w:qFormat/>
    <w:uiPriority w:val="34"/>
    <w:rPr>
      <w:rFonts w:ascii="Calibri" w:hAnsi="Calibri"/>
      <w:kern w:val="2"/>
      <w:sz w:val="21"/>
      <w:szCs w:val="22"/>
    </w:rPr>
  </w:style>
  <w:style w:type="paragraph" w:customStyle="1" w:styleId="42">
    <w:name w:val="列出段落1"/>
    <w:basedOn w:val="1"/>
    <w:qFormat/>
    <w:uiPriority w:val="0"/>
    <w:pPr>
      <w:ind w:firstLine="420" w:firstLineChars="200"/>
    </w:pPr>
    <w:rPr>
      <w:rFonts w:ascii="Calibri" w:hAnsi="Calibri"/>
      <w:szCs w:val="22"/>
    </w:rPr>
  </w:style>
  <w:style w:type="paragraph" w:customStyle="1" w:styleId="43">
    <w:name w:val="列出段落2"/>
    <w:basedOn w:val="1"/>
    <w:qFormat/>
    <w:uiPriority w:val="0"/>
    <w:pPr>
      <w:ind w:firstLine="420" w:firstLineChars="200"/>
    </w:pPr>
    <w:rPr>
      <w:rFonts w:ascii="Calibri" w:hAnsi="Calibri"/>
      <w:szCs w:val="22"/>
    </w:rPr>
  </w:style>
  <w:style w:type="paragraph" w:customStyle="1" w:styleId="44">
    <w:name w:val="列出段落3"/>
    <w:basedOn w:val="1"/>
    <w:qFormat/>
    <w:uiPriority w:val="0"/>
    <w:pPr>
      <w:ind w:firstLine="420" w:firstLineChars="200"/>
    </w:pPr>
    <w:rPr>
      <w:rFonts w:ascii="Calibri" w:hAnsi="Calibri"/>
      <w:szCs w:val="22"/>
    </w:rPr>
  </w:style>
  <w:style w:type="character" w:customStyle="1" w:styleId="45">
    <w:name w:val="纯文本 字符"/>
    <w:link w:val="12"/>
    <w:qFormat/>
    <w:uiPriority w:val="0"/>
    <w:rPr>
      <w:rFonts w:ascii="宋体" w:hAnsi="Courier New" w:cs="Courier New"/>
      <w:kern w:val="2"/>
      <w:sz w:val="21"/>
      <w:szCs w:val="21"/>
    </w:rPr>
  </w:style>
  <w:style w:type="character" w:customStyle="1" w:styleId="46">
    <w:name w:val="批注文字 字符"/>
    <w:basedOn w:val="25"/>
    <w:link w:val="9"/>
    <w:semiHidden/>
    <w:qFormat/>
    <w:uiPriority w:val="0"/>
    <w:rPr>
      <w:kern w:val="2"/>
      <w:sz w:val="21"/>
      <w:szCs w:val="24"/>
    </w:rPr>
  </w:style>
  <w:style w:type="character" w:customStyle="1" w:styleId="47">
    <w:name w:val="批注主题 字符"/>
    <w:basedOn w:val="46"/>
    <w:link w:val="22"/>
    <w:semiHidden/>
    <w:qFormat/>
    <w:uiPriority w:val="0"/>
    <w:rPr>
      <w:b/>
      <w:bCs/>
      <w:kern w:val="2"/>
      <w:sz w:val="21"/>
      <w:szCs w:val="24"/>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9">
    <w:name w:val="页脚 字符"/>
    <w:basedOn w:val="25"/>
    <w:link w:val="15"/>
    <w:qFormat/>
    <w:uiPriority w:val="99"/>
    <w:rPr>
      <w:kern w:val="2"/>
      <w:sz w:val="18"/>
      <w:szCs w:val="24"/>
    </w:rPr>
  </w:style>
  <w:style w:type="character" w:customStyle="1" w:styleId="50">
    <w:name w:val="页眉 字符"/>
    <w:link w:val="16"/>
    <w:qFormat/>
    <w:uiPriority w:val="0"/>
    <w:rPr>
      <w:kern w:val="2"/>
      <w:sz w:val="18"/>
      <w:szCs w:val="24"/>
    </w:rPr>
  </w:style>
  <w:style w:type="character" w:customStyle="1" w:styleId="51">
    <w:name w:val="副标题 字符"/>
    <w:basedOn w:val="25"/>
    <w:link w:val="18"/>
    <w:qFormat/>
    <w:uiPriority w:val="0"/>
    <w:rPr>
      <w:rFonts w:asciiTheme="minorHAnsi" w:hAnsiTheme="minorHAnsi" w:eastAsiaTheme="minorEastAsia" w:cstheme="minorBidi"/>
      <w:b/>
      <w:bCs/>
      <w:kern w:val="28"/>
      <w:sz w:val="32"/>
      <w:szCs w:val="32"/>
    </w:rPr>
  </w:style>
  <w:style w:type="character" w:customStyle="1" w:styleId="52">
    <w:name w:val="标题 字符"/>
    <w:basedOn w:val="25"/>
    <w:link w:val="21"/>
    <w:qFormat/>
    <w:uiPriority w:val="0"/>
    <w:rPr>
      <w:rFonts w:asciiTheme="majorHAnsi" w:hAnsiTheme="majorHAnsi" w:eastAsiaTheme="majorEastAsia" w:cstheme="majorBidi"/>
      <w:b/>
      <w:bCs/>
      <w:kern w:val="2"/>
      <w:sz w:val="32"/>
      <w:szCs w:val="32"/>
    </w:rPr>
  </w:style>
  <w:style w:type="paragraph" w:customStyle="1" w:styleId="53">
    <w:name w:val="_Style 4"/>
    <w:basedOn w:val="3"/>
    <w:next w:val="1"/>
    <w:qFormat/>
    <w:uiPriority w:val="0"/>
    <w:pPr>
      <w:keepNext w:val="0"/>
      <w:keepLines w:val="0"/>
      <w:spacing w:before="0" w:after="0" w:line="576" w:lineRule="auto"/>
      <w:jc w:val="left"/>
      <w:outlineLvl w:val="9"/>
    </w:pPr>
    <w:rPr>
      <w:rFonts w:eastAsia="黑体"/>
      <w:b w:val="0"/>
      <w:bCs w:val="0"/>
      <w:kern w:val="0"/>
      <w:lang w:eastAsia="en-US"/>
    </w:rPr>
  </w:style>
  <w:style w:type="paragraph" w:styleId="5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E263C0-6BC8-4FC8-B11B-2A60F4B639E7}">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56</Pages>
  <Words>4277</Words>
  <Characters>24382</Characters>
  <Lines>203</Lines>
  <Paragraphs>57</Paragraphs>
  <TotalTime>47</TotalTime>
  <ScaleCrop>false</ScaleCrop>
  <LinksUpToDate>false</LinksUpToDate>
  <CharactersWithSpaces>28602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2021-09-13T01:19:00Z</dcterms:created>
  <dc:creator>李继能</dc:creator>
  <cp:lastModifiedBy>林煜韩</cp:lastModifiedBy>
  <cp:lastPrinted>2021-09-13T01:53:00Z</cp:lastPrinted>
  <dcterms:modified xsi:type="dcterms:W3CDTF">2021-09-16T08:26:08Z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