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hint="eastAsia" w:ascii="仿宋_GB2312" w:hAnsi="仿宋_GB2312" w:eastAsia="仿宋_GB2312" w:cs="仿宋_GB2312"/>
          <w:b/>
          <w:bCs/>
          <w:color w:val="auto"/>
          <w:sz w:val="72"/>
        </w:rPr>
      </w:pPr>
      <w:r>
        <w:rPr>
          <w:rFonts w:hint="eastAsia" w:ascii="仿宋_GB2312" w:hAnsi="仿宋_GB2312" w:eastAsia="仿宋_GB2312" w:cs="仿宋_GB2312"/>
          <w:b/>
          <w:bCs/>
          <w:color w:val="auto"/>
          <w:sz w:val="72"/>
        </w:rPr>
        <w:t>询价文件</w:t>
      </w:r>
    </w:p>
    <w:p>
      <w:pPr>
        <w:pStyle w:val="2"/>
        <w:rPr>
          <w:rFonts w:hint="eastAsia"/>
        </w:rPr>
      </w:pPr>
    </w:p>
    <w:p>
      <w:pPr>
        <w:spacing w:line="500" w:lineRule="exact"/>
        <w:jc w:val="left"/>
        <w:rPr>
          <w:rFonts w:ascii="仿宋_GB2312" w:hAnsi="仿宋_GB2312" w:eastAsia="仿宋_GB2312" w:cs="仿宋_GB2312"/>
          <w:bCs/>
          <w:color w:val="000000" w:themeColor="text1"/>
          <w:sz w:val="28"/>
          <w:szCs w:val="28"/>
          <w14:textFill>
            <w14:solidFill>
              <w14:schemeClr w14:val="tx1"/>
            </w14:solidFill>
          </w14:textFill>
        </w:rPr>
      </w:pPr>
    </w:p>
    <w:p>
      <w:pPr>
        <w:spacing w:line="500" w:lineRule="exact"/>
        <w:ind w:firstLine="643" w:firstLineChars="200"/>
        <w:jc w:val="left"/>
        <w:rPr>
          <w:rFonts w:hint="default" w:ascii="仿宋" w:hAnsi="仿宋" w:eastAsia="仿宋" w:cs="仿宋_GB2312"/>
          <w:b/>
          <w:bCs w:val="0"/>
          <w:color w:val="auto"/>
          <w:sz w:val="32"/>
          <w:szCs w:val="32"/>
          <w:lang w:val="en-US" w:eastAsia="zh-CN"/>
        </w:rPr>
      </w:pPr>
      <w:r>
        <w:rPr>
          <w:rFonts w:hint="eastAsia" w:ascii="仿宋" w:hAnsi="仿宋" w:eastAsia="仿宋" w:cs="仿宋_GB2312"/>
          <w:b/>
          <w:bCs w:val="0"/>
          <w:color w:val="auto"/>
          <w:sz w:val="32"/>
          <w:szCs w:val="32"/>
        </w:rPr>
        <w:t>项目编号：</w:t>
      </w:r>
      <w:r>
        <w:rPr>
          <w:rFonts w:hint="eastAsia" w:ascii="仿宋" w:hAnsi="仿宋" w:eastAsia="仿宋" w:cs="仿宋_GB2312"/>
          <w:b/>
          <w:bCs w:val="0"/>
          <w:color w:val="auto"/>
          <w:sz w:val="32"/>
          <w:szCs w:val="32"/>
          <w:lang w:val="en-US" w:eastAsia="zh-CN"/>
        </w:rPr>
        <w:t>XJ-20210914-2</w:t>
      </w:r>
    </w:p>
    <w:p>
      <w:pPr>
        <w:spacing w:line="500" w:lineRule="exact"/>
        <w:ind w:left="2244" w:leftChars="304" w:hanging="1606" w:hangingChars="500"/>
        <w:jc w:val="both"/>
        <w:rPr>
          <w:rFonts w:hint="eastAsia" w:ascii="仿宋" w:hAnsi="仿宋" w:eastAsia="仿宋" w:cs="仿宋_GB2312"/>
          <w:b/>
          <w:bCs w:val="0"/>
          <w:color w:val="auto"/>
          <w:sz w:val="32"/>
          <w:szCs w:val="32"/>
        </w:rPr>
      </w:pPr>
      <w:r>
        <w:rPr>
          <w:rFonts w:hint="eastAsia" w:ascii="仿宋" w:hAnsi="仿宋" w:eastAsia="仿宋" w:cs="仿宋_GB2312"/>
          <w:b/>
          <w:bCs w:val="0"/>
          <w:color w:val="auto"/>
          <w:sz w:val="32"/>
          <w:szCs w:val="32"/>
        </w:rPr>
        <w:t>项目名称：</w:t>
      </w:r>
      <w:bookmarkStart w:id="0" w:name="_Toc10803"/>
      <w:r>
        <w:rPr>
          <w:rFonts w:hint="eastAsia" w:ascii="仿宋" w:hAnsi="仿宋" w:eastAsia="仿宋" w:cs="仿宋_GB2312"/>
          <w:b/>
          <w:bCs w:val="0"/>
          <w:color w:val="auto"/>
          <w:sz w:val="32"/>
          <w:szCs w:val="32"/>
          <w:lang w:val="en-US" w:eastAsia="zh-CN"/>
        </w:rPr>
        <w:t>广州市净水有限公司</w:t>
      </w:r>
      <w:r>
        <w:rPr>
          <w:rFonts w:hint="eastAsia" w:ascii="仿宋" w:hAnsi="仿宋" w:eastAsia="仿宋" w:cs="仿宋_GB2312"/>
          <w:b/>
          <w:bCs w:val="0"/>
          <w:color w:val="auto"/>
          <w:sz w:val="32"/>
          <w:szCs w:val="32"/>
        </w:rPr>
        <w:t>沥滘三期格栅智慧运维系统</w:t>
      </w:r>
    </w:p>
    <w:p>
      <w:pPr>
        <w:spacing w:line="500" w:lineRule="exact"/>
        <w:ind w:left="2234" w:leftChars="1064" w:firstLine="0" w:firstLineChars="0"/>
        <w:jc w:val="both"/>
        <w:rPr>
          <w:rFonts w:hint="eastAsia" w:ascii="仿宋" w:hAnsi="仿宋" w:eastAsia="仿宋" w:cs="仿宋_GB2312"/>
          <w:b/>
          <w:bCs w:val="0"/>
          <w:color w:val="auto"/>
          <w:sz w:val="32"/>
          <w:szCs w:val="32"/>
        </w:rPr>
      </w:pPr>
      <w:r>
        <w:rPr>
          <w:rFonts w:hint="eastAsia" w:ascii="仿宋" w:hAnsi="仿宋" w:eastAsia="仿宋" w:cs="仿宋_GB2312"/>
          <w:b/>
          <w:bCs w:val="0"/>
          <w:color w:val="auto"/>
          <w:sz w:val="32"/>
          <w:szCs w:val="32"/>
        </w:rPr>
        <w:t>项目</w:t>
      </w:r>
      <w:bookmarkEnd w:id="0"/>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发布日期：202</w:t>
      </w:r>
      <w:r>
        <w:rPr>
          <w:rFonts w:ascii="仿宋_GB2312" w:hAnsi="仿宋_GB2312" w:eastAsia="仿宋_GB2312" w:cs="仿宋_GB2312"/>
          <w:b/>
          <w:bCs/>
          <w:color w:val="000000" w:themeColor="text1"/>
          <w:sz w:val="28"/>
          <w14:textFill>
            <w14:solidFill>
              <w14:schemeClr w14:val="tx1"/>
            </w14:solidFill>
          </w14:textFill>
        </w:rPr>
        <w:t>1</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9</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14</w:t>
      </w:r>
      <w:r>
        <w:rPr>
          <w:rFonts w:hint="eastAsia"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51"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第一部分 报价邀请函</w:t>
      </w: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沥滘三期格栅智慧运维系统项目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sz w:val="28"/>
          <w:szCs w:val="28"/>
        </w:rPr>
        <w:t>企业自有资金</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XJ-20210914-2</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沥滘三期格栅智慧运维系统项目</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49.708346</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万元（人民币）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项目内容及需求：(工程概况)</w:t>
      </w:r>
    </w:p>
    <w:p>
      <w:pPr>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在沥滘净水厂选择2台格栅清污机进行试点建设，在格栅清污机棚安装摄像机、硬盘录像机设备，在监控中心部署AI分析服务器，并定制开发智能分析算法应用，经智能分析后实现安全、精细、智慧运行，并</w:t>
      </w:r>
      <w:r>
        <w:rPr>
          <w:rFonts w:hint="eastAsia" w:ascii="仿宋" w:hAnsi="仿宋" w:eastAsia="仿宋" w:cs="仿宋"/>
          <w:sz w:val="28"/>
          <w:szCs w:val="28"/>
        </w:rPr>
        <w:t>针对异常情况发出预警，结合自控系统连锁控制，预防性维护。项目主要内容及需求如下：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1.格栅设备远程控制时视频联动监控管理，实现对格栅运行状态全过程监视。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2.对格栅设备运行及环境状态安全、精细、智慧化管理，主要研发耙斗水平倾角监测分析、</w:t>
      </w:r>
      <w:r>
        <w:rPr>
          <w:rFonts w:hint="eastAsia" w:ascii="仿宋" w:hAnsi="仿宋" w:eastAsia="仿宋" w:cs="仿宋"/>
          <w:sz w:val="28"/>
          <w:szCs w:val="28"/>
        </w:rPr>
        <w:t>耙斗大件垃圾识别、垃圾占比识别等3个应用场景智能分析。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themeColor="text1"/>
          <w:sz w:val="28"/>
          <w:szCs w:val="28"/>
          <w14:textFill>
            <w14:solidFill>
              <w14:schemeClr w14:val="tx1"/>
            </w14:solidFill>
          </w14:textFill>
        </w:rPr>
        <w:t>3.基于视频监控为基础，以AI分析为核心，构建格栅智慧化运维系统，形成</w:t>
      </w:r>
      <w:r>
        <w:rPr>
          <w:rFonts w:hint="eastAsia" w:ascii="仿宋" w:hAnsi="仿宋" w:eastAsia="仿宋" w:cs="仿宋"/>
          <w:sz w:val="28"/>
          <w:szCs w:val="28"/>
        </w:rPr>
        <w:t>智能报警管控机制，支持格栅预防性维护。</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六</w:t>
      </w:r>
      <w:r>
        <w:rPr>
          <w:rFonts w:hint="eastAsia" w:ascii="仿宋_GB2312" w:hAnsi="仿宋_GB2312" w:eastAsia="仿宋_GB2312" w:cs="仿宋_GB2312"/>
          <w:color w:val="000000" w:themeColor="text1"/>
          <w:sz w:val="28"/>
          <w:szCs w:val="28"/>
          <w14:textFill>
            <w14:solidFill>
              <w14:schemeClr w14:val="tx1"/>
            </w14:solidFill>
          </w14:textFill>
        </w:rPr>
        <w:t>、报价单位资格要求：</w:t>
      </w:r>
    </w:p>
    <w:p>
      <w:pPr>
        <w:autoSpaceDE w:val="0"/>
        <w:autoSpaceDN w:val="0"/>
        <w:ind w:firstLine="560" w:firstLineChars="200"/>
        <w:rPr>
          <w:rFonts w:ascii="仿宋_GB2312" w:hAnsi="仿宋_GB2312" w:eastAsia="仿宋_GB2312" w:cs="仿宋_GB2312"/>
          <w:sz w:val="28"/>
          <w:szCs w:val="28"/>
          <w:u w:val="single"/>
          <w:lang w:val="zh-CN"/>
        </w:rPr>
      </w:pPr>
      <w:r>
        <w:rPr>
          <w:rFonts w:ascii="仿宋" w:hAnsi="仿宋" w:eastAsia="仿宋" w:cs="仿宋_GB2312"/>
          <w:color w:val="000000" w:themeColor="text1"/>
          <w:sz w:val="28"/>
          <w:szCs w:val="28"/>
          <w:u w:val="single"/>
          <w14:textFill>
            <w14:solidFill>
              <w14:schemeClr w14:val="tx1"/>
            </w14:solidFill>
          </w14:textFill>
        </w:rPr>
        <w:t>1.</w:t>
      </w:r>
      <w:r>
        <w:rPr>
          <w:rFonts w:ascii="仿宋_GB2312" w:hAnsi="仿宋_GB2312" w:eastAsia="仿宋_GB2312" w:cs="仿宋_GB2312"/>
          <w:sz w:val="28"/>
          <w:szCs w:val="28"/>
          <w:u w:val="single"/>
          <w:lang w:val="zh-CN"/>
        </w:rPr>
        <w:t>报价单位须是在中华人民共和国境内注册的独立法人或其他组织，</w:t>
      </w:r>
      <w:r>
        <w:rPr>
          <w:rFonts w:hint="eastAsia" w:ascii="仿宋_GB2312" w:hAnsi="仿宋_GB2312" w:eastAsia="仿宋_GB2312" w:cs="仿宋_GB2312"/>
          <w:sz w:val="28"/>
          <w:szCs w:val="28"/>
          <w:u w:val="single"/>
          <w:lang w:val="en-US" w:eastAsia="zh-CN"/>
        </w:rPr>
        <w:t>具有独立法人资格，</w:t>
      </w:r>
      <w:r>
        <w:rPr>
          <w:rFonts w:ascii="仿宋_GB2312" w:hAnsi="仿宋_GB2312" w:eastAsia="仿宋_GB2312" w:cs="仿宋_GB2312"/>
          <w:sz w:val="28"/>
          <w:szCs w:val="28"/>
          <w:u w:val="single"/>
          <w:lang w:val="zh-CN"/>
        </w:rPr>
        <w:t>持有工商行政管理部门核发的营业执照，且能开具增值税发票</w:t>
      </w:r>
      <w:r>
        <w:rPr>
          <w:rFonts w:hint="eastAsia" w:ascii="仿宋_GB2312" w:hAnsi="仿宋_GB2312" w:eastAsia="仿宋_GB2312" w:cs="仿宋_GB2312"/>
          <w:sz w:val="28"/>
          <w:szCs w:val="28"/>
          <w:u w:val="single"/>
          <w:lang w:val="zh-CN"/>
        </w:rPr>
        <w:t>；</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2</w:t>
      </w:r>
      <w:r>
        <w:rPr>
          <w:rFonts w:ascii="仿宋" w:hAnsi="仿宋" w:eastAsia="仿宋"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sz w:val="28"/>
          <w:szCs w:val="28"/>
          <w:u w:val="single"/>
          <w:lang w:val="zh-CN"/>
        </w:rPr>
        <w:t>报价单位</w:t>
      </w:r>
      <w:r>
        <w:rPr>
          <w:rFonts w:hint="eastAsia" w:ascii="仿宋_GB2312" w:hAnsi="仿宋_GB2312" w:eastAsia="仿宋_GB2312" w:cs="仿宋_GB2312"/>
          <w:sz w:val="28"/>
          <w:szCs w:val="28"/>
          <w:u w:val="single"/>
        </w:rPr>
        <w:t>销售业绩要求</w:t>
      </w:r>
      <w:r>
        <w:rPr>
          <w:rFonts w:hint="eastAsia" w:ascii="仿宋_GB2312" w:hAnsi="仿宋_GB2312" w:eastAsia="仿宋_GB2312" w:cs="仿宋_GB2312"/>
          <w:sz w:val="28"/>
          <w:szCs w:val="28"/>
          <w:u w:val="single"/>
          <w:lang w:val="zh-CN"/>
        </w:rPr>
        <w:t>：</w:t>
      </w:r>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r>
        <w:rPr>
          <w:rFonts w:hint="eastAsia" w:ascii="仿宋" w:hAnsi="仿宋" w:eastAsia="仿宋"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sz w:val="28"/>
          <w:szCs w:val="28"/>
          <w:u w:val="single"/>
          <w:lang w:val="zh-CN"/>
        </w:rPr>
        <w:t>最少具有</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lang w:val="zh-CN"/>
        </w:rPr>
        <w:t>项</w:t>
      </w:r>
      <w:r>
        <w:rPr>
          <w:rFonts w:hint="eastAsia" w:ascii="仿宋_GB2312" w:hAnsi="仿宋_GB2312" w:eastAsia="仿宋_GB2312" w:cs="仿宋_GB2312"/>
          <w:sz w:val="28"/>
          <w:szCs w:val="28"/>
          <w:u w:val="single"/>
          <w:lang w:val="en-US" w:eastAsia="zh-CN"/>
        </w:rPr>
        <w:t>AI图像识别技术信息系统建设</w:t>
      </w:r>
      <w:r>
        <w:rPr>
          <w:rFonts w:hint="eastAsia" w:ascii="仿宋_GB2312" w:hAnsi="仿宋_GB2312" w:eastAsia="仿宋_GB2312" w:cs="仿宋_GB2312"/>
          <w:sz w:val="28"/>
          <w:szCs w:val="28"/>
          <w:u w:val="single"/>
          <w:lang w:val="zh-CN"/>
        </w:rPr>
        <w:t>项目实施业绩（提供合同复印件证明，包括但不限于项目名称、金额及实施内容、合同双方签字盖章、签订日期，并加盖单位公章）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u w:val="single"/>
          <w:lang w:val="zh-CN"/>
          <w14:textFill>
            <w14:solidFill>
              <w14:schemeClr w14:val="tx1"/>
            </w14:solidFill>
          </w14:textFill>
        </w:rPr>
        <w:t>；</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.拟担任本工程项目负责人须具备计算机类中级</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或以上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职业资格或PMP项目管理专业资格认证（提供复印件证明，加盖单位公章）。</w:t>
      </w:r>
    </w:p>
    <w:p>
      <w:pPr>
        <w:numPr>
          <w:ilvl w:val="0"/>
          <w:numId w:val="1"/>
        </w:num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现场踏勘(答疑会)时间、地点：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w:t>
      </w:r>
      <w:r>
        <w:rPr>
          <w:rFonts w:hint="eastAsia" w:ascii="仿宋_GB2312" w:hAnsi="仿宋_GB2312" w:eastAsia="仿宋_GB2312" w:cs="仿宋_GB2312"/>
          <w:color w:val="000000" w:themeColor="text1"/>
          <w:sz w:val="28"/>
          <w:szCs w:val="28"/>
          <w14:textFill>
            <w14:solidFill>
              <w14:schemeClr w14:val="tx1"/>
            </w14:solidFill>
          </w14:textFill>
        </w:rPr>
        <w:t>项目须在提交响应文件前进行现场踏勘，未进行现场踏勘的，报价一律视为无效报价，提交报价响应文件时需附上现场踏勘委派书（需求单位及报价单位均需盖章，详见附件）。</w:t>
      </w:r>
    </w:p>
    <w:p>
      <w:pPr>
        <w:numPr>
          <w:ilvl w:val="0"/>
          <w:numId w:val="2"/>
        </w:numPr>
        <w:ind w:left="441" w:leftChars="21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现场踏勘(答疑会)集合时间：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9时30分至10时00</w:t>
      </w:r>
    </w:p>
    <w:p>
      <w:pPr>
        <w:numPr>
          <w:ilvl w:val="0"/>
          <w:numId w:val="0"/>
        </w:num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w:t>
      </w:r>
      <w:r>
        <w:rPr>
          <w:rFonts w:hint="eastAsia" w:ascii="仿宋_GB2312" w:hAnsi="仿宋_GB2312" w:eastAsia="仿宋_GB2312" w:cs="仿宋_GB2312"/>
          <w:color w:val="000000"/>
          <w:sz w:val="28"/>
          <w:szCs w:val="28"/>
          <w:highlight w:val="none"/>
          <w:u w:val="none"/>
        </w:rPr>
        <w:t>逾时不再接待。</w:t>
      </w:r>
    </w:p>
    <w:p>
      <w:pPr>
        <w:numPr>
          <w:ilvl w:val="255"/>
          <w:numId w:val="0"/>
        </w:numPr>
        <w:ind w:left="441" w:leftChars="21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现场踏勘(答疑会)集合地点：</w:t>
      </w:r>
      <w:r>
        <w:rPr>
          <w:rFonts w:hint="eastAsia" w:ascii="仿宋_GB2312" w:hAnsi="仿宋_GB2312" w:eastAsia="仿宋_GB2312" w:cs="仿宋_GB2312"/>
          <w:color w:val="000000" w:themeColor="text1"/>
          <w:kern w:val="0"/>
          <w:sz w:val="28"/>
          <w:szCs w:val="28"/>
          <w14:textFill>
            <w14:solidFill>
              <w14:schemeClr w14:val="tx1"/>
            </w14:solidFill>
          </w14:textFill>
        </w:rPr>
        <w:t>广州市海珠区南洲路1375号</w:t>
      </w:r>
      <w:r>
        <w:rPr>
          <w:rFonts w:hint="eastAsia" w:ascii="仿宋_GB2312" w:hAnsi="仿宋_GB2312" w:eastAsia="仿宋_GB2312" w:cs="仿宋_GB2312"/>
          <w:color w:val="000000" w:themeColor="text1"/>
          <w:sz w:val="28"/>
          <w:szCs w:val="28"/>
          <w14:textFill>
            <w14:solidFill>
              <w14:schemeClr w14:val="tx1"/>
            </w14:solidFill>
          </w14:textFill>
        </w:rPr>
        <w:t>广州市净水</w:t>
      </w:r>
    </w:p>
    <w:p>
      <w:pPr>
        <w:numPr>
          <w:ilvl w:val="255"/>
          <w:numId w:val="0"/>
        </w:numPr>
        <w:ind w:left="0" w:leftChars="0" w:firstLine="0" w:firstLineChars="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有限公司沥滘分公司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numPr>
          <w:ilvl w:val="0"/>
          <w:numId w:val="1"/>
        </w:numPr>
        <w:ind w:left="0" w:leftChars="0"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询价文件的获取：</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hint="eastAsia" w:ascii="仿宋_GB2312" w:hAnsi="仿宋_GB2312" w:eastAsia="仿宋_GB2312" w:cs="仿宋_GB2312"/>
          <w:color w:val="000000" w:themeColor="text1"/>
          <w:sz w:val="28"/>
          <w:szCs w:val="28"/>
          <w:highlight w:val="none"/>
          <w14:textFill>
            <w14:solidFill>
              <w14:schemeClr w14:val="tx1"/>
            </w14:solidFill>
          </w14:textFill>
        </w:rPr>
        <w:t>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r>
        <w:rPr>
          <w:rFonts w:hint="eastAsia" w:ascii="仿宋_GB2312" w:hAnsi="仿宋_GB2312" w:eastAsia="仿宋_GB2312" w:cs="仿宋_GB2312"/>
          <w:color w:val="auto"/>
          <w:sz w:val="28"/>
          <w:szCs w:val="28"/>
          <w:u w:val="none"/>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w:t>
      </w:r>
      <w:r>
        <w:rPr>
          <w:rFonts w:hint="eastAsia" w:ascii="仿宋" w:hAnsi="仿宋" w:eastAsia="仿宋" w:cs="仿宋_GB2312"/>
          <w:sz w:val="28"/>
          <w:szCs w:val="28"/>
        </w:rPr>
        <w:t>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六楼招标办</w:t>
      </w:r>
    </w:p>
    <w:p>
      <w:pPr>
        <w:spacing w:line="360" w:lineRule="auto"/>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询价</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snapToGrid w:val="0"/>
        <w:spacing w:line="360" w:lineRule="auto"/>
        <w:ind w:firstLine="630" w:firstLineChars="225"/>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p>
    <w:p>
      <w:pPr>
        <w:snapToGrid w:val="0"/>
        <w:spacing w:line="360" w:lineRule="auto"/>
        <w:ind w:left="0" w:leftChars="0" w:firstLine="630" w:firstLineChars="225"/>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黄工</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联系方式：</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020-62315524</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p>
    <w:p>
      <w:pPr>
        <w:snapToGrid w:val="0"/>
        <w:spacing w:line="360" w:lineRule="auto"/>
        <w:ind w:left="0" w:leftChars="0" w:firstLine="0" w:firstLineChars="0"/>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p>
    <w:p>
      <w:pPr>
        <w:ind w:firstLine="6300" w:firstLineChars="2250"/>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ind w:firstLine="6440" w:firstLineChars="230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p>
    <w:p>
      <w:pPr>
        <w:spacing w:line="480" w:lineRule="auto"/>
        <w:rPr>
          <w:rFonts w:ascii="仿宋_GB2312" w:hAnsi="仿宋_GB2312" w:eastAsia="仿宋_GB2312" w:cs="仿宋_GB2312"/>
          <w:sz w:val="28"/>
          <w:szCs w:val="28"/>
        </w:rPr>
      </w:pPr>
    </w:p>
    <w:p>
      <w:pPr>
        <w:spacing w:line="480" w:lineRule="auto"/>
        <w:rPr>
          <w:rFonts w:ascii="仿宋_GB2312" w:hAnsi="仿宋_GB2312" w:eastAsia="仿宋_GB2312" w:cs="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致：广州市净水有限公司</w:t>
      </w:r>
      <w:r>
        <w:rPr>
          <w:rFonts w:hint="eastAsia" w:ascii="仿宋_GB2312" w:hAnsi="仿宋_GB2312" w:eastAsia="仿宋_GB2312" w:cs="仿宋_GB2312"/>
          <w:sz w:val="28"/>
          <w:szCs w:val="28"/>
          <w:lang w:val="en-US" w:eastAsia="zh-CN"/>
        </w:rPr>
        <w:t>沥滘分公司</w:t>
      </w:r>
    </w:p>
    <w:p>
      <w:pPr>
        <w:spacing w:line="360" w:lineRule="auto"/>
        <w:rPr>
          <w:rFonts w:ascii="仿宋_GB2312" w:hAnsi="仿宋_GB2312" w:eastAsia="仿宋_GB2312" w:cs="仿宋_GB2312"/>
          <w:b/>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我公司（单位）</w:t>
      </w:r>
      <w:r>
        <w:rPr>
          <w:rFonts w:hint="eastAsia" w:ascii="仿宋_GB2312" w:hAnsi="仿宋_GB2312" w:eastAsia="仿宋_GB2312" w:cs="仿宋_GB2312"/>
          <w:sz w:val="28"/>
          <w:szCs w:val="28"/>
          <w:u w:val="single"/>
        </w:rPr>
        <w:t xml:space="preserve">  （报价单位名称）</w:t>
      </w:r>
      <w:r>
        <w:rPr>
          <w:rFonts w:hint="eastAsia" w:ascii="仿宋_GB2312" w:hAnsi="仿宋_GB2312" w:eastAsia="仿宋_GB2312" w:cs="仿宋_GB2312"/>
          <w:sz w:val="28"/>
          <w:szCs w:val="28"/>
        </w:rPr>
        <w:t>现委派</w:t>
      </w:r>
      <w:r>
        <w:rPr>
          <w:rFonts w:hint="eastAsia" w:ascii="仿宋_GB2312" w:hAnsi="仿宋_GB2312" w:eastAsia="仿宋_GB2312" w:cs="仿宋_GB2312"/>
          <w:i/>
          <w:sz w:val="28"/>
          <w:szCs w:val="28"/>
          <w:u w:val="single"/>
        </w:rPr>
        <w:t xml:space="preserve">（姓名、职务、身份证号）    </w:t>
      </w:r>
      <w:r>
        <w:rPr>
          <w:rFonts w:hint="eastAsia" w:ascii="仿宋_GB2312" w:hAnsi="仿宋_GB2312" w:eastAsia="仿宋_GB2312" w:cs="仿宋_GB2312"/>
          <w:sz w:val="28"/>
          <w:szCs w:val="28"/>
        </w:rPr>
        <w:t>处理本项目</w:t>
      </w:r>
      <w:r>
        <w:rPr>
          <w:rFonts w:hint="eastAsia" w:ascii="仿宋_GB2312" w:hAnsi="仿宋_GB2312" w:eastAsia="仿宋_GB2312" w:cs="仿宋_GB2312"/>
          <w:color w:val="000000" w:themeColor="text1"/>
          <w:sz w:val="28"/>
          <w:szCs w:val="28"/>
          <w:u w:val="single"/>
          <w14:textFill>
            <w14:solidFill>
              <w14:schemeClr w14:val="tx1"/>
            </w14:solidFill>
          </w14:textFill>
        </w:rPr>
        <w:t>沥滘三期格栅智慧运维系统项目</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的现场踏勘事宜。</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（注：1.</w:t>
      </w:r>
      <w:r>
        <w:rPr>
          <w:rFonts w:hint="eastAsia" w:ascii="仿宋_GB2312" w:hAnsi="仿宋_GB2312" w:eastAsia="仿宋_GB2312" w:cs="仿宋_GB2312"/>
          <w:sz w:val="28"/>
          <w:szCs w:val="28"/>
          <w:lang w:val="en-US" w:eastAsia="zh-CN"/>
        </w:rPr>
        <w:t>报价单位踏勘人员</w:t>
      </w:r>
      <w:r>
        <w:rPr>
          <w:rFonts w:hint="eastAsia" w:ascii="仿宋_GB2312" w:hAnsi="仿宋_GB2312" w:eastAsia="仿宋_GB2312" w:cs="仿宋_GB2312"/>
          <w:sz w:val="28"/>
          <w:szCs w:val="28"/>
        </w:rPr>
        <w:t>必须</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绿码且</w:t>
      </w:r>
      <w:r>
        <w:rPr>
          <w:rFonts w:hint="eastAsia" w:ascii="仿宋_GB2312" w:hAnsi="仿宋_GB2312" w:eastAsia="仿宋_GB2312" w:cs="仿宋_GB2312"/>
          <w:sz w:val="28"/>
          <w:szCs w:val="28"/>
          <w:lang w:val="en-US" w:eastAsia="zh-CN"/>
        </w:rPr>
        <w:t>未</w:t>
      </w:r>
      <w:r>
        <w:rPr>
          <w:rFonts w:hint="eastAsia" w:ascii="仿宋_GB2312" w:hAnsi="仿宋_GB2312" w:eastAsia="仿宋_GB2312" w:cs="仿宋_GB2312"/>
          <w:sz w:val="28"/>
          <w:szCs w:val="28"/>
        </w:rPr>
        <w:t>去过中高风险</w:t>
      </w:r>
      <w:r>
        <w:rPr>
          <w:rFonts w:hint="eastAsia" w:ascii="仿宋_GB2312" w:hAnsi="仿宋_GB2312" w:eastAsia="仿宋_GB2312" w:cs="仿宋_GB2312"/>
          <w:sz w:val="28"/>
          <w:szCs w:val="28"/>
          <w:lang w:val="en-US" w:eastAsia="zh-CN"/>
        </w:rPr>
        <w:t>地区；</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若已</w:t>
      </w:r>
      <w:r>
        <w:rPr>
          <w:rFonts w:hint="eastAsia" w:ascii="仿宋_GB2312" w:hAnsi="仿宋_GB2312" w:eastAsia="仿宋_GB2312" w:cs="仿宋_GB2312"/>
          <w:sz w:val="28"/>
          <w:szCs w:val="28"/>
        </w:rPr>
        <w:t>离穗</w:t>
      </w:r>
      <w:r>
        <w:rPr>
          <w:rFonts w:hint="eastAsia" w:ascii="仿宋_GB2312" w:hAnsi="仿宋_GB2312" w:eastAsia="仿宋_GB2312" w:cs="仿宋_GB2312"/>
          <w:sz w:val="28"/>
          <w:szCs w:val="28"/>
          <w:lang w:val="en-US" w:eastAsia="zh-CN"/>
        </w:rPr>
        <w:t>但未</w:t>
      </w:r>
      <w:r>
        <w:rPr>
          <w:rFonts w:hint="eastAsia" w:ascii="仿宋_GB2312" w:hAnsi="仿宋_GB2312" w:eastAsia="仿宋_GB2312" w:cs="仿宋_GB2312"/>
          <w:sz w:val="28"/>
          <w:szCs w:val="28"/>
        </w:rPr>
        <w:t>去中高风险地区，</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提供48小时内核酸</w:t>
      </w:r>
      <w:r>
        <w:rPr>
          <w:rFonts w:hint="eastAsia" w:ascii="仿宋_GB2312" w:hAnsi="仿宋_GB2312" w:eastAsia="仿宋_GB2312" w:cs="仿宋_GB2312"/>
          <w:sz w:val="28"/>
          <w:szCs w:val="28"/>
          <w:lang w:val="en-US" w:eastAsia="zh-CN"/>
        </w:rPr>
        <w:t>检测阴性证明；</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未</w:t>
      </w:r>
      <w:r>
        <w:rPr>
          <w:rFonts w:hint="eastAsia" w:ascii="仿宋_GB2312" w:hAnsi="仿宋_GB2312" w:eastAsia="仿宋_GB2312" w:cs="仿宋_GB2312"/>
          <w:sz w:val="28"/>
          <w:szCs w:val="28"/>
        </w:rPr>
        <w:t>离穗</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14日内</w:t>
      </w:r>
      <w:r>
        <w:rPr>
          <w:rFonts w:hint="eastAsia" w:ascii="仿宋_GB2312" w:hAnsi="仿宋_GB2312" w:eastAsia="仿宋_GB2312" w:cs="仿宋_GB2312"/>
          <w:sz w:val="28"/>
          <w:szCs w:val="28"/>
        </w:rPr>
        <w:t>行程码</w:t>
      </w:r>
      <w:r>
        <w:rPr>
          <w:rFonts w:hint="eastAsia" w:ascii="仿宋_GB2312" w:hAnsi="仿宋_GB2312" w:eastAsia="仿宋_GB2312" w:cs="仿宋_GB2312"/>
          <w:sz w:val="28"/>
          <w:szCs w:val="28"/>
          <w:lang w:val="en-US" w:eastAsia="zh-CN"/>
        </w:rPr>
        <w:t>即可</w:t>
      </w:r>
      <w:bookmarkStart w:id="35" w:name="_GoBack"/>
      <w:bookmarkEnd w:id="35"/>
      <w:r>
        <w:rPr>
          <w:rFonts w:hint="eastAsia" w:ascii="仿宋_GB2312" w:hAnsi="仿宋_GB2312" w:eastAsia="仿宋_GB2312" w:cs="仿宋_GB2312"/>
          <w:sz w:val="28"/>
          <w:szCs w:val="28"/>
        </w:rPr>
        <w:t>）</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Style w:val="2"/>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报价单位法定代表人（或法定授权代表）签字：</w:t>
      </w:r>
    </w:p>
    <w:p>
      <w:pPr>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2"/>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沥滘分公司（盖章）</w:t>
            </w:r>
          </w:p>
          <w:p>
            <w:pPr>
              <w:spacing w:line="360" w:lineRule="auto"/>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经办人：龙工</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020-</w:t>
            </w:r>
            <w:r>
              <w:rPr>
                <w:rFonts w:hint="eastAsia" w:ascii="仿宋_GB2312" w:hAnsi="仿宋_GB2312" w:eastAsia="仿宋_GB2312" w:cs="仿宋_GB2312"/>
                <w:sz w:val="28"/>
                <w:szCs w:val="28"/>
              </w:rPr>
              <w:t>34060317</w:t>
            </w:r>
          </w:p>
        </w:tc>
      </w:tr>
    </w:tbl>
    <w:p>
      <w:pPr>
        <w:pStyle w:val="2"/>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第二部分 项目内容</w:t>
      </w:r>
    </w:p>
    <w:p>
      <w:pPr>
        <w:pStyle w:val="4"/>
        <w:rPr>
          <w:rFonts w:hint="default" w:ascii="仿宋_GB2312" w:hAnsi="仿宋_GB2312" w:eastAsia="仿宋_GB2312" w:cs="仿宋_GB2312"/>
          <w:color w:val="auto"/>
          <w:lang w:val="en-US" w:eastAsia="zh-CN"/>
        </w:rPr>
      </w:pPr>
      <w:bookmarkStart w:id="1" w:name="_Toc2260_WPSOffice_Level2"/>
      <w:r>
        <w:rPr>
          <w:rFonts w:hint="eastAsia" w:ascii="仿宋_GB2312" w:hAnsi="仿宋_GB2312" w:eastAsia="仿宋_GB2312" w:cs="仿宋_GB2312"/>
          <w:color w:val="auto"/>
        </w:rPr>
        <w:t>一、</w:t>
      </w:r>
      <w:bookmarkEnd w:id="1"/>
      <w:r>
        <w:rPr>
          <w:rFonts w:hint="eastAsia" w:ascii="仿宋_GB2312" w:hAnsi="仿宋_GB2312" w:eastAsia="仿宋_GB2312" w:cs="仿宋_GB2312"/>
          <w:color w:val="auto"/>
          <w:lang w:val="en-US" w:eastAsia="zh-CN"/>
        </w:rPr>
        <w:t>项目总览</w:t>
      </w:r>
    </w:p>
    <w:p>
      <w:pPr>
        <w:pStyle w:val="5"/>
        <w:jc w:val="left"/>
        <w:rPr>
          <w:rFonts w:hint="default" w:ascii="仿宋_GB2312" w:hAnsi="仿宋_GB2312" w:eastAsia="仿宋_GB2312" w:cs="仿宋_GB2312"/>
          <w:color w:val="auto"/>
          <w:sz w:val="28"/>
          <w:szCs w:val="28"/>
          <w:lang w:val="en-US" w:eastAsia="zh-CN"/>
        </w:rPr>
      </w:pPr>
      <w:bookmarkStart w:id="2" w:name="_Toc17623_WPSOffice_Level3"/>
      <w:r>
        <w:rPr>
          <w:rFonts w:hint="eastAsia" w:ascii="仿宋_GB2312" w:hAnsi="仿宋_GB2312" w:eastAsia="仿宋_GB2312" w:cs="仿宋_GB2312"/>
          <w:color w:val="auto"/>
          <w:sz w:val="28"/>
          <w:szCs w:val="28"/>
        </w:rPr>
        <w:t>（一）</w:t>
      </w:r>
      <w:bookmarkEnd w:id="2"/>
      <w:r>
        <w:rPr>
          <w:rFonts w:hint="eastAsia" w:ascii="仿宋_GB2312" w:hAnsi="仿宋_GB2312" w:eastAsia="仿宋_GB2312" w:cs="仿宋_GB2312"/>
          <w:b/>
          <w:color w:val="000000" w:themeColor="text1"/>
          <w:sz w:val="28"/>
          <w:szCs w:val="28"/>
          <w:lang w:val="zh-CN"/>
          <w14:textFill>
            <w14:solidFill>
              <w14:schemeClr w14:val="tx1"/>
            </w14:solidFill>
          </w14:textFill>
        </w:rPr>
        <w:t>项目情况介绍</w:t>
      </w:r>
    </w:p>
    <w:p>
      <w:pPr>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格栅清污机是一种可以连续自动拦截并清除流体中各种形状杂物的水处理专用设备，按照净水厂的工艺处理流程，格栅清污机按格栅过滤尺寸可分为“粗格栅”和“细格栅”两种，可对水体中常见的各种垃圾进行阻隔和清理。沥滘净水厂</w:t>
      </w:r>
      <w:r>
        <w:rPr>
          <w:rFonts w:hint="eastAsia" w:ascii="仿宋" w:hAnsi="仿宋" w:eastAsia="仿宋" w:cs="仿宋"/>
          <w:color w:val="000000" w:themeColor="text1"/>
          <w:sz w:val="28"/>
          <w:szCs w:val="28"/>
          <w14:textFill>
            <w14:solidFill>
              <w14:schemeClr w14:val="tx1"/>
            </w14:solidFill>
          </w14:textFill>
        </w:rPr>
        <w:t>三期</w:t>
      </w:r>
      <w:r>
        <w:rPr>
          <w:rFonts w:hint="eastAsia" w:ascii="仿宋" w:hAnsi="仿宋" w:eastAsia="仿宋" w:cs="仿宋"/>
          <w:color w:val="000000" w:themeColor="text1"/>
          <w:sz w:val="28"/>
          <w:szCs w:val="28"/>
          <w:lang w:val="zh-CN"/>
          <w14:textFill>
            <w14:solidFill>
              <w14:schemeClr w14:val="tx1"/>
            </w14:solidFill>
          </w14:textFill>
        </w:rPr>
        <w:t>现有配置钢丝绳牵引式粗格栅清污机</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zh-CN"/>
          <w14:textFill>
            <w14:solidFill>
              <w14:schemeClr w14:val="tx1"/>
            </w14:solidFill>
          </w14:textFill>
        </w:rPr>
        <w:t>台，细格栅6台，其作为污水处理的第一道工艺，主要是去除污水体积较大的固体垃圾，如木头、塑料袋等。格栅清污机在日常运行过程中，常因垃圾卡住甚至卡死的情况造成设备损伤甚至故障停运，例如栅条被垃圾卡死、耙斗被垃圾顶歪、牵引钢丝绳或链条因卡顿或卡死应力断股或断绳、格栅底板破裂、电动机因卡死而过载发热等情形，故障情况会影响净水厂的日常生产。</w:t>
      </w:r>
    </w:p>
    <w:p>
      <w:pPr>
        <w:pStyle w:val="5"/>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000000" w:themeColor="text1"/>
          <w:sz w:val="28"/>
          <w:szCs w:val="28"/>
          <w:lang w:val="zh-CN"/>
          <w14:textFill>
            <w14:solidFill>
              <w14:schemeClr w14:val="tx1"/>
            </w14:solidFill>
          </w14:textFill>
        </w:rPr>
        <w:t>项目技术、内容要求</w:t>
      </w:r>
    </w:p>
    <w:p>
      <w:pPr>
        <w:pStyle w:val="2"/>
        <w:rPr>
          <w:rFonts w:hint="eastAsia"/>
          <w:lang w:val="zh-CN"/>
        </w:rPr>
      </w:pPr>
    </w:p>
    <w:p>
      <w:pPr>
        <w:spacing w:after="240" w:line="36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根据沥滘污水处理厂的实际需求，总体设计以AI技术为主，秉承“先进性与适用性、成熟性与实用性、开放性、集成性和可扩展性、标准化和模块化、安全性和可靠性”的</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zh-CN"/>
          <w14:textFill>
            <w14:solidFill>
              <w14:schemeClr w14:val="tx1"/>
            </w14:solidFill>
          </w14:textFill>
        </w:rPr>
        <w:t>进行设计：</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3" w:name="_Toc29160"/>
      <w:r>
        <w:rPr>
          <w:rFonts w:hint="eastAsia" w:ascii="仿宋" w:hAnsi="仿宋" w:eastAsia="仿宋" w:cs="仿宋"/>
          <w:b/>
          <w:bCs/>
          <w:color w:val="auto"/>
          <w:sz w:val="28"/>
          <w:szCs w:val="28"/>
          <w:lang w:val="en-US" w:eastAsia="zh-CN"/>
        </w:rPr>
        <w:t>1.系统技术架构</w:t>
      </w:r>
      <w:bookmarkEnd w:id="3"/>
    </w:p>
    <w:p>
      <w:pPr>
        <w:spacing w:after="240" w:line="36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在沥滘净水厂选择2台格栅清污机进行试点建设，在格栅清污机棚安装摄像机、硬盘录像机设备，在监控中心部署AI分析服务器，并定制开发智能分析算法应用，经智能分析后实现安全、精细、智慧运行，并针对异常情况发出预警，结合自控系统连锁控制，预防性维护。系统架构如图1所示：</w:t>
      </w:r>
    </w:p>
    <w:p>
      <w:pPr>
        <w:adjustRightInd w:val="0"/>
        <w:snapToGrid w:val="0"/>
        <w:spacing w:line="360" w:lineRule="auto"/>
        <w:jc w:val="center"/>
        <w:rPr>
          <w:rFonts w:ascii="宋体" w:hAnsi="宋体" w:cs="宋体"/>
        </w:rPr>
      </w:pPr>
      <w:r>
        <w:rPr>
          <w:rFonts w:hint="eastAsia" w:ascii="宋体" w:hAnsi="宋体" w:cs="宋体"/>
        </w:rPr>
        <w:drawing>
          <wp:inline distT="0" distB="0" distL="114300" distR="114300">
            <wp:extent cx="4377690" cy="3496945"/>
            <wp:effectExtent l="0" t="0" r="3810" b="8255"/>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6"/>
                    <a:stretch>
                      <a:fillRect/>
                    </a:stretch>
                  </pic:blipFill>
                  <pic:spPr>
                    <a:xfrm>
                      <a:off x="0" y="0"/>
                      <a:ext cx="4377690" cy="3496945"/>
                    </a:xfrm>
                    <a:prstGeom prst="rect">
                      <a:avLst/>
                    </a:prstGeom>
                    <a:noFill/>
                    <a:ln>
                      <a:noFill/>
                    </a:ln>
                  </pic:spPr>
                </pic:pic>
              </a:graphicData>
            </a:graphic>
          </wp:inline>
        </w:drawing>
      </w:r>
    </w:p>
    <w:p>
      <w:pPr>
        <w:pStyle w:val="2"/>
        <w:adjustRightInd w:val="0"/>
        <w:snapToGrid w:val="0"/>
        <w:spacing w:line="360" w:lineRule="auto"/>
        <w:ind w:firstLine="3780" w:firstLineChars="1800"/>
        <w:jc w:val="both"/>
        <w:rPr>
          <w:rFonts w:hint="eastAsia" w:ascii="仿宋" w:hAnsi="仿宋" w:eastAsia="仿宋" w:cs="仿宋"/>
          <w:sz w:val="21"/>
          <w:szCs w:val="21"/>
        </w:rPr>
      </w:pPr>
      <w:r>
        <w:rPr>
          <w:rFonts w:hint="eastAsia" w:ascii="仿宋" w:hAnsi="仿宋" w:eastAsia="仿宋" w:cs="仿宋"/>
          <w:sz w:val="21"/>
          <w:szCs w:val="21"/>
        </w:rPr>
        <w:t>图 1 系统架构图</w:t>
      </w:r>
    </w:p>
    <w:p>
      <w:pPr>
        <w:spacing w:after="240" w:line="36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（1）摄像机像素要求1080P，并支持RTSP/RTMP协议，以预置位轮询的方式对格栅清污机的外观检查点进行逐个轮询和拍照，并支持控制联动查询视频信息。</w:t>
      </w:r>
    </w:p>
    <w:p>
      <w:pPr>
        <w:spacing w:after="240" w:line="36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（2）硬盘录像机可对摄像头视频进行7</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24小时录像，并将图像信息上送到AI分析服务器。</w:t>
      </w:r>
    </w:p>
    <w:p>
      <w:pPr>
        <w:spacing w:after="240" w:line="36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（3）AI分析服务器部署在监控中心机房内，可运行智能分析算法，通过图像信息对格栅机工作状况进行智能判断，异常情况自动输出报警。</w:t>
      </w:r>
    </w:p>
    <w:p>
      <w:pPr>
        <w:spacing w:after="240"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（4）AI分析服务器可输出异常报警接口信息，供自动化控制系统（中控）接口接入，并构建连锁控制机制。</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en-US" w:eastAsia="zh-CN"/>
        </w:rPr>
        <w:t>2.系统网络架构要求</w:t>
      </w:r>
    </w:p>
    <w:p>
      <w:pPr>
        <w:pStyle w:val="2"/>
        <w:numPr>
          <w:ilvl w:val="0"/>
          <w:numId w:val="0"/>
        </w:numPr>
        <w:spacing w:after="240" w:line="360" w:lineRule="auto"/>
        <w:ind w:firstLine="560" w:firstLineChars="200"/>
        <w:jc w:val="left"/>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 xml:space="preserve"> 系统网络架构要满足净水厂网络等级保护 ，特别是涉及到相关厂区自控系统网络安全管理要求，系统网络架构图如图2所示：</w:t>
      </w:r>
    </w:p>
    <w:p>
      <w:pPr>
        <w:pStyle w:val="2"/>
        <w:numPr>
          <w:ilvl w:val="0"/>
          <w:numId w:val="0"/>
        </w:numPr>
        <w:spacing w:after="240" w:line="360" w:lineRule="auto"/>
        <w:ind w:left="280"/>
        <w:jc w:val="both"/>
        <w:rPr>
          <w:lang w:val="zh-CN"/>
        </w:rPr>
      </w:pPr>
      <w:r>
        <w:drawing>
          <wp:inline distT="0" distB="0" distL="114300" distR="114300">
            <wp:extent cx="5681980" cy="2912745"/>
            <wp:effectExtent l="0" t="0" r="13970" b="190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7" cstate="print"/>
                    <a:stretch>
                      <a:fillRect/>
                    </a:stretch>
                  </pic:blipFill>
                  <pic:spPr>
                    <a:xfrm>
                      <a:off x="0" y="0"/>
                      <a:ext cx="5681980" cy="2912745"/>
                    </a:xfrm>
                    <a:prstGeom prst="rect">
                      <a:avLst/>
                    </a:prstGeom>
                    <a:noFill/>
                    <a:ln w="9525">
                      <a:noFill/>
                    </a:ln>
                  </pic:spPr>
                </pic:pic>
              </a:graphicData>
            </a:graphic>
          </wp:inline>
        </w:drawing>
      </w:r>
    </w:p>
    <w:p>
      <w:pPr>
        <w:pStyle w:val="2"/>
        <w:numPr>
          <w:ilvl w:val="0"/>
          <w:numId w:val="0"/>
        </w:numPr>
        <w:spacing w:after="240" w:line="360" w:lineRule="auto"/>
        <w:ind w:left="280"/>
        <w:jc w:val="center"/>
        <w:rPr>
          <w:rFonts w:hint="eastAsia" w:ascii="仿宋" w:hAnsi="仿宋" w:eastAsia="仿宋" w:cs="仿宋"/>
          <w:sz w:val="21"/>
          <w:szCs w:val="21"/>
          <w:lang w:val="zh-CN"/>
        </w:rPr>
      </w:pPr>
      <w:r>
        <w:rPr>
          <w:rFonts w:hint="eastAsia" w:ascii="仿宋" w:hAnsi="仿宋" w:eastAsia="仿宋" w:cs="仿宋"/>
          <w:sz w:val="21"/>
          <w:szCs w:val="21"/>
          <w:lang w:val="zh-CN"/>
        </w:rPr>
        <w:t>图2 网络架构图</w:t>
      </w:r>
    </w:p>
    <w:p>
      <w:pPr>
        <w:spacing w:after="240"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（1）如图2所示，格栅智慧运维系统的数据流的采集、传输、处理、存储可独立于现有网络，AI分析服务器处理后的视频、图片数据统一存储于NAS，由AI监控客户端进行管理；</w:t>
      </w:r>
    </w:p>
    <w:p>
      <w:pPr>
        <w:spacing w:after="240"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（2）格栅智慧运维系统物理上与工控网、广域网隔离，摄像头监测数据直接后送分析服务器（图中未画出交换机、路由器、网桥等网络设备）；</w:t>
      </w:r>
    </w:p>
    <w:p>
      <w:pPr>
        <w:spacing w:after="240"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（3）格栅智慧运维系统与中控通过网闸进行物理隔离，AI分析服务器仅与中控进行状态信号传输,实现单向数据传输;</w:t>
      </w:r>
    </w:p>
    <w:p>
      <w:pPr>
        <w:spacing w:after="240"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（4）办公网内的设置数据服务器，通过应用网关防火墙获取格栅智慧运维系统的部分数据，并可调取NAS中的视频数据，用于数据可视化展示，其他展示终端可通过数据服务器了解格栅智慧运维系统工作状态。</w:t>
      </w:r>
    </w:p>
    <w:p>
      <w:pPr>
        <w:spacing w:after="240" w:line="360" w:lineRule="auto"/>
        <w:ind w:firstLine="560" w:firstLineChars="200"/>
        <w:jc w:val="left"/>
        <w:rPr>
          <w:rFonts w:asciiTheme="minorEastAsia" w:hAnsiTheme="minorEastAsia" w:eastAsiaTheme="minorEastAsia" w:cstheme="minorEastAsia"/>
          <w:sz w:val="28"/>
          <w:szCs w:val="28"/>
        </w:rPr>
      </w:pPr>
      <w:r>
        <w:rPr>
          <w:rFonts w:hint="eastAsia" w:ascii="仿宋_GB2312" w:hAnsi="仿宋_GB2312" w:eastAsia="仿宋_GB2312" w:cs="仿宋_GB2312"/>
          <w:color w:val="000000" w:themeColor="text1"/>
          <w:sz w:val="28"/>
          <w:szCs w:val="28"/>
          <w:lang w:val="zh-CN"/>
          <w14:textFill>
            <w14:solidFill>
              <w14:schemeClr w14:val="tx1"/>
            </w14:solidFill>
          </w14:textFill>
        </w:rPr>
        <w:t>系统组网要求包括但不限于以上技术要求，须充分满足我方网络安全管控需求，并在本项目配置相应的网络设备确保运行安全。</w:t>
      </w:r>
    </w:p>
    <w:p>
      <w:pPr>
        <w:pStyle w:val="50"/>
        <w:snapToGrid w:val="0"/>
        <w:spacing w:line="560" w:lineRule="exact"/>
        <w:ind w:left="560"/>
        <w:contextualSpacing w:val="0"/>
        <w:rPr>
          <w:rFonts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4" w:name="_Toc31656"/>
      <w:r>
        <w:rPr>
          <w:rFonts w:hint="eastAsia" w:ascii="仿宋" w:hAnsi="仿宋" w:eastAsia="仿宋" w:cs="仿宋"/>
          <w:b/>
          <w:bCs/>
          <w:color w:val="auto"/>
          <w:sz w:val="28"/>
          <w:szCs w:val="28"/>
          <w:lang w:val="en-US" w:eastAsia="zh-CN"/>
        </w:rPr>
        <w:t>3.AI技术指标内容要求</w:t>
      </w:r>
      <w:bookmarkEnd w:id="4"/>
    </w:p>
    <w:p>
      <w:pPr>
        <w:spacing w:after="240" w:line="360" w:lineRule="auto"/>
        <w:ind w:firstLine="560" w:firstLineChars="20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基于格栅设备实际生产运行情况，为验证识别监测的有效性和可靠性，可采用仿真模型等技术手段支持试验验证系统AI技术建设指标。</w:t>
      </w:r>
    </w:p>
    <w:tbl>
      <w:tblPr>
        <w:tblStyle w:val="25"/>
        <w:tblW w:w="45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346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06" w:type="pct"/>
            <w:shd w:val="clear" w:color="auto" w:fill="D8D8D8"/>
            <w:vAlign w:val="center"/>
          </w:tcPr>
          <w:p>
            <w:pPr>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技术内容</w:t>
            </w:r>
          </w:p>
        </w:tc>
        <w:tc>
          <w:tcPr>
            <w:tcW w:w="1996" w:type="pct"/>
            <w:shd w:val="clear" w:color="auto" w:fill="D8D8D8"/>
            <w:vAlign w:val="center"/>
          </w:tcPr>
          <w:p>
            <w:pPr>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算法方案描述</w:t>
            </w:r>
          </w:p>
        </w:tc>
        <w:tc>
          <w:tcPr>
            <w:tcW w:w="1996" w:type="pct"/>
            <w:shd w:val="clear" w:color="auto" w:fill="D8D8D8"/>
          </w:tcPr>
          <w:p>
            <w:pPr>
              <w:snapToGrid w:val="0"/>
              <w:jc w:val="center"/>
              <w:rPr>
                <w:rFonts w:hint="eastAsia" w:ascii="仿宋" w:hAnsi="仿宋" w:eastAsia="仿宋" w:cs="仿宋"/>
                <w:b/>
                <w:bCs/>
                <w:color w:val="000000"/>
                <w:kern w:val="0"/>
                <w:sz w:val="21"/>
                <w:szCs w:val="21"/>
              </w:rPr>
            </w:pPr>
            <w:r>
              <w:rPr>
                <w:rFonts w:hint="eastAsia" w:ascii="仿宋" w:hAnsi="仿宋" w:eastAsia="仿宋" w:cs="仿宋"/>
                <w:b/>
                <w:bCs/>
                <w:kern w:val="0"/>
                <w:sz w:val="21"/>
                <w:szCs w:val="21"/>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1006" w:type="pct"/>
            <w:vAlign w:val="center"/>
          </w:tcPr>
          <w:p>
            <w:pPr>
              <w:spacing w:after="240" w:line="360" w:lineRule="auto"/>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耙斗倾斜检测</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通过视频监控自动分析计算耙斗与水平线的倾斜度，来间接判断耙斗是否异常，异常报警可传送到中控系统，由中控系统对电机停机处理，待人工检查耙斗异常。</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倾斜角精度±15°</w:t>
            </w:r>
          </w:p>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报警时延：读取视频即时分析，延时长不大于500ms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06" w:type="pct"/>
            <w:vAlign w:val="center"/>
          </w:tcPr>
          <w:p>
            <w:pPr>
              <w:spacing w:after="240" w:line="360" w:lineRule="auto"/>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垃圾占比识别</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对监测前池液面上的垃圾进行识别，并计算其占比情况，当场景内垃圾数量占比达到预设阈值，会自动触发报警，提醒运行。</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报警准确率≥85%</w:t>
            </w:r>
          </w:p>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报警时延：读取视频即时分析，延时长不大于500ms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1006" w:type="pct"/>
            <w:vAlign w:val="center"/>
          </w:tcPr>
          <w:p>
            <w:pPr>
              <w:spacing w:after="240" w:line="360" w:lineRule="auto"/>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耙斗大件垃圾检测</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出现大件垃圾，导致耙斗卡主，无法正常工作，通过视频监控实时发现大件垃圾，输出告警提示，进行人工干预，做好提前处理。</w:t>
            </w:r>
          </w:p>
        </w:tc>
        <w:tc>
          <w:tcPr>
            <w:tcW w:w="1996" w:type="pct"/>
            <w:vAlign w:val="center"/>
          </w:tcPr>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报警准确率≥85%</w:t>
            </w:r>
          </w:p>
          <w:p>
            <w:pPr>
              <w:spacing w:after="240" w:line="360" w:lineRule="auto"/>
              <w:ind w:firstLine="420" w:firstLineChars="200"/>
              <w:jc w:val="left"/>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报警时延：读取视频即时分析，延时长不大于500ms</w:t>
            </w:r>
          </w:p>
        </w:tc>
      </w:tr>
    </w:tbl>
    <w:p>
      <w:pPr>
        <w:adjustRightInd w:val="0"/>
        <w:snapToGrid w:val="0"/>
        <w:spacing w:line="360" w:lineRule="auto"/>
        <w:outlineLvl w:val="1"/>
        <w:rPr>
          <w:rFonts w:hint="eastAsia" w:ascii="仿宋" w:hAnsi="仿宋" w:eastAsia="仿宋" w:cs="仿宋"/>
          <w:b/>
          <w:bCs/>
          <w:color w:val="auto"/>
          <w:sz w:val="28"/>
          <w:szCs w:val="28"/>
          <w:lang w:val="en-US" w:eastAsia="zh-CN"/>
        </w:rPr>
      </w:pPr>
      <w:bookmarkStart w:id="5" w:name="_Toc16423"/>
      <w:r>
        <w:rPr>
          <w:rFonts w:hint="eastAsia" w:asciiTheme="minorEastAsia" w:hAnsiTheme="minorEastAsia" w:eastAsiaTheme="minorEastAsia" w:cstheme="minorEastAsia"/>
          <w:sz w:val="28"/>
          <w:szCs w:val="28"/>
        </w:rPr>
        <w:tab/>
      </w:r>
      <w:r>
        <w:rPr>
          <w:rFonts w:hint="eastAsia" w:ascii="仿宋" w:hAnsi="仿宋" w:eastAsia="仿宋" w:cs="仿宋"/>
          <w:b/>
          <w:bCs/>
          <w:color w:val="auto"/>
          <w:sz w:val="28"/>
          <w:szCs w:val="28"/>
          <w:lang w:val="en-US" w:eastAsia="zh-CN"/>
        </w:rPr>
        <w:t>4.系统功能要求</w:t>
      </w:r>
      <w:bookmarkEnd w:id="5"/>
    </w:p>
    <w:p>
      <w:pPr>
        <w:adjustRightInd w:val="0"/>
        <w:snapToGrid w:val="0"/>
        <w:spacing w:line="360" w:lineRule="auto"/>
        <w:ind w:firstLine="420"/>
        <w:outlineLvl w:val="1"/>
        <w:rPr>
          <w:rFonts w:hint="eastAsia" w:ascii="仿宋" w:hAnsi="仿宋" w:eastAsia="仿宋" w:cs="仿宋"/>
          <w:sz w:val="28"/>
          <w:szCs w:val="28"/>
        </w:rPr>
      </w:pPr>
      <w:bookmarkStart w:id="6" w:name="_Toc846"/>
      <w:r>
        <w:rPr>
          <w:rFonts w:hint="eastAsia" w:ascii="仿宋" w:hAnsi="仿宋" w:eastAsia="仿宋" w:cs="仿宋"/>
          <w:sz w:val="28"/>
          <w:szCs w:val="28"/>
        </w:rPr>
        <w:t>（1）系统基础功能要求</w:t>
      </w:r>
    </w:p>
    <w:p>
      <w:pPr>
        <w:ind w:firstLine="63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color w:val="000000" w:themeColor="text1"/>
          <w:sz w:val="28"/>
          <w:szCs w:val="28"/>
          <w:lang w:val="zh-CN"/>
          <w14:textFill>
            <w14:solidFill>
              <w14:schemeClr w14:val="tx1"/>
            </w14:solidFill>
          </w14:textFill>
        </w:rPr>
        <w:t>算法管理</w:t>
      </w:r>
      <w:bookmarkEnd w:id="6"/>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算法指平台内置或者用户自建的算法。计算服务使用算法对视频流分析计算，输出结构化数据或其他算法结果。算法信息主要包括算法能力集（算法支持的视频检测及分析能力）、算法能力值（算法最多支持的可分析视频流数量）、用户自定义的算法名称及版本号以及存储算法包的OSS相关信息。</w:t>
      </w:r>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算法列表展示算法分析服务器安装的所有算法。独立的一个算法管理平台，可以通过使用自行拍摄的材料照片输入到算法中，即可输出识别结果。</w:t>
      </w:r>
    </w:p>
    <w:p>
      <w:pPr>
        <w:ind w:firstLine="700" w:firstLineChars="250"/>
        <w:rPr>
          <w:rFonts w:hint="eastAsia" w:ascii="仿宋" w:hAnsi="仿宋" w:eastAsia="仿宋" w:cs="仿宋"/>
          <w:color w:val="000000" w:themeColor="text1"/>
          <w:sz w:val="28"/>
          <w:szCs w:val="28"/>
          <w:lang w:val="zh-CN"/>
          <w14:textFill>
            <w14:solidFill>
              <w14:schemeClr w14:val="tx1"/>
            </w14:solidFill>
          </w14:textFill>
        </w:rPr>
      </w:pPr>
      <w:bookmarkStart w:id="7" w:name="_Toc2020"/>
      <w:r>
        <w:rPr>
          <w:rFonts w:hint="eastAsia" w:ascii="仿宋" w:hAnsi="仿宋" w:eastAsia="仿宋" w:cs="仿宋"/>
          <w:color w:val="000000" w:themeColor="text1"/>
          <w:sz w:val="28"/>
          <w:szCs w:val="28"/>
          <w:lang w:val="zh-CN"/>
          <w14:textFill>
            <w14:solidFill>
              <w14:schemeClr w14:val="tx1"/>
            </w14:solidFill>
          </w14:textFill>
        </w:rPr>
        <w:t>*设备管理</w:t>
      </w:r>
      <w:bookmarkEnd w:id="7"/>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设备管理可新增/编辑/查看视频流、图片流输入源信息，同时可以对声光报警器联动进行设置。可以通过设备管理页面，查阅所有设备相关的信息：</w:t>
      </w:r>
    </w:p>
    <w:p>
      <w:pPr>
        <w:numPr>
          <w:ilvl w:val="0"/>
          <w:numId w:val="3"/>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新增设备，配置好设备信息，输入设备相关的信息即可计入设备管理列表中。</w:t>
      </w:r>
    </w:p>
    <w:p>
      <w:pPr>
        <w:numPr>
          <w:ilvl w:val="0"/>
          <w:numId w:val="3"/>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删除设备，对已经弃用的设备可以进行删除出设备管理列表</w:t>
      </w:r>
    </w:p>
    <w:p>
      <w:pPr>
        <w:numPr>
          <w:ilvl w:val="0"/>
          <w:numId w:val="3"/>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修改设备，在设备管理列表中，对已有的设备进行配置修改。</w:t>
      </w:r>
    </w:p>
    <w:p>
      <w:pPr>
        <w:numPr>
          <w:ilvl w:val="0"/>
          <w:numId w:val="3"/>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查阅设备，点开设备，可以查到设备的相关配置信息</w:t>
      </w:r>
    </w:p>
    <w:p>
      <w:pPr>
        <w:numPr>
          <w:ilvl w:val="0"/>
          <w:numId w:val="3"/>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设备使用，点开设备，可以查阅设备的实时视频相信，也可以根据设备查询设备的历史信息，报警信息。方便运维人员对设备的维护，以及查阅记录。</w:t>
      </w:r>
    </w:p>
    <w:p>
      <w:pPr>
        <w:ind w:firstLine="700" w:firstLineChars="250"/>
        <w:rPr>
          <w:rFonts w:hint="eastAsia" w:ascii="仿宋" w:hAnsi="仿宋" w:eastAsia="仿宋" w:cs="仿宋"/>
          <w:color w:val="000000" w:themeColor="text1"/>
          <w:sz w:val="28"/>
          <w:szCs w:val="28"/>
          <w:lang w:val="zh-CN"/>
          <w14:textFill>
            <w14:solidFill>
              <w14:schemeClr w14:val="tx1"/>
            </w14:solidFill>
          </w14:textFill>
        </w:rPr>
      </w:pPr>
      <w:bookmarkStart w:id="8" w:name="_Toc2437"/>
      <w:r>
        <w:rPr>
          <w:rFonts w:hint="eastAsia" w:ascii="仿宋" w:hAnsi="仿宋" w:eastAsia="仿宋" w:cs="仿宋"/>
          <w:color w:val="000000" w:themeColor="text1"/>
          <w:sz w:val="28"/>
          <w:szCs w:val="28"/>
          <w:lang w:val="zh-CN"/>
          <w14:textFill>
            <w14:solidFill>
              <w14:schemeClr w14:val="tx1"/>
            </w14:solidFill>
          </w14:textFill>
        </w:rPr>
        <w:t>*数据管理</w:t>
      </w:r>
      <w:bookmarkEnd w:id="8"/>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数据管理是利用计算机硬件（相机，报警器）和软件技术对数据进行有效的收集、存储、处理和应用的过程。其目的在于充分有效地发挥数据的作用，实现数据有效管理的关键是数据组织。随着计算机技术的发展，数据管理经历了人工管理、文件系统、 数据库系统三个发展阶段。在数据库系统中所建立的数据结构，更充分地描述了数据间的内在联系，便于数据修改、更新与扩充，同时保证了数据的独立性、可靠、安全性与完整性，减少了数据冗余，故提高了数据共享程度及数据管理效率。对历史的识别结果图片进行维护：可以通过设备，时间，对数据进行查询筛选。统计出识别率，设备状态。并对数据进行图表化展示比对。</w:t>
      </w:r>
    </w:p>
    <w:p>
      <w:pPr>
        <w:ind w:firstLine="630" w:firstLineChars="300"/>
        <w:rPr>
          <w:rFonts w:hint="eastAsia" w:ascii="仿宋" w:hAnsi="仿宋" w:eastAsia="仿宋" w:cs="仿宋"/>
        </w:rPr>
      </w:pPr>
      <w:bookmarkStart w:id="9" w:name="_Toc8810"/>
      <w:r>
        <w:rPr>
          <w:rFonts w:hint="eastAsia" w:ascii="仿宋" w:hAnsi="仿宋" w:eastAsia="仿宋" w:cs="仿宋"/>
        </w:rPr>
        <w:t>*</w:t>
      </w:r>
      <w:r>
        <w:rPr>
          <w:rFonts w:hint="eastAsia" w:ascii="仿宋" w:hAnsi="仿宋" w:eastAsia="仿宋" w:cs="仿宋"/>
          <w:color w:val="000000" w:themeColor="text1"/>
          <w:sz w:val="28"/>
          <w:szCs w:val="28"/>
          <w:lang w:val="zh-CN"/>
          <w14:textFill>
            <w14:solidFill>
              <w14:schemeClr w14:val="tx1"/>
            </w14:solidFill>
          </w14:textFill>
        </w:rPr>
        <w:t>报警管理</w:t>
      </w:r>
      <w:bookmarkEnd w:id="9"/>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可以通过报警管理，对相关的异常情况设置对应的报警声音，让运维人员更快捷的能够通过声音对该告警进行一个声音识别。对多种算法的报警声音，样式进行设置。</w:t>
      </w:r>
    </w:p>
    <w:p>
      <w:pPr>
        <w:ind w:firstLine="700" w:firstLineChars="250"/>
        <w:rPr>
          <w:rFonts w:hint="eastAsia" w:ascii="仿宋" w:hAnsi="仿宋" w:eastAsia="仿宋" w:cs="仿宋"/>
          <w:color w:val="000000" w:themeColor="text1"/>
          <w:sz w:val="28"/>
          <w:szCs w:val="28"/>
          <w:lang w:val="zh-CN"/>
          <w14:textFill>
            <w14:solidFill>
              <w14:schemeClr w14:val="tx1"/>
            </w14:solidFill>
          </w14:textFill>
        </w:rPr>
      </w:pPr>
      <w:bookmarkStart w:id="10" w:name="_Toc23183"/>
      <w:r>
        <w:rPr>
          <w:rFonts w:hint="eastAsia" w:ascii="仿宋" w:hAnsi="仿宋" w:eastAsia="仿宋" w:cs="仿宋"/>
          <w:color w:val="000000" w:themeColor="text1"/>
          <w:sz w:val="28"/>
          <w:szCs w:val="28"/>
          <w:lang w:val="zh-CN"/>
          <w14:textFill>
            <w14:solidFill>
              <w14:schemeClr w14:val="tx1"/>
            </w14:solidFill>
          </w14:textFill>
        </w:rPr>
        <w:t>*数据集管理</w:t>
      </w:r>
      <w:bookmarkEnd w:id="10"/>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数据集是由系统的使用者定义的虚拟数据表，是系统中进一步使用数据的基础。数据集界面分为三部分，分别对应了三种查询的方式。一种是根据时间进行查询，一种是根据设备进行查询，还有一种是根据点位进行查询。通过选择 ‘起始日期’、‘终止日期’，再按‘查询’可展示出具体时间段的历史数据， 点击‘导出 Excel’，可下载表格。</w:t>
      </w:r>
    </w:p>
    <w:p>
      <w:pPr>
        <w:numPr>
          <w:ilvl w:val="0"/>
          <w:numId w:val="4"/>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数据清晰，能够轻松从数据库中以表格的形式展示出来，实现可读性，易读性。</w:t>
      </w:r>
    </w:p>
    <w:p>
      <w:pPr>
        <w:numPr>
          <w:ilvl w:val="0"/>
          <w:numId w:val="4"/>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易查询，可以通过多种方式进行查询筛选，让用户能够能快速便捷的去实现历史数据的检阅与对比</w:t>
      </w:r>
    </w:p>
    <w:p>
      <w:pPr>
        <w:numPr>
          <w:ilvl w:val="0"/>
          <w:numId w:val="4"/>
        </w:numPr>
        <w:spacing w:after="240" w:line="360" w:lineRule="auto"/>
        <w:ind w:firstLine="560" w:firstLineChars="20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随时下载，将查询出来的数据进行整理生成表格，让用户下载下来，方便随时查看数据。</w:t>
      </w:r>
    </w:p>
    <w:p>
      <w:pPr>
        <w:adjustRightInd w:val="0"/>
        <w:snapToGrid w:val="0"/>
        <w:spacing w:line="360" w:lineRule="auto"/>
        <w:ind w:firstLine="420"/>
        <w:outlineLvl w:val="1"/>
        <w:rPr>
          <w:rFonts w:hint="eastAsia" w:ascii="仿宋" w:hAnsi="仿宋" w:eastAsia="仿宋" w:cs="仿宋"/>
          <w:sz w:val="28"/>
          <w:szCs w:val="28"/>
        </w:rPr>
      </w:pPr>
      <w:bookmarkStart w:id="11" w:name="_Toc21780"/>
      <w:r>
        <w:rPr>
          <w:rFonts w:hint="eastAsia" w:ascii="仿宋" w:hAnsi="仿宋" w:eastAsia="仿宋" w:cs="仿宋"/>
          <w:sz w:val="28"/>
          <w:szCs w:val="28"/>
        </w:rPr>
        <w:t>（2）耙斗水平倾角监测分析及自动报警</w:t>
      </w:r>
      <w:bookmarkEnd w:id="11"/>
    </w:p>
    <w:p>
      <w:pPr>
        <w:numPr>
          <w:ilvl w:val="255"/>
          <w:numId w:val="0"/>
        </w:num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统通过轮询的方式检测耙斗上的标志位置并进行倾角计算，当倾角大于设定阈值时自动发出报警信息及报警图片。通过后台服务将数据存储在服务器的数据库中，并且实时的发送给客户端，供给用户进行预览，当发现数据异常时出发安装的报警机制，进行设备告警，并根据我公司实际运行管理需要，依托自控系统实现自动停机处理，有工作人员前来核实故障情况，并进行后续处理。后台服务通过BS架构进行开发，实现客户可以通过电脑或者手机浏览器也能实时预览现场的视频以及实时检测的数据，还可以对历史的数据进行查阅。</w:t>
      </w:r>
    </w:p>
    <w:p>
      <w:pPr>
        <w:adjustRightInd w:val="0"/>
        <w:snapToGrid w:val="0"/>
        <w:spacing w:line="360" w:lineRule="auto"/>
        <w:ind w:firstLine="420"/>
        <w:outlineLvl w:val="1"/>
        <w:rPr>
          <w:rFonts w:hint="eastAsia" w:ascii="仿宋" w:hAnsi="仿宋" w:eastAsia="仿宋" w:cs="仿宋"/>
          <w:sz w:val="28"/>
          <w:szCs w:val="28"/>
        </w:rPr>
      </w:pPr>
      <w:bookmarkStart w:id="12" w:name="_Toc14938"/>
      <w:r>
        <w:rPr>
          <w:rFonts w:hint="eastAsia" w:ascii="仿宋" w:hAnsi="仿宋" w:eastAsia="仿宋" w:cs="仿宋"/>
          <w:sz w:val="28"/>
          <w:szCs w:val="28"/>
        </w:rPr>
        <w:t>（3）垃圾占比识别</w:t>
      </w:r>
      <w:bookmarkEnd w:id="12"/>
      <w:r>
        <w:rPr>
          <w:rFonts w:hint="eastAsia" w:ascii="仿宋" w:hAnsi="仿宋" w:eastAsia="仿宋" w:cs="仿宋"/>
          <w:sz w:val="28"/>
          <w:szCs w:val="28"/>
        </w:rPr>
        <w:t>及自动报警</w:t>
      </w:r>
    </w:p>
    <w:p>
      <w:pPr>
        <w:spacing w:after="240" w:line="360" w:lineRule="auto"/>
        <w:ind w:firstLine="560"/>
        <w:jc w:val="left"/>
        <w:rPr>
          <w:rFonts w:hint="eastAsia" w:ascii="仿宋" w:hAnsi="仿宋" w:eastAsia="仿宋" w:cs="仿宋"/>
          <w:sz w:val="28"/>
          <w:szCs w:val="28"/>
        </w:rPr>
      </w:pPr>
      <w:r>
        <w:rPr>
          <w:rFonts w:hint="eastAsia" w:ascii="仿宋" w:hAnsi="仿宋" w:eastAsia="仿宋" w:cs="仿宋"/>
          <w:color w:val="000000" w:themeColor="text1"/>
          <w:sz w:val="28"/>
          <w:szCs w:val="28"/>
          <w:lang w:val="zh-CN"/>
          <w14:textFill>
            <w14:solidFill>
              <w14:schemeClr w14:val="tx1"/>
            </w14:solidFill>
          </w14:textFill>
        </w:rPr>
        <w:t>系统通过轮询的方式自动识别池内、前池叶面上的垃圾杂物，并计算其占比情况。当垃圾杂物占比达到预设阈值，会自动触发报警，支持自控系统远程控制运行。</w:t>
      </w:r>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假设池内以及耙斗没有任何垃圾的情况下是较单一的纹理，将相机拍摄出来的图像传入图像处理的算法中，第一步先记录颜色的像素点，和要计算的百分率，遍历图片上的每一个像素点，对该像素是否为指定的耙斗颜色进行判断BGR像素点，</w:t>
      </w:r>
      <w:r>
        <w:rPr>
          <w:rFonts w:hint="eastAsia" w:ascii="仿宋" w:hAnsi="仿宋" w:eastAsia="仿宋" w:cs="仿宋"/>
          <w:color w:val="000000" w:themeColor="text1"/>
          <w:sz w:val="28"/>
          <w:szCs w:val="28"/>
          <w14:textFill>
            <w14:solidFill>
              <w14:schemeClr w14:val="tx1"/>
            </w14:solidFill>
          </w14:textFill>
        </w:rPr>
        <w:t>然后</w:t>
      </w:r>
      <w:r>
        <w:rPr>
          <w:rFonts w:hint="eastAsia" w:ascii="仿宋" w:hAnsi="仿宋" w:eastAsia="仿宋" w:cs="仿宋"/>
          <w:color w:val="000000" w:themeColor="text1"/>
          <w:sz w:val="28"/>
          <w:szCs w:val="28"/>
          <w:lang w:val="zh-CN"/>
          <w14:textFill>
            <w14:solidFill>
              <w14:schemeClr w14:val="tx1"/>
            </w14:solidFill>
          </w14:textFill>
        </w:rPr>
        <w:t>通过动态地址访问三通道图像的单个像素。</w:t>
      </w:r>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根据设定好的耙斗颜色的阈值对单个像素值进行判断比较得出该像素点是不是属于垃圾。计算得出的整个结果跟整个耙斗像素进行比例得出的百分比就是耙斗上垃圾的占比量。</w:t>
      </w:r>
    </w:p>
    <w:p>
      <w:pPr>
        <w:adjustRightInd w:val="0"/>
        <w:snapToGrid w:val="0"/>
        <w:spacing w:line="360" w:lineRule="auto"/>
        <w:ind w:firstLine="420"/>
        <w:outlineLvl w:val="1"/>
        <w:rPr>
          <w:rFonts w:hint="eastAsia" w:ascii="仿宋" w:hAnsi="仿宋" w:eastAsia="仿宋" w:cs="仿宋"/>
          <w:sz w:val="28"/>
          <w:szCs w:val="28"/>
        </w:rPr>
      </w:pPr>
      <w:bookmarkStart w:id="13" w:name="_Toc4856"/>
      <w:r>
        <w:rPr>
          <w:rFonts w:hint="eastAsia" w:ascii="仿宋" w:hAnsi="仿宋" w:eastAsia="仿宋" w:cs="仿宋"/>
          <w:sz w:val="28"/>
          <w:szCs w:val="28"/>
        </w:rPr>
        <w:t>（4）耙斗大件垃圾识别</w:t>
      </w:r>
      <w:bookmarkEnd w:id="13"/>
      <w:r>
        <w:rPr>
          <w:rFonts w:hint="eastAsia" w:ascii="仿宋" w:hAnsi="仿宋" w:eastAsia="仿宋" w:cs="仿宋"/>
          <w:sz w:val="28"/>
          <w:szCs w:val="28"/>
        </w:rPr>
        <w:t>及自动报警</w:t>
      </w:r>
    </w:p>
    <w:p>
      <w:pPr>
        <w:snapToGrid w:val="0"/>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统通过轮询的方式检测耙斗上的大件垃圾，输出告警信息，建立报警机制，根据我公司实际运行管理需要，本系统应结合自控系统实现格栅自动停机处理，提醒工作人员前来核实故障情况，并进行后续处理。通过图像处理，提取耙斗上的区域位置，对提取出来的区域位置进行边缘计算，如果边缘完全被物体遮挡则认为耙斗上存在大件垃圾。通过循序渐进的方式开展识别监测的图像处理及算法开发，即前期通过图像识别技术对监测图像进行分析判据的识别，待样本数积累充分后，再不断通过机器学习迭代校正算法，提高识别监测的效率和精度。</w:t>
      </w:r>
    </w:p>
    <w:p>
      <w:pPr>
        <w:adjustRightInd w:val="0"/>
        <w:snapToGrid w:val="0"/>
        <w:spacing w:line="360" w:lineRule="auto"/>
        <w:ind w:firstLine="420"/>
        <w:outlineLvl w:val="1"/>
        <w:rPr>
          <w:rFonts w:hint="eastAsia" w:ascii="仿宋" w:hAnsi="仿宋" w:eastAsia="仿宋" w:cs="仿宋"/>
          <w:sz w:val="28"/>
          <w:szCs w:val="28"/>
        </w:rPr>
      </w:pPr>
      <w:bookmarkStart w:id="14" w:name="_Toc6908"/>
      <w:r>
        <w:rPr>
          <w:rFonts w:hint="eastAsia" w:ascii="仿宋" w:hAnsi="仿宋" w:eastAsia="仿宋" w:cs="仿宋"/>
          <w:sz w:val="28"/>
          <w:szCs w:val="28"/>
        </w:rPr>
        <w:t>（5）实时视频查看功能</w:t>
      </w:r>
      <w:bookmarkEnd w:id="14"/>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系统客户端上可以查阅格栅清污机对应的摄像机的实时视频流信息，当格栅设备远程控制运行时，可联动调出视频进行运行监管。</w:t>
      </w:r>
    </w:p>
    <w:p>
      <w:pPr>
        <w:adjustRightInd w:val="0"/>
        <w:snapToGrid w:val="0"/>
        <w:spacing w:line="360" w:lineRule="auto"/>
        <w:ind w:firstLine="420"/>
        <w:outlineLvl w:val="1"/>
        <w:rPr>
          <w:rFonts w:hint="eastAsia" w:ascii="仿宋" w:hAnsi="仿宋" w:eastAsia="仿宋" w:cs="仿宋"/>
          <w:sz w:val="28"/>
          <w:szCs w:val="28"/>
        </w:rPr>
      </w:pPr>
      <w:bookmarkStart w:id="15" w:name="_Toc3018"/>
      <w:r>
        <w:rPr>
          <w:rFonts w:hint="eastAsia" w:ascii="仿宋" w:hAnsi="仿宋" w:eastAsia="仿宋" w:cs="仿宋"/>
          <w:sz w:val="28"/>
          <w:szCs w:val="28"/>
        </w:rPr>
        <w:t>（6）报警历史信息查看功能</w:t>
      </w:r>
      <w:bookmarkEnd w:id="15"/>
    </w:p>
    <w:p>
      <w:pPr>
        <w:spacing w:after="240" w:line="360" w:lineRule="auto"/>
        <w:ind w:firstLine="560"/>
        <w:jc w:val="lef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系统客户端上可以查询所有报警信息记录详情。</w:t>
      </w:r>
    </w:p>
    <w:p>
      <w:pPr>
        <w:adjustRightInd w:val="0"/>
        <w:snapToGrid w:val="0"/>
        <w:spacing w:line="360" w:lineRule="auto"/>
        <w:ind w:firstLine="420"/>
        <w:outlineLvl w:val="1"/>
        <w:rPr>
          <w:rFonts w:hint="eastAsia" w:ascii="仿宋" w:hAnsi="仿宋" w:eastAsia="仿宋" w:cs="仿宋"/>
          <w:sz w:val="28"/>
          <w:szCs w:val="28"/>
        </w:rPr>
      </w:pPr>
      <w:bookmarkStart w:id="16" w:name="_Toc9091"/>
      <w:r>
        <w:rPr>
          <w:rFonts w:hint="eastAsia" w:ascii="仿宋" w:hAnsi="仿宋" w:eastAsia="仿宋" w:cs="仿宋"/>
          <w:sz w:val="28"/>
          <w:szCs w:val="28"/>
        </w:rPr>
        <w:t>（7）报警通知接口功能</w:t>
      </w:r>
      <w:bookmarkEnd w:id="16"/>
    </w:p>
    <w:p>
      <w:pPr>
        <w:spacing w:after="240" w:line="360" w:lineRule="auto"/>
        <w:ind w:firstLine="56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系统提供报警通知接口功能，可将报警状态推送到自动化控制（中控）平台，并构建格栅报警处置连锁控制机制。</w:t>
      </w:r>
    </w:p>
    <w:p>
      <w:pPr>
        <w:pStyle w:val="4"/>
        <w:rPr>
          <w:lang w:val="zh-CN"/>
        </w:rPr>
      </w:pPr>
      <w:bookmarkStart w:id="17" w:name="_Toc26302_WPSOffice_Level2"/>
      <w:r>
        <w:rPr>
          <w:rFonts w:hint="eastAsia" w:ascii="仿宋_GB2312" w:hAnsi="仿宋_GB2312" w:eastAsia="仿宋_GB2312" w:cs="仿宋_GB2312"/>
          <w:color w:val="auto"/>
          <w:lang w:val="en-US" w:eastAsia="zh-CN"/>
        </w:rPr>
        <w:t>二、技术服务要求</w:t>
      </w:r>
      <w:bookmarkEnd w:id="17"/>
    </w:p>
    <w:p>
      <w:pPr>
        <w:pStyle w:val="5"/>
        <w:jc w:val="left"/>
        <w:rPr>
          <w:rFonts w:hint="eastAsia" w:ascii="仿宋_GB2312" w:hAnsi="仿宋_GB2312" w:eastAsia="仿宋_GB2312" w:cs="仿宋_GB2312"/>
          <w:color w:val="auto"/>
          <w:sz w:val="28"/>
          <w:szCs w:val="28"/>
          <w:u w:val="single"/>
          <w:lang w:val="zh-CN" w:eastAsia="zh-CN"/>
        </w:rPr>
      </w:pPr>
      <w:bookmarkStart w:id="18" w:name="_Toc20378_WPSOffice_Level3"/>
      <w:r>
        <w:rPr>
          <w:rFonts w:hint="eastAsia" w:ascii="仿宋_GB2312" w:hAnsi="仿宋_GB2312" w:eastAsia="仿宋_GB2312" w:cs="仿宋_GB2312"/>
          <w:color w:val="auto"/>
          <w:sz w:val="28"/>
          <w:szCs w:val="28"/>
        </w:rPr>
        <w:t>（一）技术要求</w:t>
      </w:r>
      <w:bookmarkEnd w:id="18"/>
    </w:p>
    <w:p>
      <w:pPr>
        <w:pStyle w:val="2"/>
        <w:ind w:firstLine="0" w:firstLineChars="0"/>
        <w:rPr>
          <w:rFonts w:hint="eastAsia" w:ascii="仿宋_GB2312" w:hAnsi="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u w:val="single"/>
          <w:lang w:val="zh-CN" w:eastAsia="zh-CN"/>
        </w:rPr>
        <w:t>1.</w:t>
      </w:r>
      <w:r>
        <w:rPr>
          <w:rFonts w:hint="eastAsia" w:ascii="仿宋_GB2312" w:hAnsi="仿宋_GB2312" w:eastAsia="仿宋_GB2312" w:cs="仿宋_GB2312"/>
          <w:sz w:val="28"/>
          <w:szCs w:val="28"/>
          <w:u w:val="single"/>
          <w:lang w:val="zh-CN"/>
        </w:rPr>
        <w:t>供应商</w:t>
      </w:r>
      <w:r>
        <w:rPr>
          <w:rFonts w:hint="eastAsia" w:ascii="仿宋_GB2312" w:hAnsi="仿宋_GB2312" w:eastAsia="仿宋_GB2312" w:cs="仿宋_GB2312"/>
          <w:sz w:val="28"/>
          <w:szCs w:val="28"/>
          <w:u w:val="single"/>
        </w:rPr>
        <w:t>递交响应文件时</w:t>
      </w:r>
      <w:r>
        <w:rPr>
          <w:rFonts w:hint="eastAsia" w:ascii="仿宋_GB2312" w:hAnsi="仿宋_GB2312" w:eastAsia="仿宋_GB2312" w:cs="仿宋_GB2312"/>
          <w:sz w:val="28"/>
          <w:szCs w:val="28"/>
          <w:u w:val="single"/>
          <w:lang w:val="zh-CN"/>
        </w:rPr>
        <w:t>须出具承诺函，承诺所提供报价货物/设备备件均为制造商全新原装产品。（</w:t>
      </w:r>
      <w:r>
        <w:rPr>
          <w:rFonts w:hint="eastAsia" w:ascii="仿宋_GB2312" w:hAnsi="仿宋_GB2312" w:eastAsia="仿宋_GB2312" w:cs="仿宋_GB2312"/>
          <w:sz w:val="28"/>
          <w:szCs w:val="28"/>
          <w:u w:val="single"/>
        </w:rPr>
        <w:t>加盖单位公章</w:t>
      </w:r>
      <w:r>
        <w:rPr>
          <w:rFonts w:hint="eastAsia" w:ascii="仿宋_GB2312" w:hAnsi="仿宋_GB2312" w:eastAsia="仿宋_GB2312" w:cs="仿宋_GB2312"/>
          <w:sz w:val="28"/>
          <w:szCs w:val="28"/>
          <w:u w:val="single"/>
          <w:lang w:val="zh-CN"/>
        </w:rPr>
        <w:t>）</w:t>
      </w:r>
    </w:p>
    <w:p>
      <w:pPr>
        <w:pStyle w:val="2"/>
        <w:ind w:firstLine="560" w:firstLineChars="200"/>
        <w:rPr>
          <w:rFonts w:hint="eastAsia" w:ascii="仿宋_GB2312" w:hAnsi="仿宋_GB2312" w:cs="仿宋_GB2312"/>
          <w:color w:val="auto"/>
          <w:kern w:val="2"/>
          <w:sz w:val="28"/>
          <w:szCs w:val="28"/>
          <w:lang w:val="en-US" w:eastAsia="zh-CN" w:bidi="ar-SA"/>
        </w:rPr>
      </w:pPr>
    </w:p>
    <w:p>
      <w:pPr>
        <w:pStyle w:val="2"/>
        <w:ind w:firstLine="560" w:firstLineChars="200"/>
        <w:rPr>
          <w:rFonts w:ascii="仿宋" w:hAnsi="仿宋" w:eastAsia="仿宋" w:cs="仿宋"/>
          <w:bCs/>
          <w:sz w:val="28"/>
          <w:szCs w:val="28"/>
        </w:rPr>
      </w:pPr>
      <w:r>
        <w:rPr>
          <w:rFonts w:hint="eastAsia" w:ascii="仿宋_GB2312" w:hAnsi="仿宋_GB2312" w:cs="仿宋_GB2312"/>
          <w:color w:val="auto"/>
          <w:kern w:val="2"/>
          <w:sz w:val="28"/>
          <w:szCs w:val="28"/>
          <w:lang w:val="en-US" w:eastAsia="zh-CN" w:bidi="ar-SA"/>
        </w:rPr>
        <w:t>2</w:t>
      </w:r>
      <w:r>
        <w:rPr>
          <w:rFonts w:hint="eastAsia" w:ascii="仿宋_GB2312" w:hAnsi="仿宋_GB2312" w:eastAsia="仿宋_GB2312" w:cs="仿宋_GB2312"/>
          <w:color w:val="auto"/>
          <w:kern w:val="2"/>
          <w:sz w:val="28"/>
          <w:szCs w:val="28"/>
          <w:lang w:val="en-US" w:eastAsia="zh-CN" w:bidi="ar-SA"/>
        </w:rPr>
        <w:t>.</w:t>
      </w:r>
      <w:r>
        <w:rPr>
          <w:rFonts w:hint="eastAsia" w:ascii="仿宋" w:hAnsi="仿宋" w:eastAsia="仿宋" w:cs="仿宋"/>
          <w:bCs/>
          <w:sz w:val="28"/>
          <w:szCs w:val="28"/>
        </w:rPr>
        <w:t>拟采购的软硬件配置及服务要求如下：</w:t>
      </w:r>
    </w:p>
    <w:tbl>
      <w:tblPr>
        <w:tblStyle w:val="25"/>
        <w:tblW w:w="5000" w:type="pct"/>
        <w:tblInd w:w="0" w:type="dxa"/>
        <w:tblLayout w:type="autofit"/>
        <w:tblCellMar>
          <w:top w:w="0" w:type="dxa"/>
          <w:left w:w="108" w:type="dxa"/>
          <w:bottom w:w="0" w:type="dxa"/>
          <w:right w:w="108" w:type="dxa"/>
        </w:tblCellMar>
      </w:tblPr>
      <w:tblGrid>
        <w:gridCol w:w="1079"/>
        <w:gridCol w:w="1638"/>
        <w:gridCol w:w="4858"/>
        <w:gridCol w:w="985"/>
        <w:gridCol w:w="1019"/>
      </w:tblGrid>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产品名称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型号配置</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r>
      <w:tr>
        <w:tblPrEx>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一、硬件</w:t>
            </w:r>
          </w:p>
        </w:tc>
      </w:tr>
      <w:tr>
        <w:tblPrEx>
          <w:tblCellMar>
            <w:top w:w="0" w:type="dxa"/>
            <w:left w:w="108" w:type="dxa"/>
            <w:bottom w:w="0" w:type="dxa"/>
            <w:right w:w="108" w:type="dxa"/>
          </w:tblCellMar>
        </w:tblPrEx>
        <w:trPr>
          <w:trHeight w:val="694"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摄像头</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定制 4k 带夜间补光、防腐蚀外壳</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传感器类型：1/1.2" Progressive Scan CMOS，800万像素；</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最低照度：彩色：0.0005 Lux @（F1.0，AGC ON），0 Lux with Light</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快门：1/3 s~1/100,000 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景深范围：</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2.8mm：4.5m~无穷远</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4mm：7m~无穷远</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6mm：13m~无穷远</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主码流帧率分辨率：50 Hz：20 fps（3840 × 2160，3072 × 1728），25 fps（2560 × 1440，1920 × 1080，1280 × 720）</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子码流帧率分辨率：50 Hz：25 fps（640 × 480，640 × 360，320 × 240）</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视频压缩标准：主码流：H.265/H.264，子码流：H.265/H.264/MJPEG</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视频压缩码率：32 Kbps~16 Mbps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H.264编码类型：BaseLine Profile/Main Profile/High Profile</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H.265编码类型：Main Profile</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码率控制：定码率，变码率</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接口协议（API）：开放型网络视频接口，ISAPI，SDK，GB28281（2011/2016）</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网络协议：TCP/IP，ICMP，HTTP，HTTPS，FTP，DHCP，DNS，DDNS，RTP，RTSP，NTP，UPnP，SMTP，IGMP，802.1X，QoS，IPv6，UDP，Bonjour，SSL/TLS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用户管理：最多32个用户，可分3级用户权限管理：管理员，操作员，普通用户</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网络存储：NAS（NFS，SMB/CIFS均支持）</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全彩级高灵敏度感器，F1.0超大光圈镜头，为智能应用提供更清晰的视频流输入，全面提升智能业务处理的准确度；</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采用深度学习硬件及算法，支持越界侦测，区域入侵侦测，进入区域侦测和离开区域侦测；</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最高分辨率可达3840 × 2160 @ 20 fps；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ISP图像处理；h.265/h.264；</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支持背光补偿，强光抑制，3D数字降噪，120 dB宽动态，适应不同监控环境；</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支持四麦克风阵列，有效降低环境噪音，大幅提升拾音质量，拾音范围10 m；</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1路音频输出，1路音频输入，1路报警输出，1路报警输入；</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POE供电，支持DC12 V，100 mA电源输出，用于拾音器供电；</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符合IP66防尘防水设计，-30~60℃；湿度&lt;95%，可靠性高；</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暖白光补光，最远可达30 m；</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硬盘录像机</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16路 海康威视 POE</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16路视频接入；</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可接驳符合ONVIF、RTSP标准的众多主流厂商网络摄像机；</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支持H.265高效视频编码码流，支持H.265、H.264IP设备混合接入；</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支持8路1080P解码，解码性能强劲；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最大支持800万像素高清网络视频的预览、存储与回放；</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支持HDMI与VGA同源输出，HDMI支持4K超高清显示输出，VGA支持高清1080p显示输出；</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支持2个SATA接口，最大支持满配8T硬盘</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内置4个/8个/16个PoE网口，支持IPC直连供电和出图；</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支持IP设备集中管理，包括IP设备参数配置、信息的导入/导出和升级等功能；</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支持最大4/8/16路同步回放和多路同步倒放；</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支持智能搜索、回放及备份功能，有效提高录像检索与回放效率</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视频接入路数：16</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网络输入带宽：160Mbps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网络输出带宽：160Mps</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视频输出：1路HDMI,VGA</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HDMI输出：4K（3840*2160）/30Hz, 2K（2560*1440）/60Hz，</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1920*1080/60Hz，1600*1200/60Hz，1280*1024/60Hz，1280*720/60Hz，1024*768/60Hz</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VGA输出：和HDMI同源，1920*1080/60Hz，1600*1200/60Hz，1280*1024/60Hz，1280*720/60Hz，1024*768/60Hz</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预览分屏：1/2/4/6/8/9/16画面</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视频解码格式：H.265;H.264;Smart264;Smart265</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解码能力：8*1080P</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同步回放：16</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录像/抓图模式：手动录像、定时录像、事件录像、移动侦测录像、报警录像、动测或报警录像、动测且报警录像</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回放模式：即时回放、常规回放、事件回放、标签回放、智能回放、外部文件回放、日志回放</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备份模式：常规备份、事件备份、录像剪辑备份</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网络协议：IPv6、UPnP（即插即用）、NTP（网络校时）、SADP（自动搜索IP 地址）、PPPoE（拨号上网）、DHCP（自动获取IP 地址）</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网络接口：1个，RJ45 10M/100M/1000M自适应以太网口</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USB接口：1个USB2.0后置，1个USB3.0后置</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POE接口：16</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POE标准：IEEE 802.3af/at</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POE输出功率：≤200W</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工作温度：-10℃～＋55℃</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工作湿度：5%~95% 相对湿度，无冷凝</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机箱：1U 380机箱</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尺寸：385mm（宽）× 315mm（深）×52mm（高）</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重量（不含硬盘）≤3Kg</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1385"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交换机</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16路 企业级 POE交换机</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16个10/100/1000Base-T以太网端口；</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16个端口支持PoE+；</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交换容量32Gbps；包转发率24Mbps</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超大缓存设计，高清视频传输不卡顿</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支持即插即用，无需配置</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存储转发交换模式</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支持MAC地址自动学习和老化</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坚固式高强度金属外壳</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线速转发、无阻塞设计</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PoE标准：IEEE 802.3af、IEEE 802.3at</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供电线芯：8芯供电</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PoE端口：port1~16</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端口最大供电功率：30w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整机最大供电功率：230w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PoE远距离：port9~16</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端口：16个百兆PoE电口，1个千兆电口，1个千兆光电复用口</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远距离传输端口：port9~16</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高优先级端口：port1~8</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重量：2.235kg</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尺寸（长×高×深）：440 mm×44 mm×178 mm</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风扇：有</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工作温度：0℃～40℃</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工作湿度：10%～90%（无凝露）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存储温度：-40℃～85℃</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存储湿度：5%～95%（无凝露）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供电方式：AC 220V</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安装方式：机架式（1U高，19英寸宽）</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整机功耗：250w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浪涌防护：4kv</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硬盘</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英特尔 2TB SSD</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英特尔数据中心企业级固态硬盘SATA3 </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顺序读取（最高） 560 MB/s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顺序写入（最高） 510 MB/s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Random Read (100% Span)97000 IOPS (4K Blocks)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Random Write (100% Span)35500 IOPS (4K Blocks)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Latency - Read36 µs (4K Blocks)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Latency - Write37 µs (4K Blocks)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电源 —— 活动 3.2W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电源 —— 闲置 1.1W</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震动 —— 操作 2.17 GRMS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震动 —— 不操作 3.13 GRMS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撞击（操作和不操作） 1000 G/0.5 msec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操作温度范围0°C to 70°C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运行温度（最高）70 °C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运行温度（最低）0 °C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耐用等级（终身写入） 6.5 PBW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故障间的平均时间（MTBF） 2 million hours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无法纠正的位错误速率（UBER） 1 sector per 10^17 bits read</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保修期5 yrs</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增强的停电数据保护功能 是</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硬件加密 AES 256 bit</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高耐用性技术 (HET) 否</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温度监测和记录 是</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端到端数据保护 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企业级NAS</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Synology DS920+ 四核心4盘位 500GB+8TB</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四核2.0Ghz；4GB DDR4；</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缓存加速：2 个内置 M.2 2280 NVMe SSD 插槽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4*3.5“SATA HDD；</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最大容量；4TB企业级硬盘</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RJ-45 1GbE 网络埠</w:t>
            </w:r>
            <w:r>
              <w:rPr>
                <w:rFonts w:hint="eastAsia" w:ascii="仿宋" w:hAnsi="仿宋" w:eastAsia="仿宋" w:cs="仿宋"/>
                <w:color w:val="000000"/>
                <w:kern w:val="0"/>
                <w:sz w:val="21"/>
                <w:szCs w:val="21"/>
              </w:rPr>
              <w:tab/>
            </w:r>
            <w:r>
              <w:rPr>
                <w:rFonts w:hint="eastAsia" w:ascii="仿宋" w:hAnsi="仿宋" w:eastAsia="仿宋" w:cs="仿宋"/>
                <w:color w:val="000000"/>
                <w:kern w:val="0"/>
                <w:sz w:val="21"/>
                <w:szCs w:val="21"/>
              </w:rPr>
              <w:t>：2 (支持 Link Aggregation / 故障移转)</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USB 3.0 端口：2</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eSATA 端口：1</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大小 (高 X 宽 X 深)：166 mm x 199 mm x 223 mm</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重量：2.24 公斤</w:t>
            </w:r>
          </w:p>
          <w:p>
            <w:pPr>
              <w:widowControl/>
              <w:jc w:val="left"/>
              <w:textAlignment w:val="center"/>
              <w:rPr>
                <w:rFonts w:hint="eastAsia" w:ascii="仿宋" w:hAnsi="仿宋" w:eastAsia="仿宋" w:cs="仿宋"/>
                <w:color w:val="000000"/>
                <w:kern w:val="0"/>
                <w:sz w:val="21"/>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UPS</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山特 C2KS 2000VA/1600W 2小时</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393*190*328mm；</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12V65AH电池6只</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输出电压：220VAC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输出精度：±2%</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输出连接：GB 10A *4</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锁相范围：46-54Hz/54-66Hz</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输出频率（电池模式）：50/60Hz±0.05Hz</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电流峰值比：3:1</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输出谐波失真：&lt;4% （线性负载）</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&lt;7% （非线性负载）</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输出波形：纯净正弦输出</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过载能力：市电模式 105% ～ 150% : 47s ～ 25s，150% ～ 200% : 25s ～ 300ms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电池模式：&gt;200% : 200ms</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运行环境温度：0-40℃</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运行环境湿度：20-90%（无凝露）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噪声：&lt;50dB @ 距离 1 米</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标准和认证：IEC61000, IEC62040, GB7260,GB4943，TLC/ 节能认证 / 广电认证</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855"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AI算法服务器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CPU:英特尔 i9 处理器 18核心 36线程 4.8GHz</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主板:英特尔 x299芯片组 主板</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内存:16GB DDR4 </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硬盘:1TB SSD </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扩展槽:2 PCI-E 3.0 x16，</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 PCI-E 3.0 x8，</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 PCI-E 2.0 x4</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网卡:英特尔 i350 双端口千兆以太网卡</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电源:1200W 冗余电源</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机箱:专业服务器工作站机箱</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计算卡:Nvidia GPU计算卡 Titan or Geforce or Tesla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选用单精度浮点算力大于7.5T，双卡大于15T产品</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PLC模块</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根据现场实际情况布置</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边缘网关</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工业网关数据采集modbus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网口：1*10/100MB Base-T RJ-45</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串口：2*RS-232/485 </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CPU：Cortex-A8 AM3352 </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RAM：DDR3 512MB</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系统功耗：&lt;10W</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重量：0.8kg</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指示器：6个</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操作温度：-40~85摄氏度</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操作湿度：5~90%（无凝露）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冲击脉冲宽度：10ms，半正弦波</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隔离保护：15kV空气放电及8kV接触放电保护</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支持网络数据传输</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可扩展存储：Micro SD</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电源：9~48V DC推荐12V DC</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防护等级：IP65</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尺寸：55*86.5*135.9mm</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存储温度：-45~80摄氏度</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存储湿度：8~95%（无凝露）</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流向控制：RS485自动数据流向控制</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网闸</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处理器芯片：英特尔I350千兆以太网控制器</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总线类型：PCI Express X4，兼容 X4、X8和X16的PCI-E插槽</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网络接口类型：SFP</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挡板高度：全高和半高配置</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系统接口类型：PCIe v2.0 (5.0GT/s)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以太网存储：iSCSI, FCoE, NFS</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传输速率Mbps：1000M</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传输介质类型：Lc光纤,遵守MMF的62.5/50微米</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网络标准：IEEE802.3</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ISCSI加速：支持</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QOS策略：支持</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FCOE卸载：支持</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RSS/TX队列：支持</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物理尺寸：</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长度：13.8厘米（5.43英寸）</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大挡板12.1厘米（4.79英寸）</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小挡板8厘米（3.14英寸）</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宽度：6.8厘米（2.68英寸）</w:t>
            </w:r>
          </w:p>
          <w:p>
            <w:pPr>
              <w:widowControl/>
              <w:jc w:val="left"/>
              <w:textAlignment w:val="center"/>
              <w:rPr>
                <w:rFonts w:hint="eastAsia" w:ascii="仿宋" w:hAnsi="仿宋" w:eastAsia="仿宋" w:cs="仿宋"/>
                <w:color w:val="000000"/>
                <w:kern w:val="0"/>
                <w:sz w:val="21"/>
                <w:szCs w:val="21"/>
              </w:rPr>
            </w:pP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使用环境标准：</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工作温度：0℃~55℃(32℉~131℉)</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存储温度：-40℃~70℃（-40℉~158℉）</w:t>
            </w:r>
          </w:p>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存储湿度：35℃ 90%非冷凝相对湿度</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二、软件</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Windows 10 + Office </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正版软件授权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SQL标准版</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正版</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三、研发与产权</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定制研发</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运维系统定制研发费用</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算法监测平台</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算法系统测试，系统封装，系统效果展示平台开发</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模拟验证</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用于真模拟试验验证</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系统对接</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自控系统、安防系统等对接，PLC及电气设备调试</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实施交付</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算法集成与交付</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知识产权共享</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耙斗倾斜检测、耙斗大件垃圾识别、垃圾占比识别三个模块算法及相关程序的使用共享</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四、安装施工</w:t>
            </w:r>
          </w:p>
        </w:tc>
      </w:tr>
      <w:tr>
        <w:tblPrEx>
          <w:tblCellMar>
            <w:top w:w="0" w:type="dxa"/>
            <w:left w:w="108" w:type="dxa"/>
            <w:bottom w:w="0" w:type="dxa"/>
            <w:right w:w="108" w:type="dxa"/>
          </w:tblCellMar>
        </w:tblPrEx>
        <w:trPr>
          <w:trHeight w:val="23" w:hRule="atLeast"/>
        </w:trPr>
        <w:tc>
          <w:tcPr>
            <w:tcW w:w="56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85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布线、设备安装施工</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摄像头安装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r>
      <w:tr>
        <w:tblPrEx>
          <w:tblCellMar>
            <w:top w:w="0" w:type="dxa"/>
            <w:left w:w="108" w:type="dxa"/>
            <w:bottom w:w="0" w:type="dxa"/>
            <w:right w:w="108" w:type="dxa"/>
          </w:tblCellMar>
        </w:tblPrEx>
        <w:trPr>
          <w:trHeight w:val="23" w:hRule="atLeast"/>
        </w:trPr>
        <w:tc>
          <w:tcPr>
            <w:tcW w:w="563" w:type="pct"/>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p>
        </w:tc>
        <w:tc>
          <w:tcPr>
            <w:tcW w:w="855"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AI服务器机柜安装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p>
        </w:tc>
        <w:tc>
          <w:tcPr>
            <w:tcW w:w="855"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UPS安装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blPrEx>
          <w:tblCellMar>
            <w:top w:w="0" w:type="dxa"/>
            <w:left w:w="108" w:type="dxa"/>
            <w:bottom w:w="0" w:type="dxa"/>
            <w:right w:w="108" w:type="dxa"/>
          </w:tblCellMar>
        </w:tblPrEx>
        <w:trPr>
          <w:trHeight w:val="23" w:hRule="atLeast"/>
        </w:trPr>
        <w:tc>
          <w:tcPr>
            <w:tcW w:w="563" w:type="pct"/>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p>
        </w:tc>
        <w:tc>
          <w:tcPr>
            <w:tcW w:w="855"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设备线路布设</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trPr>
          <w:trHeight w:val="23" w:hRule="atLeast"/>
        </w:trPr>
        <w:tc>
          <w:tcPr>
            <w:tcW w:w="56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1"/>
                <w:szCs w:val="21"/>
              </w:rPr>
            </w:pPr>
          </w:p>
        </w:tc>
        <w:tc>
          <w:tcPr>
            <w:tcW w:w="85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线路节点安装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bl>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项目交付中所需线材等辅助性材料包含在报价中。</w:t>
      </w:r>
    </w:p>
    <w:p>
      <w:pPr>
        <w:pStyle w:val="2"/>
        <w:rPr>
          <w:lang w:val="zh-CN"/>
        </w:rPr>
      </w:pPr>
    </w:p>
    <w:p>
      <w:pPr>
        <w:pStyle w:val="5"/>
        <w:jc w:val="left"/>
        <w:rPr>
          <w:rFonts w:hint="eastAsia" w:ascii="仿宋_GB2312" w:hAnsi="仿宋_GB2312" w:eastAsia="仿宋_GB2312" w:cs="仿宋_GB2312"/>
          <w:color w:val="auto"/>
          <w:sz w:val="28"/>
          <w:szCs w:val="28"/>
        </w:rPr>
      </w:pPr>
      <w:bookmarkStart w:id="19" w:name="_Toc21315_WPSOffice_Level3"/>
      <w:r>
        <w:rPr>
          <w:rFonts w:hint="eastAsia" w:ascii="仿宋_GB2312" w:hAnsi="仿宋_GB2312" w:eastAsia="仿宋_GB2312" w:cs="仿宋_GB2312"/>
          <w:color w:val="auto"/>
          <w:sz w:val="28"/>
          <w:szCs w:val="28"/>
        </w:rPr>
        <w:t>（二）服务要求</w:t>
      </w:r>
      <w:bookmarkEnd w:id="19"/>
    </w:p>
    <w:p>
      <w:pPr>
        <w:ind w:left="420" w:leftChars="200" w:firstLine="109" w:firstLineChars="52"/>
        <w:rPr>
          <w:rFonts w:ascii="仿宋_GB2312" w:hAnsi="仿宋_GB2312" w:eastAsia="仿宋_GB2312" w:cs="仿宋_GB2312"/>
          <w:sz w:val="28"/>
          <w:szCs w:val="28"/>
        </w:rPr>
      </w:pPr>
      <w:r>
        <w:rPr>
          <w:rFonts w:hint="eastAsia"/>
          <w:lang w:val="zh-CN"/>
        </w:rPr>
        <w:t xml:space="preserve">    </w:t>
      </w:r>
      <w:r>
        <w:rPr>
          <w:rFonts w:hint="eastAsia" w:ascii="仿宋_GB2312" w:hAnsi="仿宋_GB2312" w:eastAsia="仿宋_GB2312" w:cs="仿宋_GB2312"/>
          <w:sz w:val="28"/>
          <w:szCs w:val="28"/>
        </w:rPr>
        <w:t>项目必须提供的具体服务内容如下：</w:t>
      </w:r>
    </w:p>
    <w:p>
      <w:pPr>
        <w:ind w:firstLine="281" w:firstLineChars="10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1.质保期服务内容要求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1</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sz w:val="28"/>
          <w:szCs w:val="28"/>
        </w:rPr>
        <w:t>报价人明确承诺:本项目的软硬件需提供一年免费售后服务。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sz w:val="28"/>
          <w:szCs w:val="28"/>
        </w:rPr>
        <w:t>报价人产品属于国家规定“三包”范围的，其产品质量保证期不得低于“三包”规定。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sz w:val="28"/>
          <w:szCs w:val="28"/>
        </w:rPr>
        <w:t>报价人的质量保证期承诺优于国家“三包”规定的，按承包人实际承诺执行。</w:t>
      </w:r>
    </w:p>
    <w:p>
      <w:pPr>
        <w:ind w:firstLine="560" w:firstLineChars="200"/>
        <w:rPr>
          <w:rFonts w:ascii="仿宋_GB2312" w:hAnsi="仿宋_GB2312" w:eastAsia="仿宋_GB2312" w:cs="仿宋_GB2312"/>
          <w:sz w:val="28"/>
          <w:szCs w:val="28"/>
          <w:highlight w:val="red"/>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sz w:val="28"/>
          <w:szCs w:val="28"/>
        </w:rPr>
        <w:t>报价人产品由原厂负责标准售后服务的，应当在报价文件中予以明确说明,并附厂家售后服务承诺内容。</w:t>
      </w:r>
    </w:p>
    <w:p>
      <w:pPr>
        <w:ind w:firstLine="281" w:firstLineChars="10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2.售后服务内容要求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承包人在质量保证期内应当为询价人提供以下技术支持和服务: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A、电话咨询</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B、现场响应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C、技术升级</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在质保期内，如果承包人的销售的产品发现漏洞或能够技术升级，承包人应及时通知询价人，如询价人有相应要求，承包人应对询价人购买的产品进行升级服务。</w:t>
      </w:r>
    </w:p>
    <w:p>
      <w:pPr>
        <w:ind w:firstLine="281" w:firstLineChars="10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3.质保期外服务要求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A、质量保证期过后，承包人应同样提供免费电话咨询服务，并应承诺提供产品上门维护服务。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B、质量保证期过后，询价人需要继续由承包人提供售后服务的，该承包人应以优惠价格提供售后服务。</w:t>
      </w:r>
    </w:p>
    <w:p>
      <w:pPr>
        <w:pStyle w:val="2"/>
      </w:pPr>
    </w:p>
    <w:p>
      <w:pPr>
        <w:ind w:firstLine="281" w:firstLineChars="10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4.知识产权要求</w:t>
      </w:r>
    </w:p>
    <w:p>
      <w:pPr>
        <w:spacing w:after="240" w:line="360" w:lineRule="auto"/>
        <w:ind w:firstLine="560"/>
        <w:jc w:val="left"/>
        <w:rPr>
          <w:lang w:val="zh-CN"/>
        </w:rPr>
      </w:pPr>
      <w:r>
        <w:rPr>
          <w:rFonts w:hint="eastAsia" w:ascii="仿宋_GB2312" w:hAnsi="仿宋_GB2312" w:eastAsia="仿宋_GB2312" w:cs="仿宋_GB2312"/>
          <w:color w:val="000000" w:themeColor="text1"/>
          <w:sz w:val="28"/>
          <w:szCs w:val="28"/>
          <w:lang w:val="zh-CN"/>
          <w14:textFill>
            <w14:solidFill>
              <w14:schemeClr w14:val="tx1"/>
            </w14:solidFill>
          </w14:textFill>
        </w:rPr>
        <w:t>鉴于本项目是我方投入研发资金基于净水厂格栅重要生产设备运维试点深度智能化应用，并在国内具备一定的前瞻性、独创性，承包单位须共享本项目知识产权（含算法代码），并提供相应承诺函。（加盖单位公章）</w:t>
      </w:r>
    </w:p>
    <w:p>
      <w:pPr>
        <w:pStyle w:val="4"/>
        <w:rPr>
          <w:rFonts w:hint="eastAsia" w:ascii="仿宋_GB2312" w:hAnsi="仿宋_GB2312" w:eastAsia="仿宋_GB2312" w:cs="仿宋_GB2312"/>
          <w:color w:val="auto"/>
          <w:lang w:val="en-US" w:eastAsia="zh-CN"/>
        </w:rPr>
      </w:pPr>
      <w:bookmarkStart w:id="20" w:name="_Toc30178_WPSOffice_Level2"/>
      <w:r>
        <w:rPr>
          <w:rFonts w:hint="eastAsia" w:ascii="仿宋_GB2312" w:hAnsi="仿宋_GB2312" w:eastAsia="仿宋_GB2312" w:cs="仿宋_GB2312"/>
          <w:color w:val="auto"/>
          <w:lang w:val="en-US" w:eastAsia="zh-CN"/>
        </w:rPr>
        <w:t>三、培训要求</w:t>
      </w:r>
      <w:bookmarkEnd w:id="20"/>
    </w:p>
    <w:p>
      <w:pPr>
        <w:pStyle w:val="53"/>
        <w:autoSpaceDE w:val="0"/>
        <w:autoSpaceDN w:val="0"/>
        <w:adjustRightInd w:val="0"/>
        <w:spacing w:line="360" w:lineRule="auto"/>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承包单位应根据项目实施的计划、进度和需要与询价人的合理要求，及时安排对询价人的相关人员进行培训。</w:t>
      </w:r>
    </w:p>
    <w:p>
      <w:pPr>
        <w:pStyle w:val="53"/>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培训目标为使受训者能够独立、熟练地完成操作，实现本项目所有</w:t>
      </w:r>
      <w:r>
        <w:rPr>
          <w:rFonts w:hint="eastAsia" w:ascii="仿宋_GB2312" w:hAnsi="仿宋_GB2312" w:eastAsia="仿宋_GB2312" w:cs="仿宋_GB2312"/>
          <w:color w:val="auto"/>
          <w:sz w:val="28"/>
          <w:szCs w:val="28"/>
          <w:lang w:val="en-US" w:eastAsia="zh-CN"/>
        </w:rPr>
        <w:t>软硬件</w:t>
      </w:r>
      <w:r>
        <w:rPr>
          <w:rFonts w:hint="eastAsia" w:ascii="仿宋_GB2312" w:hAnsi="仿宋_GB2312" w:eastAsia="仿宋_GB2312" w:cs="仿宋_GB2312"/>
          <w:color w:val="auto"/>
          <w:sz w:val="28"/>
          <w:szCs w:val="28"/>
        </w:rPr>
        <w:t>的基本操作。具体如下：</w:t>
      </w:r>
    </w:p>
    <w:p>
      <w:pPr>
        <w:pStyle w:val="53"/>
        <w:autoSpaceDE w:val="0"/>
        <w:autoSpaceDN w:val="0"/>
        <w:adjustRightInd w:val="0"/>
        <w:spacing w:line="360" w:lineRule="auto"/>
        <w:ind w:left="-142" w:firstLine="56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由承包单位组织正式培训，采用准备好的注释、讲义、讨论会、视听演示以及在现场进行实际操作示范，培训人员应做好操作、管理、维护的充分准备，承包单位应提交一份培训计划给询价人以获批准。</w:t>
      </w:r>
    </w:p>
    <w:p>
      <w:pPr>
        <w:pStyle w:val="53"/>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培训范围：</w:t>
      </w:r>
      <w:r>
        <w:rPr>
          <w:rFonts w:hint="eastAsia" w:ascii="仿宋_GB2312" w:hAnsi="仿宋_GB2312" w:eastAsia="仿宋_GB2312" w:cs="仿宋_GB2312"/>
          <w:color w:val="auto"/>
          <w:sz w:val="28"/>
          <w:szCs w:val="28"/>
          <w:lang w:val="en-US" w:eastAsia="zh-CN"/>
        </w:rPr>
        <w:t>软硬件</w:t>
      </w:r>
      <w:r>
        <w:rPr>
          <w:rFonts w:hint="eastAsia" w:ascii="仿宋_GB2312" w:hAnsi="仿宋_GB2312" w:eastAsia="仿宋_GB2312" w:cs="仿宋_GB2312"/>
          <w:color w:val="auto"/>
          <w:sz w:val="28"/>
          <w:szCs w:val="28"/>
        </w:rPr>
        <w:t>设备以及系统的</w:t>
      </w:r>
      <w:r>
        <w:rPr>
          <w:rFonts w:hint="eastAsia" w:ascii="仿宋_GB2312" w:hAnsi="仿宋_GB2312" w:eastAsia="仿宋_GB2312" w:cs="仿宋_GB2312"/>
          <w:color w:val="auto"/>
          <w:sz w:val="28"/>
          <w:szCs w:val="28"/>
          <w:lang w:val="en-US" w:eastAsia="zh-CN"/>
        </w:rPr>
        <w:t>日常使用及</w:t>
      </w:r>
      <w:r>
        <w:rPr>
          <w:rFonts w:hint="eastAsia" w:ascii="仿宋_GB2312" w:hAnsi="仿宋_GB2312" w:eastAsia="仿宋_GB2312" w:cs="仿宋_GB2312"/>
          <w:color w:val="auto"/>
          <w:sz w:val="28"/>
          <w:szCs w:val="28"/>
        </w:rPr>
        <w:t>维护操作</w:t>
      </w:r>
    </w:p>
    <w:p>
      <w:pPr>
        <w:pStyle w:val="53"/>
        <w:numPr>
          <w:ilvl w:val="0"/>
          <w:numId w:val="0"/>
        </w:numPr>
        <w:autoSpaceDE w:val="0"/>
        <w:autoSpaceDN w:val="0"/>
        <w:adjustRightInd w:val="0"/>
        <w:spacing w:line="360" w:lineRule="auto"/>
        <w:ind w:left="420" w:leftChars="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培训地点：广州市净水有限公司</w:t>
      </w:r>
      <w:r>
        <w:rPr>
          <w:rFonts w:hint="eastAsia" w:ascii="仿宋_GB2312" w:hAnsi="仿宋_GB2312" w:eastAsia="仿宋_GB2312" w:cs="仿宋_GB2312"/>
          <w:color w:val="auto"/>
          <w:sz w:val="28"/>
          <w:szCs w:val="28"/>
          <w:lang w:val="en-US" w:eastAsia="zh-CN"/>
        </w:rPr>
        <w:t>沥滘分公司</w:t>
      </w:r>
    </w:p>
    <w:p>
      <w:pPr>
        <w:pStyle w:val="53"/>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培训时间：在项目施工完成后进行培训</w:t>
      </w:r>
    </w:p>
    <w:p>
      <w:pPr>
        <w:pStyle w:val="53"/>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培训内容：根据用户对设备日常维护需求提供相关的培训及答疑，次数</w:t>
      </w:r>
      <w:r>
        <w:rPr>
          <w:rFonts w:hint="eastAsia" w:ascii="仿宋_GB2312" w:hAnsi="仿宋_GB2312" w:eastAsia="仿宋_GB2312" w:cs="仿宋_GB2312"/>
          <w:color w:val="auto"/>
          <w:sz w:val="28"/>
          <w:szCs w:val="28"/>
          <w:lang w:val="en-US" w:eastAsia="zh-CN"/>
        </w:rPr>
        <w:t>至少</w:t>
      </w:r>
      <w:r>
        <w:rPr>
          <w:rFonts w:hint="eastAsia" w:ascii="仿宋_GB2312" w:hAnsi="仿宋_GB2312" w:eastAsia="仿宋_GB2312" w:cs="仿宋_GB2312"/>
          <w:color w:val="auto"/>
          <w:sz w:val="28"/>
          <w:szCs w:val="28"/>
        </w:rPr>
        <w:t>1次。若用户对设备以及系统日常维护管理及使用仍存在疑问，在运行和维护期间乙方必须持续提供咨询服务。</w:t>
      </w:r>
    </w:p>
    <w:p>
      <w:pPr>
        <w:pStyle w:val="2"/>
        <w:rPr>
          <w:rFonts w:hint="eastAsia"/>
          <w:lang w:val="en-US" w:eastAsia="zh-CN"/>
        </w:rPr>
      </w:pPr>
    </w:p>
    <w:p>
      <w:pPr>
        <w:pStyle w:val="4"/>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en-US" w:eastAsia="zh-CN"/>
        </w:rPr>
        <w:t>四、项目商务要求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1.服务期：</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个月</w:t>
      </w:r>
    </w:p>
    <w:p>
      <w:pPr>
        <w:spacing w:line="500" w:lineRule="exact"/>
        <w:ind w:firstLine="560" w:firstLineChars="200"/>
        <w:rPr>
          <w:rFonts w:hint="eastAsia" w:ascii="仿宋_GB2312" w:hAnsi="仿宋_GB2312" w:eastAsia="仿宋_GB2312" w:cs="仿宋_GB2312"/>
          <w:bCs/>
          <w:color w:val="auto"/>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2.质量要求：</w:t>
      </w:r>
      <w:r>
        <w:rPr>
          <w:rFonts w:hint="eastAsia" w:ascii="仿宋_GB2312" w:hAnsi="仿宋_GB2312" w:eastAsia="仿宋_GB2312" w:cs="仿宋_GB2312"/>
          <w:bCs/>
          <w:color w:val="auto"/>
          <w:sz w:val="28"/>
          <w:szCs w:val="28"/>
          <w:lang w:val="en-US" w:eastAsia="zh-CN"/>
        </w:rPr>
        <w:t>报价人</w:t>
      </w:r>
      <w:r>
        <w:rPr>
          <w:rFonts w:hint="eastAsia" w:ascii="仿宋_GB2312" w:hAnsi="仿宋_GB2312" w:eastAsia="仿宋_GB2312" w:cs="仿宋_GB2312"/>
          <w:bCs/>
          <w:color w:val="auto"/>
          <w:sz w:val="28"/>
          <w:szCs w:val="28"/>
          <w:lang w:val="zh-CN"/>
        </w:rPr>
        <w:t>所提供的设备必须为全新原装的、</w:t>
      </w:r>
      <w:r>
        <w:rPr>
          <w:rFonts w:hint="eastAsia" w:ascii="仿宋_GB2312" w:hAnsi="仿宋_GB2312" w:eastAsia="仿宋_GB2312" w:cs="仿宋_GB2312"/>
          <w:bCs/>
          <w:color w:val="auto"/>
          <w:sz w:val="28"/>
          <w:szCs w:val="28"/>
          <w:lang w:val="en-US" w:eastAsia="zh-CN"/>
        </w:rPr>
        <w:t>符合国家及采购人提出的有关质量标准的设备</w:t>
      </w:r>
      <w:r>
        <w:rPr>
          <w:rFonts w:hint="eastAsia" w:ascii="仿宋_GB2312" w:hAnsi="仿宋_GB2312" w:eastAsia="仿宋_GB2312" w:cs="仿宋_GB2312"/>
          <w:bCs/>
          <w:color w:val="auto"/>
          <w:sz w:val="28"/>
          <w:szCs w:val="28"/>
          <w:lang w:val="zh-CN"/>
        </w:rPr>
        <w:t>。</w:t>
      </w:r>
      <w:r>
        <w:rPr>
          <w:rFonts w:hint="eastAsia" w:ascii="仿宋_GB2312" w:hAnsi="仿宋_GB2312" w:eastAsia="仿宋_GB2312" w:cs="仿宋_GB2312"/>
          <w:bCs/>
          <w:color w:val="auto"/>
          <w:sz w:val="28"/>
          <w:szCs w:val="28"/>
          <w:lang w:val="en-US" w:eastAsia="zh-CN"/>
        </w:rPr>
        <w:t>且报价人所提供的软件服务符合国家及采购人提出的有关建设指标要求和质量标准。</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val="zh-CN"/>
        </w:rPr>
        <w:t>询价人将自承包商履行完合同义务</w:t>
      </w:r>
      <w:r>
        <w:rPr>
          <w:rFonts w:hint="eastAsia" w:ascii="仿宋_GB2312" w:hAnsi="仿宋_GB2312" w:eastAsia="仿宋_GB2312" w:cs="仿宋_GB2312"/>
          <w:bCs/>
          <w:color w:val="auto"/>
          <w:sz w:val="28"/>
          <w:szCs w:val="28"/>
          <w:lang w:val="en-US" w:eastAsia="zh-CN"/>
        </w:rPr>
        <w:t>后</w:t>
      </w:r>
      <w:r>
        <w:rPr>
          <w:rFonts w:hint="eastAsia" w:ascii="仿宋_GB2312" w:hAnsi="仿宋_GB2312" w:eastAsia="仿宋_GB2312" w:cs="仿宋_GB2312"/>
          <w:bCs/>
          <w:color w:val="auto"/>
          <w:sz w:val="28"/>
          <w:szCs w:val="28"/>
          <w:lang w:val="zh-CN"/>
        </w:rPr>
        <w:t>组织验收，验收要求、验收标准及方法如下：</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（1）项目采购实施部署安装整体完成起30天内并无任何由于项目引起的故障，包括但不限于软件运行故障、项目提供的设备故障等。</w:t>
      </w:r>
    </w:p>
    <w:p>
      <w:pPr>
        <w:pStyle w:val="2"/>
        <w:rPr>
          <w:rFonts w:hint="default"/>
          <w:lang w:val="en-US" w:eastAsia="zh-CN"/>
        </w:rPr>
      </w:pPr>
      <w:r>
        <w:rPr>
          <w:rFonts w:hint="eastAsia" w:ascii="仿宋_GB2312" w:hAnsi="仿宋_GB2312" w:cs="仿宋_GB2312"/>
          <w:bCs/>
          <w:color w:val="auto"/>
          <w:sz w:val="28"/>
          <w:szCs w:val="28"/>
          <w:lang w:val="en-US" w:eastAsia="zh-CN"/>
        </w:rPr>
        <w:t xml:space="preserve">    （2）项目系统AI技术指标达到本项目建设要求。</w:t>
      </w:r>
    </w:p>
    <w:p>
      <w:pPr>
        <w:pStyle w:val="2"/>
        <w:ind w:firstLine="560" w:firstLineChars="200"/>
        <w:rPr>
          <w:rFonts w:hint="default"/>
          <w:lang w:val="en-US"/>
        </w:rPr>
      </w:pPr>
      <w:r>
        <w:rPr>
          <w:rFonts w:hint="eastAsia" w:ascii="仿宋_GB2312" w:hAnsi="仿宋_GB2312" w:eastAsia="仿宋_GB2312" w:cs="仿宋_GB2312"/>
          <w:bCs/>
          <w:color w:val="auto"/>
          <w:sz w:val="28"/>
          <w:szCs w:val="28"/>
          <w:lang w:val="en-US" w:eastAsia="zh-CN"/>
        </w:rPr>
        <w:t>（</w:t>
      </w:r>
      <w:r>
        <w:rPr>
          <w:rFonts w:hint="eastAsia" w:ascii="仿宋_GB2312" w:hAnsi="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val="en-US" w:eastAsia="zh-CN"/>
        </w:rPr>
        <w:t>）完整提供项目的竣工验收报告，包括但不限于软硬件服务授权证明以及相关资料文件（如设备质保卡、软件授权证明、合格证等）、实施中涉及的账号密码、拓扑图、系统效果图等</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.安全文明施工要求：详见合同附件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.总包及分包规定：不允许分包</w:t>
      </w:r>
    </w:p>
    <w:p>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.付款方式：详见合同范本</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 w:val="0"/>
          <w:bCs/>
          <w:color w:val="auto"/>
          <w:kern w:val="2"/>
          <w:sz w:val="28"/>
          <w:szCs w:val="28"/>
          <w:lang w:val="zh-CN" w:eastAsia="zh-CN" w:bidi="ar-SA"/>
        </w:rPr>
      </w:pP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lang w:val="zh-CN"/>
        </w:rPr>
        <w:t>承包方式：</w:t>
      </w:r>
      <w:r>
        <w:rPr>
          <w:rFonts w:hint="eastAsia" w:ascii="仿宋_GB2312" w:hAnsi="仿宋_GB2312" w:eastAsia="仿宋_GB2312" w:cs="仿宋_GB2312"/>
          <w:b w:val="0"/>
          <w:bCs/>
          <w:color w:val="auto"/>
          <w:kern w:val="2"/>
          <w:sz w:val="28"/>
          <w:szCs w:val="28"/>
          <w:lang w:val="zh-CN" w:eastAsia="zh-CN" w:bidi="ar-SA"/>
        </w:rPr>
        <w:t>包工、包料、</w:t>
      </w:r>
      <w:r>
        <w:rPr>
          <w:rFonts w:hint="eastAsia" w:ascii="仿宋_GB2312" w:hAnsi="仿宋_GB2312" w:eastAsia="仿宋_GB2312" w:cs="仿宋_GB2312"/>
          <w:b w:val="0"/>
          <w:bCs/>
          <w:color w:val="auto"/>
          <w:kern w:val="2"/>
          <w:sz w:val="28"/>
          <w:szCs w:val="28"/>
          <w:lang w:val="en-US" w:eastAsia="zh-CN" w:bidi="ar-SA"/>
        </w:rPr>
        <w:t>包设备安装、</w:t>
      </w:r>
      <w:r>
        <w:rPr>
          <w:rFonts w:hint="eastAsia" w:ascii="仿宋_GB2312" w:hAnsi="仿宋_GB2312" w:eastAsia="仿宋_GB2312" w:cs="仿宋_GB2312"/>
          <w:b w:val="0"/>
          <w:bCs/>
          <w:color w:val="auto"/>
          <w:kern w:val="2"/>
          <w:sz w:val="28"/>
          <w:szCs w:val="28"/>
          <w:lang w:val="zh-CN" w:eastAsia="zh-CN" w:bidi="ar-SA"/>
        </w:rPr>
        <w:t>包开发、包调试、包培训、包运维（1年）、包验收的总价包干方式。</w:t>
      </w:r>
    </w:p>
    <w:p>
      <w:pPr>
        <w:pStyle w:val="2"/>
        <w:ind w:firstLine="560" w:firstLineChars="200"/>
        <w:rPr>
          <w:rFonts w:hint="eastAsia" w:ascii="仿宋_GB2312" w:hAnsi="仿宋_GB2312" w:cs="仿宋_GB2312"/>
          <w:color w:val="auto"/>
          <w:sz w:val="28"/>
          <w:szCs w:val="28"/>
          <w:lang w:eastAsia="zh-CN"/>
        </w:rPr>
      </w:pPr>
      <w:r>
        <w:rPr>
          <w:rFonts w:hint="eastAsia" w:ascii="仿宋_GB2312" w:hAnsi="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color w:val="auto"/>
          <w:sz w:val="28"/>
          <w:szCs w:val="28"/>
        </w:rPr>
        <w:t>项目结算：</w:t>
      </w:r>
      <w:r>
        <w:rPr>
          <w:rFonts w:hint="eastAsia" w:ascii="仿宋_GB2312" w:hAnsi="仿宋_GB2312" w:eastAsia="仿宋_GB2312" w:cs="仿宋_GB2312"/>
          <w:bCs/>
          <w:color w:val="auto"/>
          <w:sz w:val="28"/>
          <w:szCs w:val="28"/>
          <w:lang w:val="en-US" w:eastAsia="zh-CN"/>
        </w:rPr>
        <w:t>详见合同</w:t>
      </w:r>
      <w:r>
        <w:rPr>
          <w:rFonts w:hint="eastAsia" w:ascii="仿宋_GB2312" w:hAnsi="仿宋_GB2312" w:cs="仿宋_GB2312"/>
          <w:color w:val="auto"/>
          <w:sz w:val="28"/>
          <w:szCs w:val="28"/>
          <w:lang w:eastAsia="zh-CN"/>
        </w:rPr>
        <w:t>。</w:t>
      </w:r>
    </w:p>
    <w:p>
      <w:pPr>
        <w:pStyle w:val="2"/>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both"/>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default" w:ascii="仿宋_GB2312" w:hAnsi="仿宋_GB2312" w:eastAsia="仿宋_GB2312" w:cs="仿宋_GB2312"/>
          <w:b/>
          <w:color w:val="000000" w:themeColor="text1"/>
          <w:sz w:val="28"/>
          <w:szCs w:val="28"/>
          <w:lang w:val="en-US" w:eastAsia="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沥滘分公司</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4"/>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themeColor="text1"/>
          <w:sz w:val="28"/>
          <w:szCs w:val="28"/>
          <w14:textFill>
            <w14:solidFill>
              <w14:schemeClr w14:val="tx1"/>
            </w14:solidFill>
          </w14:textFill>
        </w:rPr>
        <w:t>予以答复</w:t>
      </w:r>
      <w:r>
        <w:rPr>
          <w:rFonts w:hint="eastAsia" w:ascii="仿宋_GB2312" w:hAnsi="仿宋_GB2312" w:eastAsia="仿宋_GB2312" w:cs="仿宋_GB2312"/>
          <w:color w:val="000000" w:themeColor="text1"/>
          <w:sz w:val="28"/>
          <w:szCs w:val="28"/>
          <w14:textFill>
            <w14:solidFill>
              <w14:schemeClr w14:val="tx1"/>
            </w14:solidFill>
          </w14:textFill>
        </w:rPr>
        <w:t>或以净水公司门户网站公告的形式发布，（答复中不包括问题的来源）。报价单位在收到上述答复后，应立即向询价人回函确认，该答复作为询价文件的一部分，对报价单位有约束力。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７.3询价文件的修改或澄清将以</w:t>
      </w:r>
      <w:r>
        <w:rPr>
          <w:rFonts w:hint="eastAsia" w:ascii="仿宋" w:hAnsi="仿宋" w:eastAsia="仿宋" w:cs="仿宋_GB2312"/>
          <w:color w:val="000000" w:themeColor="text1"/>
          <w:sz w:val="28"/>
          <w:szCs w:val="28"/>
          <w14:textFill>
            <w14:solidFill>
              <w14:schemeClr w14:val="tx1"/>
            </w14:solidFill>
          </w14:textFill>
        </w:rPr>
        <w:t>书面形式通知所有购买询价文件的报价单位或以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净水公司门户网站公告的形式发布，并对其具有约束力。</w:t>
      </w:r>
      <w:r>
        <w:rPr>
          <w:rFonts w:hint="eastAsia" w:ascii="仿宋" w:hAnsi="仿宋" w:eastAsia="仿宋" w:cs="仿宋_GB2312"/>
          <w:color w:val="000000" w:themeColor="text1"/>
          <w:sz w:val="28"/>
          <w:szCs w:val="28"/>
          <w14:textFill>
            <w14:solidFill>
              <w14:schemeClr w14:val="tx1"/>
            </w14:solidFill>
          </w14:textFill>
        </w:rPr>
        <w:t>报价单位在收到上述通知后，应立即向询价人回函确认。</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7.4询价人可以视询价具体情况，延长递交询价响应文件截止时间，并将变更时间以</w:t>
      </w:r>
      <w:r>
        <w:rPr>
          <w:rFonts w:hint="eastAsia" w:ascii="仿宋" w:hAnsi="仿宋" w:eastAsia="仿宋" w:cs="仿宋_GB2312"/>
          <w:color w:val="000000" w:themeColor="text1"/>
          <w:sz w:val="28"/>
          <w:szCs w:val="28"/>
          <w14:textFill>
            <w14:solidFill>
              <w14:schemeClr w14:val="tx1"/>
            </w14:solidFill>
          </w14:textFill>
        </w:rPr>
        <w:t>书面形式</w:t>
      </w:r>
      <w:r>
        <w:rPr>
          <w:rFonts w:hint="eastAsia" w:ascii="仿宋_GB2312" w:hAnsi="仿宋_GB2312" w:eastAsia="仿宋_GB2312" w:cs="仿宋_GB2312"/>
          <w:color w:val="000000" w:themeColor="text1"/>
          <w:sz w:val="28"/>
          <w:szCs w:val="28"/>
          <w14:textFill>
            <w14:solidFill>
              <w14:schemeClr w14:val="tx1"/>
            </w14:solidFill>
          </w14:textFill>
        </w:rPr>
        <w:t>通知所有询价文件收受人</w:t>
      </w:r>
      <w:r>
        <w:rPr>
          <w:rFonts w:hint="eastAsia" w:ascii="仿宋" w:hAnsi="仿宋" w:eastAsia="仿宋" w:cs="仿宋_GB2312"/>
          <w:color w:val="000000" w:themeColor="text1"/>
          <w:sz w:val="28"/>
          <w:szCs w:val="28"/>
          <w14:textFill>
            <w14:solidFill>
              <w14:schemeClr w14:val="tx1"/>
            </w14:solidFill>
          </w14:textFill>
        </w:rPr>
        <w:t>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w:t>
      </w:r>
    </w:p>
    <w:p>
      <w:pPr>
        <w:pStyle w:val="14"/>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10.1报价单位编制的询价响应文件应包括但不少于本询价文件第四章《询价响应文件格式》的所有内容。</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12.4 报价人不得存在以下情形之一：</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（4）被依法暂停或者取消投标资格；</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w:t>
      </w:r>
      <w:r>
        <w:rPr>
          <w:rFonts w:ascii="仿宋" w:hAnsi="仿宋" w:eastAsia="仿宋" w:cs="仿宋_GB2312"/>
          <w:color w:val="000000" w:themeColor="text1"/>
          <w:sz w:val="28"/>
          <w:szCs w:val="28"/>
          <w14:textFill>
            <w14:solidFill>
              <w14:schemeClr w14:val="tx1"/>
            </w14:solidFill>
          </w14:textFill>
        </w:rPr>
        <w:t>在参加本项目前3年内在</w:t>
      </w:r>
      <w:r>
        <w:rPr>
          <w:rFonts w:hint="eastAsia" w:ascii="仿宋" w:hAnsi="仿宋" w:eastAsia="仿宋" w:cs="仿宋_GB2312"/>
          <w:color w:val="000000" w:themeColor="text1"/>
          <w:sz w:val="28"/>
          <w:szCs w:val="28"/>
          <w14:textFill>
            <w14:solidFill>
              <w14:schemeClr w14:val="tx1"/>
            </w14:solidFill>
          </w14:textFill>
        </w:rPr>
        <w:t>存在</w:t>
      </w:r>
      <w:r>
        <w:rPr>
          <w:rFonts w:ascii="仿宋" w:hAnsi="仿宋" w:eastAsia="仿宋" w:cs="仿宋_GB2312"/>
          <w:color w:val="000000" w:themeColor="text1"/>
          <w:sz w:val="28"/>
          <w:szCs w:val="28"/>
          <w14:textFill>
            <w14:solidFill>
              <w14:schemeClr w14:val="tx1"/>
            </w14:solidFill>
          </w14:textFill>
        </w:rPr>
        <w:t>重大违法记录</w:t>
      </w:r>
      <w:r>
        <w:rPr>
          <w:rFonts w:hint="eastAsia" w:ascii="仿宋" w:hAnsi="仿宋" w:eastAsia="仿宋" w:cs="仿宋_GB2312"/>
          <w:color w:val="000000" w:themeColor="text1"/>
          <w:sz w:val="28"/>
          <w:szCs w:val="28"/>
          <w14:textFill>
            <w14:solidFill>
              <w14:schemeClr w14:val="tx1"/>
            </w14:solidFill>
          </w14:textFill>
        </w:rPr>
        <w:t>；</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w:t>
      </w:r>
      <w:r>
        <w:rPr>
          <w:rFonts w:ascii="仿宋" w:hAnsi="仿宋" w:eastAsia="仿宋" w:cs="仿宋_GB2312"/>
          <w:color w:val="000000" w:themeColor="text1"/>
          <w:sz w:val="28"/>
          <w:szCs w:val="28"/>
          <w14:textFill>
            <w14:solidFill>
              <w14:schemeClr w14:val="tx1"/>
            </w14:solidFill>
          </w14:textFill>
        </w:rPr>
        <w:t>被《信用中国》网站（www.creditchina.gov.cn）公示存在不良信用记录；</w:t>
      </w:r>
    </w:p>
    <w:p>
      <w:pPr>
        <w:pStyle w:val="14"/>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（10）本项目截止时间前的半年中，在询价人组织的招标、询价活动中有被查实提供虚假材料的。</w:t>
      </w:r>
    </w:p>
    <w:p>
      <w:pPr>
        <w:pStyle w:val="14"/>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不接受联合体报价。</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15.1询价响应文件应在询价之日起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各一</w:t>
      </w:r>
      <w:r>
        <w:rPr>
          <w:rFonts w:hint="eastAsia" w:ascii="仿宋_GB2312" w:hAnsi="仿宋_GB2312" w:eastAsia="仿宋_GB2312"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264"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264"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264"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264"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264"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264"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4"/>
        <w:adjustRightInd w:val="0"/>
        <w:snapToGrid w:val="0"/>
        <w:spacing w:line="264"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5"/>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14:textFill>
            <w14:solidFill>
              <w14:schemeClr w14:val="tx1"/>
            </w14:solidFill>
          </w14:textFill>
        </w:rPr>
        <w:t>因承包人原因导致未按规定时限签订合同的，发包人有权视为其自动放弃该项目</w:t>
      </w:r>
      <w:r>
        <w:rPr>
          <w:rFonts w:hint="eastAsia" w:ascii="仿宋" w:hAnsi="仿宋" w:eastAsia="仿宋" w:cs="仿宋_GB2312"/>
          <w:color w:val="000000" w:themeColor="text1"/>
          <w:sz w:val="28"/>
          <w:szCs w:val="28"/>
          <w:lang w:val="en-US" w:eastAsia="zh-CN"/>
          <w14:textFill>
            <w14:solidFill>
              <w14:schemeClr w14:val="tx1"/>
            </w14:solidFill>
          </w14:textFill>
        </w:rPr>
        <w:t>承包资格</w:t>
      </w: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rPr>
          <w:color w:val="000000" w:themeColor="text1"/>
          <w14:textFill>
            <w14:solidFill>
              <w14:schemeClr w14:val="tx1"/>
            </w14:solidFill>
          </w14:textFill>
        </w:rPr>
      </w:pPr>
      <w:bookmarkStart w:id="21" w:name="_Toc247085739"/>
      <w:bookmarkStart w:id="22" w:name="_Toc152045581"/>
      <w:bookmarkStart w:id="23" w:name="_Toc152042358"/>
      <w:bookmarkStart w:id="24" w:name="_Toc144974548"/>
      <w:bookmarkStart w:id="25" w:name="_Toc371433002"/>
      <w:bookmarkStart w:id="26" w:name="_Toc179632599"/>
    </w:p>
    <w:p>
      <w:pPr>
        <w:pStyle w:val="2"/>
        <w:rPr>
          <w:color w:val="000000" w:themeColor="text1"/>
          <w14:textFill>
            <w14:solidFill>
              <w14:schemeClr w14:val="tx1"/>
            </w14:solidFill>
          </w14:textFill>
        </w:rPr>
      </w:pPr>
    </w:p>
    <w:p>
      <w:pPr>
        <w:pStyle w:val="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附件一：报价记录表</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b/>
          <w:bCs/>
          <w:color w:val="000000" w:themeColor="text1"/>
          <w:sz w:val="28"/>
          <w:szCs w:val="28"/>
          <w:u w:val="single"/>
          <w14:textFill>
            <w14:solidFill>
              <w14:schemeClr w14:val="tx1"/>
            </w14:solidFill>
          </w14:textFill>
        </w:rPr>
        <w:t>沥滘三期格栅智慧运维系统项目</w:t>
      </w:r>
      <w:r>
        <w:rPr>
          <w:rFonts w:hint="eastAsia" w:ascii="仿宋_GB2312" w:hAnsi="仿宋_GB2312" w:eastAsia="仿宋_GB2312" w:cs="仿宋_GB2312"/>
          <w:color w:val="000000" w:themeColor="text1"/>
          <w:sz w:val="28"/>
          <w:szCs w:val="28"/>
          <w14:textFill>
            <w14:solidFill>
              <w14:schemeClr w14:val="tx1"/>
            </w14:solidFill>
          </w14:textFill>
        </w:rPr>
        <w:t>报价记录表</w:t>
      </w:r>
    </w:p>
    <w:p>
      <w:pPr>
        <w:spacing w:line="500" w:lineRule="exac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报价文件开启时间：年月日时分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14:textFill>
                  <w14:solidFill>
                    <w14:schemeClr w14:val="tx1"/>
                  </w14:solidFill>
                </w14:textFill>
              </w:rPr>
            </w:pPr>
          </w:p>
        </w:tc>
      </w:tr>
    </w:tbl>
    <w:p>
      <w:pPr>
        <w:spacing w:line="440" w:lineRule="exact"/>
        <w:rPr>
          <w:rFonts w:ascii="仿宋_GB2312" w:hAnsi="仿宋_GB2312" w:eastAsia="仿宋_GB2312" w:cs="仿宋_GB2312"/>
          <w:color w:val="000000" w:themeColor="text1"/>
          <w14:textFill>
            <w14:solidFill>
              <w14:schemeClr w14:val="tx1"/>
            </w14:solidFill>
          </w14:textFill>
        </w:rPr>
      </w:pPr>
    </w:p>
    <w:p>
      <w:pPr>
        <w:spacing w:line="440" w:lineRule="exact"/>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经办人：</w:t>
      </w:r>
      <w:r>
        <w:rPr>
          <w:rFonts w:hint="eastAsia" w:ascii="仿宋_GB2312" w:hAnsi="仿宋_GB2312" w:eastAsia="仿宋_GB2312" w:cs="仿宋_GB2312"/>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 xml:space="preserve"> 记录人：</w:t>
      </w:r>
    </w:p>
    <w:p>
      <w:pPr>
        <w:jc w:val="righ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 </w:t>
      </w:r>
    </w:p>
    <w:p>
      <w:pPr>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themeColor="text1"/>
          <w14:textFill>
            <w14:solidFill>
              <w14:schemeClr w14:val="tx1"/>
            </w14:solidFill>
          </w14:textFill>
        </w:rPr>
        <w:br w:type="page"/>
      </w:r>
      <w:r>
        <w:rPr>
          <w:rFonts w:hint="eastAsia" w:ascii="仿宋_GB2312" w:hAnsi="仿宋_GB2312" w:eastAsia="仿宋_GB2312" w:cs="仿宋_GB2312"/>
          <w:b/>
          <w:bCs/>
          <w:color w:val="000000" w:themeColor="text1"/>
          <w:sz w:val="32"/>
          <w:szCs w:val="32"/>
          <w14:textFill>
            <w14:solidFill>
              <w14:schemeClr w14:val="tx1"/>
            </w14:solidFill>
          </w14:textFill>
        </w:rPr>
        <w:t>附件二</w:t>
      </w: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广州市净水有限公司</w:t>
      </w:r>
      <w:r>
        <w:rPr>
          <w:rFonts w:hint="eastAsia" w:ascii="宋体" w:hAnsi="宋体"/>
          <w:b/>
          <w:color w:val="000000" w:themeColor="text1"/>
          <w:sz w:val="36"/>
          <w:szCs w:val="36"/>
          <w:lang w:val="en-US" w:eastAsia="zh-CN"/>
          <w14:textFill>
            <w14:solidFill>
              <w14:schemeClr w14:val="tx1"/>
            </w14:solidFill>
          </w14:textFill>
        </w:rPr>
        <w:t>沥滘分公司</w:t>
      </w:r>
      <w:r>
        <w:rPr>
          <w:rFonts w:hint="eastAsia" w:ascii="宋体" w:hAnsi="宋体"/>
          <w:b/>
          <w:color w:val="000000" w:themeColor="text1"/>
          <w:sz w:val="36"/>
          <w:szCs w:val="36"/>
          <w14:textFill>
            <w14:solidFill>
              <w14:schemeClr w14:val="tx1"/>
            </w14:solidFill>
          </w14:textFill>
        </w:rPr>
        <w:t>询价评审记录表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lang w:val="en-US" w:eastAsia="zh-CN"/>
          <w14:textFill>
            <w14:solidFill>
              <w14:schemeClr w14:val="tx1"/>
            </w14:solidFill>
          </w14:textFill>
        </w:rPr>
        <w:t>广州市净水有限公司</w:t>
      </w:r>
      <w:r>
        <w:rPr>
          <w:rFonts w:hint="eastAsia" w:ascii="宋体" w:hAnsi="宋体"/>
          <w:color w:val="000000" w:themeColor="text1"/>
          <w:sz w:val="24"/>
          <w14:textFill>
            <w14:solidFill>
              <w14:schemeClr w14:val="tx1"/>
            </w14:solidFill>
          </w14:textFill>
        </w:rPr>
        <w:t>沥滘三期格栅智慧运维系统项目</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noWrap/>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noWrap/>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noWrap/>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noWrap/>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noWrap/>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noWrap/>
            <w:vAlign w:val="center"/>
          </w:tcPr>
          <w:p>
            <w:pPr>
              <w:rPr>
                <w:rFonts w:ascii="仿宋" w:hAnsi="仿宋" w:eastAsia="仿宋"/>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资格证明书</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响应承诺书</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themeColor="text1"/>
                <w:szCs w:val="2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tcPr>
          <w:p>
            <w:pPr>
              <w:rPr>
                <w:rFonts w:ascii="仿宋" w:hAnsi="仿宋" w:eastAsia="仿宋"/>
                <w:color w:val="000000" w:themeColor="text1"/>
                <w:szCs w:val="2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tcPr>
          <w:p>
            <w:pPr>
              <w:rPr>
                <w:rFonts w:ascii="仿宋" w:hAnsi="仿宋" w:eastAsia="仿宋"/>
                <w:color w:val="000000" w:themeColor="text1"/>
                <w:szCs w:val="21"/>
                <w14:textFill>
                  <w14:solidFill>
                    <w14:schemeClr w14:val="tx1"/>
                  </w14:solidFill>
                </w14:textFill>
              </w:rPr>
            </w:pPr>
          </w:p>
        </w:tc>
      </w:tr>
    </w:tbl>
    <w:p>
      <w:pPr>
        <w:ind w:left="840" w:hanging="840" w:hangingChars="400"/>
        <w:rPr>
          <w:color w:val="000000" w:themeColor="text1"/>
          <w14:textFill>
            <w14:solidFill>
              <w14:schemeClr w14:val="tx1"/>
            </w14:solidFill>
          </w14:textFill>
        </w:rPr>
      </w:pPr>
    </w:p>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6"/>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spacing w:line="400" w:lineRule="atLeast"/>
        <w:rPr>
          <w:rFonts w:eastAsia="仿宋_GB2312" w:cs="仿宋_GB2312" w:asciiTheme="majorHAnsi" w:hAnsiTheme="majorHAnsi"/>
          <w:sz w:val="52"/>
          <w:szCs w:val="52"/>
        </w:rPr>
      </w:pPr>
    </w:p>
    <w:p>
      <w:pPr>
        <w:pStyle w:val="2"/>
        <w:rPr>
          <w:rFonts w:cs="仿宋_GB2312" w:asciiTheme="majorHAnsi" w:hAnsiTheme="majorHAnsi"/>
          <w:sz w:val="52"/>
          <w:szCs w:val="52"/>
        </w:rPr>
      </w:pPr>
    </w:p>
    <w:p>
      <w:pPr>
        <w:pStyle w:val="4"/>
        <w:rPr>
          <w:rFonts w:hint="eastAsia" w:ascii="仿宋_GB2312" w:hAnsi="仿宋_GB2312" w:eastAsia="仿宋_GB2312" w:cs="仿宋_GB2312"/>
          <w:color w:val="auto"/>
        </w:rPr>
      </w:pPr>
      <w:r>
        <w:rPr>
          <w:rFonts w:hint="eastAsia" w:ascii="仿宋_GB2312" w:hAnsi="仿宋_GB2312" w:eastAsia="仿宋_GB2312" w:cs="仿宋_GB2312"/>
          <w:color w:val="auto"/>
        </w:rPr>
        <w:t>附件三</w:t>
      </w:r>
    </w:p>
    <w:p>
      <w:pPr>
        <w:autoSpaceDE w:val="0"/>
        <w:autoSpaceDN w:val="0"/>
        <w:adjustRightInd w:val="0"/>
        <w:rPr>
          <w:rFonts w:hint="eastAsia" w:ascii="仿宋_GB2312" w:hAnsi="仿宋_GB2312" w:eastAsia="仿宋_GB2312" w:cs="仿宋_GB2312"/>
          <w:color w:val="auto"/>
          <w:kern w:val="0"/>
          <w:sz w:val="28"/>
          <w:szCs w:val="28"/>
        </w:rPr>
      </w:pPr>
    </w:p>
    <w:p>
      <w:pPr>
        <w:tabs>
          <w:tab w:val="left" w:pos="5740"/>
        </w:tabs>
        <w:autoSpaceDE w:val="0"/>
        <w:autoSpaceDN w:val="0"/>
        <w:adjustRightInd w:val="0"/>
        <w:jc w:val="center"/>
        <w:rPr>
          <w:rFonts w:hint="eastAsia" w:ascii="仿宋_GB2312" w:hAnsi="仿宋_GB2312" w:eastAsia="仿宋_GB2312" w:cs="仿宋_GB2312"/>
          <w:color w:val="auto"/>
          <w:sz w:val="44"/>
          <w:szCs w:val="44"/>
        </w:rPr>
      </w:pPr>
      <w:bookmarkStart w:id="27" w:name="_Toc17551_WPSOffice_Level3"/>
      <w:r>
        <w:rPr>
          <w:rFonts w:hint="eastAsia" w:ascii="仿宋_GB2312" w:hAnsi="仿宋_GB2312" w:eastAsia="仿宋_GB2312" w:cs="仿宋_GB2312"/>
          <w:bCs/>
          <w:color w:val="auto"/>
          <w:kern w:val="0"/>
          <w:sz w:val="44"/>
          <w:szCs w:val="44"/>
        </w:rPr>
        <w:t>广州市净水有限公司</w:t>
      </w:r>
      <w:r>
        <w:rPr>
          <w:rFonts w:hint="eastAsia" w:ascii="仿宋_GB2312" w:hAnsi="仿宋_GB2312" w:eastAsia="仿宋_GB2312" w:cs="仿宋_GB2312"/>
          <w:color w:val="auto"/>
          <w:sz w:val="44"/>
          <w:szCs w:val="44"/>
        </w:rPr>
        <w:t>非公开招标项目</w:t>
      </w:r>
      <w:bookmarkEnd w:id="27"/>
    </w:p>
    <w:p>
      <w:pPr>
        <w:tabs>
          <w:tab w:val="left" w:pos="5740"/>
        </w:tabs>
        <w:autoSpaceDE w:val="0"/>
        <w:autoSpaceDN w:val="0"/>
        <w:adjustRightInd w:val="0"/>
        <w:jc w:val="center"/>
        <w:rPr>
          <w:rFonts w:hint="eastAsia" w:ascii="仿宋_GB2312" w:hAnsi="仿宋_GB2312" w:eastAsia="仿宋_GB2312" w:cs="仿宋_GB2312"/>
          <w:bCs/>
          <w:color w:val="auto"/>
          <w:kern w:val="0"/>
          <w:sz w:val="44"/>
          <w:szCs w:val="44"/>
        </w:rPr>
      </w:pPr>
      <w:bookmarkStart w:id="28" w:name="_Toc18308_WPSOffice_Level3"/>
      <w:r>
        <w:rPr>
          <w:rFonts w:hint="eastAsia" w:ascii="仿宋_GB2312" w:hAnsi="仿宋_GB2312" w:eastAsia="仿宋_GB2312" w:cs="仿宋_GB2312"/>
          <w:bCs/>
          <w:color w:val="auto"/>
          <w:kern w:val="0"/>
          <w:sz w:val="44"/>
          <w:szCs w:val="44"/>
        </w:rPr>
        <w:t>发包通知书</w:t>
      </w:r>
      <w:bookmarkEnd w:id="28"/>
    </w:p>
    <w:p>
      <w:pPr>
        <w:autoSpaceDE w:val="0"/>
        <w:autoSpaceDN w:val="0"/>
        <w:adjustRightInd w:val="0"/>
        <w:spacing w:after="400"/>
        <w:jc w:val="center"/>
        <w:rPr>
          <w:rFonts w:hint="eastAsia" w:ascii="仿宋_GB2312" w:hAnsi="仿宋_GB2312" w:eastAsia="仿宋_GB2312" w:cs="仿宋_GB2312"/>
          <w:color w:val="auto"/>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color w:val="auto"/>
          <w:kern w:val="0"/>
          <w:sz w:val="32"/>
          <w:szCs w:val="32"/>
        </w:rPr>
      </w:pPr>
      <w:bookmarkStart w:id="29" w:name="_Toc10581_WPSOffice_Level3"/>
      <w:r>
        <w:rPr>
          <w:rFonts w:hint="eastAsia" w:ascii="仿宋_GB2312" w:hAnsi="仿宋_GB2312" w:eastAsia="仿宋_GB2312" w:cs="仿宋_GB2312"/>
          <w:color w:val="auto"/>
          <w:kern w:val="0"/>
          <w:sz w:val="32"/>
          <w:szCs w:val="32"/>
        </w:rPr>
        <w:t>广净（非公招）字 [20××] 第 [×××] 号</w:t>
      </w:r>
      <w:bookmarkEnd w:id="29"/>
    </w:p>
    <w:p>
      <w:pPr>
        <w:autoSpaceDE w:val="0"/>
        <w:autoSpaceDN w:val="0"/>
        <w:adjustRightInd w:val="0"/>
        <w:spacing w:after="3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其中：</w:t>
      </w:r>
    </w:p>
    <w:p>
      <w:pPr>
        <w:autoSpaceDE w:val="0"/>
        <w:autoSpaceDN w:val="0"/>
        <w:adjustRightInd w:val="0"/>
        <w:spacing w:after="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发包单位（盖章）：</w:t>
      </w:r>
    </w:p>
    <w:p>
      <w:pPr>
        <w:autoSpaceDE w:val="0"/>
        <w:autoSpaceDN w:val="0"/>
        <w:adjustRightInd w:val="0"/>
        <w:spacing w:after="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rPr>
          <w:rFonts w:hint="eastAsia" w:ascii="仿宋_GB2312" w:hAnsi="仿宋_GB2312" w:eastAsia="仿宋_GB2312" w:cs="仿宋_GB2312"/>
          <w:b/>
          <w:color w:val="auto"/>
          <w:sz w:val="28"/>
          <w:szCs w:val="28"/>
        </w:rPr>
        <w:sectPr>
          <w:pgSz w:w="11906" w:h="16838"/>
          <w:pgMar w:top="1089" w:right="1466" w:bottom="1089" w:left="1077" w:header="851" w:footer="992" w:gutter="0"/>
          <w:cols w:space="720" w:num="1"/>
          <w:docGrid w:type="lines" w:linePitch="312" w:charSpace="0"/>
        </w:sectPr>
      </w:pPr>
    </w:p>
    <w:p>
      <w:pPr>
        <w:pStyle w:val="22"/>
        <w:rPr>
          <w:rFonts w:hint="eastAsia" w:ascii="仿宋_GB2312" w:hAnsi="仿宋_GB2312" w:eastAsia="仿宋_GB2312" w:cs="仿宋_GB2312"/>
          <w:color w:val="auto"/>
          <w:lang w:val="zh-CN"/>
        </w:rPr>
      </w:pPr>
      <w:bookmarkStart w:id="30" w:name="_Toc17034_WPSOffice_Level1"/>
      <w:r>
        <w:rPr>
          <w:rFonts w:hint="eastAsia" w:ascii="仿宋_GB2312" w:hAnsi="仿宋_GB2312" w:eastAsia="仿宋_GB2312" w:cs="仿宋_GB2312"/>
          <w:color w:val="auto"/>
          <w:lang w:val="zh-CN"/>
        </w:rPr>
        <w:t>第四部分  合同书格式</w:t>
      </w:r>
      <w:bookmarkEnd w:id="30"/>
    </w:p>
    <w:p>
      <w:pPr>
        <w:pStyle w:val="2"/>
        <w:rPr>
          <w:rFonts w:cs="仿宋_GB2312" w:asciiTheme="majorHAnsi" w:hAnsiTheme="majorHAnsi"/>
          <w:sz w:val="52"/>
          <w:szCs w:val="52"/>
        </w:rPr>
      </w:pPr>
    </w:p>
    <w:p>
      <w:pPr>
        <w:pStyle w:val="2"/>
        <w:rPr>
          <w:rFonts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技改项目合同</w:t>
      </w:r>
    </w:p>
    <w:p>
      <w:pPr>
        <w:spacing w:line="400" w:lineRule="atLeast"/>
        <w:jc w:val="center"/>
        <w:rPr>
          <w:rFonts w:ascii="宋体" w:hAnsi="宋体"/>
          <w:b/>
          <w:sz w:val="28"/>
        </w:rPr>
      </w:pPr>
    </w:p>
    <w:p>
      <w:pPr>
        <w:pStyle w:val="2"/>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color w:val="000000" w:themeColor="text1"/>
          <w:sz w:val="30"/>
          <w:szCs w:val="30"/>
          <w14:textFill>
            <w14:solidFill>
              <w14:schemeClr w14:val="tx1"/>
            </w14:solidFill>
          </w14:textFill>
        </w:rPr>
        <w:t>沥滘三期格栅智慧运维系统项目</w:t>
      </w:r>
    </w:p>
    <w:p>
      <w:pPr>
        <w:pStyle w:val="2"/>
        <w:rPr>
          <w:rFonts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沥滘三期格栅智慧运维系统项目。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广州市净水有限公司沥滘分公司。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pacing w:val="8"/>
          <w:sz w:val="24"/>
          <w:lang w:val="en-US" w:eastAsia="zh-CN"/>
        </w:rPr>
      </w:pPr>
      <w:r>
        <w:rPr>
          <w:rFonts w:hint="eastAsia" w:ascii="宋体" w:hAnsi="宋体" w:cs="宋体"/>
          <w:sz w:val="24"/>
        </w:rPr>
        <w:t>2.3项目内容：</w:t>
      </w:r>
      <w:r>
        <w:rPr>
          <w:rFonts w:hint="eastAsia" w:ascii="宋体" w:hAnsi="宋体" w:cs="宋体"/>
          <w:sz w:val="24"/>
          <w:u w:val="single"/>
        </w:rPr>
        <w:t>在沥滘净水厂选择2台格栅清污机进行试点建设，在格栅清污机棚安装摄像机、硬盘录像机设备，在监控中心部署AI分析服务器，并定制开发智能分析算法应用，经智能分析后实现安全、精细、智慧运行，并针对异常情况发出预警，结合自控系统连锁控制，预防性维护</w:t>
      </w:r>
      <w:r>
        <w:rPr>
          <w:rFonts w:hint="eastAsia" w:ascii="宋体" w:hAnsi="宋体" w:cs="宋体"/>
          <w:sz w:val="24"/>
          <w:u w:val="single"/>
          <w:lang w:eastAsia="zh-CN"/>
        </w:rPr>
        <w:t>。</w:t>
      </w:r>
      <w:r>
        <w:rPr>
          <w:rFonts w:hint="eastAsia" w:ascii="宋体" w:hAnsi="宋体" w:cs="宋体"/>
          <w:sz w:val="24"/>
          <w:u w:val="single"/>
          <w:lang w:val="en-US" w:eastAsia="zh-CN"/>
        </w:rPr>
        <w:t>具体包括但不限于询价文件第二部分项目内容所要求建设内容。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sz w:val="24"/>
          <w:u w:val="single"/>
          <w:lang w:val="en-US" w:eastAsia="zh-CN"/>
        </w:rPr>
        <w:t xml:space="preserve"> </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w:t>
      </w:r>
      <w:r>
        <w:rPr>
          <w:rFonts w:hint="eastAsia" w:ascii="宋体" w:hAnsi="宋体" w:cs="宋体"/>
          <w:sz w:val="24"/>
          <w:u w:val="single"/>
          <w:lang w:val="en-US" w:eastAsia="zh-CN"/>
        </w:rPr>
        <w:t xml:space="preserve">     </w:t>
      </w:r>
      <w:r>
        <w:rPr>
          <w:rFonts w:hint="eastAsia" w:ascii="宋体" w:hAnsi="宋体" w:cs="宋体"/>
          <w:sz w:val="24"/>
          <w:u w:val="single"/>
        </w:rPr>
        <w:t>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360" w:lineRule="auto"/>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
        <w:spacing w:line="360" w:lineRule="auto"/>
        <w:rPr>
          <w:rFonts w:eastAsia="宋体"/>
        </w:rPr>
      </w:pPr>
      <w:r>
        <w:rPr>
          <w:rFonts w:hAnsi="宋体" w:eastAsia="宋体"/>
        </w:rPr>
        <w:t>（4）通过市场询价双方协商确定。</w:t>
      </w:r>
    </w:p>
    <w:p>
      <w:pPr>
        <w:spacing w:line="360" w:lineRule="auto"/>
        <w:rPr>
          <w:rFonts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highlight w:val="none"/>
          <w:lang w:val="en-US" w:eastAsia="zh-CN"/>
        </w:rPr>
        <w:t xml:space="preserve">   </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180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 w:val="0"/>
          <w:bCs/>
          <w:sz w:val="24"/>
          <w:u w:val="single"/>
          <w:lang w:val="en-US" w:eastAsia="zh-CN"/>
        </w:rPr>
        <w:t>30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5.6乙方不得随意更换项目负责人及附件5中的相关人员，如确须更换，应提前征得甲方同意。如有违反，甲方有权解除合同并要求乙方支付</w:t>
      </w:r>
      <w:r>
        <w:rPr>
          <w:rFonts w:hint="eastAsia" w:asciiTheme="minorEastAsia" w:hAnsiTheme="minorEastAsia" w:eastAsiaTheme="minorEastAsia" w:cstheme="minorEastAsia"/>
          <w:sz w:val="24"/>
          <w:u w:val="single"/>
        </w:rPr>
        <w:t>5000元/人次</w:t>
      </w:r>
      <w:r>
        <w:rPr>
          <w:rFonts w:hint="eastAsia" w:asciiTheme="minorEastAsia" w:hAnsiTheme="minorEastAsia" w:eastAsiaTheme="minorEastAsia" w:cstheme="minorEastAsia"/>
          <w:sz w:val="24"/>
        </w:rPr>
        <w:t>作为违约金，以及赔偿由此造成的一切损失(包含质量安全事故、工期延误、增加投资等)。</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5.7施工过程中，项目负责人应驻场管理，否则甲方有权要求乙方支付违约</w:t>
      </w:r>
      <w:r>
        <w:rPr>
          <w:rFonts w:hint="eastAsia" w:asciiTheme="minorEastAsia" w:hAnsiTheme="minorEastAsia" w:eastAsiaTheme="minorEastAsia" w:cstheme="minorEastAsia"/>
          <w:sz w:val="24"/>
          <w:u w:val="single"/>
        </w:rPr>
        <w:t xml:space="preserve"> 1000元/天</w:t>
      </w:r>
      <w:r>
        <w:rPr>
          <w:rFonts w:hint="eastAsia" w:asciiTheme="minorEastAsia" w:hAnsiTheme="minorEastAsia" w:eastAsiaTheme="minorEastAsia" w:cstheme="minorEastAsia"/>
          <w:sz w:val="24"/>
        </w:rPr>
        <w:t>，因此造成损失的，按实际发生额赔偿。</w:t>
      </w:r>
    </w:p>
    <w:p>
      <w:pPr>
        <w:pStyle w:val="2"/>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5.9在合同有效期内，若乙方发生不诚信行为情形的，乙方自愿接受甲方按《广州市净水有限公司经营建设项目参建企业不诚信行为管理办法》处理。</w:t>
      </w:r>
    </w:p>
    <w:p>
      <w:pPr>
        <w:pStyle w:val="2"/>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color w:val="000000" w:themeColor="text1"/>
          <w:sz w:val="24"/>
          <w:u w:val="single"/>
          <w14:textFill>
            <w14:solidFill>
              <w14:schemeClr w14:val="tx1"/>
            </w14:solidFill>
          </w14:textFill>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 xml:space="preserve">的 </w:t>
      </w:r>
      <w:r>
        <w:rPr>
          <w:rFonts w:ascii="宋体" w:hAnsi="宋体" w:cs="宋体"/>
          <w:bCs/>
          <w:sz w:val="24"/>
          <w:u w:val="single"/>
        </w:rPr>
        <w:t>30%</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个工作日内，甲方支付至合同暂定总价的80％即^万元给乙方。</w:t>
      </w:r>
      <w:r>
        <w:rPr>
          <w:rFonts w:hint="eastAsia" w:hAnsi="宋体" w:cs="宋体"/>
          <w:sz w:val="24"/>
          <w:szCs w:val="24"/>
        </w:rPr>
        <w:t>（如需）</w:t>
      </w:r>
    </w:p>
    <w:p>
      <w:pPr>
        <w:tabs>
          <w:tab w:val="left" w:pos="0"/>
        </w:tabs>
        <w:adjustRightInd w:val="0"/>
        <w:snapToGrid w:val="0"/>
        <w:spacing w:line="360" w:lineRule="auto"/>
        <w:ind w:firstLine="480" w:firstLineChars="200"/>
        <w:jc w:val="left"/>
        <w:rPr>
          <w:rFonts w:ascii="宋体" w:hAnsi="宋体" w:cs="宋体"/>
          <w:sz w:val="24"/>
        </w:rPr>
      </w:pPr>
      <w:r>
        <w:rPr>
          <w:rFonts w:ascii="宋体" w:hAnsi="宋体" w:cs="宋体"/>
          <w:sz w:val="24"/>
        </w:rPr>
        <w:t>8.2.1</w:t>
      </w:r>
      <w:r>
        <w:rPr>
          <w:rFonts w:hint="eastAsia" w:ascii="宋体" w:hAnsi="宋体" w:cs="宋体"/>
          <w:sz w:val="24"/>
          <w:u w:val="single"/>
        </w:rPr>
        <w:t>项目验收合同后，</w:t>
      </w:r>
      <w:r>
        <w:rPr>
          <w:rFonts w:hint="eastAsia" w:ascii="宋体" w:hAnsi="宋体" w:cs="宋体"/>
          <w:sz w:val="24"/>
        </w:rPr>
        <w:t>经甲方或甲方委托有资质第三方机构审核后，由乙方提交申请支付资料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4"/>
        <w:spacing w:line="384" w:lineRule="auto"/>
        <w:ind w:firstLine="480" w:firstLineChars="200"/>
        <w:outlineLvl w:val="1"/>
        <w:rPr>
          <w:rFonts w:hAnsi="宋体" w:cs="宋体"/>
          <w:sz w:val="24"/>
          <w:szCs w:val="24"/>
        </w:rPr>
      </w:pPr>
      <w:r>
        <w:rPr>
          <w:rFonts w:hint="eastAsia" w:hAnsi="宋体" w:cs="宋体"/>
          <w:sz w:val="24"/>
          <w:szCs w:val="24"/>
        </w:rPr>
        <w:t>8.2.3本项目工程款的支付单位为：</w:t>
      </w:r>
      <w:r>
        <w:rPr>
          <w:rFonts w:hint="eastAsia" w:hAnsi="宋体" w:cs="宋体"/>
          <w:sz w:val="24"/>
          <w:szCs w:val="24"/>
          <w:u w:val="single"/>
        </w:rPr>
        <w:t xml:space="preserve">广州市净水有限公司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   ；</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名称：广州市净水有限公司</w:t>
      </w:r>
    </w:p>
    <w:p>
      <w:pPr>
        <w:spacing w:line="384"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税号：</w:t>
      </w:r>
      <w:r>
        <w:rPr>
          <w:rFonts w:hint="eastAsia" w:ascii="宋体" w:hAnsi="宋体" w:cs="宋体"/>
          <w:color w:val="000000" w:themeColor="text1"/>
          <w:sz w:val="24"/>
          <w:u w:val="single"/>
          <w14:textFill>
            <w14:solidFill>
              <w14:schemeClr w14:val="tx1"/>
            </w14:solidFill>
          </w14:textFill>
        </w:rPr>
        <w:t>91440101755584729Q</w:t>
      </w:r>
    </w:p>
    <w:p>
      <w:pPr>
        <w:spacing w:line="384" w:lineRule="auto"/>
        <w:ind w:firstLine="960" w:firstLineChars="4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广州市天河区临江大道501号</w:t>
      </w:r>
    </w:p>
    <w:p>
      <w:pPr>
        <w:spacing w:line="384" w:lineRule="auto"/>
        <w:ind w:firstLine="960" w:firstLineChars="400"/>
        <w:outlineLvl w:val="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联系电话：020-38890283</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 xml:space="preserve"> </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4"/>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宋体" w:hAnsi="宋体" w:eastAsia="宋体" w:cs="宋体"/>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lang w:eastAsia="zh-CN"/>
        </w:rPr>
        <w:t>：</w:t>
      </w:r>
      <w:r>
        <w:rPr>
          <w:rFonts w:hint="eastAsia" w:ascii="宋体" w:hAnsi="宋体" w:eastAsia="宋体" w:cs="宋体"/>
          <w:sz w:val="24"/>
          <w:szCs w:val="24"/>
          <w:u w:val="single"/>
        </w:rPr>
        <w:t>广州市净水有限公司</w:t>
      </w:r>
    </w:p>
    <w:p>
      <w:pPr>
        <w:numPr>
          <w:ilvl w:val="0"/>
          <w:numId w:val="7"/>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rPr>
        <w:t>1</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Start w:id="31" w:name="_Toc520190043"/>
      <w:bookmarkStart w:id="32" w:name="_Toc474245229"/>
      <w:bookmarkStart w:id="33" w:name="_Toc518993003"/>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bookmarkEnd w:id="31"/>
      <w:bookmarkEnd w:id="32"/>
      <w:bookmarkEnd w:id="3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color w:val="000000" w:themeColor="text1"/>
          <w:sz w:val="24"/>
          <w:u w:val="single"/>
          <w14:textFill>
            <w14:solidFill>
              <w14:schemeClr w14:val="tx1"/>
            </w14:solidFill>
          </w14:textFill>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84" w:lineRule="auto"/>
        <w:ind w:firstLine="720" w:firstLineChars="300"/>
        <w:rPr>
          <w:rFonts w:hint="default" w:eastAsia="仿宋_GB2312"/>
          <w:lang w:val="en-US" w:eastAsia="zh-CN"/>
        </w:rPr>
      </w:pPr>
      <w:r>
        <w:rPr>
          <w:rFonts w:hint="eastAsia" w:ascii="宋体" w:hAnsi="宋体" w:cs="宋体"/>
          <w:sz w:val="24"/>
          <w:lang w:val="en-US" w:eastAsia="zh-CN"/>
        </w:rPr>
        <w:t>9</w:t>
      </w:r>
      <w:r>
        <w:rPr>
          <w:rFonts w:hint="eastAsia" w:ascii="宋体" w:hAnsi="宋体" w:cs="宋体"/>
          <w:sz w:val="24"/>
        </w:rPr>
        <w:t>.授权委托证明（如需）</w:t>
      </w:r>
    </w:p>
    <w:p>
      <w:pPr>
        <w:pStyle w:val="2"/>
        <w:rPr>
          <w:rFonts w:hAnsi="宋体"/>
        </w:rPr>
      </w:pPr>
    </w:p>
    <w:p>
      <w:pPr>
        <w:pStyle w:val="2"/>
        <w:rPr>
          <w:rFonts w:hAnsi="宋体"/>
        </w:rPr>
      </w:pPr>
    </w:p>
    <w:p>
      <w:pPr>
        <w:pStyle w:val="2"/>
        <w:rPr>
          <w:rFonts w:hAnsi="宋体"/>
        </w:rPr>
      </w:pPr>
    </w:p>
    <w:p>
      <w:pPr>
        <w:pStyle w:val="2"/>
        <w:rPr>
          <w:rFonts w:hAnsi="宋体"/>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8"/>
          <w:rFonts w:asciiTheme="minorEastAsia" w:hAnsiTheme="minorEastAsia" w:eastAsiaTheme="minorEastAsia"/>
          <w:b w:val="0"/>
          <w:u w:val="single"/>
        </w:rPr>
      </w:pPr>
    </w:p>
    <w:bookmarkEnd w:id="34"/>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eastAsia" w:ascii="宋体" w:hAnsi="宋体" w:eastAsia="宋体" w:cs="宋体"/>
          <w:b/>
          <w:sz w:val="28"/>
          <w:szCs w:val="28"/>
          <w:lang w:val="en-US" w:eastAsia="zh-CN"/>
        </w:rPr>
      </w:pPr>
      <w:r>
        <w:rPr>
          <w:rFonts w:hint="eastAsia" w:ascii="宋体" w:hAnsi="宋体" w:cs="宋体"/>
          <w:b/>
          <w:sz w:val="28"/>
          <w:szCs w:val="28"/>
        </w:rPr>
        <w:t>工程量</w:t>
      </w:r>
      <w:r>
        <w:rPr>
          <w:rFonts w:hint="eastAsia" w:ascii="宋体" w:hAnsi="宋体" w:cs="宋体"/>
          <w:b/>
          <w:sz w:val="28"/>
          <w:szCs w:val="28"/>
          <w:lang w:val="en-US" w:eastAsia="zh-CN"/>
        </w:rPr>
        <w:t>清单</w:t>
      </w:r>
    </w:p>
    <w:tbl>
      <w:tblPr>
        <w:tblStyle w:val="25"/>
        <w:tblW w:w="4995" w:type="pct"/>
        <w:tblInd w:w="0" w:type="dxa"/>
        <w:tblLayout w:type="autofit"/>
        <w:tblCellMar>
          <w:top w:w="0" w:type="dxa"/>
          <w:left w:w="0" w:type="dxa"/>
          <w:bottom w:w="0" w:type="dxa"/>
          <w:right w:w="0" w:type="dxa"/>
        </w:tblCellMar>
      </w:tblPr>
      <w:tblGrid>
        <w:gridCol w:w="1649"/>
        <w:gridCol w:w="4619"/>
        <w:gridCol w:w="1650"/>
        <w:gridCol w:w="1466"/>
      </w:tblGrid>
      <w:tr>
        <w:tblPrEx>
          <w:tblCellMar>
            <w:top w:w="0" w:type="dxa"/>
            <w:left w:w="0" w:type="dxa"/>
            <w:bottom w:w="0" w:type="dxa"/>
            <w:right w:w="0" w:type="dxa"/>
          </w:tblCellMar>
        </w:tblPrEx>
        <w:trPr>
          <w:trHeight w:val="270"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施工内容</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单位</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数量</w:t>
            </w:r>
          </w:p>
        </w:tc>
      </w:tr>
      <w:tr>
        <w:tblPrEx>
          <w:tblCellMar>
            <w:top w:w="0" w:type="dxa"/>
            <w:left w:w="0" w:type="dxa"/>
            <w:bottom w:w="0" w:type="dxa"/>
            <w:right w:w="0" w:type="dxa"/>
          </w:tblCellMar>
        </w:tblPrEx>
        <w:trPr>
          <w:trHeight w:val="330" w:hRule="atLeast"/>
        </w:trPr>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监控</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摄像头</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r>
      <w:tr>
        <w:tblPrEx>
          <w:tblCellMar>
            <w:top w:w="0" w:type="dxa"/>
            <w:left w:w="0" w:type="dxa"/>
            <w:bottom w:w="0" w:type="dxa"/>
            <w:right w:w="0" w:type="dxa"/>
          </w:tblCellMar>
        </w:tblPrEx>
        <w:trPr>
          <w:trHeight w:val="76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硬盘录像机</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交换机</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66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硬盘</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企业级NAS</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UPS</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AI算法服务器</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CPU</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主板</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内存</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硬盘</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扩展槽</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网卡</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电源</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机箱</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计算卡</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r>
      <w:tr>
        <w:tblPrEx>
          <w:tblCellMar>
            <w:top w:w="0" w:type="dxa"/>
            <w:left w:w="0" w:type="dxa"/>
            <w:bottom w:w="0" w:type="dxa"/>
            <w:right w:w="0" w:type="dxa"/>
          </w:tblCellMar>
        </w:tblPrEx>
        <w:trPr>
          <w:trHeight w:val="330"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color w:val="00000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散热系统</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660"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PLC</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PLC模块</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边缘网关</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1"/>
                <w:szCs w:val="21"/>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网闸</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1"/>
                <w:szCs w:val="21"/>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r>
        <w:tblPrEx>
          <w:tblCellMar>
            <w:top w:w="0" w:type="dxa"/>
            <w:left w:w="0" w:type="dxa"/>
            <w:bottom w:w="0" w:type="dxa"/>
            <w:right w:w="0" w:type="dxa"/>
          </w:tblCellMar>
        </w:tblPrEx>
        <w:trPr>
          <w:trHeight w:val="330" w:hRule="atLeast"/>
        </w:trPr>
        <w:tc>
          <w:tcPr>
            <w:tcW w:w="878" w:type="pct"/>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软件</w:t>
            </w: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Windows 10 + Office正版软件授权</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SQL</w:t>
            </w:r>
          </w:p>
        </w:tc>
        <w:tc>
          <w:tcPr>
            <w:tcW w:w="87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78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CellMar>
            <w:top w:w="0" w:type="dxa"/>
            <w:left w:w="0" w:type="dxa"/>
            <w:bottom w:w="0" w:type="dxa"/>
            <w:right w:w="0" w:type="dxa"/>
          </w:tblCellMar>
        </w:tblPrEx>
        <w:trPr>
          <w:trHeight w:val="330" w:hRule="atLeast"/>
        </w:trPr>
        <w:tc>
          <w:tcPr>
            <w:tcW w:w="878" w:type="pct"/>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tabs>
                <w:tab w:val="left" w:pos="483"/>
              </w:tabs>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研发</w:t>
            </w:r>
            <w:r>
              <w:rPr>
                <w:rFonts w:hint="eastAsia" w:ascii="宋体" w:hAnsi="宋体" w:eastAsia="宋体" w:cs="宋体"/>
                <w:color w:val="000000"/>
                <w:kern w:val="0"/>
                <w:sz w:val="21"/>
                <w:szCs w:val="21"/>
                <w:lang w:val="en-US" w:eastAsia="zh-CN"/>
              </w:rPr>
              <w:t>与产权</w:t>
            </w:r>
          </w:p>
        </w:tc>
        <w:tc>
          <w:tcPr>
            <w:tcW w:w="246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模拟试验</w:t>
            </w:r>
          </w:p>
        </w:tc>
        <w:tc>
          <w:tcPr>
            <w:tcW w:w="879"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781" w:type="pct"/>
            <w:vMerge w:val="restart"/>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项目期内</w:t>
            </w:r>
          </w:p>
        </w:tc>
      </w:tr>
      <w:tr>
        <w:tblPrEx>
          <w:tblCellMar>
            <w:top w:w="0" w:type="dxa"/>
            <w:left w:w="0" w:type="dxa"/>
            <w:bottom w:w="0" w:type="dxa"/>
            <w:right w:w="0" w:type="dxa"/>
          </w:tblCellMar>
        </w:tblPrEx>
        <w:trPr>
          <w:trHeight w:val="330" w:hRule="atLeast"/>
        </w:trPr>
        <w:tc>
          <w:tcPr>
            <w:tcW w:w="878"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系统对接</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781"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p>
        </w:tc>
      </w:tr>
      <w:tr>
        <w:tblPrEx>
          <w:tblCellMar>
            <w:top w:w="0" w:type="dxa"/>
            <w:left w:w="0" w:type="dxa"/>
            <w:bottom w:w="0" w:type="dxa"/>
            <w:right w:w="0" w:type="dxa"/>
          </w:tblCellMar>
        </w:tblPrEx>
        <w:trPr>
          <w:trHeight w:val="330" w:hRule="atLeast"/>
        </w:trPr>
        <w:tc>
          <w:tcPr>
            <w:tcW w:w="878"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定制研发</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781"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p>
        </w:tc>
      </w:tr>
      <w:tr>
        <w:tblPrEx>
          <w:tblCellMar>
            <w:top w:w="0" w:type="dxa"/>
            <w:left w:w="0" w:type="dxa"/>
            <w:bottom w:w="0" w:type="dxa"/>
            <w:right w:w="0" w:type="dxa"/>
          </w:tblCellMar>
        </w:tblPrEx>
        <w:trPr>
          <w:trHeight w:val="330" w:hRule="atLeast"/>
        </w:trPr>
        <w:tc>
          <w:tcPr>
            <w:tcW w:w="878"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实施交付</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w:t>
            </w:r>
          </w:p>
        </w:tc>
        <w:tc>
          <w:tcPr>
            <w:tcW w:w="781"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p>
        </w:tc>
      </w:tr>
      <w:tr>
        <w:tblPrEx>
          <w:tblCellMar>
            <w:top w:w="0" w:type="dxa"/>
            <w:left w:w="0" w:type="dxa"/>
            <w:bottom w:w="0" w:type="dxa"/>
            <w:right w:w="0" w:type="dxa"/>
          </w:tblCellMar>
        </w:tblPrEx>
        <w:trPr>
          <w:trHeight w:val="330" w:hRule="atLeast"/>
        </w:trPr>
        <w:tc>
          <w:tcPr>
            <w:tcW w:w="878"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算法监测平台研发</w:t>
            </w:r>
          </w:p>
        </w:tc>
        <w:tc>
          <w:tcPr>
            <w:tcW w:w="8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781"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p>
        </w:tc>
      </w:tr>
      <w:tr>
        <w:tblPrEx>
          <w:tblCellMar>
            <w:top w:w="0" w:type="dxa"/>
            <w:left w:w="0" w:type="dxa"/>
            <w:bottom w:w="0" w:type="dxa"/>
            <w:right w:w="0" w:type="dxa"/>
          </w:tblCellMar>
        </w:tblPrEx>
        <w:trPr>
          <w:trHeight w:val="330" w:hRule="atLeast"/>
        </w:trPr>
        <w:tc>
          <w:tcPr>
            <w:tcW w:w="878" w:type="pct"/>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算法共享</w:t>
            </w:r>
          </w:p>
        </w:tc>
        <w:tc>
          <w:tcPr>
            <w:tcW w:w="87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w:t>
            </w:r>
          </w:p>
        </w:tc>
        <w:tc>
          <w:tcPr>
            <w:tcW w:w="781" w:type="pct"/>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p>
        </w:tc>
      </w:tr>
      <w:tr>
        <w:tblPrEx>
          <w:tblCellMar>
            <w:top w:w="0" w:type="dxa"/>
            <w:left w:w="0" w:type="dxa"/>
            <w:bottom w:w="0" w:type="dxa"/>
            <w:right w:w="0" w:type="dxa"/>
          </w:tblCellMar>
        </w:tblPrEx>
        <w:trPr>
          <w:trHeight w:val="330" w:hRule="atLeast"/>
        </w:trPr>
        <w:tc>
          <w:tcPr>
            <w:tcW w:w="878" w:type="pct"/>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布线、设备</w:t>
            </w:r>
          </w:p>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施工安装</w:t>
            </w:r>
          </w:p>
          <w:p>
            <w:pPr>
              <w:pStyle w:val="2"/>
              <w:rPr>
                <w:rFonts w:hint="eastAsia" w:ascii="宋体" w:hAnsi="宋体" w:eastAsia="宋体" w:cs="宋体"/>
                <w:sz w:val="21"/>
                <w:szCs w:val="21"/>
              </w:rPr>
            </w:pPr>
          </w:p>
        </w:tc>
        <w:tc>
          <w:tcPr>
            <w:tcW w:w="246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摄像头安装</w:t>
            </w:r>
          </w:p>
        </w:tc>
        <w:tc>
          <w:tcPr>
            <w:tcW w:w="879"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个</w:t>
            </w:r>
          </w:p>
        </w:tc>
        <w:tc>
          <w:tcPr>
            <w:tcW w:w="78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r>
      <w:tr>
        <w:tblPrEx>
          <w:tblCellMar>
            <w:top w:w="0" w:type="dxa"/>
            <w:left w:w="0" w:type="dxa"/>
            <w:bottom w:w="0" w:type="dxa"/>
            <w:right w:w="0" w:type="dxa"/>
          </w:tblCellMar>
        </w:tblPrEx>
        <w:trPr>
          <w:trHeight w:val="330" w:hRule="atLeast"/>
        </w:trPr>
        <w:tc>
          <w:tcPr>
            <w:tcW w:w="8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2"/>
              <w:rPr>
                <w:rFonts w:hint="eastAsia" w:ascii="宋体" w:hAnsi="宋体" w:eastAsia="宋体" w:cs="宋体"/>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AI服务器机柜安装</w:t>
            </w:r>
          </w:p>
        </w:tc>
        <w:tc>
          <w:tcPr>
            <w:tcW w:w="87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个</w:t>
            </w:r>
          </w:p>
        </w:tc>
        <w:tc>
          <w:tcPr>
            <w:tcW w:w="78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r>
        <w:tblPrEx>
          <w:tblCellMar>
            <w:top w:w="0" w:type="dxa"/>
            <w:left w:w="0" w:type="dxa"/>
            <w:bottom w:w="0" w:type="dxa"/>
            <w:right w:w="0" w:type="dxa"/>
          </w:tblCellMar>
        </w:tblPrEx>
        <w:trPr>
          <w:trHeight w:val="330" w:hRule="atLeast"/>
        </w:trPr>
        <w:tc>
          <w:tcPr>
            <w:tcW w:w="8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UPS安装</w:t>
            </w:r>
          </w:p>
        </w:tc>
        <w:tc>
          <w:tcPr>
            <w:tcW w:w="87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个</w:t>
            </w:r>
          </w:p>
        </w:tc>
        <w:tc>
          <w:tcPr>
            <w:tcW w:w="78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r>
        <w:tblPrEx>
          <w:tblCellMar>
            <w:top w:w="0" w:type="dxa"/>
            <w:left w:w="0" w:type="dxa"/>
            <w:bottom w:w="0" w:type="dxa"/>
            <w:right w:w="0" w:type="dxa"/>
          </w:tblCellMar>
        </w:tblPrEx>
        <w:trPr>
          <w:trHeight w:val="330" w:hRule="atLeast"/>
        </w:trPr>
        <w:tc>
          <w:tcPr>
            <w:tcW w:w="8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设备线路布设</w:t>
            </w:r>
          </w:p>
        </w:tc>
        <w:tc>
          <w:tcPr>
            <w:tcW w:w="87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项</w:t>
            </w:r>
          </w:p>
        </w:tc>
        <w:tc>
          <w:tcPr>
            <w:tcW w:w="78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r>
        <w:tblPrEx>
          <w:tblCellMar>
            <w:top w:w="0" w:type="dxa"/>
            <w:left w:w="0" w:type="dxa"/>
            <w:bottom w:w="0" w:type="dxa"/>
            <w:right w:w="0" w:type="dxa"/>
          </w:tblCellMar>
        </w:tblPrEx>
        <w:trPr>
          <w:trHeight w:val="330" w:hRule="atLeast"/>
        </w:trPr>
        <w:tc>
          <w:tcPr>
            <w:tcW w:w="878"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p>
        </w:tc>
        <w:tc>
          <w:tcPr>
            <w:tcW w:w="2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线路节点安装</w:t>
            </w:r>
          </w:p>
        </w:tc>
        <w:tc>
          <w:tcPr>
            <w:tcW w:w="87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项</w:t>
            </w:r>
          </w:p>
        </w:tc>
        <w:tc>
          <w:tcPr>
            <w:tcW w:w="78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bl>
    <w:p>
      <w:pPr>
        <w:ind w:firstLine="480" w:firstLineChars="200"/>
        <w:rPr>
          <w:rFonts w:hint="eastAsia" w:ascii="仿宋_GB2312" w:hAnsi="仿宋_GB2312" w:eastAsia="微软雅黑" w:cs="仿宋_GB2312"/>
          <w:sz w:val="28"/>
          <w:szCs w:val="28"/>
          <w:lang w:val="en-US" w:eastAsia="zh-CN"/>
        </w:rPr>
      </w:pPr>
      <w:r>
        <w:rPr>
          <w:rFonts w:hint="eastAsia" w:ascii="宋体" w:hAnsi="宋体" w:cs="宋体"/>
          <w:sz w:val="24"/>
          <w:lang w:val="en-US" w:eastAsia="zh-CN"/>
        </w:rPr>
        <w:t>备注：</w:t>
      </w:r>
      <w:r>
        <w:rPr>
          <w:rFonts w:hint="eastAsia" w:ascii="微软雅黑" w:hAnsi="微软雅黑" w:eastAsia="微软雅黑" w:cs="微软雅黑"/>
          <w:color w:val="000000"/>
          <w:kern w:val="0"/>
          <w:sz w:val="20"/>
          <w:szCs w:val="20"/>
        </w:rPr>
        <w:t>项目</w:t>
      </w:r>
      <w:r>
        <w:rPr>
          <w:rFonts w:hint="eastAsia" w:ascii="微软雅黑" w:hAnsi="微软雅黑" w:eastAsia="微软雅黑" w:cs="微软雅黑"/>
          <w:color w:val="000000"/>
          <w:kern w:val="0"/>
          <w:sz w:val="20"/>
          <w:szCs w:val="20"/>
          <w:lang w:val="en-US" w:eastAsia="zh-CN"/>
        </w:rPr>
        <w:t>包括但不限于以上建设内容，且</w:t>
      </w:r>
      <w:r>
        <w:rPr>
          <w:rFonts w:hint="eastAsia" w:ascii="微软雅黑" w:hAnsi="微软雅黑" w:eastAsia="微软雅黑" w:cs="微软雅黑"/>
          <w:color w:val="000000"/>
          <w:kern w:val="0"/>
          <w:sz w:val="20"/>
          <w:szCs w:val="20"/>
        </w:rPr>
        <w:t>所需线材等辅助性材料包含在报价中</w:t>
      </w:r>
      <w:r>
        <w:rPr>
          <w:rFonts w:hint="eastAsia" w:ascii="微软雅黑" w:hAnsi="微软雅黑" w:eastAsia="微软雅黑" w:cs="微软雅黑"/>
          <w:color w:val="000000"/>
          <w:kern w:val="0"/>
          <w:sz w:val="20"/>
          <w:szCs w:val="20"/>
          <w:lang w:eastAsia="zh-CN"/>
        </w:rPr>
        <w:t>。</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spacing w:line="360" w:lineRule="auto"/>
        <w:rPr>
          <w:rFonts w:hint="eastAsia"/>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bookmarkEnd w:id="21"/>
      <w:bookmarkEnd w:id="22"/>
      <w:bookmarkEnd w:id="23"/>
      <w:bookmarkEnd w:id="24"/>
      <w:bookmarkEnd w:id="25"/>
      <w:bookmarkEnd w:id="26"/>
    </w:p>
    <w:p>
      <w:pPr>
        <w:pStyle w:val="2"/>
      </w:pPr>
    </w:p>
    <w:p>
      <w:pPr>
        <w:pStyle w:val="5"/>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
      <w:pPr>
        <w:pStyle w:val="5"/>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5"/>
        <w:spacing w:line="360" w:lineRule="auto"/>
        <w:jc w:val="both"/>
        <w:rPr>
          <w:rFonts w:hint="eastAsia" w:ascii="仿宋_GB2312" w:hAnsi="仿宋_GB2312" w:eastAsia="仿宋_GB2312" w:cs="仿宋_GB2312"/>
          <w:color w:val="000000" w:themeColor="text1"/>
          <w:sz w:val="28"/>
          <w:szCs w:val="28"/>
          <w14:textFill>
            <w14:solidFill>
              <w14:schemeClr w14:val="tx1"/>
            </w14:solidFill>
          </w14:textFill>
        </w:rPr>
      </w:pPr>
    </w:p>
    <w:p>
      <w:pPr>
        <w:pStyle w:val="5"/>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pStyle w:val="14"/>
        <w:spacing w:line="360" w:lineRule="auto"/>
        <w:rPr>
          <w:rFonts w:ascii="仿宋_GB2312" w:hAnsi="仿宋_GB2312" w:eastAsia="仿宋_GB2312" w:cs="仿宋_GB2312"/>
          <w:b/>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tabs>
          <w:tab w:val="left" w:pos="1260"/>
        </w:tabs>
        <w:jc w:val="center"/>
        <w:rPr>
          <w:rFonts w:ascii="仿宋_GB2312" w:hAnsi="仿宋_GB2312" w:eastAsia="仿宋_GB2312" w:cs="仿宋_GB2312"/>
          <w:b/>
          <w:color w:val="000000" w:themeColor="text1"/>
          <w:kern w:val="0"/>
          <w:sz w:val="28"/>
          <w:szCs w:val="28"/>
          <w14:textFill>
            <w14:solidFill>
              <w14:schemeClr w14:val="tx1"/>
            </w14:solidFill>
          </w14:textFill>
        </w:rPr>
      </w:pPr>
    </w:p>
    <w:p>
      <w:pPr>
        <w:pStyle w:val="14"/>
        <w:tabs>
          <w:tab w:val="left" w:pos="1260"/>
        </w:tabs>
        <w:jc w:val="cente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lang w:val="en-US" w:eastAsia="zh-CN"/>
          <w14:textFill>
            <w14:solidFill>
              <w14:schemeClr w14:val="tx1"/>
            </w14:solidFill>
          </w14:textFill>
        </w:rPr>
        <w:t>广州市净水有限公司</w:t>
      </w: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沥滘三期格栅</w:t>
      </w:r>
    </w:p>
    <w:p>
      <w:pPr>
        <w:pStyle w:val="14"/>
        <w:tabs>
          <w:tab w:val="left" w:pos="1260"/>
        </w:tabs>
        <w:jc w:val="center"/>
        <w:rPr>
          <w:rFonts w:ascii="仿宋_GB2312" w:hAnsi="仿宋_GB2312" w:eastAsia="仿宋_GB2312" w:cs="仿宋_GB2312"/>
          <w:b/>
          <w:color w:val="000000" w:themeColor="text1"/>
          <w:spacing w:val="100"/>
          <w:w w:val="110"/>
          <w:kern w:val="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智慧运维系统项目</w:t>
      </w: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tabs>
          <w:tab w:val="left" w:pos="1260"/>
        </w:tabs>
        <w:jc w:val="center"/>
        <w:rPr>
          <w:rFonts w:ascii="仿宋_GB2312" w:hAnsi="仿宋_GB2312" w:eastAsia="仿宋_GB2312" w:cs="仿宋_GB2312"/>
          <w:b/>
          <w:color w:val="000000" w:themeColor="text1"/>
          <w:spacing w:val="100"/>
          <w:w w:val="11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询价响应文件</w:t>
      </w: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（正本/副本）</w:t>
      </w: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spacing w:line="360" w:lineRule="auto"/>
        <w:ind w:firstLine="1120" w:firstLineChars="40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p>
    <w:p>
      <w:pPr>
        <w:pStyle w:val="14"/>
        <w:tabs>
          <w:tab w:val="left" w:pos="1260"/>
        </w:tabs>
        <w:spacing w:line="360" w:lineRule="auto"/>
        <w:ind w:left="0" w:leftChars="0" w:firstLine="1120" w:firstLineChars="400"/>
        <w:jc w:val="both"/>
        <w:rPr>
          <w:rFonts w:hAnsi="仿宋_GB2312" w:cs="仿宋_GB2312"/>
          <w:color w:val="000000" w:themeColor="text1"/>
          <w:sz w:val="28"/>
          <w:szCs w:val="28"/>
          <w:u w:val="single"/>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项目名称：</w:t>
      </w:r>
      <w:r>
        <w:rPr>
          <w:rFonts w:hint="eastAsia" w:hAnsi="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沥滘三期格栅智慧运维系统项目</w:t>
      </w:r>
    </w:p>
    <w:p>
      <w:pPr>
        <w:pStyle w:val="13"/>
        <w:spacing w:line="360" w:lineRule="auto"/>
        <w:ind w:left="829" w:leftChars="395" w:firstLine="0" w:firstLineChars="0"/>
        <w:rPr>
          <w:rFonts w:hAnsi="仿宋_GB2312" w:cs="仿宋_GB2312"/>
          <w:color w:val="000000" w:themeColor="text1"/>
          <w:sz w:val="28"/>
          <w:szCs w:val="28"/>
          <w:u w:val="single"/>
          <w14:textFill>
            <w14:solidFill>
              <w14:schemeClr w14:val="tx1"/>
            </w14:solidFill>
          </w14:textFill>
        </w:rPr>
      </w:pP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rPr>
          <w:rFonts w:ascii="仿宋_GB2312" w:hAnsi="仿宋_GB2312" w:eastAsia="仿宋_GB2312" w:cs="仿宋_GB2312"/>
          <w:b/>
          <w:color w:val="000000" w:themeColor="text1"/>
          <w:sz w:val="28"/>
          <w:szCs w:val="28"/>
          <w14:textFill>
            <w14:solidFill>
              <w14:schemeClr w14:val="tx1"/>
            </w14:solidFill>
          </w14:textFill>
        </w:rPr>
      </w:pPr>
    </w:p>
    <w:p>
      <w:pPr>
        <w:pStyle w:val="14"/>
        <w:spacing w:line="360" w:lineRule="auto"/>
        <w:ind w:firstLine="3117" w:firstLineChars="1109"/>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日期：</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年</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月</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_GB2312" w:hAnsi="仿宋_GB2312" w:eastAsia="仿宋_GB2312" w:cs="仿宋_GB2312"/>
          <w:color w:val="000000" w:themeColor="text1"/>
          <w:szCs w:val="21"/>
          <w14:textFill>
            <w14:solidFill>
              <w14:schemeClr w14:val="tx1"/>
            </w14:solidFill>
          </w14:textFill>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人像面，盖单位公章</w:t>
            </w: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国徽面，盖单位公章</w:t>
            </w:r>
          </w:p>
          <w:p>
            <w:pPr>
              <w:pStyle w:val="2"/>
              <w:rPr>
                <w:color w:val="000000" w:themeColor="text1"/>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（法人姓名）（法人签字或盖私章）</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项目(项目编号：)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附：签发日期：   年 月 日       有效期限：签发日期起至   年 月 日   </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w:t>
      </w:r>
      <w:r>
        <w:rPr>
          <w:rFonts w:hint="eastAsia" w:ascii="仿宋" w:hAnsi="仿宋" w:eastAsia="仿宋" w:cs="仿宋_GB2312"/>
          <w:color w:val="000000" w:themeColor="text1"/>
          <w:sz w:val="24"/>
          <w:highlight w:val="none"/>
          <w14:textFill>
            <w14:solidFill>
              <w14:schemeClr w14:val="tx1"/>
            </w14:solidFill>
          </w14:textFill>
        </w:rPr>
        <w:t>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Theme="minorEastAsia" w:cstheme="minorBidi"/>
                <w:color w:val="000000" w:themeColor="text1"/>
                <w:sz w:val="24"/>
                <w14:textFill>
                  <w14:solidFill>
                    <w14:schemeClr w14:val="tx1"/>
                  </w14:solidFill>
                </w14:textFill>
              </w:rPr>
            </w:pPr>
          </w:p>
          <w:p>
            <w:pPr>
              <w:spacing w:line="360" w:lineRule="auto"/>
              <w:jc w:val="center"/>
              <w:rPr>
                <w:rFonts w:ascii="宋体" w:hAnsi="宋体" w:eastAsiaTheme="minorEastAsia" w:cstheme="minorBidi"/>
                <w:color w:val="000000" w:themeColor="text1"/>
                <w:sz w:val="24"/>
                <w14:textFill>
                  <w14:solidFill>
                    <w14:schemeClr w14:val="tx1"/>
                  </w14:solidFill>
                </w14:textFill>
              </w:rPr>
            </w:pPr>
          </w:p>
          <w:p>
            <w:pPr>
              <w:spacing w:line="360" w:lineRule="auto"/>
              <w:jc w:val="center"/>
              <w:rPr>
                <w:rFonts w:ascii="宋体" w:hAnsi="宋体" w:eastAsiaTheme="minorEastAsia" w:cstheme="minorBidi"/>
                <w:color w:val="000000" w:themeColor="text1"/>
                <w:sz w:val="24"/>
                <w14:textFill>
                  <w14:solidFill>
                    <w14:schemeClr w14:val="tx1"/>
                  </w14:solidFill>
                </w14:textFill>
              </w:rPr>
            </w:pPr>
            <w:r>
              <w:rPr>
                <w:rFonts w:hint="eastAsia" w:ascii="宋体" w:hAnsi="宋体" w:eastAsiaTheme="minorEastAsia" w:cstheme="minorBidi"/>
                <w:color w:val="000000" w:themeColor="text1"/>
                <w:sz w:val="24"/>
                <w14:textFill>
                  <w14:solidFill>
                    <w14:schemeClr w14:val="tx1"/>
                  </w14:solidFill>
                </w14:textFill>
              </w:rPr>
              <w:t>人像面，盖单位公章</w:t>
            </w:r>
          </w:p>
          <w:p>
            <w:pPr>
              <w:spacing w:line="360" w:lineRule="auto"/>
              <w:jc w:val="center"/>
              <w:rPr>
                <w:rFonts w:ascii="宋体" w:hAnsi="宋体" w:eastAsiaTheme="minorEastAsia" w:cstheme="minorBidi"/>
                <w:color w:val="000000" w:themeColor="text1"/>
                <w:sz w:val="24"/>
                <w14:textFill>
                  <w14:solidFill>
                    <w14:schemeClr w14:val="tx1"/>
                  </w14:solidFill>
                </w14:textFill>
              </w:rPr>
            </w:pPr>
          </w:p>
          <w:p>
            <w:pPr>
              <w:spacing w:line="360" w:lineRule="auto"/>
              <w:jc w:val="left"/>
              <w:rPr>
                <w:rFonts w:ascii="宋体" w:hAnsi="宋体" w:eastAsiaTheme="minorEastAsia" w:cstheme="minorBidi"/>
                <w:color w:val="000000" w:themeColor="text1"/>
                <w:sz w:val="24"/>
                <w14:textFill>
                  <w14:solidFill>
                    <w14:schemeClr w14:val="tx1"/>
                  </w14:solidFill>
                </w14:textFill>
              </w:rPr>
            </w:pPr>
          </w:p>
          <w:p>
            <w:pPr>
              <w:spacing w:line="360" w:lineRule="auto"/>
              <w:jc w:val="left"/>
              <w:rPr>
                <w:rFonts w:ascii="宋体" w:hAnsi="宋体" w:eastAsiaTheme="minorEastAsia" w:cstheme="minorBidi"/>
                <w:color w:val="000000" w:themeColor="text1"/>
                <w:sz w:val="24"/>
                <w14:textFill>
                  <w14:solidFill>
                    <w14:schemeClr w14:val="tx1"/>
                  </w14:solidFill>
                </w14:textFill>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eastAsiaTheme="minorEastAsia" w:cstheme="minorBidi"/>
                <w:color w:val="000000" w:themeColor="text1"/>
                <w:sz w:val="24"/>
                <w14:textFill>
                  <w14:solidFill>
                    <w14:schemeClr w14:val="tx1"/>
                  </w14:solidFill>
                </w14:textFill>
              </w:rPr>
            </w:pPr>
          </w:p>
          <w:p>
            <w:pPr>
              <w:spacing w:line="360" w:lineRule="auto"/>
              <w:jc w:val="center"/>
              <w:rPr>
                <w:rFonts w:ascii="宋体" w:hAnsi="宋体" w:eastAsiaTheme="minorEastAsia" w:cstheme="minorBidi"/>
                <w:color w:val="000000" w:themeColor="text1"/>
                <w:sz w:val="24"/>
                <w14:textFill>
                  <w14:solidFill>
                    <w14:schemeClr w14:val="tx1"/>
                  </w14:solidFill>
                </w14:textFill>
              </w:rPr>
            </w:pPr>
            <w:r>
              <w:rPr>
                <w:rFonts w:hint="eastAsia" w:ascii="宋体" w:hAnsi="宋体" w:eastAsiaTheme="minorEastAsia" w:cstheme="minorBidi"/>
                <w:color w:val="000000" w:themeColor="text1"/>
                <w:sz w:val="24"/>
                <w14:textFill>
                  <w14:solidFill>
                    <w14:schemeClr w14:val="tx1"/>
                  </w14:solidFill>
                </w14:textFill>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Theme="minorEastAsia" w:cstheme="minorBidi"/>
                <w:color w:val="000000" w:themeColor="text1"/>
                <w:sz w:val="24"/>
                <w14:textFill>
                  <w14:solidFill>
                    <w14:schemeClr w14:val="tx1"/>
                  </w14:solidFill>
                </w14:textFill>
              </w:rPr>
            </w:pPr>
          </w:p>
          <w:p>
            <w:pPr>
              <w:spacing w:line="360" w:lineRule="auto"/>
              <w:jc w:val="center"/>
              <w:rPr>
                <w:rFonts w:ascii="宋体" w:hAnsi="宋体" w:eastAsiaTheme="minorEastAsia" w:cstheme="minorBidi"/>
                <w:color w:val="000000" w:themeColor="text1"/>
                <w:sz w:val="24"/>
                <w14:textFill>
                  <w14:solidFill>
                    <w14:schemeClr w14:val="tx1"/>
                  </w14:solidFill>
                </w14:textFill>
              </w:rPr>
            </w:pPr>
          </w:p>
          <w:p>
            <w:pPr>
              <w:spacing w:line="360" w:lineRule="auto"/>
              <w:jc w:val="center"/>
              <w:rPr>
                <w:rFonts w:ascii="宋体" w:hAnsi="宋体" w:eastAsiaTheme="minorEastAsia" w:cstheme="minorBidi"/>
                <w:color w:val="000000" w:themeColor="text1"/>
                <w:sz w:val="24"/>
                <w14:textFill>
                  <w14:solidFill>
                    <w14:schemeClr w14:val="tx1"/>
                  </w14:solidFill>
                </w14:textFill>
              </w:rPr>
            </w:pPr>
            <w:r>
              <w:rPr>
                <w:rFonts w:hint="eastAsia" w:ascii="宋体" w:hAnsi="宋体" w:eastAsiaTheme="minorEastAsia" w:cstheme="minorBidi"/>
                <w:color w:val="000000" w:themeColor="text1"/>
                <w:sz w:val="24"/>
                <w14:textFill>
                  <w14:solidFill>
                    <w14:schemeClr w14:val="tx1"/>
                  </w14:solidFill>
                </w14:textFill>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Theme="minorEastAsia" w:cstheme="minorBidi"/>
                <w:color w:val="000000" w:themeColor="text1"/>
                <w:sz w:val="24"/>
                <w14:textFill>
                  <w14:solidFill>
                    <w14:schemeClr w14:val="tx1"/>
                  </w14:solidFill>
                </w14:textFill>
              </w:rPr>
            </w:pPr>
          </w:p>
          <w:p>
            <w:pPr>
              <w:spacing w:line="360" w:lineRule="auto"/>
              <w:jc w:val="left"/>
              <w:rPr>
                <w:rFonts w:ascii="宋体" w:hAnsi="宋体" w:eastAsiaTheme="minorEastAsia" w:cstheme="minorBidi"/>
                <w:color w:val="000000" w:themeColor="text1"/>
                <w:sz w:val="24"/>
                <w14:textFill>
                  <w14:solidFill>
                    <w14:schemeClr w14:val="tx1"/>
                  </w14:solidFill>
                </w14:textFill>
              </w:rPr>
            </w:pPr>
          </w:p>
          <w:p>
            <w:pPr>
              <w:spacing w:line="360" w:lineRule="auto"/>
              <w:jc w:val="left"/>
              <w:rPr>
                <w:rFonts w:ascii="宋体" w:hAnsi="宋体" w:eastAsiaTheme="minorEastAsia" w:cstheme="minorBidi"/>
                <w:color w:val="000000" w:themeColor="text1"/>
                <w:sz w:val="24"/>
                <w14:textFill>
                  <w14:solidFill>
                    <w14:schemeClr w14:val="tx1"/>
                  </w14:solidFill>
                </w14:textFill>
              </w:rPr>
            </w:pPr>
          </w:p>
        </w:tc>
      </w:tr>
    </w:tbl>
    <w:p>
      <w:pPr>
        <w:rPr>
          <w:rFonts w:ascii="仿宋_GB2312" w:hAnsi="仿宋_GB2312" w:eastAsia="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2资格证明文件</w:t>
      </w: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 </w:t>
      </w:r>
    </w:p>
    <w:p>
      <w:pPr>
        <w:spacing w:line="48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报价投标单位代表（签名或盖私章）：</w:t>
      </w:r>
    </w:p>
    <w:p>
      <w:pPr>
        <w:adjustRightInd w:val="0"/>
        <w:snapToGrid w:val="0"/>
        <w:spacing w:line="300" w:lineRule="auto"/>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报价投标单位名称（盖单位公章）：</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报 价 意 向 承 诺 及 声 明 函</w:t>
      </w:r>
    </w:p>
    <w:p>
      <w:pPr>
        <w:pStyle w:val="33"/>
        <w:adjustRightInd w:val="0"/>
        <w:ind w:right="-1" w:firstLine="0"/>
        <w:jc w:val="left"/>
        <w:rPr>
          <w:rFonts w:hAnsi="仿宋_GB2312" w:cs="仿宋_GB2312"/>
          <w:color w:val="000000" w:themeColor="text1"/>
          <w:sz w:val="24"/>
          <w:szCs w:val="24"/>
          <w14:textFill>
            <w14:solidFill>
              <w14:schemeClr w14:val="tx1"/>
            </w14:solidFill>
          </w14:textFill>
        </w:rPr>
      </w:pPr>
      <w:r>
        <w:rPr>
          <w:rFonts w:hint="eastAsia" w:hAnsi="仿宋_GB2312" w:cs="仿宋_GB2312"/>
          <w:color w:val="000000" w:themeColor="text1"/>
          <w:sz w:val="24"/>
          <w:szCs w:val="24"/>
          <w14:textFill>
            <w14:solidFill>
              <w14:schemeClr w14:val="tx1"/>
            </w14:solidFill>
          </w14:textFill>
        </w:rPr>
        <w:t>致：</w:t>
      </w:r>
      <w:r>
        <w:rPr>
          <w:rFonts w:hint="eastAsia" w:hAnsi="仿宋_GB2312"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根据询价人发出的的项目编号为   的工程的询价文件，我方已详细审查了全部内容，并无异议。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2.现我方承诺：</w:t>
      </w:r>
      <w:r>
        <w:rPr>
          <w:rFonts w:hint="eastAsia" w:ascii="仿宋_GB2312" w:hAnsi="仿宋_GB2312" w:eastAsia="仿宋_GB2312" w:cs="仿宋_GB2312"/>
          <w:color w:val="000000" w:themeColor="text1"/>
          <w:kern w:val="0"/>
          <w:sz w:val="24"/>
          <w14:textFill>
            <w14:solidFill>
              <w14:schemeClr w14:val="tx1"/>
            </w14:solidFill>
          </w14:textFill>
        </w:rPr>
        <w:t>愿以人民币元（小写：</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_GB2312"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⑷ 本公司及其有隶属关系的机构没有参加本项目的前期工作编写工作。</w:t>
      </w:r>
    </w:p>
    <w:p>
      <w:pPr>
        <w:pStyle w:val="37"/>
        <w:ind w:left="-539" w:leftChars="-257" w:firstLine="49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7"/>
        <w:ind w:firstLine="496"/>
        <w:rPr>
          <w:rFonts w:ascii="仿宋_GB2312" w:hAnsi="仿宋_GB2312" w:eastAsia="仿宋_GB2312" w:cs="仿宋_GB2312"/>
          <w:color w:val="000000" w:themeColor="text1"/>
          <w14:textFill>
            <w14:solidFill>
              <w14:schemeClr w14:val="tx1"/>
            </w14:solidFill>
          </w14:textFill>
        </w:rPr>
      </w:pPr>
    </w:p>
    <w:p>
      <w:pPr>
        <w:pStyle w:val="37"/>
        <w:ind w:firstLine="496"/>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承包意向人：(盖公章)</w:t>
      </w:r>
    </w:p>
    <w:p>
      <w:pPr>
        <w:pStyle w:val="37"/>
        <w:ind w:firstLine="49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法定代表人（签名或盖</w:t>
      </w:r>
      <w:r>
        <w:rPr>
          <w:rFonts w:hint="eastAsia" w:ascii="仿宋_GB2312" w:hAnsi="仿宋_GB2312" w:eastAsia="仿宋_GB2312" w:cs="仿宋_GB2312"/>
          <w:color w:val="000000" w:themeColor="text1"/>
          <w:lang w:val="en-US" w:eastAsia="zh-CN"/>
          <w14:textFill>
            <w14:solidFill>
              <w14:schemeClr w14:val="tx1"/>
            </w14:solidFill>
          </w14:textFill>
        </w:rPr>
        <w:t>私</w:t>
      </w:r>
      <w:r>
        <w:rPr>
          <w:rFonts w:hint="eastAsia" w:ascii="仿宋_GB2312" w:hAnsi="仿宋_GB2312" w:eastAsia="仿宋_GB2312" w:cs="仿宋_GB2312"/>
          <w:color w:val="000000" w:themeColor="text1"/>
          <w14:textFill>
            <w14:solidFill>
              <w14:schemeClr w14:val="tx1"/>
            </w14:solidFill>
          </w14:textFill>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themeColor="text1"/>
          <w:spacing w:val="4"/>
          <w:kern w:val="0"/>
          <w:sz w:val="24"/>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4"/>
          <w14:textFill>
            <w14:solidFill>
              <w14:schemeClr w14:val="tx1"/>
            </w14:solidFill>
          </w14:textFill>
        </w:rPr>
        <w:t xml:space="preserve">日    期：  年 月 日    </w:t>
      </w:r>
    </w:p>
    <w:p>
      <w:pPr>
        <w:pStyle w:val="37"/>
        <w:ind w:firstLine="496"/>
        <w:rPr>
          <w:rFonts w:ascii="仿宋_GB2312" w:hAnsi="仿宋_GB2312" w:eastAsia="仿宋_GB2312"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 拟投入本项目的项目负责人情况表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学历</w:t>
            </w:r>
          </w:p>
        </w:tc>
        <w:tc>
          <w:tcPr>
            <w:tcW w:w="1662" w:type="dxa"/>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注册证书等级</w:t>
            </w:r>
          </w:p>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bl>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b/>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
        <w:rPr>
          <w:rFonts w:ascii="仿宋_GB2312" w:hAnsi="仿宋_GB2312" w:cs="仿宋_GB2312"/>
          <w:color w:val="000000" w:themeColor="text1"/>
          <w:sz w:val="28"/>
          <w:szCs w:val="28"/>
          <w14:textFill>
            <w14:solidFill>
              <w14:schemeClr w14:val="tx1"/>
            </w14:solidFill>
          </w14:textFill>
        </w:rPr>
      </w:pPr>
    </w:p>
    <w:p>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5 承诺函</w:t>
      </w:r>
    </w:p>
    <w:p>
      <w:pPr>
        <w:pStyle w:val="22"/>
        <w:jc w:val="both"/>
        <w:rPr>
          <w:rFonts w:ascii="仿宋_GB2312" w:hAnsi="仿宋_GB2312" w:eastAsia="仿宋_GB2312" w:cs="仿宋_GB2312"/>
          <w:sz w:val="28"/>
          <w:szCs w:val="28"/>
        </w:rPr>
      </w:pPr>
    </w:p>
    <w:p>
      <w:pPr>
        <w:pStyle w:val="2"/>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广州市净水有限公司：</w:t>
      </w:r>
    </w:p>
    <w:p>
      <w:pPr>
        <w:pStyle w:val="2"/>
        <w:ind w:firstLine="560" w:firstLineChars="200"/>
        <w:jc w:val="both"/>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rPr>
        <w:t>我</w:t>
      </w:r>
      <w:r>
        <w:rPr>
          <w:rFonts w:hint="eastAsia" w:ascii="仿宋_GB2312" w:hAnsi="仿宋_GB2312" w:cs="仿宋_GB2312"/>
          <w:b/>
          <w:color w:val="auto"/>
          <w:kern w:val="2"/>
          <w:sz w:val="28"/>
          <w:szCs w:val="28"/>
          <w:lang w:val="en-US" w:eastAsia="zh-CN"/>
        </w:rPr>
        <w:t>司</w:t>
      </w:r>
      <w:r>
        <w:rPr>
          <w:rFonts w:hint="eastAsia" w:ascii="仿宋_GB2312" w:hAnsi="仿宋_GB2312" w:cs="仿宋_GB2312"/>
          <w:b/>
          <w:color w:val="auto"/>
          <w:kern w:val="2"/>
          <w:sz w:val="28"/>
          <w:szCs w:val="28"/>
        </w:rPr>
        <w:t>承诺</w:t>
      </w:r>
      <w:r>
        <w:rPr>
          <w:rFonts w:hint="eastAsia" w:ascii="仿宋_GB2312" w:hAnsi="仿宋_GB2312" w:cs="仿宋_GB2312"/>
          <w:b/>
          <w:color w:val="auto"/>
          <w:kern w:val="2"/>
          <w:sz w:val="28"/>
          <w:szCs w:val="28"/>
          <w:lang w:eastAsia="zh-CN"/>
        </w:rPr>
        <w:t>：</w:t>
      </w:r>
      <w:r>
        <w:rPr>
          <w:rFonts w:hint="eastAsia" w:ascii="仿宋_GB2312" w:hAnsi="仿宋_GB2312" w:cs="仿宋_GB2312"/>
          <w:b/>
          <w:color w:val="auto"/>
          <w:kern w:val="2"/>
          <w:sz w:val="28"/>
          <w:szCs w:val="28"/>
        </w:rPr>
        <w:t>所提供报价货物/设备备件均为制造商全新原装产品</w:t>
      </w:r>
      <w:r>
        <w:rPr>
          <w:rFonts w:hint="eastAsia" w:ascii="仿宋_GB2312" w:hAnsi="仿宋_GB2312" w:cs="仿宋_GB2312"/>
          <w:b/>
          <w:color w:val="auto"/>
          <w:kern w:val="2"/>
          <w:sz w:val="28"/>
          <w:szCs w:val="28"/>
          <w:lang w:eastAsia="zh-CN"/>
        </w:rPr>
        <w:t>，</w:t>
      </w:r>
      <w:r>
        <w:rPr>
          <w:rFonts w:hint="eastAsia" w:ascii="仿宋_GB2312" w:hAnsi="仿宋_GB2312" w:cs="仿宋_GB2312"/>
          <w:b/>
          <w:color w:val="auto"/>
          <w:kern w:val="2"/>
          <w:sz w:val="28"/>
          <w:szCs w:val="28"/>
          <w:lang w:val="en-US" w:eastAsia="zh-CN"/>
        </w:rPr>
        <w:t>本项目软硬件提供一年免费售后服务，且</w:t>
      </w:r>
      <w:r>
        <w:rPr>
          <w:rFonts w:hint="eastAsia" w:ascii="仿宋_GB2312" w:hAnsi="仿宋_GB2312" w:cs="仿宋_GB2312"/>
          <w:b/>
          <w:color w:val="auto"/>
          <w:kern w:val="2"/>
          <w:sz w:val="28"/>
          <w:szCs w:val="28"/>
          <w:lang w:val="zh-CN" w:eastAsia="zh-CN"/>
        </w:rPr>
        <w:t>共享本项目知识产权（含算法代码）。</w:t>
      </w:r>
    </w:p>
    <w:p>
      <w:pPr>
        <w:pStyle w:val="2"/>
        <w:ind w:firstLine="562"/>
        <w:jc w:val="both"/>
        <w:rPr>
          <w:rFonts w:ascii="仿宋_GB2312" w:hAnsi="仿宋_GB2312" w:cs="仿宋_GB2312"/>
          <w:b/>
          <w:color w:val="auto"/>
          <w:kern w:val="2"/>
          <w:sz w:val="28"/>
          <w:szCs w:val="28"/>
        </w:rPr>
      </w:pPr>
    </w:p>
    <w:p>
      <w:pPr>
        <w:pStyle w:val="2"/>
        <w:ind w:firstLine="4606" w:firstLineChars="1645"/>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u w:val="none"/>
        </w:rPr>
        <w:t xml:space="preserve">     (报价单位) </w:t>
      </w:r>
      <w:r>
        <w:rPr>
          <w:rFonts w:hint="eastAsia" w:ascii="仿宋_GB2312" w:hAnsi="仿宋_GB2312" w:cs="仿宋_GB2312"/>
          <w:b/>
          <w:color w:val="auto"/>
          <w:kern w:val="2"/>
          <w:sz w:val="28"/>
          <w:szCs w:val="28"/>
        </w:rPr>
        <w:t>公司（盖单位公章）</w:t>
      </w:r>
    </w:p>
    <w:p>
      <w:pPr>
        <w:ind w:firstLine="6440" w:firstLineChars="2300"/>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8"/>
          <w:szCs w:val="28"/>
          <w:lang w:val="en-US" w:eastAsia="zh-CN" w:bidi="ar-SA"/>
        </w:rPr>
        <w:t>年   月   日</w:t>
      </w:r>
    </w:p>
    <w:p>
      <w:pPr>
        <w:pStyle w:val="4"/>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4"/>
        <w:rPr>
          <w:rFonts w:ascii="仿宋_GB2312" w:hAnsi="仿宋_GB2312" w:eastAsia="仿宋_GB2312" w:cs="仿宋_GB2312"/>
          <w:sz w:val="28"/>
          <w:szCs w:val="28"/>
        </w:rPr>
      </w:pPr>
    </w:p>
    <w:p/>
    <w:p>
      <w:pPr>
        <w:pStyle w:val="22"/>
        <w:rPr>
          <w:rFonts w:ascii="仿宋_GB2312" w:hAnsi="仿宋_GB2312" w:eastAsia="仿宋_GB2312" w:cs="仿宋_GB2312"/>
          <w:sz w:val="28"/>
          <w:szCs w:val="28"/>
        </w:rPr>
      </w:pPr>
    </w:p>
    <w:p>
      <w:pPr>
        <w:pStyle w:val="22"/>
        <w:rPr>
          <w:rFonts w:ascii="仿宋_GB2312" w:hAnsi="仿宋_GB2312" w:eastAsia="仿宋_GB2312" w:cs="仿宋_GB2312"/>
          <w:sz w:val="28"/>
          <w:szCs w:val="28"/>
        </w:rPr>
      </w:pPr>
    </w:p>
    <w:p>
      <w:pPr>
        <w:pStyle w:val="22"/>
        <w:rPr>
          <w:rFonts w:ascii="仿宋_GB2312" w:hAnsi="仿宋_GB2312" w:eastAsia="仿宋_GB2312" w:cs="仿宋_GB2312"/>
          <w:sz w:val="28"/>
          <w:szCs w:val="28"/>
        </w:rPr>
      </w:pPr>
    </w:p>
    <w:p>
      <w:pPr>
        <w:pStyle w:val="22"/>
        <w:rPr>
          <w:rFonts w:ascii="仿宋_GB2312" w:hAnsi="仿宋_GB2312" w:eastAsia="仿宋_GB2312" w:cs="仿宋_GB2312"/>
          <w:sz w:val="28"/>
          <w:szCs w:val="28"/>
        </w:rPr>
      </w:pPr>
    </w:p>
    <w:p>
      <w:pPr>
        <w:pStyle w:val="22"/>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22"/>
        <w:rPr>
          <w:rFonts w:hint="eastAsia" w:ascii="仿宋_GB2312" w:hAnsi="仿宋_GB2312" w:eastAsia="仿宋_GB2312" w:cs="仿宋_GB2312"/>
          <w:sz w:val="28"/>
          <w:szCs w:val="28"/>
        </w:rPr>
      </w:pPr>
    </w:p>
    <w:p>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 </w:t>
      </w:r>
      <w:r>
        <w:rPr>
          <w:rFonts w:hint="eastAsia" w:ascii="仿宋_GB2312" w:hAnsi="仿宋_GB2312" w:eastAsia="仿宋_GB2312" w:cs="仿宋_GB2312"/>
          <w:color w:val="000000"/>
          <w:sz w:val="28"/>
          <w:szCs w:val="28"/>
        </w:rPr>
        <w:t>项目单位、人员相关证明</w:t>
      </w:r>
    </w:p>
    <w:p>
      <w:pPr>
        <w:spacing w:line="360" w:lineRule="auto"/>
        <w:rPr>
          <w:rFonts w:ascii="仿宋_GB2312" w:hAnsi="仿宋_GB2312" w:eastAsia="仿宋_GB2312" w:cs="仿宋_GB2312"/>
          <w:sz w:val="28"/>
          <w:szCs w:val="28"/>
        </w:rPr>
      </w:pPr>
      <w:r>
        <w:rPr>
          <w:rFonts w:hint="eastAsia" w:ascii="宋体" w:hAnsi="宋体"/>
          <w:b/>
          <w:bCs/>
          <w:sz w:val="24"/>
          <w:lang w:val="en-US" w:eastAsia="zh-CN"/>
        </w:rPr>
        <w:t>1</w:t>
      </w:r>
      <w:r>
        <w:rPr>
          <w:rFonts w:hint="eastAsia" w:ascii="宋体" w:hAnsi="宋体"/>
          <w:b/>
          <w:bCs/>
          <w:sz w:val="24"/>
        </w:rPr>
        <w:t>.</w:t>
      </w:r>
      <w:r>
        <w:rPr>
          <w:rFonts w:hint="eastAsia" w:ascii="宋体" w:hAnsi="宋体"/>
          <w:b/>
          <w:bCs/>
          <w:sz w:val="24"/>
          <w:lang w:val="zh-CN"/>
        </w:rPr>
        <w:t>报价单位业绩</w:t>
      </w:r>
      <w:r>
        <w:rPr>
          <w:rFonts w:hint="eastAsia" w:ascii="宋体" w:hAnsi="宋体"/>
          <w:b/>
          <w:bCs/>
          <w:sz w:val="24"/>
        </w:rPr>
        <w:t>证明：(</w:t>
      </w:r>
      <w:r>
        <w:rPr>
          <w:rFonts w:hint="eastAsia" w:ascii="宋体" w:hAnsi="宋体"/>
          <w:b/>
          <w:bCs/>
          <w:sz w:val="24"/>
          <w:lang w:val="zh-CN"/>
        </w:rPr>
        <w:t>加盖单位公章）</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9608" w:type="dxa"/>
          </w:tcPr>
          <w:p>
            <w:pPr>
              <w:spacing w:line="360" w:lineRule="auto"/>
              <w:jc w:val="center"/>
              <w:rPr>
                <w:rFonts w:ascii="宋体" w:hAnsi="宋体" w:eastAsiaTheme="minorEastAsia" w:cstheme="minorBidi"/>
                <w:sz w:val="24"/>
              </w:rPr>
            </w:pPr>
          </w:p>
          <w:p>
            <w:pPr>
              <w:spacing w:line="360" w:lineRule="auto"/>
              <w:jc w:val="left"/>
              <w:rPr>
                <w:rFonts w:ascii="宋体" w:hAnsi="宋体" w:eastAsiaTheme="minorEastAsia" w:cstheme="minorBidi"/>
                <w:sz w:val="24"/>
              </w:rPr>
            </w:pPr>
          </w:p>
        </w:tc>
      </w:tr>
    </w:tbl>
    <w:p>
      <w:pPr>
        <w:spacing w:line="360" w:lineRule="auto"/>
        <w:rPr>
          <w:rFonts w:ascii="宋体" w:hAnsi="宋体"/>
          <w:b/>
          <w:bCs/>
          <w:sz w:val="24"/>
        </w:rPr>
      </w:pPr>
      <w:r>
        <w:rPr>
          <w:rFonts w:hint="eastAsia" w:ascii="宋体" w:hAnsi="宋体"/>
          <w:b/>
          <w:bCs/>
          <w:sz w:val="24"/>
          <w:lang w:val="en-US" w:eastAsia="zh-CN"/>
        </w:rPr>
        <w:t>2</w:t>
      </w:r>
      <w:r>
        <w:rPr>
          <w:rFonts w:hint="eastAsia" w:ascii="宋体" w:hAnsi="宋体"/>
          <w:b/>
          <w:bCs/>
          <w:sz w:val="24"/>
        </w:rPr>
        <w:t>.</w:t>
      </w:r>
      <w:r>
        <w:rPr>
          <w:rFonts w:hint="eastAsia" w:ascii="宋体" w:hAnsi="宋体"/>
          <w:b/>
          <w:bCs/>
          <w:sz w:val="24"/>
          <w:lang w:val="zh-CN"/>
        </w:rPr>
        <w:t>报价单位项目负责人</w:t>
      </w:r>
      <w:r>
        <w:rPr>
          <w:rFonts w:hint="eastAsia" w:ascii="宋体" w:hAnsi="宋体"/>
          <w:b/>
          <w:bCs/>
          <w:sz w:val="24"/>
        </w:rPr>
        <w:t>资质证明：</w:t>
      </w:r>
    </w:p>
    <w:p>
      <w:pPr>
        <w:spacing w:line="360" w:lineRule="auto"/>
        <w:rPr>
          <w:rFonts w:ascii="宋体" w:hAnsi="宋体"/>
          <w:b/>
          <w:bCs/>
          <w:sz w:val="24"/>
          <w:lang w:val="zh-CN"/>
        </w:rPr>
      </w:pPr>
      <w:r>
        <w:rPr>
          <w:rFonts w:hint="eastAsia" w:ascii="宋体" w:hAnsi="宋体"/>
          <w:b/>
          <w:bCs/>
          <w:sz w:val="24"/>
        </w:rPr>
        <w:t>（1）</w:t>
      </w:r>
      <w:r>
        <w:rPr>
          <w:rFonts w:hint="eastAsia" w:ascii="宋体" w:hAnsi="宋体"/>
          <w:b/>
          <w:bCs/>
          <w:sz w:val="24"/>
          <w:lang w:val="zh-CN"/>
        </w:rPr>
        <w:t>拟担任本工程</w:t>
      </w:r>
      <w:r>
        <w:rPr>
          <w:rFonts w:hint="eastAsia" w:ascii="宋体" w:hAnsi="宋体"/>
          <w:b/>
          <w:bCs/>
          <w:sz w:val="24"/>
        </w:rPr>
        <w:t>的</w:t>
      </w:r>
      <w:r>
        <w:rPr>
          <w:rFonts w:hint="eastAsia" w:ascii="宋体" w:hAnsi="宋体"/>
          <w:b/>
          <w:bCs/>
          <w:sz w:val="24"/>
          <w:lang w:val="zh-CN"/>
        </w:rPr>
        <w:t>项目负责人：计算机类中级（</w:t>
      </w:r>
      <w:r>
        <w:rPr>
          <w:rFonts w:hint="eastAsia" w:ascii="宋体" w:hAnsi="宋体"/>
          <w:b/>
          <w:bCs/>
          <w:sz w:val="24"/>
          <w:lang w:val="en-US" w:eastAsia="zh-CN"/>
        </w:rPr>
        <w:t>或以上</w:t>
      </w:r>
      <w:r>
        <w:rPr>
          <w:rFonts w:hint="eastAsia" w:ascii="宋体" w:hAnsi="宋体"/>
          <w:b/>
          <w:bCs/>
          <w:sz w:val="24"/>
          <w:lang w:val="zh-CN"/>
        </w:rPr>
        <w:t>）职业资格或项目管理中级（</w:t>
      </w:r>
      <w:r>
        <w:rPr>
          <w:rFonts w:hint="eastAsia" w:ascii="宋体" w:hAnsi="宋体"/>
          <w:b/>
          <w:bCs/>
          <w:sz w:val="24"/>
          <w:lang w:val="en-US" w:eastAsia="zh-CN"/>
        </w:rPr>
        <w:t>或以上</w:t>
      </w:r>
      <w:r>
        <w:rPr>
          <w:rFonts w:hint="eastAsia" w:ascii="宋体" w:hAnsi="宋体"/>
          <w:b/>
          <w:bCs/>
          <w:sz w:val="24"/>
          <w:lang w:val="zh-CN"/>
        </w:rPr>
        <w:t>）职称专业资格认证</w:t>
      </w:r>
      <w:r>
        <w:rPr>
          <w:rFonts w:hint="eastAsia" w:ascii="宋体" w:hAnsi="宋体"/>
          <w:b/>
          <w:bCs/>
          <w:sz w:val="24"/>
        </w:rPr>
        <w:t>（</w:t>
      </w:r>
      <w:r>
        <w:rPr>
          <w:rFonts w:hint="eastAsia" w:ascii="宋体" w:hAnsi="宋体"/>
          <w:b/>
          <w:bCs/>
          <w:sz w:val="24"/>
          <w:lang w:val="en-US" w:eastAsia="zh-CN"/>
        </w:rPr>
        <w:t>在本单位</w:t>
      </w:r>
      <w:r>
        <w:rPr>
          <w:rFonts w:hint="eastAsia" w:ascii="宋体" w:hAnsi="宋体"/>
          <w:b/>
          <w:bCs/>
          <w:sz w:val="24"/>
        </w:rPr>
        <w:t>社保</w:t>
      </w:r>
      <w:r>
        <w:rPr>
          <w:rFonts w:hint="eastAsia" w:ascii="宋体" w:hAnsi="宋体"/>
          <w:b/>
          <w:bCs/>
          <w:sz w:val="24"/>
          <w:lang w:eastAsia="zh-CN"/>
        </w:rPr>
        <w:t>、</w:t>
      </w:r>
      <w:r>
        <w:rPr>
          <w:rFonts w:hint="eastAsia" w:ascii="宋体" w:hAnsi="宋体"/>
          <w:b/>
          <w:bCs/>
          <w:sz w:val="24"/>
        </w:rPr>
        <w:t>证书证明复印件，加盖单位公章）：</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608" w:type="dxa"/>
          </w:tcPr>
          <w:p>
            <w:pPr>
              <w:spacing w:line="360" w:lineRule="auto"/>
              <w:jc w:val="center"/>
              <w:rPr>
                <w:rFonts w:ascii="宋体" w:hAnsi="宋体" w:eastAsiaTheme="minorEastAsia" w:cstheme="minorBidi"/>
                <w:sz w:val="24"/>
              </w:rPr>
            </w:pPr>
            <w:r>
              <w:rPr>
                <w:rFonts w:hint="eastAsia" w:ascii="宋体" w:hAnsi="宋体" w:eastAsiaTheme="minorEastAsia" w:cstheme="minorBidi"/>
                <w:sz w:val="24"/>
                <w:lang w:val="en-US" w:eastAsia="zh-CN"/>
              </w:rPr>
              <w:t>在本单位</w:t>
            </w:r>
            <w:r>
              <w:rPr>
                <w:rFonts w:hint="eastAsia" w:ascii="宋体" w:hAnsi="宋体" w:eastAsiaTheme="minorEastAsia" w:cstheme="minorBidi"/>
                <w:sz w:val="24"/>
              </w:rPr>
              <w:t>社保证明复印件（盖单位公章）</w:t>
            </w:r>
          </w:p>
          <w:p>
            <w:pPr>
              <w:spacing w:line="360" w:lineRule="auto"/>
              <w:jc w:val="left"/>
              <w:rPr>
                <w:rFonts w:ascii="宋体" w:hAnsi="宋体" w:eastAsiaTheme="minorEastAsia" w:cstheme="minorBidi"/>
                <w:sz w:val="24"/>
              </w:rPr>
            </w:pPr>
          </w:p>
          <w:p>
            <w:pPr>
              <w:spacing w:line="360" w:lineRule="auto"/>
              <w:jc w:val="left"/>
              <w:rPr>
                <w:rFonts w:ascii="宋体" w:hAnsi="宋体"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08" w:type="dxa"/>
          </w:tcPr>
          <w:p>
            <w:pPr>
              <w:spacing w:line="360" w:lineRule="auto"/>
              <w:jc w:val="center"/>
              <w:rPr>
                <w:rFonts w:ascii="宋体" w:hAnsi="宋体" w:eastAsiaTheme="minorEastAsia" w:cstheme="minorBidi"/>
                <w:sz w:val="24"/>
              </w:rPr>
            </w:pPr>
            <w:r>
              <w:rPr>
                <w:rFonts w:hint="eastAsia" w:ascii="宋体" w:hAnsi="宋体" w:eastAsiaTheme="minorEastAsia" w:cstheme="minorBidi"/>
                <w:sz w:val="24"/>
              </w:rPr>
              <w:t>证书证明复印件（盖单位公章）</w:t>
            </w:r>
          </w:p>
          <w:p>
            <w:pPr>
              <w:spacing w:line="360" w:lineRule="auto"/>
              <w:jc w:val="left"/>
              <w:rPr>
                <w:rFonts w:ascii="宋体" w:hAnsi="宋体" w:eastAsiaTheme="minorEastAsia" w:cstheme="minorBidi"/>
                <w:sz w:val="24"/>
              </w:rPr>
            </w:pPr>
          </w:p>
        </w:tc>
      </w:tr>
    </w:tbl>
    <w:p>
      <w:pPr>
        <w:spacing w:line="360" w:lineRule="auto"/>
        <w:jc w:val="center"/>
        <w:rPr>
          <w:rFonts w:hint="eastAsia" w:ascii="仿宋_GB2312" w:hAnsi="仿宋_GB2312" w:eastAsia="仿宋_GB2312" w:cs="仿宋_GB2312"/>
          <w:b/>
          <w:bCs/>
          <w:kern w:val="2"/>
          <w:sz w:val="28"/>
          <w:szCs w:val="28"/>
          <w:lang w:val="en-US" w:eastAsia="zh-CN" w:bidi="ar-SA"/>
        </w:rPr>
      </w:pPr>
    </w:p>
    <w:p>
      <w:pPr>
        <w:spacing w:line="360" w:lineRule="auto"/>
        <w:jc w:val="center"/>
        <w:rPr>
          <w:rFonts w:hint="eastAsia" w:ascii="仿宋_GB2312" w:hAnsi="仿宋_GB2312" w:eastAsia="仿宋_GB2312" w:cs="仿宋_GB2312"/>
          <w:b/>
          <w:bCs/>
          <w:kern w:val="2"/>
          <w:sz w:val="28"/>
          <w:szCs w:val="28"/>
          <w:lang w:val="en-US" w:eastAsia="zh-CN" w:bidi="ar-SA"/>
        </w:rPr>
      </w:pPr>
    </w:p>
    <w:p>
      <w:pPr>
        <w:spacing w:line="360" w:lineRule="auto"/>
        <w:jc w:val="center"/>
        <w:rPr>
          <w:rFonts w:hint="eastAsia" w:ascii="仿宋_GB2312" w:hAnsi="仿宋_GB2312" w:eastAsia="仿宋_GB2312" w:cs="仿宋_GB2312"/>
          <w:b/>
          <w:bCs/>
          <w:kern w:val="2"/>
          <w:sz w:val="28"/>
          <w:szCs w:val="28"/>
          <w:lang w:val="en-US" w:eastAsia="zh-CN" w:bidi="ar-SA"/>
        </w:rPr>
      </w:pPr>
    </w:p>
    <w:p>
      <w:pPr>
        <w:spacing w:line="360" w:lineRule="auto"/>
        <w:jc w:val="center"/>
        <w:rPr>
          <w:rFonts w:hint="eastAsia" w:ascii="仿宋_GB2312" w:hAnsi="仿宋_GB2312" w:eastAsia="仿宋_GB2312" w:cs="仿宋_GB2312"/>
          <w:b/>
          <w:bCs/>
          <w:kern w:val="2"/>
          <w:sz w:val="28"/>
          <w:szCs w:val="28"/>
          <w:lang w:val="en-US" w:eastAsia="zh-CN" w:bidi="ar-SA"/>
        </w:rPr>
      </w:pPr>
    </w:p>
    <w:p>
      <w:pPr>
        <w:spacing w:line="360" w:lineRule="auto"/>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7 响应承诺书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w:t>
      </w:r>
    </w:p>
    <w:p>
      <w:pPr>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（报价单位）公司（盖单位公章）：</w:t>
      </w:r>
    </w:p>
    <w:p>
      <w:pPr>
        <w:pStyle w:val="2"/>
        <w:rPr>
          <w:rFonts w:hint="default"/>
          <w:lang w:val="en-US" w:eastAsia="zh-CN"/>
        </w:rPr>
      </w:pPr>
      <w:r>
        <w:rPr>
          <w:rFonts w:hint="eastAsia" w:ascii="仿宋_GB2312" w:hAnsi="仿宋_GB2312" w:eastAsia="仿宋_GB2312" w:cs="仿宋_GB2312"/>
          <w:b w:val="0"/>
          <w:bCs/>
          <w:sz w:val="28"/>
          <w:szCs w:val="28"/>
          <w:lang w:val="en-US" w:eastAsia="zh-CN"/>
        </w:rPr>
        <w:t xml:space="preserve">                                            </w:t>
      </w:r>
      <w:r>
        <w:rPr>
          <w:rFonts w:hint="eastAsia" w:ascii="仿宋_GB2312" w:hAnsi="仿宋_GB2312" w:cs="仿宋_GB2312"/>
          <w:b w:val="0"/>
          <w:bCs/>
          <w:sz w:val="28"/>
          <w:szCs w:val="28"/>
          <w:lang w:val="en-US" w:eastAsia="zh-CN"/>
        </w:rPr>
        <w:t xml:space="preserve">    </w:t>
      </w:r>
      <w:r>
        <w:rPr>
          <w:rFonts w:hint="eastAsia" w:ascii="仿宋_GB2312" w:hAnsi="仿宋_GB2312" w:eastAsia="仿宋_GB2312" w:cs="仿宋_GB2312"/>
          <w:b w:val="0"/>
          <w:bCs/>
          <w:sz w:val="28"/>
          <w:szCs w:val="28"/>
          <w:lang w:val="en-US" w:eastAsia="zh-CN"/>
        </w:rPr>
        <w:t>年  月  日</w:t>
      </w: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62</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97AE05"/>
    <w:multiLevelType w:val="singleLevel"/>
    <w:tmpl w:val="AF97AE05"/>
    <w:lvl w:ilvl="0" w:tentative="0">
      <w:start w:val="1"/>
      <w:numFmt w:val="decimal"/>
      <w:suff w:val="space"/>
      <w:lvlText w:val="%1."/>
      <w:lvlJc w:val="left"/>
    </w:lvl>
  </w:abstractNum>
  <w:abstractNum w:abstractNumId="1">
    <w:nsid w:val="D75950CC"/>
    <w:multiLevelType w:val="singleLevel"/>
    <w:tmpl w:val="D75950CC"/>
    <w:lvl w:ilvl="0" w:tentative="0">
      <w:start w:val="1"/>
      <w:numFmt w:val="decimalEnclosedCircleChinese"/>
      <w:suff w:val="nothing"/>
      <w:lvlText w:val="%1　"/>
      <w:lvlJc w:val="left"/>
      <w:pPr>
        <w:ind w:left="0" w:firstLine="400"/>
      </w:pPr>
      <w:rPr>
        <w:rFonts w:hint="eastAsia"/>
      </w:rPr>
    </w:lvl>
  </w:abstractNum>
  <w:abstractNum w:abstractNumId="2">
    <w:nsid w:val="ECAF6BA1"/>
    <w:multiLevelType w:val="singleLevel"/>
    <w:tmpl w:val="ECAF6BA1"/>
    <w:lvl w:ilvl="0" w:tentative="0">
      <w:start w:val="1"/>
      <w:numFmt w:val="decimalEnclosedCircleChinese"/>
      <w:suff w:val="nothing"/>
      <w:lvlText w:val="%1　"/>
      <w:lvlJc w:val="left"/>
      <w:pPr>
        <w:ind w:left="0" w:firstLine="400"/>
      </w:pPr>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E01A0BA"/>
    <w:multiLevelType w:val="singleLevel"/>
    <w:tmpl w:val="3E01A0BA"/>
    <w:lvl w:ilvl="0" w:tentative="0">
      <w:start w:val="7"/>
      <w:numFmt w:val="chineseCounting"/>
      <w:suff w:val="nothing"/>
      <w:lvlText w:val="%1、"/>
      <w:lvlJc w:val="left"/>
      <w:rPr>
        <w:rFonts w:hint="eastAsia"/>
      </w:rPr>
    </w:lvl>
  </w:abstractNum>
  <w:abstractNum w:abstractNumId="6">
    <w:nsid w:val="534B5C71"/>
    <w:multiLevelType w:val="singleLevel"/>
    <w:tmpl w:val="534B5C71"/>
    <w:lvl w:ilvl="0" w:tentative="0">
      <w:start w:val="2"/>
      <w:numFmt w:val="decimal"/>
      <w:suff w:val="nothing"/>
      <w:lvlText w:val="%1、"/>
      <w:lvlJc w:val="left"/>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65463"/>
    <w:rsid w:val="00070A14"/>
    <w:rsid w:val="0008471F"/>
    <w:rsid w:val="00086CFD"/>
    <w:rsid w:val="000A13AA"/>
    <w:rsid w:val="000A3E96"/>
    <w:rsid w:val="000A57F5"/>
    <w:rsid w:val="000B027A"/>
    <w:rsid w:val="000C2600"/>
    <w:rsid w:val="000D1A87"/>
    <w:rsid w:val="000F152D"/>
    <w:rsid w:val="00112F68"/>
    <w:rsid w:val="00152973"/>
    <w:rsid w:val="001534C1"/>
    <w:rsid w:val="00172419"/>
    <w:rsid w:val="00172A27"/>
    <w:rsid w:val="00172A53"/>
    <w:rsid w:val="00185D8B"/>
    <w:rsid w:val="0019723B"/>
    <w:rsid w:val="001A0A3B"/>
    <w:rsid w:val="001B46FB"/>
    <w:rsid w:val="001B7434"/>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D50D3"/>
    <w:rsid w:val="002F019E"/>
    <w:rsid w:val="002F14B3"/>
    <w:rsid w:val="0030761B"/>
    <w:rsid w:val="0031164B"/>
    <w:rsid w:val="00312AC0"/>
    <w:rsid w:val="00314552"/>
    <w:rsid w:val="00324D02"/>
    <w:rsid w:val="0032766F"/>
    <w:rsid w:val="0034544C"/>
    <w:rsid w:val="0034638C"/>
    <w:rsid w:val="0036121E"/>
    <w:rsid w:val="00370038"/>
    <w:rsid w:val="00384E03"/>
    <w:rsid w:val="00397825"/>
    <w:rsid w:val="003B63B6"/>
    <w:rsid w:val="003C0792"/>
    <w:rsid w:val="003C3FC7"/>
    <w:rsid w:val="003C480C"/>
    <w:rsid w:val="003E3598"/>
    <w:rsid w:val="003E3877"/>
    <w:rsid w:val="003E5C27"/>
    <w:rsid w:val="00404984"/>
    <w:rsid w:val="00447272"/>
    <w:rsid w:val="004478D9"/>
    <w:rsid w:val="00450C88"/>
    <w:rsid w:val="004611F4"/>
    <w:rsid w:val="004825A7"/>
    <w:rsid w:val="004936FD"/>
    <w:rsid w:val="004A5A27"/>
    <w:rsid w:val="004A5E8B"/>
    <w:rsid w:val="004B5AEF"/>
    <w:rsid w:val="004C157B"/>
    <w:rsid w:val="004C3D78"/>
    <w:rsid w:val="00517E2D"/>
    <w:rsid w:val="00530A9A"/>
    <w:rsid w:val="00540B22"/>
    <w:rsid w:val="00544C66"/>
    <w:rsid w:val="005531D2"/>
    <w:rsid w:val="00557266"/>
    <w:rsid w:val="00560E35"/>
    <w:rsid w:val="00563AA0"/>
    <w:rsid w:val="00587556"/>
    <w:rsid w:val="0059583B"/>
    <w:rsid w:val="005A2346"/>
    <w:rsid w:val="005A6D22"/>
    <w:rsid w:val="005D32E2"/>
    <w:rsid w:val="005E23CC"/>
    <w:rsid w:val="005F3213"/>
    <w:rsid w:val="005F56D2"/>
    <w:rsid w:val="005F77DF"/>
    <w:rsid w:val="00600CD0"/>
    <w:rsid w:val="006306AC"/>
    <w:rsid w:val="00636977"/>
    <w:rsid w:val="00637A9D"/>
    <w:rsid w:val="006408EC"/>
    <w:rsid w:val="00646229"/>
    <w:rsid w:val="00647504"/>
    <w:rsid w:val="00652BBC"/>
    <w:rsid w:val="006971ED"/>
    <w:rsid w:val="006975E7"/>
    <w:rsid w:val="006A4D3F"/>
    <w:rsid w:val="006D1512"/>
    <w:rsid w:val="006D6DAB"/>
    <w:rsid w:val="006D7AC4"/>
    <w:rsid w:val="006F3156"/>
    <w:rsid w:val="00705B0E"/>
    <w:rsid w:val="007118CE"/>
    <w:rsid w:val="00715D2B"/>
    <w:rsid w:val="0072210D"/>
    <w:rsid w:val="00750726"/>
    <w:rsid w:val="007638FC"/>
    <w:rsid w:val="00764A71"/>
    <w:rsid w:val="00770348"/>
    <w:rsid w:val="007925E4"/>
    <w:rsid w:val="0079313B"/>
    <w:rsid w:val="007A0033"/>
    <w:rsid w:val="007C3FA2"/>
    <w:rsid w:val="007C75C0"/>
    <w:rsid w:val="007D3156"/>
    <w:rsid w:val="007F08E2"/>
    <w:rsid w:val="007F564C"/>
    <w:rsid w:val="00801F50"/>
    <w:rsid w:val="0081783B"/>
    <w:rsid w:val="00820CD2"/>
    <w:rsid w:val="00823242"/>
    <w:rsid w:val="008272D1"/>
    <w:rsid w:val="00867693"/>
    <w:rsid w:val="00872D60"/>
    <w:rsid w:val="00885E56"/>
    <w:rsid w:val="008964EA"/>
    <w:rsid w:val="008C320E"/>
    <w:rsid w:val="008C7BDA"/>
    <w:rsid w:val="008D5038"/>
    <w:rsid w:val="008E44D5"/>
    <w:rsid w:val="00904E6B"/>
    <w:rsid w:val="00915BAD"/>
    <w:rsid w:val="00955335"/>
    <w:rsid w:val="00966CC3"/>
    <w:rsid w:val="00972E33"/>
    <w:rsid w:val="009758CD"/>
    <w:rsid w:val="0099130A"/>
    <w:rsid w:val="00994C2F"/>
    <w:rsid w:val="009A2081"/>
    <w:rsid w:val="009A775D"/>
    <w:rsid w:val="009B0212"/>
    <w:rsid w:val="009C4632"/>
    <w:rsid w:val="009C4CB3"/>
    <w:rsid w:val="009E0FCB"/>
    <w:rsid w:val="00A1208A"/>
    <w:rsid w:val="00A16973"/>
    <w:rsid w:val="00A2579E"/>
    <w:rsid w:val="00A376F5"/>
    <w:rsid w:val="00A379D3"/>
    <w:rsid w:val="00A52811"/>
    <w:rsid w:val="00A52E65"/>
    <w:rsid w:val="00A70F57"/>
    <w:rsid w:val="00A805F8"/>
    <w:rsid w:val="00A812B5"/>
    <w:rsid w:val="00A87ABF"/>
    <w:rsid w:val="00AA61FE"/>
    <w:rsid w:val="00AB537F"/>
    <w:rsid w:val="00AB6450"/>
    <w:rsid w:val="00AC3C65"/>
    <w:rsid w:val="00AC45B0"/>
    <w:rsid w:val="00AF13A7"/>
    <w:rsid w:val="00AF5558"/>
    <w:rsid w:val="00B01D8D"/>
    <w:rsid w:val="00B11CD6"/>
    <w:rsid w:val="00B26C49"/>
    <w:rsid w:val="00B305F6"/>
    <w:rsid w:val="00B471FC"/>
    <w:rsid w:val="00B534FE"/>
    <w:rsid w:val="00B53694"/>
    <w:rsid w:val="00B53744"/>
    <w:rsid w:val="00B82CC1"/>
    <w:rsid w:val="00B836C9"/>
    <w:rsid w:val="00B94078"/>
    <w:rsid w:val="00B95395"/>
    <w:rsid w:val="00B95FC1"/>
    <w:rsid w:val="00BA7B0B"/>
    <w:rsid w:val="00BB0045"/>
    <w:rsid w:val="00BC682A"/>
    <w:rsid w:val="00BE2676"/>
    <w:rsid w:val="00BE4079"/>
    <w:rsid w:val="00BE60ED"/>
    <w:rsid w:val="00C17654"/>
    <w:rsid w:val="00C25465"/>
    <w:rsid w:val="00C27AFB"/>
    <w:rsid w:val="00C31CC4"/>
    <w:rsid w:val="00C37FE6"/>
    <w:rsid w:val="00C411BB"/>
    <w:rsid w:val="00C63708"/>
    <w:rsid w:val="00C65C92"/>
    <w:rsid w:val="00C755A9"/>
    <w:rsid w:val="00C82DDE"/>
    <w:rsid w:val="00C86280"/>
    <w:rsid w:val="00CA5F84"/>
    <w:rsid w:val="00CA7497"/>
    <w:rsid w:val="00CC225A"/>
    <w:rsid w:val="00CE5B0A"/>
    <w:rsid w:val="00CF1C26"/>
    <w:rsid w:val="00CF1DC7"/>
    <w:rsid w:val="00CF5F0A"/>
    <w:rsid w:val="00CF78A1"/>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54DAE"/>
    <w:rsid w:val="00E56091"/>
    <w:rsid w:val="00E62A7E"/>
    <w:rsid w:val="00E63140"/>
    <w:rsid w:val="00E66013"/>
    <w:rsid w:val="00E71B6B"/>
    <w:rsid w:val="00E754CB"/>
    <w:rsid w:val="00E81641"/>
    <w:rsid w:val="00E9180A"/>
    <w:rsid w:val="00EA24A8"/>
    <w:rsid w:val="00EA4A68"/>
    <w:rsid w:val="00EC4B09"/>
    <w:rsid w:val="00ED7028"/>
    <w:rsid w:val="00EF3342"/>
    <w:rsid w:val="00F028A1"/>
    <w:rsid w:val="00F12B8C"/>
    <w:rsid w:val="00F173C4"/>
    <w:rsid w:val="00F24CC5"/>
    <w:rsid w:val="00F4362A"/>
    <w:rsid w:val="00F47FEF"/>
    <w:rsid w:val="00F5254D"/>
    <w:rsid w:val="00F52946"/>
    <w:rsid w:val="00F530B4"/>
    <w:rsid w:val="00F5383D"/>
    <w:rsid w:val="00F61368"/>
    <w:rsid w:val="00F66C48"/>
    <w:rsid w:val="00F77235"/>
    <w:rsid w:val="00F90824"/>
    <w:rsid w:val="00F951A5"/>
    <w:rsid w:val="00FB51EC"/>
    <w:rsid w:val="00FB77FC"/>
    <w:rsid w:val="00FD29F6"/>
    <w:rsid w:val="00FD5444"/>
    <w:rsid w:val="01064776"/>
    <w:rsid w:val="022420B7"/>
    <w:rsid w:val="02303872"/>
    <w:rsid w:val="0233232E"/>
    <w:rsid w:val="023408F9"/>
    <w:rsid w:val="024750BF"/>
    <w:rsid w:val="0299087B"/>
    <w:rsid w:val="03AB6934"/>
    <w:rsid w:val="03F35083"/>
    <w:rsid w:val="05374EDC"/>
    <w:rsid w:val="05D639A0"/>
    <w:rsid w:val="06184390"/>
    <w:rsid w:val="06536001"/>
    <w:rsid w:val="065E0FFD"/>
    <w:rsid w:val="067A6568"/>
    <w:rsid w:val="06C1268B"/>
    <w:rsid w:val="07692963"/>
    <w:rsid w:val="076A4B98"/>
    <w:rsid w:val="080F3EAA"/>
    <w:rsid w:val="082F2E81"/>
    <w:rsid w:val="086C758C"/>
    <w:rsid w:val="09291EF6"/>
    <w:rsid w:val="09AD1940"/>
    <w:rsid w:val="09BE352B"/>
    <w:rsid w:val="0A3562AE"/>
    <w:rsid w:val="0A383E43"/>
    <w:rsid w:val="0A617500"/>
    <w:rsid w:val="0ACC50F7"/>
    <w:rsid w:val="0B773411"/>
    <w:rsid w:val="0BE77EF0"/>
    <w:rsid w:val="0BE9582F"/>
    <w:rsid w:val="0C463FA6"/>
    <w:rsid w:val="0C711BC0"/>
    <w:rsid w:val="0CEA28E5"/>
    <w:rsid w:val="0CF74D52"/>
    <w:rsid w:val="0D40343C"/>
    <w:rsid w:val="0D6874AB"/>
    <w:rsid w:val="0E1337C7"/>
    <w:rsid w:val="0E5566D1"/>
    <w:rsid w:val="0E8870A6"/>
    <w:rsid w:val="0EE63E77"/>
    <w:rsid w:val="0F693DD7"/>
    <w:rsid w:val="0F7162B4"/>
    <w:rsid w:val="0F772B35"/>
    <w:rsid w:val="0F7E6DC5"/>
    <w:rsid w:val="0F8D2BF4"/>
    <w:rsid w:val="0FDB7213"/>
    <w:rsid w:val="10177789"/>
    <w:rsid w:val="101C7428"/>
    <w:rsid w:val="10B02AE2"/>
    <w:rsid w:val="10B87739"/>
    <w:rsid w:val="112F644B"/>
    <w:rsid w:val="114A3CB9"/>
    <w:rsid w:val="114F75DA"/>
    <w:rsid w:val="118D1AE7"/>
    <w:rsid w:val="124E7A09"/>
    <w:rsid w:val="1277743D"/>
    <w:rsid w:val="127901C8"/>
    <w:rsid w:val="1294198A"/>
    <w:rsid w:val="129A358A"/>
    <w:rsid w:val="12CB05A9"/>
    <w:rsid w:val="13132F2D"/>
    <w:rsid w:val="13B127BD"/>
    <w:rsid w:val="13B937B9"/>
    <w:rsid w:val="13BF21F2"/>
    <w:rsid w:val="13F22A03"/>
    <w:rsid w:val="13F50A7D"/>
    <w:rsid w:val="13FB525D"/>
    <w:rsid w:val="143D4D98"/>
    <w:rsid w:val="14B25586"/>
    <w:rsid w:val="14F80F3F"/>
    <w:rsid w:val="15492FFF"/>
    <w:rsid w:val="15CD3476"/>
    <w:rsid w:val="1647739D"/>
    <w:rsid w:val="16513AC9"/>
    <w:rsid w:val="16745652"/>
    <w:rsid w:val="16A1745B"/>
    <w:rsid w:val="16B01CF2"/>
    <w:rsid w:val="170A6CB4"/>
    <w:rsid w:val="17C5460C"/>
    <w:rsid w:val="17CE1F19"/>
    <w:rsid w:val="181E7A81"/>
    <w:rsid w:val="185B7DF8"/>
    <w:rsid w:val="188134D6"/>
    <w:rsid w:val="188C370D"/>
    <w:rsid w:val="196C17E5"/>
    <w:rsid w:val="19D05A8B"/>
    <w:rsid w:val="1A6B090C"/>
    <w:rsid w:val="1A76740E"/>
    <w:rsid w:val="1A7E356C"/>
    <w:rsid w:val="1AC45552"/>
    <w:rsid w:val="1AE60EAE"/>
    <w:rsid w:val="1AF5042A"/>
    <w:rsid w:val="1B4D1B97"/>
    <w:rsid w:val="1B8E6B92"/>
    <w:rsid w:val="1BA72913"/>
    <w:rsid w:val="1BE166F2"/>
    <w:rsid w:val="1BFE7DE8"/>
    <w:rsid w:val="1CEE3518"/>
    <w:rsid w:val="1CF54011"/>
    <w:rsid w:val="1D0A181C"/>
    <w:rsid w:val="1D4906EE"/>
    <w:rsid w:val="1DF66AC1"/>
    <w:rsid w:val="1E1C41C5"/>
    <w:rsid w:val="1E551634"/>
    <w:rsid w:val="1E6D287C"/>
    <w:rsid w:val="1EDB762C"/>
    <w:rsid w:val="1EFE5C91"/>
    <w:rsid w:val="1F3C19CE"/>
    <w:rsid w:val="1F757BD8"/>
    <w:rsid w:val="1F883247"/>
    <w:rsid w:val="1FD65D99"/>
    <w:rsid w:val="20111B6D"/>
    <w:rsid w:val="201A4AF0"/>
    <w:rsid w:val="209A7973"/>
    <w:rsid w:val="20A73BEE"/>
    <w:rsid w:val="21124B31"/>
    <w:rsid w:val="21BD231D"/>
    <w:rsid w:val="21BF5E68"/>
    <w:rsid w:val="21C70A8A"/>
    <w:rsid w:val="22505C48"/>
    <w:rsid w:val="22DA0C8B"/>
    <w:rsid w:val="22DC098B"/>
    <w:rsid w:val="22E36FAC"/>
    <w:rsid w:val="230E198E"/>
    <w:rsid w:val="238B6C86"/>
    <w:rsid w:val="23A320D1"/>
    <w:rsid w:val="23B02E75"/>
    <w:rsid w:val="23D96CE5"/>
    <w:rsid w:val="2423792A"/>
    <w:rsid w:val="244D0BF5"/>
    <w:rsid w:val="245F4DC2"/>
    <w:rsid w:val="249202DF"/>
    <w:rsid w:val="249C7546"/>
    <w:rsid w:val="24A52670"/>
    <w:rsid w:val="24C61E33"/>
    <w:rsid w:val="24FB2F10"/>
    <w:rsid w:val="251470EB"/>
    <w:rsid w:val="251C1370"/>
    <w:rsid w:val="253E0B3F"/>
    <w:rsid w:val="25E074A4"/>
    <w:rsid w:val="26A63658"/>
    <w:rsid w:val="26F06D2C"/>
    <w:rsid w:val="27721396"/>
    <w:rsid w:val="278504F5"/>
    <w:rsid w:val="27B4466B"/>
    <w:rsid w:val="28050DD8"/>
    <w:rsid w:val="28577658"/>
    <w:rsid w:val="287A4275"/>
    <w:rsid w:val="292A5E2B"/>
    <w:rsid w:val="295002DD"/>
    <w:rsid w:val="299E486A"/>
    <w:rsid w:val="29CD4974"/>
    <w:rsid w:val="2A0B3381"/>
    <w:rsid w:val="2A0C430A"/>
    <w:rsid w:val="2A3854D0"/>
    <w:rsid w:val="2AB11815"/>
    <w:rsid w:val="2B226974"/>
    <w:rsid w:val="2BC61EA8"/>
    <w:rsid w:val="2BDB4A33"/>
    <w:rsid w:val="2C397780"/>
    <w:rsid w:val="2C6D3961"/>
    <w:rsid w:val="2C6E6B13"/>
    <w:rsid w:val="2CA21AB6"/>
    <w:rsid w:val="2D5937BB"/>
    <w:rsid w:val="2DA00C9D"/>
    <w:rsid w:val="2DA5008E"/>
    <w:rsid w:val="2DBB535B"/>
    <w:rsid w:val="2E37772E"/>
    <w:rsid w:val="2EF8472D"/>
    <w:rsid w:val="2F361022"/>
    <w:rsid w:val="30144E8D"/>
    <w:rsid w:val="30200388"/>
    <w:rsid w:val="302F07D9"/>
    <w:rsid w:val="3037695C"/>
    <w:rsid w:val="305F4366"/>
    <w:rsid w:val="30743C22"/>
    <w:rsid w:val="312912E9"/>
    <w:rsid w:val="31EF74FF"/>
    <w:rsid w:val="32336B98"/>
    <w:rsid w:val="32DE1F01"/>
    <w:rsid w:val="33507123"/>
    <w:rsid w:val="33CB74FA"/>
    <w:rsid w:val="33F701E9"/>
    <w:rsid w:val="34335195"/>
    <w:rsid w:val="35740C40"/>
    <w:rsid w:val="35AF6AAB"/>
    <w:rsid w:val="35FC5532"/>
    <w:rsid w:val="3607552E"/>
    <w:rsid w:val="366D0E58"/>
    <w:rsid w:val="36F8572D"/>
    <w:rsid w:val="37BF72F1"/>
    <w:rsid w:val="38E44A26"/>
    <w:rsid w:val="39A72E49"/>
    <w:rsid w:val="39F3452A"/>
    <w:rsid w:val="3A994F5D"/>
    <w:rsid w:val="3AB219D4"/>
    <w:rsid w:val="3B2243C9"/>
    <w:rsid w:val="3B5C0A4E"/>
    <w:rsid w:val="3BDE387E"/>
    <w:rsid w:val="3CBD3362"/>
    <w:rsid w:val="3DFA634B"/>
    <w:rsid w:val="3EC14C0B"/>
    <w:rsid w:val="3EFF01CA"/>
    <w:rsid w:val="3F1055A1"/>
    <w:rsid w:val="3F417377"/>
    <w:rsid w:val="3FB41729"/>
    <w:rsid w:val="3FE82528"/>
    <w:rsid w:val="40113CA4"/>
    <w:rsid w:val="40A4535A"/>
    <w:rsid w:val="40A72286"/>
    <w:rsid w:val="40BE6E98"/>
    <w:rsid w:val="40D23C66"/>
    <w:rsid w:val="415757C2"/>
    <w:rsid w:val="41AA3890"/>
    <w:rsid w:val="4276404A"/>
    <w:rsid w:val="42C14991"/>
    <w:rsid w:val="431B75F7"/>
    <w:rsid w:val="4330314B"/>
    <w:rsid w:val="43843854"/>
    <w:rsid w:val="43B37A8B"/>
    <w:rsid w:val="43E26A43"/>
    <w:rsid w:val="43EC7CCD"/>
    <w:rsid w:val="44036D80"/>
    <w:rsid w:val="44240266"/>
    <w:rsid w:val="44B377E6"/>
    <w:rsid w:val="44C2497D"/>
    <w:rsid w:val="44C537DD"/>
    <w:rsid w:val="44E64D18"/>
    <w:rsid w:val="4596128B"/>
    <w:rsid w:val="459A600B"/>
    <w:rsid w:val="45AA1CA5"/>
    <w:rsid w:val="46592D5F"/>
    <w:rsid w:val="473811AA"/>
    <w:rsid w:val="47921DC5"/>
    <w:rsid w:val="47C502CB"/>
    <w:rsid w:val="48642A29"/>
    <w:rsid w:val="48AC05C9"/>
    <w:rsid w:val="48AE781C"/>
    <w:rsid w:val="48B57713"/>
    <w:rsid w:val="490E47E8"/>
    <w:rsid w:val="494C0309"/>
    <w:rsid w:val="495C61BB"/>
    <w:rsid w:val="49800783"/>
    <w:rsid w:val="49B7179D"/>
    <w:rsid w:val="49E45E47"/>
    <w:rsid w:val="4A46542F"/>
    <w:rsid w:val="4A5B2E3A"/>
    <w:rsid w:val="4A6F179E"/>
    <w:rsid w:val="4AC27F00"/>
    <w:rsid w:val="4B3A1648"/>
    <w:rsid w:val="4B86414E"/>
    <w:rsid w:val="4BF45C61"/>
    <w:rsid w:val="4BFC5041"/>
    <w:rsid w:val="4C184D93"/>
    <w:rsid w:val="4D3A663E"/>
    <w:rsid w:val="4D5860B1"/>
    <w:rsid w:val="4D9D1672"/>
    <w:rsid w:val="4DA20E61"/>
    <w:rsid w:val="4DC70A65"/>
    <w:rsid w:val="4DF543C9"/>
    <w:rsid w:val="4E1D1C12"/>
    <w:rsid w:val="4E457B53"/>
    <w:rsid w:val="4E4F55C3"/>
    <w:rsid w:val="4E510AB2"/>
    <w:rsid w:val="4E874A52"/>
    <w:rsid w:val="4E9917B8"/>
    <w:rsid w:val="4EBB5759"/>
    <w:rsid w:val="4EDE5A88"/>
    <w:rsid w:val="4EE419FD"/>
    <w:rsid w:val="4EFF3703"/>
    <w:rsid w:val="503C19ED"/>
    <w:rsid w:val="50A83902"/>
    <w:rsid w:val="50C94274"/>
    <w:rsid w:val="51186119"/>
    <w:rsid w:val="51F76E27"/>
    <w:rsid w:val="51F91CC1"/>
    <w:rsid w:val="52012047"/>
    <w:rsid w:val="52376571"/>
    <w:rsid w:val="523C23F9"/>
    <w:rsid w:val="526925C3"/>
    <w:rsid w:val="528A5A1E"/>
    <w:rsid w:val="52AA467B"/>
    <w:rsid w:val="533E3E90"/>
    <w:rsid w:val="53D16D08"/>
    <w:rsid w:val="53D93C8B"/>
    <w:rsid w:val="540575FA"/>
    <w:rsid w:val="54900C9C"/>
    <w:rsid w:val="558C0B67"/>
    <w:rsid w:val="55B96D55"/>
    <w:rsid w:val="55F7169A"/>
    <w:rsid w:val="5601132A"/>
    <w:rsid w:val="56A34C8A"/>
    <w:rsid w:val="56AE71AB"/>
    <w:rsid w:val="56B15172"/>
    <w:rsid w:val="56D36ED8"/>
    <w:rsid w:val="57425EAF"/>
    <w:rsid w:val="57695D9E"/>
    <w:rsid w:val="57C80D89"/>
    <w:rsid w:val="58173B0F"/>
    <w:rsid w:val="5824318C"/>
    <w:rsid w:val="585119F6"/>
    <w:rsid w:val="58686ACC"/>
    <w:rsid w:val="58955C07"/>
    <w:rsid w:val="58C168D9"/>
    <w:rsid w:val="58DE05B6"/>
    <w:rsid w:val="58E05C65"/>
    <w:rsid w:val="591F30CD"/>
    <w:rsid w:val="59645E7F"/>
    <w:rsid w:val="59803074"/>
    <w:rsid w:val="5A260134"/>
    <w:rsid w:val="5A697E29"/>
    <w:rsid w:val="5AAD49D1"/>
    <w:rsid w:val="5AAF1143"/>
    <w:rsid w:val="5AE87E46"/>
    <w:rsid w:val="5B2D13A4"/>
    <w:rsid w:val="5B3476F8"/>
    <w:rsid w:val="5B3679D3"/>
    <w:rsid w:val="5B7716B5"/>
    <w:rsid w:val="5B8512A3"/>
    <w:rsid w:val="5BCC14BE"/>
    <w:rsid w:val="5C595A94"/>
    <w:rsid w:val="5C805F19"/>
    <w:rsid w:val="5CFA32EA"/>
    <w:rsid w:val="5D2554EA"/>
    <w:rsid w:val="5DC920C2"/>
    <w:rsid w:val="5E0A19C6"/>
    <w:rsid w:val="5E0E15C9"/>
    <w:rsid w:val="5E113BD7"/>
    <w:rsid w:val="5E1E260B"/>
    <w:rsid w:val="5E555844"/>
    <w:rsid w:val="5E5F6093"/>
    <w:rsid w:val="5E900B93"/>
    <w:rsid w:val="5EF95247"/>
    <w:rsid w:val="5F341D22"/>
    <w:rsid w:val="5FBF6E8F"/>
    <w:rsid w:val="602F0457"/>
    <w:rsid w:val="60562E9D"/>
    <w:rsid w:val="60D03B68"/>
    <w:rsid w:val="610752A0"/>
    <w:rsid w:val="615715A7"/>
    <w:rsid w:val="619F3D71"/>
    <w:rsid w:val="620223B3"/>
    <w:rsid w:val="622D062F"/>
    <w:rsid w:val="627A438E"/>
    <w:rsid w:val="62AF6DBC"/>
    <w:rsid w:val="6315039E"/>
    <w:rsid w:val="63857B8B"/>
    <w:rsid w:val="63FA176A"/>
    <w:rsid w:val="6438493D"/>
    <w:rsid w:val="644E4B1D"/>
    <w:rsid w:val="649B5108"/>
    <w:rsid w:val="64EE14AA"/>
    <w:rsid w:val="64F8040F"/>
    <w:rsid w:val="64FB7A77"/>
    <w:rsid w:val="65203175"/>
    <w:rsid w:val="662D78C6"/>
    <w:rsid w:val="66422F2C"/>
    <w:rsid w:val="664E0DD2"/>
    <w:rsid w:val="672A408F"/>
    <w:rsid w:val="6743294A"/>
    <w:rsid w:val="676F0088"/>
    <w:rsid w:val="677819FE"/>
    <w:rsid w:val="67D347C8"/>
    <w:rsid w:val="67DD3A75"/>
    <w:rsid w:val="67E828EC"/>
    <w:rsid w:val="68075293"/>
    <w:rsid w:val="68F31C0B"/>
    <w:rsid w:val="694B00B8"/>
    <w:rsid w:val="695A4BAF"/>
    <w:rsid w:val="697A4D18"/>
    <w:rsid w:val="69A964B3"/>
    <w:rsid w:val="69BB72C5"/>
    <w:rsid w:val="6A3B4DFC"/>
    <w:rsid w:val="6AA91308"/>
    <w:rsid w:val="6AAB280F"/>
    <w:rsid w:val="6AEA7D26"/>
    <w:rsid w:val="6B025D75"/>
    <w:rsid w:val="6BC2589C"/>
    <w:rsid w:val="6C397A8B"/>
    <w:rsid w:val="6C763E1A"/>
    <w:rsid w:val="6CFE1134"/>
    <w:rsid w:val="6D58117B"/>
    <w:rsid w:val="6D8B60AE"/>
    <w:rsid w:val="6E2B4BC6"/>
    <w:rsid w:val="6E2C6FF7"/>
    <w:rsid w:val="6E442175"/>
    <w:rsid w:val="6EB7625F"/>
    <w:rsid w:val="6EBA48D5"/>
    <w:rsid w:val="6ED8535C"/>
    <w:rsid w:val="6EFC1923"/>
    <w:rsid w:val="6F286159"/>
    <w:rsid w:val="6F902AE9"/>
    <w:rsid w:val="6F993367"/>
    <w:rsid w:val="6FEE1099"/>
    <w:rsid w:val="70172A4B"/>
    <w:rsid w:val="701F44A1"/>
    <w:rsid w:val="7021032F"/>
    <w:rsid w:val="703321F1"/>
    <w:rsid w:val="7087626F"/>
    <w:rsid w:val="70EF4417"/>
    <w:rsid w:val="71296607"/>
    <w:rsid w:val="722559B9"/>
    <w:rsid w:val="724820E6"/>
    <w:rsid w:val="72964245"/>
    <w:rsid w:val="72AC447E"/>
    <w:rsid w:val="72CB08EA"/>
    <w:rsid w:val="730E55D1"/>
    <w:rsid w:val="731A2F2F"/>
    <w:rsid w:val="7363616C"/>
    <w:rsid w:val="73A264B8"/>
    <w:rsid w:val="73D46512"/>
    <w:rsid w:val="73E97FC3"/>
    <w:rsid w:val="742C1014"/>
    <w:rsid w:val="743967F0"/>
    <w:rsid w:val="7465024B"/>
    <w:rsid w:val="748A435E"/>
    <w:rsid w:val="74D65680"/>
    <w:rsid w:val="74DA1257"/>
    <w:rsid w:val="75531E54"/>
    <w:rsid w:val="757D6204"/>
    <w:rsid w:val="75AA6ADF"/>
    <w:rsid w:val="75C46DCF"/>
    <w:rsid w:val="75CD2FB1"/>
    <w:rsid w:val="75D20D62"/>
    <w:rsid w:val="76B923B7"/>
    <w:rsid w:val="77273846"/>
    <w:rsid w:val="773471D0"/>
    <w:rsid w:val="776D38FC"/>
    <w:rsid w:val="7776476A"/>
    <w:rsid w:val="77775386"/>
    <w:rsid w:val="783F1E6B"/>
    <w:rsid w:val="78452B7C"/>
    <w:rsid w:val="78BE1345"/>
    <w:rsid w:val="78CE4F42"/>
    <w:rsid w:val="78DF7B6C"/>
    <w:rsid w:val="792249A7"/>
    <w:rsid w:val="79274D5F"/>
    <w:rsid w:val="794F5E9A"/>
    <w:rsid w:val="7956198E"/>
    <w:rsid w:val="79CE04BA"/>
    <w:rsid w:val="79DE0FE0"/>
    <w:rsid w:val="79F17CD3"/>
    <w:rsid w:val="7A1B663A"/>
    <w:rsid w:val="7A4D0134"/>
    <w:rsid w:val="7A834B94"/>
    <w:rsid w:val="7AA12935"/>
    <w:rsid w:val="7AA96C88"/>
    <w:rsid w:val="7AE41BE6"/>
    <w:rsid w:val="7B8C6AE3"/>
    <w:rsid w:val="7CFE4FF7"/>
    <w:rsid w:val="7D4476CE"/>
    <w:rsid w:val="7E350D9C"/>
    <w:rsid w:val="7EA27ED9"/>
    <w:rsid w:val="7F2F22B8"/>
    <w:rsid w:val="7F3C6003"/>
    <w:rsid w:val="7F4C0B91"/>
    <w:rsid w:val="7F5B6E20"/>
    <w:rsid w:val="7FC62AD0"/>
    <w:rsid w:val="7FC6334C"/>
    <w:rsid w:val="7FD14040"/>
    <w:rsid w:val="7FEF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51"/>
    <w:semiHidden/>
    <w:unhideWhenUsed/>
    <w:qFormat/>
    <w:uiPriority w:val="0"/>
    <w:rPr>
      <w:rFonts w:ascii="宋体"/>
      <w:sz w:val="18"/>
      <w:szCs w:val="18"/>
    </w:rPr>
  </w:style>
  <w:style w:type="paragraph" w:styleId="10">
    <w:name w:val="annotation text"/>
    <w:basedOn w:val="1"/>
    <w:link w:val="52"/>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1"/>
    <w:qFormat/>
    <w:uiPriority w:val="0"/>
    <w:rPr>
      <w:rFonts w:ascii="宋体" w:hAnsi="Courier New" w:cs="Courier New"/>
      <w:szCs w:val="21"/>
    </w:rPr>
  </w:style>
  <w:style w:type="paragraph" w:styleId="15">
    <w:name w:val="Body Text Indent 2"/>
    <w:basedOn w:val="1"/>
    <w:link w:val="43"/>
    <w:semiHidden/>
    <w:unhideWhenUsed/>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w:basedOn w:val="12"/>
    <w:unhideWhenUsed/>
    <w:qFormat/>
    <w:uiPriority w:val="99"/>
    <w:pPr>
      <w:ind w:firstLine="420"/>
    </w:pPr>
  </w:style>
  <w:style w:type="paragraph" w:styleId="24">
    <w:name w:val="Body Text First Indent 2"/>
    <w:basedOn w:val="13"/>
    <w:qFormat/>
    <w:uiPriority w:val="0"/>
    <w:pPr>
      <w:adjustRightInd/>
      <w:snapToGrid/>
      <w:spacing w:line="360" w:lineRule="auto"/>
      <w:ind w:firstLine="471" w:firstLineChars="200"/>
      <w:textAlignment w:val="auto"/>
    </w:pPr>
    <w:rPr>
      <w:rFonts w:hint="eastAsia" w:hAnsi="Times New Roman"/>
      <w:kern w:val="2"/>
    </w:rPr>
  </w:style>
  <w:style w:type="table" w:styleId="26">
    <w:name w:val="Table Grid"/>
    <w:basedOn w:val="2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annotation reference"/>
    <w:basedOn w:val="27"/>
    <w:qFormat/>
    <w:uiPriority w:val="0"/>
    <w:rPr>
      <w:sz w:val="21"/>
      <w:szCs w:val="21"/>
    </w:rPr>
  </w:style>
  <w:style w:type="character" w:customStyle="1" w:styleId="31">
    <w:name w:val="纯文本 Char"/>
    <w:basedOn w:val="27"/>
    <w:link w:val="14"/>
    <w:qFormat/>
    <w:uiPriority w:val="0"/>
    <w:rPr>
      <w:rFonts w:ascii="宋体" w:hAnsi="Courier New" w:eastAsia="宋体" w:cs="Courier New"/>
      <w:sz w:val="21"/>
      <w:szCs w:val="21"/>
      <w:lang w:val="en-US" w:eastAsia="zh-CN" w:bidi="ar-SA"/>
    </w:rPr>
  </w:style>
  <w:style w:type="paragraph" w:customStyle="1" w:styleId="32">
    <w:name w:val="Char Char2 Char"/>
    <w:basedOn w:val="1"/>
    <w:qFormat/>
    <w:uiPriority w:val="0"/>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Char Char Char Char"/>
    <w:basedOn w:val="1"/>
    <w:qFormat/>
    <w:uiPriority w:val="0"/>
  </w:style>
  <w:style w:type="paragraph" w:customStyle="1" w:styleId="3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8">
    <w:name w:val="Char"/>
    <w:basedOn w:val="1"/>
    <w:qFormat/>
    <w:uiPriority w:val="0"/>
    <w:pPr>
      <w:spacing w:line="480" w:lineRule="exact"/>
    </w:pPr>
    <w:rPr>
      <w:sz w:val="24"/>
    </w:rPr>
  </w:style>
  <w:style w:type="paragraph" w:customStyle="1" w:styleId="39">
    <w:name w:val="题注4"/>
    <w:basedOn w:val="1"/>
    <w:next w:val="8"/>
    <w:qFormat/>
    <w:uiPriority w:val="0"/>
    <w:pPr>
      <w:ind w:left="-132" w:leftChars="-64" w:right="-105" w:rightChars="-50" w:hanging="2"/>
      <w:jc w:val="center"/>
    </w:pPr>
    <w:rPr>
      <w:b/>
      <w:color w:val="FF0000"/>
      <w:szCs w:val="21"/>
      <w:lang w:val="en-GB"/>
    </w:rPr>
  </w:style>
  <w:style w:type="paragraph" w:customStyle="1" w:styleId="40">
    <w:name w:val="表格文字"/>
    <w:basedOn w:val="1"/>
    <w:qFormat/>
    <w:uiPriority w:val="0"/>
    <w:pPr>
      <w:spacing w:before="25" w:after="25"/>
      <w:jc w:val="left"/>
    </w:pPr>
    <w:rPr>
      <w:bCs/>
      <w:spacing w:val="10"/>
      <w:kern w:val="0"/>
      <w:sz w:val="24"/>
      <w:szCs w:val="20"/>
    </w:rPr>
  </w:style>
  <w:style w:type="character" w:customStyle="1" w:styleId="41">
    <w:name w:val="标题 1 Char"/>
    <w:basedOn w:val="27"/>
    <w:link w:val="3"/>
    <w:qFormat/>
    <w:uiPriority w:val="0"/>
    <w:rPr>
      <w:b/>
      <w:bCs/>
      <w:kern w:val="44"/>
      <w:sz w:val="44"/>
      <w:szCs w:val="4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正文文本缩进 2 Char"/>
    <w:basedOn w:val="27"/>
    <w:link w:val="15"/>
    <w:semiHidden/>
    <w:qFormat/>
    <w:uiPriority w:val="0"/>
    <w:rPr>
      <w:kern w:val="2"/>
      <w:sz w:val="21"/>
      <w:szCs w:val="24"/>
    </w:rPr>
  </w:style>
  <w:style w:type="paragraph" w:customStyle="1" w:styleId="44">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列出段落1"/>
    <w:basedOn w:val="1"/>
    <w:qFormat/>
    <w:uiPriority w:val="34"/>
    <w:pPr>
      <w:ind w:firstLine="420" w:firstLineChars="200"/>
    </w:pPr>
    <w:rPr>
      <w:rFonts w:ascii="Calibri" w:hAnsi="Calibri"/>
    </w:rPr>
  </w:style>
  <w:style w:type="paragraph" w:customStyle="1" w:styleId="47">
    <w:name w:val="正文仿宋小四缩进"/>
    <w:basedOn w:val="1"/>
    <w:qFormat/>
    <w:uiPriority w:val="0"/>
    <w:pPr>
      <w:adjustRightInd w:val="0"/>
      <w:snapToGrid w:val="0"/>
      <w:spacing w:line="300" w:lineRule="auto"/>
      <w:ind w:firstLine="202" w:firstLineChars="202"/>
      <w:jc w:val="left"/>
    </w:pPr>
    <w:rPr>
      <w:rFonts w:eastAsia="仿宋_GB2312"/>
      <w:kern w:val="0"/>
      <w:sz w:val="28"/>
      <w:szCs w:val="28"/>
      <w:lang w:val="zh-CN"/>
    </w:rPr>
  </w:style>
  <w:style w:type="paragraph" w:customStyle="1" w:styleId="48">
    <w:name w:val="PEMS body"/>
    <w:basedOn w:val="49"/>
    <w:qFormat/>
    <w:uiPriority w:val="0"/>
    <w:pPr>
      <w:tabs>
        <w:tab w:val="left" w:pos="720"/>
        <w:tab w:val="left" w:pos="1440"/>
      </w:tabs>
    </w:pPr>
  </w:style>
  <w:style w:type="paragraph" w:customStyle="1" w:styleId="49">
    <w:name w:val="body"/>
    <w:qFormat/>
    <w:uiPriority w:val="0"/>
    <w:pPr>
      <w:tabs>
        <w:tab w:val="left" w:pos="720"/>
        <w:tab w:val="left" w:pos="1440"/>
      </w:tabs>
      <w:spacing w:after="240"/>
    </w:pPr>
    <w:rPr>
      <w:rFonts w:ascii="Times New Roman" w:hAnsi="Times New Roman" w:eastAsia="宋体" w:cs="Times New Roman"/>
      <w:sz w:val="24"/>
      <w:lang w:val="en-US" w:eastAsia="en-US" w:bidi="ar-SA"/>
    </w:rPr>
  </w:style>
  <w:style w:type="paragraph" w:customStyle="1" w:styleId="50">
    <w:name w:val="列表段落1"/>
    <w:basedOn w:val="1"/>
    <w:qFormat/>
    <w:uiPriority w:val="34"/>
    <w:pPr>
      <w:ind w:left="720"/>
      <w:contextualSpacing/>
    </w:pPr>
  </w:style>
  <w:style w:type="character" w:customStyle="1" w:styleId="51">
    <w:name w:val="文档结构图 Char"/>
    <w:basedOn w:val="27"/>
    <w:link w:val="9"/>
    <w:semiHidden/>
    <w:qFormat/>
    <w:uiPriority w:val="0"/>
    <w:rPr>
      <w:rFonts w:ascii="宋体"/>
      <w:kern w:val="2"/>
      <w:sz w:val="18"/>
      <w:szCs w:val="18"/>
    </w:rPr>
  </w:style>
  <w:style w:type="character" w:customStyle="1" w:styleId="52">
    <w:name w:val="批注文字 Char"/>
    <w:link w:val="10"/>
    <w:qFormat/>
    <w:uiPriority w:val="0"/>
    <w:rPr>
      <w:kern w:val="2"/>
      <w:sz w:val="21"/>
      <w:szCs w:val="24"/>
    </w:rPr>
  </w:style>
  <w:style w:type="paragraph" w:customStyle="1" w:styleId="53">
    <w:name w:val="z-窗体顶端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4898</Words>
  <Characters>27919</Characters>
  <Lines>232</Lines>
  <Paragraphs>65</Paragraphs>
  <TotalTime>38</TotalTime>
  <ScaleCrop>false</ScaleCrop>
  <LinksUpToDate>false</LinksUpToDate>
  <CharactersWithSpaces>32752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林煜韩</cp:lastModifiedBy>
  <cp:lastPrinted>2021-07-22T09:37:00Z</cp:lastPrinted>
  <dcterms:modified xsi:type="dcterms:W3CDTF">2021-09-14T06:47:59Z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