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ascii="仿宋_GB2312" w:hAnsi="仿宋_GB2312" w:eastAsia="仿宋_GB2312" w:cs="仿宋_GB2312"/>
          <w:b/>
          <w:bCs/>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sz w:val="24"/>
          <w:szCs w:val="28"/>
          <w14:textFill>
            <w14:solidFill>
              <w14:schemeClr w14:val="tx1"/>
            </w14:solidFill>
          </w14:textFill>
        </w:rPr>
      </w:pPr>
    </w:p>
    <w:p>
      <w:pPr>
        <w:spacing w:line="500" w:lineRule="exact"/>
        <w:jc w:val="left"/>
        <w:rPr>
          <w:rFonts w:ascii="仿宋_GB2312" w:hAnsi="仿宋_GB2312" w:eastAsia="仿宋_GB2312" w:cs="仿宋_GB2312"/>
          <w:b/>
          <w:bCs/>
          <w:color w:val="000000" w:themeColor="text1"/>
          <w:sz w:val="24"/>
          <w:szCs w:val="28"/>
          <w14:textFill>
            <w14:solidFill>
              <w14:schemeClr w14:val="tx1"/>
            </w14:solidFill>
          </w14:textFill>
        </w:rPr>
      </w:pPr>
    </w:p>
    <w:p>
      <w:pPr>
        <w:spacing w:line="500" w:lineRule="exact"/>
        <w:ind w:firstLine="320" w:firstLineChars="100"/>
        <w:jc w:val="left"/>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项目编号：</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XJ</w:t>
      </w:r>
      <w:r>
        <w:rPr>
          <w:rFonts w:hint="eastAsia" w:ascii="仿宋_GB2312" w:hAnsi="仿宋_GB2312" w:eastAsia="仿宋_GB2312" w:cs="仿宋_GB2312"/>
          <w:b/>
          <w:bCs/>
          <w:color w:val="000000" w:themeColor="text1"/>
          <w:sz w:val="32"/>
          <w:szCs w:val="32"/>
          <w14:textFill>
            <w14:solidFill>
              <w14:schemeClr w14:val="tx1"/>
            </w14:solidFill>
          </w14:textFill>
        </w:rPr>
        <w:t>-2021</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0914-1</w:t>
      </w:r>
    </w:p>
    <w:p>
      <w:pPr>
        <w:spacing w:line="500" w:lineRule="exact"/>
        <w:ind w:left="0" w:leftChars="0" w:firstLine="320" w:firstLineChars="100"/>
        <w:jc w:val="left"/>
        <w:rPr>
          <w:rFonts w:hint="eastAsia" w:ascii="仿宋_GB2312" w:hAnsi="仿宋_GB2312" w:eastAsia="仿宋_GB2312" w:cs="仿宋_GB2312"/>
          <w:b/>
          <w:bCs/>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项目名称：</w:t>
      </w:r>
      <w:r>
        <w:rPr>
          <w:rFonts w:hint="eastAsia" w:ascii="仿宋_GB2312" w:hAnsi="仿宋_GB2312" w:eastAsia="仿宋_GB2312" w:cs="仿宋_GB2312"/>
          <w:b/>
          <w:bCs/>
          <w:color w:val="000000" w:themeColor="text1"/>
          <w:sz w:val="32"/>
          <w:szCs w:val="32"/>
          <w14:textFill>
            <w14:solidFill>
              <w14:schemeClr w14:val="tx1"/>
            </w14:solidFill>
          </w14:textFill>
        </w:rPr>
        <w:t>广州市净水有限公司石井净水厂</w:t>
      </w:r>
      <w:r>
        <w:rPr>
          <w:rFonts w:ascii="仿宋_GB2312" w:hAnsi="仿宋_GB2312" w:eastAsia="仿宋_GB2312" w:cs="仿宋_GB2312"/>
          <w:b/>
          <w:bCs/>
          <w:color w:val="000000" w:themeColor="text1"/>
          <w:sz w:val="32"/>
          <w:szCs w:val="32"/>
          <w14:textFill>
            <w14:solidFill>
              <w14:schemeClr w14:val="tx1"/>
            </w14:solidFill>
          </w14:textFill>
        </w:rPr>
        <w:t>地块</w:t>
      </w:r>
      <w:r>
        <w:rPr>
          <w:rFonts w:hint="eastAsia" w:ascii="仿宋_GB2312" w:hAnsi="仿宋_GB2312" w:eastAsia="仿宋_GB2312" w:cs="仿宋_GB2312"/>
          <w:b/>
          <w:bCs/>
          <w:color w:val="000000" w:themeColor="text1"/>
          <w:sz w:val="32"/>
          <w:szCs w:val="32"/>
          <w14:textFill>
            <w14:solidFill>
              <w14:schemeClr w14:val="tx1"/>
            </w14:solidFill>
          </w14:textFill>
        </w:rPr>
        <w:t>控制性详细</w:t>
      </w:r>
    </w:p>
    <w:p>
      <w:pPr>
        <w:spacing w:line="500" w:lineRule="exact"/>
        <w:ind w:left="0" w:leftChars="0" w:firstLine="1920" w:firstLineChars="600"/>
        <w:jc w:val="left"/>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规划阶段海绵城市（含防洪排涝风险评估）专篇</w:t>
      </w:r>
    </w:p>
    <w:p>
      <w:pPr>
        <w:spacing w:line="500" w:lineRule="exact"/>
        <w:ind w:left="0" w:leftChars="0" w:firstLine="1920" w:firstLineChars="600"/>
        <w:jc w:val="left"/>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编制</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第二次</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sz w:val="72"/>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ascii="仿宋_GB2312" w:hAnsi="仿宋_GB2312" w:eastAsia="仿宋_GB2312" w:cs="仿宋_GB2312"/>
          <w:b/>
          <w:bCs/>
          <w:color w:val="000000" w:themeColor="text1"/>
          <w:sz w:val="36"/>
          <w14:textFill>
            <w14:solidFill>
              <w14:schemeClr w14:val="tx1"/>
            </w14:solidFill>
          </w14:textFill>
        </w:rPr>
        <w:t xml:space="preserve"> 广州市净水有限公司编制</w:t>
      </w:r>
    </w:p>
    <w:p>
      <w:pPr>
        <w:spacing w:line="360" w:lineRule="auto"/>
        <w:jc w:val="center"/>
        <w:rPr>
          <w:rFonts w:ascii="仿宋_GB2312" w:hAnsi="仿宋_GB2312" w:eastAsia="仿宋_GB2312" w:cs="仿宋_GB2312"/>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w:t>
      </w:r>
      <w:r>
        <w:rPr>
          <w:rFonts w:ascii="仿宋_GB2312" w:hAnsi="仿宋_GB2312" w:eastAsia="仿宋_GB2312" w:cs="仿宋_GB2312"/>
          <w:b/>
          <w:bCs/>
          <w:color w:val="000000" w:themeColor="text1"/>
          <w:sz w:val="28"/>
          <w14:textFill>
            <w14:solidFill>
              <w14:schemeClr w14:val="tx1"/>
            </w14:solidFill>
          </w14:textFill>
        </w:rPr>
        <w:t>202</w:t>
      </w:r>
      <w:r>
        <w:rPr>
          <w:rFonts w:hint="eastAsia" w:ascii="仿宋_GB2312" w:hAnsi="仿宋_GB2312" w:eastAsia="仿宋_GB2312" w:cs="仿宋_GB2312"/>
          <w:b/>
          <w:bCs/>
          <w:color w:val="000000" w:themeColor="text1"/>
          <w:sz w:val="28"/>
          <w14:textFill>
            <w14:solidFill>
              <w14:schemeClr w14:val="tx1"/>
            </w14:solidFill>
          </w14:textFill>
        </w:rPr>
        <w:t>1</w:t>
      </w:r>
      <w:r>
        <w:rPr>
          <w:rFonts w:ascii="仿宋_GB2312" w:hAnsi="仿宋_GB2312" w:eastAsia="仿宋_GB2312" w:cs="仿宋_GB2312"/>
          <w:b/>
          <w:bCs/>
          <w:color w:val="000000" w:themeColor="text1"/>
          <w:sz w:val="28"/>
          <w14:textFill>
            <w14:solidFill>
              <w14:schemeClr w14:val="tx1"/>
            </w14:solidFill>
          </w14:textFill>
        </w:rPr>
        <w:t>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9</w:t>
      </w:r>
      <w:r>
        <w:rPr>
          <w:rFonts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14</w:t>
      </w:r>
      <w:r>
        <w:rPr>
          <w:rFonts w:ascii="仿宋_GB2312" w:hAnsi="仿宋_GB2312" w:eastAsia="仿宋_GB2312" w:cs="仿宋_GB2312"/>
          <w:b/>
          <w:bCs/>
          <w:color w:val="000000" w:themeColor="text1"/>
          <w:sz w:val="28"/>
          <w14:textFill>
            <w14:solidFill>
              <w14:schemeClr w14:val="tx1"/>
            </w14:solidFill>
          </w14:textFill>
        </w:rPr>
        <w:t>日</w:t>
      </w:r>
    </w:p>
    <w:p>
      <w:pPr>
        <w:rPr>
          <w:rFonts w:ascii="仿宋_GB2312" w:hAnsi="仿宋_GB2312" w:eastAsia="仿宋_GB2312" w:cs="仿宋_GB2312"/>
          <w:color w:val="000000" w:themeColor="text1"/>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目录</w:t>
      </w:r>
      <w:r>
        <w:rPr>
          <w:rFonts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14"/>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第五部分响应文件格式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第六部分附件</w:t>
      </w: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第一部分报价邀请函</w:t>
      </w:r>
    </w:p>
    <w:p>
      <w:pPr>
        <w:ind w:firstLine="478" w:firstLineChars="171"/>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各报价单位</w:t>
      </w:r>
      <w:r>
        <w:rPr>
          <w:rFonts w:ascii="仿宋_GB2312" w:hAnsi="仿宋_GB2312" w:eastAsia="仿宋_GB2312" w:cs="仿宋_GB2312"/>
          <w:color w:val="000000" w:themeColor="text1"/>
          <w:kern w:val="0"/>
          <w:sz w:val="28"/>
          <w:szCs w:val="28"/>
          <w14:textFill>
            <w14:solidFill>
              <w14:schemeClr w14:val="tx1"/>
            </w14:solidFill>
          </w14:textFill>
        </w:rPr>
        <w:t>:</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现我公司对</w:t>
      </w:r>
      <w:r>
        <w:rPr>
          <w:rFonts w:hint="eastAsia" w:ascii="仿宋_GB2312" w:hAnsi="仿宋_GB2312" w:eastAsia="仿宋_GB2312" w:cs="仿宋_GB2312"/>
          <w:color w:val="000000" w:themeColor="text1"/>
          <w:sz w:val="28"/>
          <w:szCs w:val="28"/>
          <w:u w:val="single"/>
          <w14:textFill>
            <w14:solidFill>
              <w14:schemeClr w14:val="tx1"/>
            </w14:solidFill>
          </w14:textFill>
        </w:rPr>
        <w:t>石井净水厂</w:t>
      </w:r>
      <w:r>
        <w:rPr>
          <w:rFonts w:ascii="仿宋_GB2312" w:hAnsi="仿宋_GB2312" w:eastAsia="仿宋_GB2312" w:cs="仿宋_GB2312"/>
          <w:color w:val="000000" w:themeColor="text1"/>
          <w:sz w:val="28"/>
          <w:szCs w:val="28"/>
          <w:u w:val="single"/>
          <w14:textFill>
            <w14:solidFill>
              <w14:schemeClr w14:val="tx1"/>
            </w14:solidFill>
          </w14:textFill>
        </w:rPr>
        <w:t>地块</w:t>
      </w:r>
      <w:r>
        <w:rPr>
          <w:rFonts w:hint="eastAsia" w:ascii="仿宋_GB2312" w:hAnsi="仿宋_GB2312" w:eastAsia="仿宋_GB2312" w:cs="仿宋_GB2312"/>
          <w:color w:val="000000" w:themeColor="text1"/>
          <w:sz w:val="28"/>
          <w:szCs w:val="28"/>
          <w:u w:val="single"/>
          <w14:textFill>
            <w14:solidFill>
              <w14:schemeClr w14:val="tx1"/>
            </w14:solidFill>
          </w14:textFill>
        </w:rPr>
        <w:t>控制性详细规划阶段海绵城市（含防洪排涝风险评估）专篇编制</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第二次</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进行询价，欢迎符合资格条件的报价单位参加。</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一、资金计划：</w:t>
      </w:r>
      <w:r>
        <w:rPr>
          <w:rFonts w:hint="eastAsia" w:ascii="仿宋" w:hAnsi="仿宋" w:eastAsia="仿宋" w:cs="仿宋_GB2312"/>
          <w:sz w:val="28"/>
          <w:szCs w:val="28"/>
        </w:rPr>
        <w:t>自筹资金</w:t>
      </w:r>
    </w:p>
    <w:p>
      <w:pPr>
        <w:autoSpaceDE w:val="0"/>
        <w:autoSpaceDN w:val="0"/>
        <w:ind w:firstLine="560" w:firstLineChars="200"/>
        <w:rPr>
          <w:rFonts w:ascii="仿宋_GB2312" w:hAnsi="仿宋_GB2312" w:eastAsia="仿宋_GB2312" w:cs="仿宋_GB2312"/>
          <w:color w:val="000000" w:themeColor="text1"/>
          <w:sz w:val="28"/>
          <w:szCs w:val="28"/>
          <w:highlight w:val="yellow"/>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、项目编号：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XJ</w:t>
      </w:r>
      <w:r>
        <w:rPr>
          <w:rFonts w:hint="eastAsia" w:ascii="仿宋_GB2312" w:hAnsi="仿宋_GB2312" w:eastAsia="仿宋_GB2312" w:cs="仿宋_GB2312"/>
          <w:color w:val="000000" w:themeColor="text1"/>
          <w:sz w:val="28"/>
          <w:szCs w:val="28"/>
          <w14:textFill>
            <w14:solidFill>
              <w14:schemeClr w14:val="tx1"/>
            </w14:solidFill>
          </w14:textFill>
        </w:rPr>
        <w:t>-2021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0914-1</w:t>
      </w:r>
    </w:p>
    <w:p>
      <w:pPr>
        <w:autoSpaceDE w:val="0"/>
        <w:autoSpaceDN w:val="0"/>
        <w:ind w:firstLine="560" w:firstLineChars="200"/>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三、项目名称：</w:t>
      </w:r>
      <w:r>
        <w:rPr>
          <w:rFonts w:hint="eastAsia" w:ascii="仿宋_GB2312" w:hAnsi="仿宋_GB2312" w:eastAsia="仿宋_GB2312" w:cs="仿宋_GB2312"/>
          <w:color w:val="000000" w:themeColor="text1"/>
          <w:sz w:val="28"/>
          <w:szCs w:val="28"/>
          <w:u w:val="single"/>
          <w14:textFill>
            <w14:solidFill>
              <w14:schemeClr w14:val="tx1"/>
            </w14:solidFill>
          </w14:textFill>
        </w:rPr>
        <w:t>广州市净水有限公司石井净水厂</w:t>
      </w:r>
      <w:r>
        <w:rPr>
          <w:rFonts w:ascii="仿宋_GB2312" w:hAnsi="仿宋_GB2312" w:eastAsia="仿宋_GB2312" w:cs="仿宋_GB2312"/>
          <w:color w:val="000000" w:themeColor="text1"/>
          <w:sz w:val="28"/>
          <w:szCs w:val="28"/>
          <w:u w:val="single"/>
          <w14:textFill>
            <w14:solidFill>
              <w14:schemeClr w14:val="tx1"/>
            </w14:solidFill>
          </w14:textFill>
        </w:rPr>
        <w:t>地块</w:t>
      </w:r>
      <w:r>
        <w:rPr>
          <w:rFonts w:hint="eastAsia" w:ascii="仿宋_GB2312" w:hAnsi="仿宋_GB2312" w:eastAsia="仿宋_GB2312" w:cs="仿宋_GB2312"/>
          <w:color w:val="000000" w:themeColor="text1"/>
          <w:sz w:val="28"/>
          <w:szCs w:val="28"/>
          <w:u w:val="single"/>
          <w14:textFill>
            <w14:solidFill>
              <w14:schemeClr w14:val="tx1"/>
            </w14:solidFill>
          </w14:textFill>
        </w:rPr>
        <w:t>控制性详细规划阶段海绵城市（含防洪排涝风险评估）专篇编制</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第二次</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p>
    <w:p>
      <w:pPr>
        <w:autoSpaceDE w:val="0"/>
        <w:autoSpaceDN w:val="0"/>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四、最高限价</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u w:val="single"/>
          <w14:textFill>
            <w14:solidFill>
              <w14:schemeClr w14:val="tx1"/>
            </w14:solidFill>
          </w14:textFill>
        </w:rPr>
        <w:t>40万元</w:t>
      </w:r>
    </w:p>
    <w:p>
      <w:pPr>
        <w:ind w:firstLine="602" w:firstLineChars="215"/>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五</w:t>
      </w: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rPr>
        <w:t>项目内容及需求：为盘</w:t>
      </w:r>
      <w:r>
        <w:rPr>
          <w:rFonts w:hint="eastAsia" w:ascii="仿宋_GB2312" w:hAnsi="仿宋_GB2312" w:eastAsia="仿宋_GB2312" w:cs="仿宋_GB2312"/>
          <w:color w:val="auto"/>
          <w:sz w:val="28"/>
          <w:szCs w:val="28"/>
        </w:rPr>
        <w:t>活现有土地资源，拓宽产业领域盈利渠道，按石井净水厂地块综合开发方案，目前正开展石井净水厂地块控规调整工作。</w:t>
      </w:r>
      <w:r>
        <w:rPr>
          <w:rFonts w:ascii="仿宋_GB2312" w:hAnsi="仿宋_GB2312" w:eastAsia="仿宋_GB2312" w:cs="仿宋_GB2312"/>
          <w:color w:val="auto"/>
          <w:sz w:val="28"/>
          <w:szCs w:val="28"/>
        </w:rPr>
        <w:t>根据《广州市城市开发建设项目海绵城市建设-洪涝安全评估技术指引（试行）》、《广州市水务局关于进一步加强控制性详细规划阶段涉水管控要求的函》、《广州市水务局关于印发海绵城市建设——控制性详细规划阶段洪涝安全评估审查要点的通知》、《广州市海绵城市建设领导小组办公室关于印发广州市海绵城市建设专篇编制要点的通知》等要求，</w:t>
      </w:r>
      <w:r>
        <w:rPr>
          <w:rFonts w:hint="eastAsia" w:ascii="仿宋_GB2312" w:hAnsi="仿宋_GB2312" w:eastAsia="仿宋_GB2312" w:cs="仿宋_GB2312"/>
          <w:color w:val="auto"/>
          <w:sz w:val="28"/>
          <w:szCs w:val="28"/>
        </w:rPr>
        <w:t>现拟</w:t>
      </w:r>
      <w:r>
        <w:rPr>
          <w:rFonts w:ascii="仿宋_GB2312" w:hAnsi="仿宋_GB2312" w:eastAsia="仿宋_GB2312" w:cs="仿宋_GB2312"/>
          <w:color w:val="auto"/>
          <w:sz w:val="28"/>
          <w:szCs w:val="28"/>
        </w:rPr>
        <w:t>在控制性详细规划中</w:t>
      </w:r>
      <w:r>
        <w:rPr>
          <w:rFonts w:hint="eastAsia" w:ascii="仿宋_GB2312" w:hAnsi="仿宋_GB2312" w:eastAsia="仿宋_GB2312" w:cs="仿宋_GB2312"/>
          <w:color w:val="auto"/>
          <w:sz w:val="28"/>
          <w:szCs w:val="28"/>
        </w:rPr>
        <w:t>增加</w:t>
      </w:r>
      <w:r>
        <w:rPr>
          <w:rFonts w:ascii="仿宋_GB2312" w:hAnsi="仿宋_GB2312" w:eastAsia="仿宋_GB2312" w:cs="仿宋_GB2312"/>
          <w:color w:val="auto"/>
          <w:sz w:val="28"/>
          <w:szCs w:val="28"/>
        </w:rPr>
        <w:t>海绵城市(含防洪排涝风险评估)专篇，作为控规批复</w:t>
      </w:r>
      <w:r>
        <w:rPr>
          <w:rFonts w:hint="eastAsia" w:ascii="仿宋_GB2312" w:hAnsi="仿宋_GB2312" w:eastAsia="仿宋_GB2312" w:cs="仿宋_GB2312"/>
          <w:color w:val="auto"/>
          <w:sz w:val="28"/>
          <w:szCs w:val="28"/>
        </w:rPr>
        <w:t>及</w:t>
      </w:r>
      <w:r>
        <w:rPr>
          <w:rFonts w:ascii="仿宋_GB2312" w:hAnsi="仿宋_GB2312" w:eastAsia="仿宋_GB2312" w:cs="仿宋_GB2312"/>
          <w:color w:val="auto"/>
          <w:sz w:val="28"/>
          <w:szCs w:val="28"/>
        </w:rPr>
        <w:t>后续规划条件发放的依据。</w:t>
      </w:r>
    </w:p>
    <w:p>
      <w:pPr>
        <w:autoSpaceDE w:val="0"/>
        <w:autoSpaceDN w:val="0"/>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六、报价单位资格要求：</w:t>
      </w:r>
    </w:p>
    <w:p>
      <w:pPr>
        <w:pStyle w:val="28"/>
        <w:autoSpaceDE w:val="0"/>
        <w:autoSpaceDN w:val="0"/>
        <w:ind w:firstLine="560"/>
        <w:jc w:val="left"/>
        <w:rPr>
          <w:rFonts w:ascii="仿宋_GB2312" w:hAnsi="仿宋_GB2312" w:eastAsia="仿宋_GB2312" w:cs="仿宋_GB2312"/>
          <w:color w:val="auto"/>
          <w:sz w:val="28"/>
          <w:szCs w:val="28"/>
          <w:u w:val="single"/>
        </w:rPr>
      </w:pPr>
      <w:r>
        <w:rPr>
          <w:rFonts w:ascii="仿宋_GB2312" w:hAnsi="仿宋_GB2312" w:eastAsia="仿宋_GB2312" w:cs="仿宋_GB2312"/>
          <w:color w:val="auto"/>
          <w:sz w:val="28"/>
          <w:szCs w:val="28"/>
          <w:u w:val="single"/>
        </w:rPr>
        <w:t>1</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u w:val="single"/>
        </w:rPr>
        <w:t>报价单位须是中华人民共和国境内的法人或者其他组织，具有独立法人资格，能开具增值税专用发票，持有工商行政管理部门核发的法人营业执照或各级登记管理机关颁发的事业单位法定代表人证。</w:t>
      </w:r>
    </w:p>
    <w:p>
      <w:pPr>
        <w:pStyle w:val="28"/>
        <w:autoSpaceDE w:val="0"/>
        <w:autoSpaceDN w:val="0"/>
        <w:ind w:firstLine="560"/>
        <w:jc w:val="left"/>
        <w:rPr>
          <w:rFonts w:ascii="仿宋_GB2312" w:hAnsi="仿宋_GB2312" w:eastAsia="仿宋_GB2312" w:cs="仿宋_GB2312"/>
          <w:color w:val="auto"/>
          <w:sz w:val="28"/>
          <w:szCs w:val="28"/>
          <w:u w:val="single"/>
        </w:rPr>
      </w:pPr>
      <w:r>
        <w:rPr>
          <w:rFonts w:ascii="仿宋_GB2312" w:hAnsi="仿宋_GB2312" w:eastAsia="仿宋_GB2312" w:cs="仿宋_GB2312"/>
          <w:color w:val="auto"/>
          <w:sz w:val="28"/>
          <w:szCs w:val="28"/>
          <w:u w:val="single"/>
        </w:rPr>
        <w:t>2</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u w:val="single"/>
        </w:rPr>
        <w:t>拟派项目负责人</w:t>
      </w:r>
      <w:r>
        <w:rPr>
          <w:rFonts w:hint="eastAsia" w:ascii="仿宋_GB2312" w:hAnsi="仿宋_GB2312" w:eastAsia="仿宋_GB2312" w:cs="仿宋_GB2312"/>
          <w:color w:val="auto"/>
          <w:sz w:val="28"/>
          <w:szCs w:val="28"/>
          <w:u w:val="single"/>
          <w:lang w:val="en-US" w:eastAsia="zh-CN"/>
        </w:rPr>
        <w:t>须</w:t>
      </w:r>
      <w:r>
        <w:rPr>
          <w:rFonts w:hint="eastAsia" w:ascii="仿宋_GB2312" w:hAnsi="仿宋_GB2312" w:eastAsia="仿宋_GB2312" w:cs="仿宋_GB2312"/>
          <w:color w:val="auto"/>
          <w:sz w:val="28"/>
          <w:szCs w:val="28"/>
          <w:u w:val="single"/>
        </w:rPr>
        <w:t>具备相关专业资质工程师</w:t>
      </w:r>
      <w:r>
        <w:rPr>
          <w:rFonts w:hint="eastAsia" w:ascii="仿宋_GB2312" w:hAnsi="仿宋_GB2312" w:eastAsia="仿宋_GB2312" w:cs="仿宋_GB2312"/>
          <w:color w:val="auto"/>
          <w:sz w:val="28"/>
          <w:szCs w:val="28"/>
          <w:u w:val="single"/>
          <w:lang w:val="en-US" w:eastAsia="zh-CN"/>
        </w:rPr>
        <w:t>中级</w:t>
      </w:r>
      <w:r>
        <w:rPr>
          <w:rFonts w:hint="eastAsia" w:ascii="仿宋_GB2312" w:hAnsi="仿宋_GB2312" w:eastAsia="仿宋_GB2312" w:cs="仿宋_GB2312"/>
          <w:color w:val="auto"/>
          <w:sz w:val="28"/>
          <w:szCs w:val="28"/>
          <w:u w:val="single"/>
          <w:lang w:eastAsia="zh-CN"/>
        </w:rPr>
        <w:t>（</w:t>
      </w:r>
      <w:r>
        <w:rPr>
          <w:rFonts w:hint="eastAsia" w:ascii="仿宋_GB2312" w:hAnsi="仿宋_GB2312" w:eastAsia="仿宋_GB2312" w:cs="仿宋_GB2312"/>
          <w:color w:val="auto"/>
          <w:sz w:val="28"/>
          <w:szCs w:val="28"/>
          <w:u w:val="single"/>
          <w:lang w:val="en-US" w:eastAsia="zh-CN"/>
        </w:rPr>
        <w:t>或</w:t>
      </w:r>
      <w:r>
        <w:rPr>
          <w:rFonts w:hint="eastAsia" w:ascii="仿宋_GB2312" w:hAnsi="仿宋_GB2312" w:eastAsia="仿宋_GB2312" w:cs="仿宋_GB2312"/>
          <w:color w:val="auto"/>
          <w:sz w:val="28"/>
          <w:szCs w:val="28"/>
          <w:u w:val="single"/>
        </w:rPr>
        <w:t>以上</w:t>
      </w:r>
      <w:r>
        <w:rPr>
          <w:rFonts w:hint="eastAsia" w:ascii="仿宋_GB2312" w:hAnsi="仿宋_GB2312" w:eastAsia="仿宋_GB2312" w:cs="仿宋_GB2312"/>
          <w:color w:val="auto"/>
          <w:sz w:val="28"/>
          <w:szCs w:val="28"/>
          <w:u w:val="single"/>
          <w:lang w:eastAsia="zh-CN"/>
        </w:rPr>
        <w:t>）</w:t>
      </w:r>
      <w:r>
        <w:rPr>
          <w:rFonts w:hint="eastAsia" w:ascii="仿宋_GB2312" w:hAnsi="仿宋_GB2312" w:eastAsia="仿宋_GB2312" w:cs="仿宋_GB2312"/>
          <w:color w:val="auto"/>
          <w:sz w:val="28"/>
          <w:szCs w:val="28"/>
          <w:u w:val="single"/>
          <w:lang w:val="en-US" w:eastAsia="zh-CN"/>
        </w:rPr>
        <w:t>职称</w:t>
      </w:r>
      <w:r>
        <w:rPr>
          <w:rFonts w:hint="eastAsia" w:ascii="仿宋_GB2312" w:hAnsi="仿宋_GB2312" w:eastAsia="仿宋_GB2312" w:cs="仿宋_GB2312"/>
          <w:color w:val="auto"/>
          <w:sz w:val="28"/>
          <w:szCs w:val="28"/>
          <w:u w:val="single"/>
        </w:rPr>
        <w:t>。</w:t>
      </w:r>
    </w:p>
    <w:p>
      <w:pPr>
        <w:pStyle w:val="28"/>
        <w:autoSpaceDE w:val="0"/>
        <w:autoSpaceDN w:val="0"/>
        <w:ind w:firstLine="56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lang w:val="en-US" w:eastAsia="zh-CN"/>
        </w:rPr>
        <w:t>3.</w:t>
      </w:r>
      <w:r>
        <w:rPr>
          <w:rFonts w:hint="eastAsia" w:ascii="仿宋_GB2312" w:hAnsi="仿宋_GB2312" w:eastAsia="仿宋_GB2312" w:cs="仿宋_GB2312"/>
          <w:color w:val="auto"/>
          <w:sz w:val="28"/>
          <w:szCs w:val="28"/>
          <w:u w:val="single"/>
        </w:rPr>
        <w:t>自</w:t>
      </w:r>
      <w:bookmarkStart w:id="0" w:name="OLE_LINK3"/>
      <w:r>
        <w:rPr>
          <w:rFonts w:hint="eastAsia" w:ascii="仿宋_GB2312" w:hAnsi="仿宋_GB2312" w:eastAsia="仿宋_GB2312" w:cs="仿宋_GB2312"/>
          <w:color w:val="auto"/>
          <w:sz w:val="28"/>
          <w:szCs w:val="28"/>
          <w:u w:val="single"/>
        </w:rPr>
        <w:t>2018年1月1日至今，</w:t>
      </w:r>
      <w:bookmarkEnd w:id="0"/>
      <w:r>
        <w:rPr>
          <w:rFonts w:hint="eastAsia" w:ascii="仿宋_GB2312" w:hAnsi="仿宋_GB2312" w:eastAsia="仿宋_GB2312" w:cs="仿宋_GB2312"/>
          <w:color w:val="auto"/>
          <w:sz w:val="28"/>
          <w:szCs w:val="28"/>
          <w:u w:val="single"/>
        </w:rPr>
        <w:t>最少完成一项海绵城市</w:t>
      </w:r>
      <w:r>
        <w:rPr>
          <w:rFonts w:ascii="仿宋_GB2312" w:hAnsi="仿宋_GB2312" w:eastAsia="仿宋_GB2312" w:cs="仿宋_GB2312"/>
          <w:color w:val="auto"/>
          <w:sz w:val="28"/>
          <w:szCs w:val="28"/>
          <w:u w:val="single"/>
        </w:rPr>
        <w:t>专项规划</w:t>
      </w:r>
      <w:r>
        <w:rPr>
          <w:rFonts w:hint="eastAsia" w:ascii="仿宋_GB2312" w:hAnsi="仿宋_GB2312" w:eastAsia="仿宋_GB2312" w:cs="仿宋_GB2312"/>
          <w:color w:val="auto"/>
          <w:sz w:val="28"/>
          <w:szCs w:val="28"/>
          <w:u w:val="single"/>
        </w:rPr>
        <w:t>或</w:t>
      </w:r>
      <w:r>
        <w:rPr>
          <w:rFonts w:ascii="仿宋_GB2312" w:hAnsi="仿宋_GB2312" w:eastAsia="仿宋_GB2312" w:cs="仿宋_GB2312"/>
          <w:color w:val="auto"/>
          <w:sz w:val="28"/>
          <w:szCs w:val="28"/>
          <w:u w:val="single"/>
        </w:rPr>
        <w:t>实施评估</w:t>
      </w:r>
      <w:r>
        <w:rPr>
          <w:rFonts w:hint="eastAsia" w:ascii="仿宋_GB2312" w:hAnsi="仿宋_GB2312" w:eastAsia="仿宋_GB2312" w:cs="仿宋_GB2312"/>
          <w:color w:val="auto"/>
          <w:sz w:val="28"/>
          <w:szCs w:val="28"/>
          <w:u w:val="single"/>
        </w:rPr>
        <w:t>业绩（提供合同复印件证明，包括但不限于项目名称、实施内容、合同双方签字盖章、签订日期，并加盖单位公章）。</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、现场踏勘(答疑会)时间、地点（也可由</w:t>
      </w:r>
      <w:r>
        <w:rPr>
          <w:rFonts w:hint="eastAsia" w:ascii="仿宋_GB2312" w:hAnsi="仿宋_GB2312" w:eastAsia="仿宋_GB2312" w:cs="仿宋_GB2312"/>
          <w:sz w:val="28"/>
          <w:szCs w:val="28"/>
        </w:rPr>
        <w:t>报价</w:t>
      </w:r>
      <w:r>
        <w:rPr>
          <w:rFonts w:hint="eastAsia" w:ascii="仿宋_GB2312" w:hAnsi="仿宋_GB2312" w:eastAsia="仿宋_GB2312" w:cs="仿宋_GB2312"/>
          <w:sz w:val="28"/>
          <w:szCs w:val="28"/>
          <w:lang w:val="zh-CN"/>
        </w:rPr>
        <w:t>人自行踏勘现场）：</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1. 现场踏勘(答疑会)集合时间：</w:t>
      </w:r>
      <w:r>
        <w:rPr>
          <w:rFonts w:hint="eastAsia" w:ascii="仿宋_GB2312" w:hAnsi="仿宋_GB2312" w:eastAsia="仿宋_GB2312" w:cs="仿宋_GB2312"/>
          <w:sz w:val="28"/>
          <w:szCs w:val="28"/>
        </w:rPr>
        <w:t>/</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2. 现场踏勘(答疑会)集合地点：</w:t>
      </w:r>
      <w:r>
        <w:rPr>
          <w:rFonts w:hint="eastAsia" w:ascii="仿宋_GB2312" w:hAnsi="仿宋_GB2312" w:eastAsia="仿宋_GB2312" w:cs="仿宋_GB2312"/>
          <w:sz w:val="28"/>
          <w:szCs w:val="28"/>
        </w:rPr>
        <w:t>/</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八、询价文件的获取：在2021年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23</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分前，在广州市净水有限公司门户网站免费下载。</w:t>
      </w:r>
    </w:p>
    <w:p>
      <w:pPr>
        <w:ind w:firstLine="588" w:firstLineChars="210"/>
        <w:rPr>
          <w:rFonts w:eastAsia="仿宋"/>
        </w:rPr>
      </w:pPr>
      <w:r>
        <w:rPr>
          <w:rFonts w:hint="eastAsia" w:ascii="仿宋" w:hAnsi="仿宋" w:eastAsia="仿宋" w:cs="仿宋_GB2312"/>
          <w:sz w:val="28"/>
          <w:szCs w:val="28"/>
        </w:rPr>
        <w:t>九、询价响应文件递交时间：2021年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23</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30</w:t>
      </w:r>
      <w:r>
        <w:rPr>
          <w:rFonts w:hint="eastAsia" w:ascii="仿宋" w:hAnsi="仿宋" w:eastAsia="仿宋" w:cs="仿宋_GB2312"/>
          <w:sz w:val="28"/>
          <w:szCs w:val="28"/>
        </w:rPr>
        <w:t>分至</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分；询价响应文件截止时间：2021年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23</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r>
        <w:rPr>
          <w:rFonts w:hint="eastAsia" w:ascii="仿宋_GB2312" w:hAnsi="仿宋_GB2312" w:eastAsia="仿宋_GB2312" w:cs="仿宋_GB2312"/>
          <w:color w:val="000000"/>
          <w:sz w:val="28"/>
          <w:szCs w:val="28"/>
        </w:rPr>
        <w:t>递交响应文件时须提供授权委托人身份证原件备查。</w:t>
      </w:r>
    </w:p>
    <w:p>
      <w:pPr>
        <w:ind w:firstLine="588" w:firstLineChars="210"/>
        <w:rPr>
          <w:rFonts w:hint="eastAsia" w:ascii="仿宋" w:hAnsi="仿宋" w:eastAsia="仿宋" w:cs="仿宋_GB2312"/>
          <w:sz w:val="28"/>
          <w:szCs w:val="28"/>
          <w:lang w:eastAsia="zh-CN"/>
        </w:rPr>
      </w:pPr>
      <w:r>
        <w:rPr>
          <w:rFonts w:hint="eastAsia" w:ascii="仿宋" w:hAnsi="仿宋" w:eastAsia="仿宋" w:cs="仿宋_GB2312"/>
          <w:sz w:val="28"/>
          <w:szCs w:val="28"/>
        </w:rPr>
        <w:t>十、询价响应文件送达地点：广州市天河区临江大道501号广州市净水有限公司招标办</w:t>
      </w:r>
      <w:r>
        <w:rPr>
          <w:rFonts w:hint="eastAsia" w:ascii="仿宋" w:hAnsi="仿宋" w:eastAsia="仿宋" w:cs="仿宋_GB2312"/>
          <w:sz w:val="28"/>
          <w:szCs w:val="28"/>
          <w:lang w:eastAsia="zh-CN"/>
        </w:rPr>
        <w:t>。</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sz w:val="28"/>
          <w:szCs w:val="28"/>
        </w:rPr>
        <w:t>注：基于近期疫情防控形势，授权委托人须出示健康码</w:t>
      </w:r>
      <w:r>
        <w:rPr>
          <w:rFonts w:hint="eastAsia" w:ascii="仿宋_GB2312" w:hAnsi="仿宋_GB2312" w:eastAsia="仿宋_GB2312" w:cs="仿宋_GB2312"/>
          <w:color w:val="000000"/>
          <w:sz w:val="28"/>
          <w:szCs w:val="28"/>
          <w:lang w:val="en-US" w:eastAsia="zh-CN"/>
        </w:rPr>
        <w:t>绿码、14日内的行程码及疫苗接种情况，</w:t>
      </w:r>
      <w:r>
        <w:rPr>
          <w:rFonts w:hint="eastAsia" w:ascii="仿宋_GB2312" w:hAnsi="仿宋_GB2312" w:eastAsia="仿宋_GB2312" w:cs="仿宋_GB2312"/>
          <w:color w:val="000000"/>
          <w:sz w:val="28"/>
          <w:szCs w:val="28"/>
        </w:rPr>
        <w:t>否则不予进入我公司；如以快递形式递交响应文件，须在递交截止时间前送达，不参加见证报价开启程序的报价单位视其认可所有报价</w:t>
      </w:r>
      <w:r>
        <w:rPr>
          <w:rFonts w:hint="eastAsia" w:ascii="仿宋_GB2312" w:hAnsi="仿宋_GB2312" w:eastAsia="仿宋_GB2312" w:cs="仿宋_GB2312"/>
          <w:color w:val="000000" w:themeColor="text1"/>
          <w:sz w:val="28"/>
          <w:szCs w:val="28"/>
          <w:lang w:val="zh-CN"/>
          <w14:textFill>
            <w14:solidFill>
              <w14:schemeClr w14:val="tx1"/>
            </w14:solidFill>
          </w14:textFill>
        </w:rPr>
        <w:t>）</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十一、评审时间：2021年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23</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 xml:space="preserve">十二、评审地点：广州市净水有限公司六楼招标办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十三、联系方式</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询价人：广州市净水有限公司</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 xml:space="preserve">联系地址：广州市天河区临江大道501号            </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 联系人：</w:t>
      </w:r>
      <w:r>
        <w:rPr>
          <w:rFonts w:hint="eastAsia" w:ascii="仿宋" w:hAnsi="仿宋" w:eastAsia="仿宋" w:cs="仿宋_GB2312"/>
          <w:sz w:val="28"/>
          <w:szCs w:val="28"/>
          <w:lang w:val="en-US" w:eastAsia="zh-CN"/>
        </w:rPr>
        <w:t>黄</w:t>
      </w:r>
      <w:r>
        <w:rPr>
          <w:rFonts w:hint="eastAsia" w:ascii="仿宋" w:hAnsi="仿宋" w:eastAsia="仿宋" w:cs="仿宋_GB2312"/>
          <w:sz w:val="28"/>
          <w:szCs w:val="28"/>
        </w:rPr>
        <w:t>工             联系方式：020-</w:t>
      </w:r>
      <w:r>
        <w:rPr>
          <w:rFonts w:hint="eastAsia" w:ascii="仿宋" w:hAnsi="仿宋" w:eastAsia="仿宋" w:cs="仿宋_GB2312"/>
          <w:sz w:val="28"/>
          <w:szCs w:val="28"/>
          <w:lang w:val="en-US" w:eastAsia="zh-CN"/>
        </w:rPr>
        <w:t>62315524</w:t>
      </w:r>
      <w:r>
        <w:rPr>
          <w:rFonts w:hint="eastAsia" w:ascii="仿宋" w:hAnsi="仿宋" w:eastAsia="仿宋" w:cs="仿宋_GB2312"/>
          <w:sz w:val="28"/>
          <w:szCs w:val="28"/>
        </w:rPr>
        <w:t xml:space="preserve">   </w:t>
      </w:r>
    </w:p>
    <w:p>
      <w:pPr>
        <w:rPr>
          <w:rFonts w:ascii="仿宋" w:hAnsi="仿宋" w:eastAsia="仿宋" w:cs="仿宋_GB2312"/>
          <w:sz w:val="28"/>
          <w:szCs w:val="28"/>
        </w:rPr>
      </w:pPr>
    </w:p>
    <w:p>
      <w:pPr>
        <w:ind w:firstLine="6020" w:firstLineChars="2150"/>
        <w:rPr>
          <w:rFonts w:ascii="仿宋" w:hAnsi="仿宋" w:eastAsia="仿宋" w:cs="仿宋"/>
          <w:sz w:val="28"/>
          <w:szCs w:val="28"/>
        </w:rPr>
      </w:pPr>
      <w:r>
        <w:rPr>
          <w:rFonts w:hint="eastAsia" w:ascii="仿宋" w:hAnsi="仿宋" w:eastAsia="仿宋" w:cs="仿宋"/>
          <w:sz w:val="28"/>
          <w:szCs w:val="28"/>
        </w:rPr>
        <w:t>广州市净水有限公司</w:t>
      </w:r>
    </w:p>
    <w:p>
      <w:pPr>
        <w:wordWrap w:val="0"/>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2021年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14</w:t>
      </w:r>
      <w:r>
        <w:rPr>
          <w:rFonts w:hint="eastAsia" w:ascii="仿宋" w:hAnsi="仿宋" w:eastAsia="仿宋" w:cs="仿宋"/>
          <w:sz w:val="28"/>
          <w:szCs w:val="28"/>
        </w:rPr>
        <w:t>日</w:t>
      </w:r>
    </w:p>
    <w:p>
      <w:pPr>
        <w:rPr>
          <w:rFonts w:ascii="仿宋" w:hAnsi="仿宋" w:eastAsia="仿宋"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第二部分 项目内容</w:t>
      </w:r>
    </w:p>
    <w:p>
      <w:pPr>
        <w:spacing w:line="360" w:lineRule="auto"/>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一、项目概况</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石井净水厂地块位于广州市城市中心区，属于白云区张村社区，地块周边为机场高速与许广高速等高快速路。为盘活现有土地资源，拓宽产业领域盈利渠道，变“邻避”为“邻利”，目前正按该地块综合开发方案，开展石井净水厂地块控规调整工作，控规调整工作包含控规论证报告，以及对应控制性详细规划所需的专题评估（交通影响评估、环境影响篇章、市政设施影响评估报告）内容。</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根据2021年5月6日市水务局文件《广州市水务局关于进一步加强控制性详细规划阶段涉水管控要求的函》等相关文件</w:t>
      </w:r>
      <w:r>
        <w:rPr>
          <w:rFonts w:ascii="仿宋_GB2312" w:hAnsi="仿宋_GB2312" w:eastAsia="仿宋_GB2312" w:cs="仿宋_GB2312"/>
          <w:color w:val="auto"/>
          <w:sz w:val="28"/>
          <w:szCs w:val="28"/>
          <w:highlight w:val="none"/>
        </w:rPr>
        <w:t>要求</w:t>
      </w:r>
      <w:r>
        <w:rPr>
          <w:rFonts w:hint="eastAsia" w:ascii="仿宋_GB2312" w:hAnsi="仿宋_GB2312" w:eastAsia="仿宋_GB2312" w:cs="仿宋_GB2312"/>
          <w:color w:val="auto"/>
          <w:sz w:val="28"/>
          <w:szCs w:val="28"/>
          <w:highlight w:val="none"/>
        </w:rPr>
        <w:t>，现拟</w:t>
      </w:r>
      <w:r>
        <w:rPr>
          <w:rFonts w:ascii="仿宋_GB2312" w:hAnsi="仿宋_GB2312" w:eastAsia="仿宋_GB2312" w:cs="仿宋_GB2312"/>
          <w:color w:val="auto"/>
          <w:sz w:val="28"/>
          <w:szCs w:val="28"/>
          <w:highlight w:val="none"/>
        </w:rPr>
        <w:t>在控制性详细规划中</w:t>
      </w:r>
      <w:r>
        <w:rPr>
          <w:rFonts w:hint="eastAsia" w:ascii="仿宋_GB2312" w:hAnsi="仿宋_GB2312" w:eastAsia="仿宋_GB2312" w:cs="仿宋_GB2312"/>
          <w:color w:val="auto"/>
          <w:sz w:val="28"/>
          <w:szCs w:val="28"/>
          <w:highlight w:val="none"/>
        </w:rPr>
        <w:t>增加</w:t>
      </w:r>
      <w:r>
        <w:rPr>
          <w:rFonts w:ascii="仿宋_GB2312" w:hAnsi="仿宋_GB2312" w:eastAsia="仿宋_GB2312" w:cs="仿宋_GB2312"/>
          <w:color w:val="auto"/>
          <w:sz w:val="28"/>
          <w:szCs w:val="28"/>
          <w:highlight w:val="none"/>
        </w:rPr>
        <w:t>海绵城市(含防洪排涝风险评估)专篇，作为控规批复及后续规划条件发放的依据。</w:t>
      </w:r>
    </w:p>
    <w:p>
      <w:pPr>
        <w:spacing w:line="360" w:lineRule="auto"/>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二、项目技术要求</w:t>
      </w:r>
    </w:p>
    <w:p>
      <w:pPr>
        <w:spacing w:line="360" w:lineRule="auto"/>
        <w:ind w:firstLine="560" w:firstLineChars="200"/>
        <w:rPr>
          <w:rFonts w:ascii="仿宋" w:hAnsi="仿宋" w:eastAsia="仿宋" w:cs="仿宋_GB2312"/>
          <w:color w:val="auto"/>
          <w:sz w:val="28"/>
          <w:szCs w:val="28"/>
          <w:highlight w:val="none"/>
        </w:rPr>
      </w:pPr>
      <w:r>
        <w:rPr>
          <w:rFonts w:hint="eastAsia" w:ascii="仿宋_GB2312" w:hAnsi="仿宋_GB2312" w:eastAsia="仿宋_GB2312" w:cs="仿宋_GB2312"/>
          <w:color w:val="auto"/>
          <w:sz w:val="28"/>
          <w:szCs w:val="28"/>
          <w:highlight w:val="none"/>
        </w:rPr>
        <w:t>1.石井净水厂</w:t>
      </w:r>
      <w:r>
        <w:rPr>
          <w:rFonts w:ascii="仿宋_GB2312" w:hAnsi="仿宋_GB2312" w:eastAsia="仿宋_GB2312" w:cs="仿宋_GB2312"/>
          <w:color w:val="auto"/>
          <w:sz w:val="28"/>
          <w:szCs w:val="28"/>
          <w:highlight w:val="none"/>
        </w:rPr>
        <w:t>地块</w:t>
      </w:r>
      <w:r>
        <w:rPr>
          <w:rFonts w:hint="eastAsia" w:ascii="仿宋_GB2312" w:hAnsi="仿宋_GB2312" w:eastAsia="仿宋_GB2312" w:cs="仿宋_GB2312"/>
          <w:color w:val="auto"/>
          <w:sz w:val="28"/>
          <w:szCs w:val="28"/>
          <w:highlight w:val="none"/>
        </w:rPr>
        <w:t>控制性详细规划阶段</w:t>
      </w:r>
      <w:r>
        <w:rPr>
          <w:rFonts w:ascii="仿宋_GB2312" w:hAnsi="仿宋_GB2312" w:eastAsia="仿宋_GB2312" w:cs="仿宋_GB2312"/>
          <w:color w:val="auto"/>
          <w:sz w:val="28"/>
          <w:szCs w:val="28"/>
          <w:highlight w:val="none"/>
        </w:rPr>
        <w:t>海绵城市(含防洪排涝风险评估)专篇的编制</w:t>
      </w:r>
      <w:r>
        <w:rPr>
          <w:rFonts w:hint="eastAsia" w:ascii="仿宋" w:hAnsi="仿宋" w:eastAsia="仿宋" w:cs="仿宋_GB2312"/>
          <w:color w:val="auto"/>
          <w:sz w:val="28"/>
          <w:szCs w:val="28"/>
          <w:highlight w:val="none"/>
        </w:rPr>
        <w:t>必须符合《中华人民共和国城乡规划法》、《城市规划编制办法》、《广州市城市规划管理标准与准则》、《广州市城乡规划技术规定（试行）》、</w:t>
      </w:r>
      <w:r>
        <w:rPr>
          <w:rFonts w:ascii="仿宋_GB2312" w:hAnsi="仿宋_GB2312" w:eastAsia="仿宋_GB2312" w:cs="仿宋_GB2312"/>
          <w:color w:val="auto"/>
          <w:sz w:val="28"/>
          <w:szCs w:val="28"/>
          <w:highlight w:val="none"/>
        </w:rPr>
        <w:t>《广州市城市开发建设项目海绵城市建设-洪涝安全评估技术指引（试行）》、《广州市水务局关于进一步加强控制性详细规划阶段涉水管控要求的函》、《广州市水务局关于印发海绵城市建设——控制性详细规划阶段洪涝安全评估审查要点的通知》、《广州市海绵城市建设领导小组办公室关于印发广州市海绵城市建设专篇编制要点的通知》</w:t>
      </w:r>
      <w:r>
        <w:rPr>
          <w:rFonts w:hint="eastAsia" w:ascii="仿宋" w:hAnsi="仿宋" w:eastAsia="仿宋" w:cs="仿宋_GB2312"/>
          <w:color w:val="auto"/>
          <w:sz w:val="28"/>
          <w:szCs w:val="28"/>
          <w:highlight w:val="none"/>
        </w:rPr>
        <w:t>等有关国家和地方的法律、法规、规章、标准和技术要求。</w:t>
      </w:r>
    </w:p>
    <w:p>
      <w:pPr>
        <w:pStyle w:val="9"/>
        <w:adjustRightInd w:val="0"/>
        <w:snapToGrid w:val="0"/>
        <w:spacing w:line="360" w:lineRule="auto"/>
        <w:ind w:firstLine="560" w:firstLineChars="200"/>
        <w:jc w:val="lef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w:t>
      </w:r>
      <w:r>
        <w:rPr>
          <w:rFonts w:ascii="仿宋_GB2312" w:hAnsi="仿宋_GB2312" w:eastAsia="仿宋_GB2312" w:cs="仿宋_GB2312"/>
          <w:color w:val="auto"/>
          <w:sz w:val="28"/>
          <w:szCs w:val="28"/>
          <w:highlight w:val="none"/>
        </w:rPr>
        <w:t xml:space="preserve"> 海绵城市(含防洪排涝风险评估)</w:t>
      </w:r>
      <w:r>
        <w:rPr>
          <w:rFonts w:hint="eastAsia" w:ascii="仿宋" w:hAnsi="仿宋" w:eastAsia="仿宋" w:cs="仿宋_GB2312"/>
          <w:color w:val="auto"/>
          <w:sz w:val="28"/>
          <w:szCs w:val="28"/>
          <w:highlight w:val="none"/>
        </w:rPr>
        <w:t>专篇内容、深度必须符合并满足规划、水务等主管部门的有关要求，对水务工程进行技术指标控制，落实所需配套项目等。</w:t>
      </w:r>
    </w:p>
    <w:p>
      <w:pPr>
        <w:spacing w:line="360" w:lineRule="auto"/>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三、项目商务要求</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1.工期：见合同书格式。</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2.质量要求：</w:t>
      </w:r>
      <w:r>
        <w:rPr>
          <w:rFonts w:ascii="仿宋_GB2312" w:hAnsi="仿宋_GB2312" w:eastAsia="仿宋_GB2312" w:cs="仿宋_GB2312"/>
          <w:color w:val="auto"/>
          <w:sz w:val="28"/>
          <w:szCs w:val="28"/>
          <w:highlight w:val="none"/>
        </w:rPr>
        <w:t>海绵城市(含防洪排涝风险评估)</w:t>
      </w:r>
      <w:r>
        <w:rPr>
          <w:rFonts w:hint="eastAsia" w:ascii="仿宋" w:hAnsi="仿宋" w:eastAsia="仿宋" w:cs="仿宋_GB2312"/>
          <w:color w:val="auto"/>
          <w:sz w:val="28"/>
          <w:szCs w:val="28"/>
          <w:highlight w:val="none"/>
        </w:rPr>
        <w:t>专篇作为</w:t>
      </w:r>
      <w:r>
        <w:rPr>
          <w:rFonts w:ascii="仿宋_GB2312" w:hAnsi="仿宋_GB2312" w:eastAsia="仿宋_GB2312" w:cs="仿宋_GB2312"/>
          <w:color w:val="auto"/>
          <w:sz w:val="28"/>
          <w:szCs w:val="28"/>
          <w:highlight w:val="none"/>
        </w:rPr>
        <w:t>控制性详细规划论证报告的一部分</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需配合石井净水厂地块控制性详细规划的不同阶段需要</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完成控规成果中</w:t>
      </w:r>
      <w:r>
        <w:rPr>
          <w:rFonts w:hint="eastAsia" w:ascii="仿宋_GB2312" w:hAnsi="仿宋_GB2312" w:eastAsia="仿宋_GB2312" w:cs="仿宋_GB2312"/>
          <w:color w:val="auto"/>
          <w:sz w:val="28"/>
          <w:szCs w:val="28"/>
          <w:highlight w:val="none"/>
        </w:rPr>
        <w:t>的</w:t>
      </w:r>
      <w:r>
        <w:rPr>
          <w:rFonts w:ascii="仿宋_GB2312" w:hAnsi="仿宋_GB2312" w:eastAsia="仿宋_GB2312" w:cs="仿宋_GB2312"/>
          <w:color w:val="auto"/>
          <w:sz w:val="28"/>
          <w:szCs w:val="28"/>
          <w:highlight w:val="none"/>
        </w:rPr>
        <w:t>海绵城市(含防洪排涝风险评估)专篇内容</w:t>
      </w:r>
      <w:r>
        <w:rPr>
          <w:rFonts w:hint="eastAsia" w:ascii="仿宋_GB2312" w:hAnsi="仿宋_GB2312" w:eastAsia="仿宋_GB2312" w:cs="仿宋_GB2312"/>
          <w:color w:val="auto"/>
          <w:sz w:val="28"/>
          <w:szCs w:val="28"/>
          <w:highlight w:val="none"/>
        </w:rPr>
        <w:t>，并</w:t>
      </w:r>
      <w:r>
        <w:rPr>
          <w:rFonts w:ascii="仿宋_GB2312" w:hAnsi="仿宋_GB2312" w:eastAsia="仿宋_GB2312" w:cs="仿宋_GB2312"/>
          <w:color w:val="auto"/>
          <w:sz w:val="28"/>
          <w:szCs w:val="28"/>
          <w:highlight w:val="none"/>
        </w:rPr>
        <w:t>按照相关部门意见完善修改至满足要求</w:t>
      </w:r>
      <w:r>
        <w:rPr>
          <w:rFonts w:hint="eastAsia" w:ascii="仿宋_GB2312" w:hAnsi="仿宋_GB2312" w:eastAsia="仿宋_GB2312" w:cs="仿宋_GB2312"/>
          <w:color w:val="auto"/>
          <w:sz w:val="28"/>
          <w:szCs w:val="28"/>
          <w:highlight w:val="none"/>
        </w:rPr>
        <w:t>。</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3.付款方式：见合同书格式。</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4.承包方式：总价包干。</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本合同采用总价包干，工作内容包括完成本合同项下的所有工作（包含但不限于报告编制和报审、修改完善及公示期间相关工作的配合）。整个项目主要工作内容包括：</w:t>
      </w:r>
    </w:p>
    <w:p>
      <w:pPr>
        <w:spacing w:line="360" w:lineRule="auto"/>
        <w:ind w:firstLine="560" w:firstLineChars="200"/>
        <w:rPr>
          <w:rFonts w:ascii="仿宋_GB2312" w:hAnsi="仿宋_GB2312" w:eastAsia="仿宋_GB2312" w:cs="仿宋_GB2312"/>
          <w:color w:val="auto"/>
          <w:sz w:val="28"/>
          <w:szCs w:val="28"/>
          <w:highlight w:val="none"/>
        </w:rPr>
      </w:pPr>
      <w:bookmarkStart w:id="1" w:name="_Toc62667714"/>
      <w:r>
        <w:rPr>
          <w:rFonts w:hint="eastAsia" w:ascii="仿宋_GB2312" w:hAnsi="仿宋_GB2312" w:eastAsia="仿宋_GB2312" w:cs="仿宋_GB2312"/>
          <w:color w:val="auto"/>
          <w:sz w:val="28"/>
          <w:szCs w:val="28"/>
          <w:highlight w:val="none"/>
        </w:rPr>
        <w:t>（1）海绵城市专项规划工作内容主要包括：</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依据《广州市建设项目雨水径流控制办法》（广州市人民政府令第107号）、《广州市建设项目海绵城市建设管控指标分类指引（试行）的通知》(穗水河湖</w:t>
      </w:r>
      <w:r>
        <w:rPr>
          <w:rFonts w:hint="eastAsia" w:ascii="仿宋" w:hAnsi="仿宋" w:eastAsia="仿宋" w:cs="仿宋_GB2312"/>
          <w:color w:val="auto"/>
          <w:sz w:val="28"/>
          <w:szCs w:val="28"/>
          <w:highlight w:val="none"/>
        </w:rPr>
        <w:t>﹝2020﹞</w:t>
      </w:r>
      <w:r>
        <w:rPr>
          <w:rFonts w:hint="eastAsia" w:ascii="仿宋_GB2312" w:hAnsi="仿宋_GB2312" w:eastAsia="仿宋_GB2312" w:cs="仿宋_GB2312"/>
          <w:color w:val="auto"/>
          <w:sz w:val="28"/>
          <w:szCs w:val="28"/>
          <w:highlight w:val="none"/>
        </w:rPr>
        <w:t>7号)、《广州市海绵城市建设领导小组办公室关于印发广州市海绵城市建设专篇编制要点的通知》（穗海绵办</w:t>
      </w:r>
      <w:r>
        <w:rPr>
          <w:rFonts w:hint="eastAsia" w:ascii="仿宋" w:hAnsi="仿宋" w:eastAsia="仿宋" w:cs="仿宋_GB2312"/>
          <w:color w:val="auto"/>
          <w:sz w:val="28"/>
          <w:szCs w:val="28"/>
          <w:highlight w:val="none"/>
        </w:rPr>
        <w:t>﹝2021﹞</w:t>
      </w:r>
      <w:r>
        <w:rPr>
          <w:rFonts w:hint="eastAsia" w:ascii="仿宋_GB2312" w:hAnsi="仿宋_GB2312" w:eastAsia="仿宋_GB2312" w:cs="仿宋_GB2312"/>
          <w:color w:val="auto"/>
          <w:sz w:val="28"/>
          <w:szCs w:val="28"/>
          <w:highlight w:val="none"/>
        </w:rPr>
        <w:t>12号）和各区海绵城市专项规划的有关要求，细化落实各地块的海绵城市相关管控指标和建设方案。</w:t>
      </w:r>
    </w:p>
    <w:bookmarkEnd w:id="1"/>
    <w:p>
      <w:pPr>
        <w:spacing w:line="360" w:lineRule="auto"/>
        <w:ind w:firstLine="560" w:firstLineChars="200"/>
        <w:rPr>
          <w:rFonts w:ascii="仿宋_GB2312" w:hAnsi="仿宋_GB2312" w:eastAsia="仿宋_GB2312" w:cs="仿宋_GB2312"/>
          <w:color w:val="auto"/>
          <w:sz w:val="28"/>
          <w:szCs w:val="28"/>
          <w:highlight w:val="none"/>
        </w:rPr>
      </w:pPr>
      <w:bookmarkStart w:id="2" w:name="_Toc62667715"/>
      <w:bookmarkStart w:id="3" w:name="OLE_LINK1"/>
      <w:bookmarkStart w:id="4" w:name="OLE_LINK2"/>
      <w:r>
        <w:rPr>
          <w:rFonts w:hint="eastAsia" w:ascii="仿宋_GB2312" w:hAnsi="仿宋_GB2312" w:eastAsia="仿宋_GB2312" w:cs="仿宋_GB2312"/>
          <w:color w:val="auto"/>
          <w:sz w:val="28"/>
          <w:szCs w:val="28"/>
          <w:highlight w:val="none"/>
        </w:rPr>
        <w:t>（2）</w:t>
      </w:r>
      <w:bookmarkEnd w:id="2"/>
      <w:r>
        <w:rPr>
          <w:rFonts w:hint="eastAsia" w:ascii="仿宋_GB2312" w:hAnsi="仿宋_GB2312" w:eastAsia="仿宋_GB2312" w:cs="仿宋_GB2312"/>
          <w:color w:val="auto"/>
          <w:sz w:val="28"/>
          <w:szCs w:val="28"/>
          <w:highlight w:val="none"/>
        </w:rPr>
        <w:t>防洪排涝风险评估工作内容主要包括：</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1）基本情况：包括①建设项目概况；②工程区域及流域基本情况；③防洪排涝及排水现状；④排水防涝设施规划及控制指标；⑤工程区域下垫面变化情况；⑥流域历史洪涝灾害情况。</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2）项目所处区域洪涝风险等级评定：包括①洪涝风险等级评定方法；②洪涝风险等级评定结果。</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3）防洪排涝风险评估：包括①外江防洪（潮）标准；②河涌整治防洪标准；③内涝防治标准。</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4）排水工程评估：包括①雨水径流控制标准；②雨水管渠、泵站及附属设施设计标准；③规划排水布局复核；④规划排水体制复核。</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5）海绵城市评估：评估径流削减要求和地块配建调蓄容积需求。</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6）地块竖向评估：评估地块高程是否满足防涝要求，若不满足，给出合理化建议。</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7）供水、污水承载力评估：定量评估地块内规划用水量和污水量，周边市政供水水压、水量及污水管网是否满足承载要求。</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8）结论及建议：按照洪涝安全评估审查要点，提出总结和建议。</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9）附件</w:t>
      </w:r>
      <w:r>
        <w:rPr>
          <w:rFonts w:hint="eastAsia" w:ascii="宋体" w:hAnsi="宋体" w:eastAsia="宋体" w:cs="宋体"/>
          <w:color w:val="auto"/>
          <w:sz w:val="28"/>
          <w:szCs w:val="28"/>
          <w:highlight w:val="none"/>
        </w:rPr>
        <w:t>“</w:t>
      </w:r>
      <w:r>
        <w:rPr>
          <w:rFonts w:hint="eastAsia" w:ascii="仿宋_GB2312" w:hAnsi="仿宋_GB2312" w:eastAsia="仿宋_GB2312" w:cs="仿宋_GB2312"/>
          <w:color w:val="auto"/>
          <w:sz w:val="28"/>
          <w:szCs w:val="28"/>
          <w:highlight w:val="none"/>
        </w:rPr>
        <w:t>三图一表</w:t>
      </w:r>
      <w:r>
        <w:rPr>
          <w:rFonts w:hint="eastAsia" w:ascii="宋体" w:hAnsi="宋体" w:eastAsia="宋体" w:cs="宋体"/>
          <w:color w:val="auto"/>
          <w:sz w:val="28"/>
          <w:szCs w:val="28"/>
          <w:highlight w:val="none"/>
        </w:rPr>
        <w:t>”</w:t>
      </w:r>
      <w:r>
        <w:rPr>
          <w:rFonts w:hint="eastAsia" w:ascii="仿宋_GB2312" w:hAnsi="仿宋_GB2312" w:eastAsia="仿宋_GB2312" w:cs="仿宋_GB2312"/>
          <w:color w:val="auto"/>
          <w:sz w:val="28"/>
          <w:szCs w:val="28"/>
          <w:highlight w:val="none"/>
        </w:rPr>
        <w:t>：提交蓝绿设施布局图、水务设施布局图、地块竖向优化图和洪涝评估特征表。</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ascii="仿宋_GB2312" w:hAnsi="仿宋_GB2312" w:eastAsia="仿宋_GB2312" w:cs="仿宋_GB2312"/>
          <w:color w:val="auto"/>
          <w:sz w:val="28"/>
          <w:szCs w:val="28"/>
          <w:highlight w:val="none"/>
        </w:rPr>
        <w:t>海绵城市(含防洪排涝风险评估)专篇内容需</w:t>
      </w:r>
      <w:r>
        <w:rPr>
          <w:rFonts w:hint="eastAsia" w:ascii="仿宋_GB2312" w:hAnsi="仿宋_GB2312" w:eastAsia="仿宋_GB2312" w:cs="仿宋_GB2312"/>
          <w:color w:val="auto"/>
          <w:sz w:val="28"/>
          <w:szCs w:val="28"/>
          <w:highlight w:val="none"/>
        </w:rPr>
        <w:t>满足最新</w:t>
      </w:r>
      <w:r>
        <w:rPr>
          <w:rFonts w:hint="eastAsia" w:ascii="仿宋" w:hAnsi="仿宋" w:eastAsia="仿宋" w:cs="仿宋_GB2312"/>
          <w:color w:val="auto"/>
          <w:sz w:val="28"/>
          <w:szCs w:val="28"/>
          <w:highlight w:val="none"/>
        </w:rPr>
        <w:t>国家和地方的法律、法规、规章、标准和技术要求，以及地方</w:t>
      </w:r>
      <w:r>
        <w:rPr>
          <w:rFonts w:hint="eastAsia" w:ascii="仿宋_GB2312" w:hAnsi="仿宋_GB2312" w:eastAsia="仿宋_GB2312" w:cs="仿宋_GB2312"/>
          <w:color w:val="auto"/>
          <w:sz w:val="28"/>
          <w:szCs w:val="28"/>
          <w:highlight w:val="none"/>
        </w:rPr>
        <w:t>规划、水务等主管部门的对控规阶段</w:t>
      </w:r>
      <w:r>
        <w:rPr>
          <w:rFonts w:ascii="仿宋_GB2312" w:hAnsi="仿宋_GB2312" w:eastAsia="仿宋_GB2312" w:cs="仿宋_GB2312"/>
          <w:color w:val="auto"/>
          <w:sz w:val="28"/>
          <w:szCs w:val="28"/>
          <w:highlight w:val="none"/>
        </w:rPr>
        <w:t>海绵城市(含防洪排涝风险评估)专篇的</w:t>
      </w:r>
      <w:r>
        <w:rPr>
          <w:rFonts w:hint="eastAsia" w:ascii="仿宋_GB2312" w:hAnsi="仿宋_GB2312" w:eastAsia="仿宋_GB2312" w:cs="仿宋_GB2312"/>
          <w:color w:val="auto"/>
          <w:sz w:val="28"/>
          <w:szCs w:val="28"/>
          <w:highlight w:val="none"/>
        </w:rPr>
        <w:t>其它相关要求。</w:t>
      </w:r>
    </w:p>
    <w:bookmarkEnd w:id="3"/>
    <w:bookmarkEnd w:id="4"/>
    <w:p>
      <w:pPr>
        <w:pStyle w:val="2"/>
        <w:rPr>
          <w:color w:val="auto"/>
          <w:highlight w:val="none"/>
        </w:rPr>
      </w:pPr>
    </w:p>
    <w:p>
      <w:pPr>
        <w:widowControl/>
        <w:spacing w:line="560" w:lineRule="exact"/>
        <w:ind w:firstLine="560" w:firstLineChars="200"/>
        <w:jc w:val="left"/>
        <w:rPr>
          <w:rFonts w:ascii="仿宋_GB2312" w:hAnsi="宋体" w:eastAsia="仿宋_GB2312"/>
          <w:sz w:val="28"/>
          <w:szCs w:val="28"/>
        </w:rPr>
      </w:pPr>
    </w:p>
    <w:p>
      <w:pPr>
        <w:widowControl/>
        <w:spacing w:line="560" w:lineRule="exact"/>
        <w:ind w:firstLine="560" w:firstLineChars="200"/>
        <w:jc w:val="left"/>
        <w:rPr>
          <w:rFonts w:ascii="仿宋_GB2312" w:hAnsi="仿宋_GB2312" w:eastAsia="仿宋_GB2312" w:cs="仿宋_GB2312"/>
          <w:sz w:val="28"/>
          <w:szCs w:val="28"/>
          <w:u w:val="single"/>
        </w:rPr>
      </w:pPr>
    </w:p>
    <w:p>
      <w:pPr>
        <w:widowControl/>
        <w:jc w:val="left"/>
        <w:rPr>
          <w:rFonts w:ascii="仿宋_GB2312" w:hAnsi="宋体" w:eastAsia="仿宋_GB2312"/>
          <w:sz w:val="28"/>
          <w:szCs w:val="28"/>
        </w:rPr>
      </w:pPr>
      <w:r>
        <w:rPr>
          <w:rFonts w:ascii="仿宋_GB2312" w:hAnsi="宋体" w:eastAsia="仿宋_GB2312"/>
          <w:sz w:val="28"/>
          <w:szCs w:val="28"/>
        </w:rPr>
        <w:br w:type="page"/>
      </w:r>
    </w:p>
    <w:p>
      <w:pPr>
        <w:pStyle w:val="9"/>
        <w:adjustRightInd w:val="0"/>
        <w:snapToGrid w:val="0"/>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zh-CN"/>
        </w:rPr>
        <w:t xml:space="preserve">第三部分 </w:t>
      </w:r>
      <w:r>
        <w:rPr>
          <w:rFonts w:hint="eastAsia" w:ascii="仿宋_GB2312" w:hAnsi="仿宋_GB2312" w:eastAsia="仿宋_GB2312" w:cs="仿宋_GB2312"/>
          <w:b/>
          <w:sz w:val="28"/>
          <w:szCs w:val="28"/>
          <w:highlight w:val="none"/>
        </w:rPr>
        <w:t xml:space="preserve"> 报价须知</w:t>
      </w:r>
    </w:p>
    <w:p>
      <w:pPr>
        <w:pStyle w:val="9"/>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一、概念释义</w:t>
      </w:r>
    </w:p>
    <w:p>
      <w:pPr>
        <w:pStyle w:val="9"/>
        <w:adjustRightInd w:val="0"/>
        <w:snapToGrid w:val="0"/>
        <w:spacing w:line="300" w:lineRule="auto"/>
        <w:ind w:left="54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1.“询价人”是指：广州市净水有限公司。</w:t>
      </w:r>
    </w:p>
    <w:p>
      <w:pPr>
        <w:pStyle w:val="9"/>
        <w:tabs>
          <w:tab w:val="left" w:pos="360"/>
        </w:tabs>
        <w:adjustRightInd w:val="0"/>
        <w:snapToGrid w:val="0"/>
        <w:spacing w:line="300" w:lineRule="auto"/>
        <w:ind w:left="542" w:hanging="560" w:hangingChars="200"/>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2.合格的报价单位:</w:t>
      </w:r>
      <w:r>
        <w:rPr>
          <w:rFonts w:hint="eastAsia" w:ascii="仿宋" w:hAnsi="仿宋" w:eastAsia="仿宋" w:cs="仿宋_GB2312"/>
          <w:kern w:val="0"/>
          <w:sz w:val="28"/>
          <w:szCs w:val="28"/>
          <w:highlight w:val="none"/>
        </w:rPr>
        <w:t>符合询价文件规定资格</w:t>
      </w:r>
      <w:r>
        <w:rPr>
          <w:rFonts w:hint="eastAsia" w:ascii="仿宋" w:hAnsi="仿宋" w:eastAsia="仿宋" w:cs="仿宋_GB2312"/>
          <w:sz w:val="28"/>
          <w:szCs w:val="28"/>
          <w:highlight w:val="none"/>
          <w:lang w:val="zh-CN"/>
        </w:rPr>
        <w:t>要求</w:t>
      </w:r>
      <w:r>
        <w:rPr>
          <w:rFonts w:hint="eastAsia" w:ascii="仿宋" w:hAnsi="仿宋" w:eastAsia="仿宋" w:cs="仿宋_GB2312"/>
          <w:kern w:val="0"/>
          <w:sz w:val="28"/>
          <w:szCs w:val="28"/>
          <w:highlight w:val="none"/>
        </w:rPr>
        <w:t>的报价单位。</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3.“承包人”是指经法定程序确认并授以合同的报价单位。</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4. 合格的工程：满足国家相关法律、法规、规章等规定，并符合本项目相关质量要求、安全文明施工要求的工程。</w:t>
      </w:r>
    </w:p>
    <w:p>
      <w:pPr>
        <w:pStyle w:val="9"/>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二、询价文件</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5．适用范围:本询价文件适用于本报价邀请中所述项目的询价。</w:t>
      </w:r>
    </w:p>
    <w:p>
      <w:pPr>
        <w:pStyle w:val="9"/>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 询价文件的构成</w:t>
      </w:r>
    </w:p>
    <w:p>
      <w:pPr>
        <w:pStyle w:val="9"/>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6.1询价文件包括但不限于下列文件:</w:t>
      </w:r>
    </w:p>
    <w:p>
      <w:pPr>
        <w:pStyle w:val="9"/>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1）报价邀请函</w:t>
      </w:r>
    </w:p>
    <w:p>
      <w:pPr>
        <w:pStyle w:val="9"/>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2) 项目内容</w:t>
      </w:r>
    </w:p>
    <w:p>
      <w:pPr>
        <w:pStyle w:val="9"/>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3) 报价单位须知</w:t>
      </w:r>
    </w:p>
    <w:p>
      <w:pPr>
        <w:pStyle w:val="9"/>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4) 合同书格式</w:t>
      </w:r>
    </w:p>
    <w:p>
      <w:pPr>
        <w:pStyle w:val="9"/>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5) 询价响应文件格式</w:t>
      </w:r>
    </w:p>
    <w:p>
      <w:pPr>
        <w:pStyle w:val="9"/>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6) 在询价过程中由询价人发出的修正和补充文件等</w:t>
      </w:r>
    </w:p>
    <w:p>
      <w:pPr>
        <w:pStyle w:val="9"/>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7. 询价文件的澄清或修改</w:t>
      </w:r>
    </w:p>
    <w:p>
      <w:pPr>
        <w:pStyle w:val="9"/>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9"/>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7.2任何要求对询价文件进行澄清的报价单位，均应以</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形式通知询价人。询价人对其收到的</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的对询价文件的澄清要求均以书面形式予以答复，（答复中不包括问题的来源）。该答复作为询价文件的一部分，对报价单位有约束力。</w:t>
      </w:r>
    </w:p>
    <w:p>
      <w:pPr>
        <w:pStyle w:val="9"/>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７.3询价文件的修改或澄清将以书面形式通知所有</w:t>
      </w:r>
      <w:r>
        <w:rPr>
          <w:rFonts w:hint="eastAsia" w:ascii="仿宋" w:hAnsi="仿宋" w:eastAsia="仿宋" w:cs="仿宋_GB2312"/>
          <w:color w:val="000000"/>
          <w:sz w:val="28"/>
          <w:szCs w:val="28"/>
          <w:highlight w:val="none"/>
          <w:lang w:val="en-US" w:eastAsia="zh-CN"/>
        </w:rPr>
        <w:t>获取</w:t>
      </w:r>
      <w:r>
        <w:rPr>
          <w:rFonts w:hint="eastAsia" w:ascii="仿宋" w:hAnsi="仿宋" w:eastAsia="仿宋" w:cs="仿宋_GB2312"/>
          <w:color w:val="000000"/>
          <w:sz w:val="28"/>
          <w:szCs w:val="28"/>
          <w:highlight w:val="none"/>
          <w:lang w:eastAsia="zh-CN"/>
        </w:rPr>
        <w:t>询价文件的报价单位，并对其具有约束力。</w:t>
      </w:r>
    </w:p>
    <w:p>
      <w:pPr>
        <w:pStyle w:val="9"/>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7.4询价人可以视询价具体情况，延长递交询价响应文件截止时间，并将变更时间以书面形式通知所有询价文件收受人。</w:t>
      </w:r>
    </w:p>
    <w:p>
      <w:pPr>
        <w:pStyle w:val="9"/>
        <w:adjustRightInd w:val="0"/>
        <w:snapToGrid w:val="0"/>
        <w:spacing w:line="300" w:lineRule="auto"/>
        <w:ind w:left="420" w:hanging="420"/>
        <w:rPr>
          <w:rFonts w:hint="eastAsia" w:ascii="仿宋" w:hAnsi="仿宋" w:eastAsia="仿宋" w:cs="仿宋_GB2312"/>
          <w:b w:val="0"/>
          <w:bCs w:val="0"/>
          <w:color w:val="000000"/>
          <w:sz w:val="28"/>
          <w:szCs w:val="28"/>
          <w:highlight w:val="none"/>
          <w:lang w:val="en-US" w:eastAsia="zh-CN"/>
        </w:rPr>
      </w:pPr>
      <w:r>
        <w:rPr>
          <w:rFonts w:hint="eastAsia" w:ascii="仿宋" w:hAnsi="仿宋" w:eastAsia="仿宋" w:cs="仿宋_GB2312"/>
          <w:color w:val="000000"/>
          <w:sz w:val="28"/>
          <w:szCs w:val="28"/>
          <w:highlight w:val="none"/>
          <w:lang w:val="en-US" w:eastAsia="zh-CN"/>
        </w:rPr>
        <w:t>7.5 书面形式包括但不限于以纸质、电子邮件、门户网站信息公告等形式。</w:t>
      </w:r>
    </w:p>
    <w:p>
      <w:pPr>
        <w:pStyle w:val="9"/>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三、询价响应文件的编制和数量</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8．询价响应费用</w:t>
      </w:r>
    </w:p>
    <w:p>
      <w:pPr>
        <w:pStyle w:val="9"/>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8.1 报价单位应承担所有与准备和参加询价响应有关的费用。不论询价的结果如何，询价人均无义务和责任承担这些费用。</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9．报价的语言及计量</w:t>
      </w:r>
    </w:p>
    <w:p>
      <w:pPr>
        <w:pStyle w:val="9"/>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9"/>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9.2除非询价文件中另有规定，报价单位在询价响应文件中及其与询价人的所有往来文件中的计量单位均应采用中华人民共和国法定计量单位。</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10．询价响应文件的构成</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10.1报价单位编制的询价响应文件应包括但不少于本询价文件第五部分《询价响应文件格式》的所有内容。</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11. 询价响应文件编制</w:t>
      </w:r>
    </w:p>
    <w:p>
      <w:pPr>
        <w:spacing w:line="300" w:lineRule="auto"/>
        <w:ind w:left="610" w:hanging="630" w:hangingChars="225"/>
        <w:rPr>
          <w:rFonts w:ascii="仿宋" w:hAnsi="仿宋" w:eastAsia="仿宋" w:cs="仿宋_GB2312"/>
          <w:sz w:val="28"/>
          <w:szCs w:val="28"/>
          <w:highlight w:val="none"/>
        </w:rPr>
      </w:pPr>
      <w:r>
        <w:rPr>
          <w:rFonts w:hint="eastAsia" w:ascii="仿宋" w:hAnsi="仿宋" w:eastAsia="仿宋" w:cs="仿宋_GB2312"/>
          <w:sz w:val="28"/>
          <w:szCs w:val="28"/>
          <w:highlight w:val="none"/>
        </w:rPr>
        <w:t>11.1报价单位应按响应文件格式编制询价响应文件。</w:t>
      </w:r>
    </w:p>
    <w:p>
      <w:pPr>
        <w:pStyle w:val="9"/>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9"/>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11.3如果因为报价单位询价响应文件填报的内容不详，或没有提供询价文件中所要求的全部资料及数据，由此造成的后果，其责任由报价单位承担。</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12. 报价</w:t>
      </w:r>
    </w:p>
    <w:p>
      <w:pPr>
        <w:autoSpaceDE w:val="0"/>
        <w:autoSpaceDN w:val="0"/>
        <w:adjustRightInd w:val="0"/>
        <w:snapToGrid w:val="0"/>
        <w:spacing w:line="300" w:lineRule="auto"/>
        <w:ind w:left="542" w:right="-148"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12.1如询价文件无特殊规定，报价以人民币填报。</w:t>
      </w:r>
    </w:p>
    <w:p>
      <w:pPr>
        <w:autoSpaceDE w:val="0"/>
        <w:autoSpaceDN w:val="0"/>
        <w:adjustRightInd w:val="0"/>
        <w:snapToGrid w:val="0"/>
        <w:spacing w:line="300" w:lineRule="auto"/>
        <w:ind w:left="542" w:right="-148"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p>
    <w:p>
      <w:pPr>
        <w:pStyle w:val="9"/>
        <w:adjustRightInd w:val="0"/>
        <w:snapToGrid w:val="0"/>
        <w:spacing w:line="300" w:lineRule="auto"/>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12.3任何有选择性报价的报价，将被视为无效报价。</w:t>
      </w:r>
    </w:p>
    <w:p>
      <w:pPr>
        <w:pStyle w:val="9"/>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12.4报价人不得存在以下情形之一：</w:t>
      </w:r>
    </w:p>
    <w:p>
      <w:pPr>
        <w:pStyle w:val="9"/>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（1）与询价人存在利害关系且可能影响询价公正性；</w:t>
      </w:r>
    </w:p>
    <w:p>
      <w:pPr>
        <w:pStyle w:val="9"/>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（2）法定代表人或单位负责人为同一个人或者存在控股、管理关系的不同单位,同时参加同一项目或同一子项目；</w:t>
      </w:r>
    </w:p>
    <w:p>
      <w:pPr>
        <w:pStyle w:val="9"/>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（3）为本询价项目提供过设计、编制技术规范和其他文件的咨询服务；</w:t>
      </w:r>
    </w:p>
    <w:p>
      <w:pPr>
        <w:pStyle w:val="9"/>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（4）被依法取消投标资格；</w:t>
      </w:r>
    </w:p>
    <w:p>
      <w:pPr>
        <w:pStyle w:val="9"/>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（5）被责令停产停业、暂扣或者吊销许可证、暂扣或者吊销执照；</w:t>
      </w:r>
    </w:p>
    <w:p>
      <w:pPr>
        <w:pStyle w:val="9"/>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（6）进入清算程序，或被宣告破产，或其他丧失履约能力的情形；</w:t>
      </w:r>
    </w:p>
    <w:p>
      <w:pPr>
        <w:pStyle w:val="9"/>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（7）在参加本项目前3年内在存在重大违法记录；</w:t>
      </w:r>
    </w:p>
    <w:p>
      <w:pPr>
        <w:pStyle w:val="9"/>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（8）被“全国企业信用信息公示系统”（网址：http://www.gsxt.gov.cn/）列入经营异常名录和严重违法失信企业名单；</w:t>
      </w:r>
    </w:p>
    <w:p>
      <w:pPr>
        <w:pStyle w:val="9"/>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（9）被《信用中国》网站（www.creditchina.gov.cn）公示存在失信惩戒记录；</w:t>
      </w:r>
    </w:p>
    <w:p>
      <w:pPr>
        <w:pStyle w:val="9"/>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 xml:space="preserve">（10）本项目截止时间前的半年中，在询价人组织的招标、询价活动中被查实弄虚作假、相互串通投标的。 </w:t>
      </w:r>
    </w:p>
    <w:p>
      <w:pPr>
        <w:pStyle w:val="9"/>
        <w:adjustRightInd w:val="0"/>
        <w:snapToGrid w:val="0"/>
        <w:spacing w:line="300" w:lineRule="auto"/>
        <w:ind w:left="562" w:leftChars="1"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 联合体报价</w:t>
      </w:r>
    </w:p>
    <w:p>
      <w:pPr>
        <w:pStyle w:val="9"/>
        <w:adjustRightInd w:val="0"/>
        <w:snapToGrid w:val="0"/>
        <w:spacing w:line="300" w:lineRule="auto"/>
        <w:ind w:left="562" w:leftChars="1"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13.1本项目</w:t>
      </w:r>
      <w:r>
        <w:rPr>
          <w:rFonts w:hint="eastAsia" w:ascii="仿宋" w:hAnsi="仿宋" w:eastAsia="仿宋" w:cs="仿宋_GB2312"/>
          <w:kern w:val="0"/>
          <w:sz w:val="28"/>
          <w:szCs w:val="28"/>
          <w:highlight w:val="none"/>
          <w:u w:val="single"/>
        </w:rPr>
        <w:t>不接受</w:t>
      </w:r>
      <w:r>
        <w:rPr>
          <w:rFonts w:hint="eastAsia" w:ascii="仿宋" w:hAnsi="仿宋" w:eastAsia="仿宋" w:cs="仿宋_GB2312"/>
          <w:kern w:val="0"/>
          <w:sz w:val="28"/>
          <w:szCs w:val="28"/>
          <w:highlight w:val="none"/>
        </w:rPr>
        <w:t>联合体参加报价。</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14. 报价单位资格证明文件</w:t>
      </w:r>
    </w:p>
    <w:p>
      <w:pPr>
        <w:pStyle w:val="9"/>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9"/>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14.2资格证明文件必须真实有效，复印件必须加盖单位印章。</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15. 报价有效期</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15.1询价响应文件应在</w:t>
      </w:r>
      <w:r>
        <w:rPr>
          <w:rFonts w:hint="eastAsia" w:ascii="仿宋" w:hAnsi="仿宋" w:eastAsia="仿宋" w:cs="仿宋_GB2312"/>
          <w:sz w:val="28"/>
          <w:szCs w:val="28"/>
          <w:highlight w:val="none"/>
          <w:lang w:val="en-US" w:eastAsia="zh-CN"/>
        </w:rPr>
        <w:t>询价会</w:t>
      </w:r>
      <w:r>
        <w:rPr>
          <w:rFonts w:hint="eastAsia" w:ascii="仿宋" w:hAnsi="仿宋" w:eastAsia="仿宋" w:cs="仿宋_GB2312"/>
          <w:sz w:val="28"/>
          <w:szCs w:val="28"/>
          <w:highlight w:val="none"/>
        </w:rPr>
        <w:t>之日起</w:t>
      </w:r>
      <w:r>
        <w:rPr>
          <w:rFonts w:hint="eastAsia" w:ascii="仿宋" w:hAnsi="仿宋" w:eastAsia="仿宋" w:cs="仿宋_GB2312"/>
          <w:sz w:val="28"/>
          <w:szCs w:val="28"/>
          <w:highlight w:val="none"/>
          <w:u w:val="single"/>
        </w:rPr>
        <w:t>90</w:t>
      </w:r>
      <w:r>
        <w:rPr>
          <w:rFonts w:hint="eastAsia" w:ascii="仿宋" w:hAnsi="仿宋" w:eastAsia="仿宋" w:cs="仿宋_GB2312"/>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16. 询价响应文件的数量和签署</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16.1 报价单位应编制询价响应文件一式</w:t>
      </w:r>
      <w:r>
        <w:rPr>
          <w:rFonts w:hint="eastAsia" w:ascii="仿宋" w:hAnsi="仿宋" w:eastAsia="仿宋" w:cs="仿宋_GB2312"/>
          <w:kern w:val="0"/>
          <w:sz w:val="28"/>
          <w:szCs w:val="28"/>
          <w:highlight w:val="none"/>
          <w:u w:val="none"/>
          <w:lang w:val="en-US" w:eastAsia="zh-CN"/>
        </w:rPr>
        <w:t>二</w:t>
      </w:r>
      <w:r>
        <w:rPr>
          <w:rFonts w:hint="eastAsia" w:ascii="仿宋" w:hAnsi="仿宋" w:eastAsia="仿宋" w:cs="仿宋_GB2312"/>
          <w:kern w:val="0"/>
          <w:sz w:val="28"/>
          <w:szCs w:val="28"/>
          <w:highlight w:val="none"/>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9"/>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16.3 询价响应文件中的任何重要的插字、涂改和增删，必须由法定代表人或经其正式授权的代表在旁边签字或盖私章才有效。</w:t>
      </w:r>
    </w:p>
    <w:p>
      <w:pPr>
        <w:pStyle w:val="9"/>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16.4电报、电话、传真形式的询价响应文件概不接受。</w:t>
      </w:r>
    </w:p>
    <w:p>
      <w:pPr>
        <w:autoSpaceDE w:val="0"/>
        <w:autoSpaceDN w:val="0"/>
        <w:adjustRightInd w:val="0"/>
        <w:snapToGrid w:val="0"/>
        <w:spacing w:line="300" w:lineRule="auto"/>
        <w:ind w:left="544" w:right="32" w:hanging="562" w:hangingChars="200"/>
        <w:rPr>
          <w:rFonts w:ascii="仿宋" w:hAnsi="仿宋" w:eastAsia="仿宋" w:cs="仿宋_GB2312"/>
          <w:b/>
          <w:sz w:val="28"/>
          <w:szCs w:val="28"/>
          <w:highlight w:val="none"/>
        </w:rPr>
      </w:pPr>
      <w:r>
        <w:rPr>
          <w:rFonts w:hint="eastAsia" w:ascii="仿宋" w:hAnsi="仿宋" w:eastAsia="仿宋" w:cs="仿宋_GB2312"/>
          <w:b/>
          <w:sz w:val="28"/>
          <w:szCs w:val="28"/>
          <w:highlight w:val="none"/>
        </w:rPr>
        <w:t>四、询价响应文件的递交</w:t>
      </w:r>
    </w:p>
    <w:p>
      <w:pPr>
        <w:autoSpaceDE w:val="0"/>
        <w:autoSpaceDN w:val="0"/>
        <w:adjustRightInd w:val="0"/>
        <w:snapToGrid w:val="0"/>
        <w:spacing w:line="300" w:lineRule="auto"/>
        <w:ind w:left="542" w:right="32"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 询价响应文件的密封和标记</w:t>
      </w:r>
    </w:p>
    <w:p>
      <w:pPr>
        <w:pStyle w:val="9"/>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17.1报价单位应将询价响应文件正本和副本用单独的信封密封，注明“正本”或“副本”字样。</w:t>
      </w:r>
    </w:p>
    <w:p>
      <w:pPr>
        <w:pStyle w:val="9"/>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17.2每一密封信封均应：</w:t>
      </w:r>
    </w:p>
    <w:p>
      <w:pPr>
        <w:pStyle w:val="9"/>
        <w:adjustRightInd w:val="0"/>
        <w:snapToGrid w:val="0"/>
        <w:spacing w:line="300" w:lineRule="auto"/>
        <w:ind w:left="1439" w:leftChars="343" w:hanging="719"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（1）标明项目编号、项目名称，并注明“正本”或“副本”字样；</w:t>
      </w:r>
    </w:p>
    <w:p>
      <w:pPr>
        <w:pStyle w:val="9"/>
        <w:adjustRightInd w:val="0"/>
        <w:snapToGrid w:val="0"/>
        <w:spacing w:line="300" w:lineRule="auto"/>
        <w:ind w:left="1439" w:leftChars="343" w:hanging="719"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（2）注明“于（递交询价响应文件截止时间）之前不准启封”的字样。</w:t>
      </w:r>
    </w:p>
    <w:p>
      <w:pPr>
        <w:pStyle w:val="9"/>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17.3如果信封未按本须知第17.1条和第17.2条要求密封的，询价人对误投或过早启封概不负责。</w:t>
      </w:r>
    </w:p>
    <w:p>
      <w:pPr>
        <w:pStyle w:val="9"/>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18. 询价响应文件递交截止时间</w:t>
      </w:r>
    </w:p>
    <w:p>
      <w:pPr>
        <w:pStyle w:val="9"/>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18.1询价人在《报价邀请函》中规定的地点和递交询价响应文件截止时间之前接收询价响应文件，超过截止时点后的询价响应文件将被拒绝。</w:t>
      </w:r>
    </w:p>
    <w:p>
      <w:pPr>
        <w:pStyle w:val="9"/>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9"/>
        <w:adjustRightInd w:val="0"/>
        <w:snapToGrid w:val="0"/>
        <w:spacing w:line="300" w:lineRule="auto"/>
        <w:ind w:right="32"/>
        <w:rPr>
          <w:rFonts w:ascii="仿宋" w:hAnsi="仿宋" w:eastAsia="仿宋" w:cs="仿宋_GB2312"/>
          <w:sz w:val="28"/>
          <w:szCs w:val="28"/>
          <w:highlight w:val="none"/>
        </w:rPr>
      </w:pPr>
      <w:r>
        <w:rPr>
          <w:rFonts w:hint="eastAsia" w:ascii="仿宋" w:hAnsi="仿宋" w:eastAsia="仿宋" w:cs="仿宋_GB2312"/>
          <w:sz w:val="28"/>
          <w:szCs w:val="28"/>
          <w:highlight w:val="none"/>
        </w:rPr>
        <w:t>19. 询价响应文件的修改和撤回</w:t>
      </w:r>
    </w:p>
    <w:p>
      <w:pPr>
        <w:pStyle w:val="9"/>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highlight w:val="none"/>
          <w:u w:val="none"/>
        </w:rPr>
        <w:t>（询价人）</w:t>
      </w:r>
      <w:r>
        <w:rPr>
          <w:rFonts w:hint="eastAsia" w:ascii="仿宋" w:hAnsi="仿宋" w:eastAsia="仿宋" w:cs="仿宋_GB2312"/>
          <w:kern w:val="0"/>
          <w:sz w:val="28"/>
          <w:szCs w:val="28"/>
          <w:highlight w:val="none"/>
        </w:rPr>
        <w:t>。从询价响应文件递交截止时间至报价单位承诺的报价有效期内，报价单位不得撤回其报价。</w:t>
      </w:r>
    </w:p>
    <w:p>
      <w:pPr>
        <w:pStyle w:val="9"/>
        <w:adjustRightInd w:val="0"/>
        <w:snapToGrid w:val="0"/>
        <w:spacing w:line="300" w:lineRule="auto"/>
        <w:ind w:left="420" w:right="32"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19.3 报价单位所提交的询价响应文件在询价结束后，无论成交与否都不退还。</w:t>
      </w:r>
    </w:p>
    <w:p>
      <w:pPr>
        <w:pStyle w:val="9"/>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五、评审</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20. 询价小组</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 xml:space="preserve">20.1 </w:t>
      </w:r>
      <w:r>
        <w:rPr>
          <w:rFonts w:hint="eastAsia" w:ascii="仿宋" w:hAnsi="仿宋" w:eastAsia="仿宋" w:cs="仿宋_GB2312"/>
          <w:kern w:val="0"/>
          <w:sz w:val="28"/>
          <w:szCs w:val="28"/>
          <w:highlight w:val="none"/>
        </w:rPr>
        <w:t>评审由</w:t>
      </w:r>
      <w:r>
        <w:rPr>
          <w:rFonts w:hint="eastAsia" w:ascii="仿宋" w:hAnsi="仿宋" w:eastAsia="仿宋" w:cs="仿宋_GB2312"/>
          <w:sz w:val="28"/>
          <w:szCs w:val="28"/>
          <w:highlight w:val="none"/>
          <w:u w:val="none"/>
        </w:rPr>
        <w:t>询价人</w:t>
      </w:r>
      <w:r>
        <w:rPr>
          <w:rFonts w:hint="eastAsia" w:ascii="仿宋" w:hAnsi="仿宋" w:eastAsia="仿宋" w:cs="仿宋_GB2312"/>
          <w:kern w:val="0"/>
          <w:sz w:val="28"/>
          <w:szCs w:val="28"/>
          <w:highlight w:val="none"/>
        </w:rPr>
        <w:t>组建的询价小组负责。</w:t>
      </w:r>
    </w:p>
    <w:p>
      <w:pPr>
        <w:tabs>
          <w:tab w:val="left" w:pos="360"/>
        </w:tabs>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10" w:right="32" w:hanging="630" w:hangingChars="225"/>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20.3询价小组依法根据询价文件的规定对询价响应文件进行评审,并据此推荐成交候选人。</w:t>
      </w:r>
    </w:p>
    <w:p>
      <w:pPr>
        <w:pStyle w:val="2"/>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20.4拆封询价响应文件时，出现下列情形之一的，不参与评审：</w:t>
      </w:r>
    </w:p>
    <w:p>
      <w:pPr>
        <w:pStyle w:val="2"/>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（1）响应文件没密封完整的，或封面未注明报价单位名称、项目名称、日期等项目信息的；</w:t>
      </w:r>
    </w:p>
    <w:p>
      <w:pPr>
        <w:pStyle w:val="2"/>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（2）响应文件中的法定代表人或授权代理人与报价响应文件登记表的信息不一致的。</w:t>
      </w:r>
    </w:p>
    <w:p>
      <w:pPr>
        <w:pStyle w:val="2"/>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（3）不同报价单位响应文件中存在两处以上异常一致的情形。</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21.资格性、符合性评审</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21.1参加询价的报价单位</w:t>
      </w:r>
      <w:r>
        <w:rPr>
          <w:rFonts w:hint="eastAsia" w:ascii="仿宋" w:hAnsi="仿宋" w:eastAsia="仿宋" w:cs="仿宋_GB2312"/>
          <w:kern w:val="0"/>
          <w:sz w:val="28"/>
          <w:szCs w:val="28"/>
          <w:highlight w:val="none"/>
          <w:lang w:val="en-US" w:eastAsia="zh-CN"/>
        </w:rPr>
        <w:t>经自行报名</w:t>
      </w:r>
      <w:r>
        <w:rPr>
          <w:rFonts w:hint="eastAsia" w:ascii="仿宋" w:hAnsi="仿宋" w:eastAsia="仿宋" w:cs="仿宋_GB2312"/>
          <w:kern w:val="0"/>
          <w:sz w:val="28"/>
          <w:szCs w:val="28"/>
          <w:highlight w:val="none"/>
        </w:rPr>
        <w:t>产生。由询价小组对参加询价的报价单位进行资格性、符合性评审。</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30" w:hangingChars="225"/>
        <w:rPr>
          <w:rFonts w:hint="eastAsia" w:ascii="仿宋" w:hAnsi="仿宋" w:eastAsia="仿宋" w:cs="仿宋_GB2312"/>
          <w:b/>
          <w:bCs/>
          <w:kern w:val="0"/>
          <w:sz w:val="28"/>
          <w:szCs w:val="28"/>
          <w:highlight w:val="none"/>
        </w:rPr>
      </w:pPr>
      <w:r>
        <w:rPr>
          <w:rFonts w:hint="eastAsia" w:ascii="仿宋" w:hAnsi="仿宋" w:eastAsia="仿宋" w:cs="仿宋_GB2312"/>
          <w:kern w:val="0"/>
          <w:sz w:val="28"/>
          <w:szCs w:val="28"/>
          <w:highlight w:val="none"/>
        </w:rPr>
        <w:t xml:space="preserve">21.4 </w:t>
      </w:r>
      <w:r>
        <w:rPr>
          <w:rFonts w:hint="eastAsia" w:ascii="仿宋" w:hAnsi="仿宋" w:eastAsia="仿宋" w:cs="仿宋_GB2312"/>
          <w:b w:val="0"/>
          <w:bCs w:val="0"/>
          <w:kern w:val="0"/>
          <w:sz w:val="28"/>
          <w:szCs w:val="28"/>
          <w:highlight w:val="none"/>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22.报价的评审</w:t>
      </w:r>
    </w:p>
    <w:p>
      <w:pPr>
        <w:autoSpaceDE w:val="0"/>
        <w:autoSpaceDN w:val="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大写金额与小写金额不一致的，以大写金额为准；</w:t>
      </w:r>
    </w:p>
    <w:p>
      <w:pPr>
        <w:numPr>
          <w:ilvl w:val="1"/>
          <w:numId w:val="1"/>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22.3超过最高限价的报价将被拒绝。</w:t>
      </w:r>
    </w:p>
    <w:p>
      <w:pPr>
        <w:spacing w:line="25" w:lineRule="atLeast"/>
        <w:rPr>
          <w:rFonts w:ascii="仿宋" w:hAnsi="仿宋" w:eastAsia="仿宋" w:cs="仿宋_GB2312"/>
          <w:b/>
          <w:sz w:val="28"/>
          <w:szCs w:val="28"/>
          <w:highlight w:val="none"/>
        </w:rPr>
      </w:pPr>
      <w:r>
        <w:rPr>
          <w:rFonts w:hint="eastAsia" w:ascii="仿宋" w:hAnsi="仿宋" w:eastAsia="仿宋" w:cs="仿宋_GB2312"/>
          <w:b/>
          <w:sz w:val="28"/>
          <w:szCs w:val="28"/>
          <w:highlight w:val="none"/>
        </w:rPr>
        <w:t>六、确定承包人</w:t>
      </w:r>
    </w:p>
    <w:p>
      <w:pPr>
        <w:autoSpaceDE w:val="0"/>
        <w:autoSpaceDN w:val="0"/>
        <w:adjustRightInd w:val="0"/>
        <w:snapToGrid w:val="0"/>
        <w:spacing w:line="25" w:lineRule="atLeast"/>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23.确定承包人原则</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23.2承包人确定后，询价人</w:t>
      </w:r>
      <w:r>
        <w:rPr>
          <w:rFonts w:hint="eastAsia" w:ascii="仿宋" w:hAnsi="仿宋" w:eastAsia="仿宋" w:cs="仿宋_GB2312"/>
          <w:kern w:val="0"/>
          <w:sz w:val="28"/>
          <w:szCs w:val="28"/>
          <w:highlight w:val="none"/>
        </w:rPr>
        <w:t>向承包人发出《发包通知书》，</w:t>
      </w:r>
      <w:r>
        <w:rPr>
          <w:rFonts w:hint="eastAsia" w:ascii="仿宋" w:hAnsi="仿宋" w:eastAsia="仿宋" w:cs="仿宋_GB2312"/>
          <w:sz w:val="28"/>
          <w:szCs w:val="28"/>
          <w:highlight w:val="none"/>
        </w:rPr>
        <w:t>对承包人和询价人具有同等法律效力</w:t>
      </w:r>
      <w:r>
        <w:rPr>
          <w:rFonts w:hint="eastAsia" w:ascii="仿宋" w:hAnsi="仿宋" w:eastAsia="仿宋" w:cs="仿宋_GB2312"/>
          <w:kern w:val="0"/>
          <w:sz w:val="28"/>
          <w:szCs w:val="28"/>
          <w:highlight w:val="none"/>
        </w:rPr>
        <w:t>。</w:t>
      </w:r>
    </w:p>
    <w:p>
      <w:pPr>
        <w:pStyle w:val="9"/>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24. 合同的订立</w:t>
      </w:r>
    </w:p>
    <w:p>
      <w:pPr>
        <w:autoSpaceDE w:val="0"/>
        <w:autoSpaceDN w:val="0"/>
        <w:adjustRightInd w:val="0"/>
        <w:snapToGrid w:val="0"/>
        <w:spacing w:line="300" w:lineRule="auto"/>
        <w:ind w:left="677" w:right="32" w:hanging="700" w:hangingChars="250"/>
        <w:rPr>
          <w:rFonts w:ascii="仿宋" w:hAnsi="仿宋" w:eastAsia="仿宋" w:cs="仿宋_GB2312"/>
          <w:sz w:val="28"/>
          <w:szCs w:val="28"/>
          <w:highlight w:val="none"/>
        </w:rPr>
      </w:pPr>
      <w:r>
        <w:rPr>
          <w:rFonts w:hint="eastAsia" w:ascii="仿宋" w:hAnsi="仿宋" w:eastAsia="仿宋" w:cs="仿宋_GB2312"/>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highlight w:val="none"/>
        </w:rPr>
        <w:t>不得超出询价文件和承包人询价响应文件的范围、也不得再行订立背离合同实质性内容的其他协议。</w:t>
      </w:r>
      <w:r>
        <w:rPr>
          <w:rFonts w:hint="eastAsia" w:ascii="仿宋" w:hAnsi="仿宋" w:eastAsia="仿宋" w:cs="仿宋_GB2312"/>
          <w:color w:val="000000"/>
          <w:sz w:val="28"/>
          <w:szCs w:val="28"/>
          <w:highlight w:val="none"/>
          <w:lang w:val="en-US" w:eastAsia="zh-CN"/>
        </w:rPr>
        <w:t>因</w:t>
      </w:r>
      <w:r>
        <w:rPr>
          <w:rFonts w:hint="eastAsia" w:ascii="仿宋" w:hAnsi="仿宋" w:eastAsia="仿宋" w:cs="仿宋_GB2312"/>
          <w:color w:val="000000"/>
          <w:sz w:val="28"/>
          <w:szCs w:val="28"/>
          <w:highlight w:val="none"/>
        </w:rPr>
        <w:t>承包人原因导致未按规定时限签订合同的，</w:t>
      </w:r>
      <w:r>
        <w:rPr>
          <w:rFonts w:hint="eastAsia" w:ascii="仿宋" w:hAnsi="仿宋" w:eastAsia="仿宋" w:cs="仿宋_GB2312"/>
          <w:color w:val="000000"/>
          <w:sz w:val="28"/>
          <w:szCs w:val="28"/>
          <w:highlight w:val="none"/>
          <w:lang w:val="en-US" w:eastAsia="zh-CN"/>
        </w:rPr>
        <w:t>发包人有权视为其自动放弃该项目承包资格</w:t>
      </w:r>
      <w:r>
        <w:rPr>
          <w:rFonts w:hint="eastAsia" w:ascii="仿宋" w:hAnsi="仿宋" w:eastAsia="仿宋" w:cs="仿宋_GB2312"/>
          <w:color w:val="000000"/>
          <w:sz w:val="28"/>
          <w:szCs w:val="28"/>
          <w:highlight w:val="none"/>
        </w:rPr>
        <w:t>。</w:t>
      </w:r>
    </w:p>
    <w:p>
      <w:pPr>
        <w:adjustRightInd w:val="0"/>
        <w:snapToGrid w:val="0"/>
        <w:spacing w:line="300" w:lineRule="auto"/>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 合同的履行</w:t>
      </w:r>
    </w:p>
    <w:p>
      <w:pPr>
        <w:autoSpaceDE w:val="0"/>
        <w:autoSpaceDN w:val="0"/>
        <w:adjustRightInd w:val="0"/>
        <w:snapToGrid w:val="0"/>
        <w:spacing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25.1承包合同订立后，合同各方不得擅自变更、中止或者终止合同。承包合同需要变更的，询价人应将有关合同变更内容，以书面形式报公司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办备案；因特殊情况需要中止或终止合同的，询价人应将中止或终止合同的理由以及相应措施，以书面形式报公司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w:t>
      </w:r>
    </w:p>
    <w:p>
      <w:pPr>
        <w:autoSpaceDE w:val="0"/>
        <w:autoSpaceDN w:val="0"/>
        <w:adjustRightInd w:val="0"/>
        <w:snapToGrid w:val="0"/>
        <w:spacing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25.2 承包人因不可抗力或者自身原因不能履行承包合同的，询价人</w:t>
      </w:r>
      <w:r>
        <w:rPr>
          <w:rFonts w:hint="eastAsia" w:ascii="仿宋" w:hAnsi="仿宋" w:eastAsia="仿宋" w:cs="仿宋_GB2312"/>
          <w:sz w:val="28"/>
          <w:szCs w:val="28"/>
          <w:highlight w:val="none"/>
        </w:rPr>
        <w:t>可以与排位在承包人之后第一位的成交候选报价单位签订承包</w:t>
      </w:r>
      <w:r>
        <w:rPr>
          <w:rFonts w:hint="eastAsia" w:ascii="仿宋" w:hAnsi="仿宋" w:eastAsia="仿宋" w:cs="仿宋_GB2312"/>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八、质疑</w:t>
      </w:r>
    </w:p>
    <w:p>
      <w:pPr>
        <w:snapToGrid w:val="0"/>
        <w:spacing w:line="300" w:lineRule="auto"/>
        <w:ind w:left="420" w:right="32" w:hanging="420"/>
        <w:rPr>
          <w:rFonts w:hint="eastAsia"/>
          <w:highlight w:val="none"/>
        </w:rPr>
      </w:pPr>
      <w:r>
        <w:rPr>
          <w:rFonts w:hint="eastAsia" w:ascii="仿宋" w:hAnsi="仿宋" w:eastAsia="仿宋" w:cs="仿宋_GB2312"/>
          <w:sz w:val="28"/>
          <w:szCs w:val="28"/>
          <w:highlight w:val="none"/>
        </w:rPr>
        <w:t>26. 如果报价人认为询价文件或询价过程或询价结果使其权益受到损害的，</w:t>
      </w:r>
      <w:r>
        <w:rPr>
          <w:rFonts w:hint="eastAsia" w:ascii="仿宋" w:hAnsi="仿宋" w:eastAsia="仿宋" w:cs="仿宋_GB2312"/>
          <w:color w:val="000000" w:themeColor="text1"/>
          <w:sz w:val="28"/>
          <w:szCs w:val="28"/>
          <w14:textFill>
            <w14:solidFill>
              <w14:schemeClr w14:val="tx1"/>
            </w14:solidFill>
          </w14:textFill>
        </w:rPr>
        <w:t>可向询价人提出书面质疑。询价人应在规定时间内给予答复。</w:t>
      </w:r>
    </w:p>
    <w:p>
      <w:pPr>
        <w:pStyle w:val="9"/>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widowControl/>
        <w:jc w:val="left"/>
        <w:rPr>
          <w:sz w:val="28"/>
          <w:szCs w:val="28"/>
        </w:rPr>
      </w:pPr>
      <w:r>
        <w:rPr>
          <w:sz w:val="28"/>
          <w:szCs w:val="28"/>
        </w:rPr>
        <w:br w:type="page"/>
      </w:r>
    </w:p>
    <w:p>
      <w:pPr>
        <w:pStyle w:val="3"/>
      </w:pPr>
      <w:bookmarkStart w:id="5" w:name="_Toc152042358"/>
      <w:bookmarkStart w:id="6" w:name="_Toc247085739"/>
      <w:bookmarkStart w:id="7" w:name="_Toc179632599"/>
      <w:bookmarkStart w:id="8" w:name="_Toc152045581"/>
      <w:bookmarkStart w:id="9" w:name="_Toc144974548"/>
      <w:bookmarkStart w:id="10" w:name="_Toc371433002"/>
      <w:r>
        <w:rPr>
          <w:rFonts w:hint="eastAsia"/>
        </w:rPr>
        <w:t>附件一报价记录表</w:t>
      </w:r>
      <w:bookmarkEnd w:id="5"/>
      <w:bookmarkEnd w:id="6"/>
      <w:bookmarkEnd w:id="7"/>
      <w:bookmarkEnd w:id="8"/>
      <w:bookmarkEnd w:id="9"/>
      <w:bookmarkEnd w:id="10"/>
    </w:p>
    <w:p>
      <w:pPr>
        <w:spacing w:line="400" w:lineRule="exact"/>
        <w:jc w:val="center"/>
        <w:rPr>
          <w:rFonts w:ascii="仿宋" w:hAnsi="仿宋" w:eastAsia="仿宋" w:cs="仿宋_GB2312"/>
          <w:bCs/>
          <w:color w:val="000000"/>
          <w:sz w:val="28"/>
          <w:szCs w:val="28"/>
          <w:u w:val="single"/>
        </w:rPr>
      </w:pPr>
      <w:r>
        <w:rPr>
          <w:rFonts w:hint="eastAsia" w:ascii="仿宋" w:hAnsi="仿宋" w:eastAsia="仿宋" w:cs="仿宋_GB2312"/>
          <w:bCs/>
          <w:color w:val="000000"/>
          <w:sz w:val="28"/>
          <w:szCs w:val="28"/>
          <w:u w:val="single"/>
        </w:rPr>
        <w:t>广州市净水有限公司石井净水厂地块控制性详细规划阶段海绵城市</w:t>
      </w:r>
    </w:p>
    <w:p>
      <w:pPr>
        <w:spacing w:line="400" w:lineRule="exact"/>
        <w:jc w:val="center"/>
        <w:rPr>
          <w:rFonts w:ascii="仿宋" w:hAnsi="仿宋" w:eastAsia="仿宋" w:cs="仿宋_GB2312"/>
          <w:color w:val="000000"/>
          <w:sz w:val="28"/>
          <w:szCs w:val="28"/>
        </w:rPr>
      </w:pPr>
      <w:r>
        <w:rPr>
          <w:rFonts w:hint="eastAsia" w:ascii="仿宋" w:hAnsi="仿宋" w:eastAsia="仿宋" w:cs="仿宋_GB2312"/>
          <w:bCs/>
          <w:color w:val="000000"/>
          <w:sz w:val="28"/>
          <w:szCs w:val="28"/>
          <w:u w:val="single"/>
        </w:rPr>
        <w:t>（含防洪排涝风险评估）专篇编制</w:t>
      </w:r>
      <w:r>
        <w:rPr>
          <w:rFonts w:hint="eastAsia" w:ascii="仿宋" w:hAnsi="仿宋" w:eastAsia="仿宋" w:cs="仿宋_GB2312"/>
          <w:bCs/>
          <w:color w:val="000000"/>
          <w:sz w:val="28"/>
          <w:szCs w:val="28"/>
          <w:u w:val="single"/>
          <w:lang w:eastAsia="zh-CN"/>
        </w:rPr>
        <w:t>（</w:t>
      </w:r>
      <w:r>
        <w:rPr>
          <w:rFonts w:hint="eastAsia" w:ascii="仿宋" w:hAnsi="仿宋" w:eastAsia="仿宋" w:cs="仿宋_GB2312"/>
          <w:bCs/>
          <w:color w:val="000000"/>
          <w:sz w:val="28"/>
          <w:szCs w:val="28"/>
          <w:u w:val="single"/>
          <w:lang w:val="en-US" w:eastAsia="zh-CN"/>
        </w:rPr>
        <w:t>第二次</w:t>
      </w:r>
      <w:r>
        <w:rPr>
          <w:rFonts w:hint="eastAsia" w:ascii="仿宋" w:hAnsi="仿宋" w:eastAsia="仿宋" w:cs="仿宋_GB2312"/>
          <w:bCs/>
          <w:color w:val="000000"/>
          <w:sz w:val="28"/>
          <w:szCs w:val="28"/>
          <w:u w:val="single"/>
          <w:lang w:eastAsia="zh-CN"/>
        </w:rPr>
        <w:t>）</w:t>
      </w:r>
      <w:r>
        <w:rPr>
          <w:rFonts w:hint="eastAsia" w:ascii="仿宋" w:hAnsi="仿宋" w:eastAsia="仿宋" w:cs="仿宋_GB2312"/>
          <w:color w:val="000000"/>
          <w:sz w:val="28"/>
          <w:szCs w:val="28"/>
        </w:rPr>
        <w:t>报价记录表</w:t>
      </w:r>
    </w:p>
    <w:p>
      <w:pPr>
        <w:spacing w:line="500" w:lineRule="exact"/>
        <w:jc w:val="center"/>
        <w:rPr>
          <w:rFonts w:ascii="仿宋" w:hAnsi="仿宋" w:eastAsia="仿宋" w:cs="仿宋_GB2312"/>
          <w:color w:val="000000"/>
        </w:rPr>
      </w:pPr>
      <w:r>
        <w:rPr>
          <w:rFonts w:hint="eastAsia" w:ascii="仿宋" w:hAnsi="仿宋" w:eastAsia="仿宋" w:cs="仿宋_GB2312"/>
          <w:color w:val="000000"/>
          <w:szCs w:val="21"/>
        </w:rPr>
        <w:t>报价文件开启时间：年月日时分</w:t>
      </w:r>
    </w:p>
    <w:tbl>
      <w:tblPr>
        <w:tblStyle w:val="20"/>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经办人：               记录人：          </w:t>
      </w:r>
    </w:p>
    <w:p>
      <w:pPr>
        <w:widowControl/>
        <w:jc w:val="left"/>
        <w:rPr>
          <w:sz w:val="28"/>
          <w:szCs w:val="28"/>
        </w:rPr>
      </w:pPr>
      <w:r>
        <w:rPr>
          <w:sz w:val="28"/>
          <w:szCs w:val="28"/>
        </w:rPr>
        <w:br w:type="page"/>
      </w:r>
    </w:p>
    <w:p>
      <w:pPr>
        <w:spacing w:line="440" w:lineRule="exact"/>
        <w:rPr>
          <w:rFonts w:ascii="仿宋" w:hAnsi="仿宋" w:eastAsia="仿宋" w:cs="仿宋_GB2312"/>
          <w:color w:val="000000"/>
          <w:sz w:val="28"/>
          <w:szCs w:val="28"/>
        </w:rPr>
      </w:pP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w:t>
      </w:r>
    </w:p>
    <w:p>
      <w:pPr>
        <w:spacing w:line="360" w:lineRule="auto"/>
        <w:jc w:val="center"/>
        <w:rPr>
          <w:rFonts w:ascii="仿宋" w:hAnsi="仿宋" w:eastAsia="仿宋"/>
          <w:b/>
          <w:color w:val="000000"/>
          <w:sz w:val="36"/>
          <w:szCs w:val="36"/>
        </w:rPr>
      </w:pPr>
      <w:r>
        <w:rPr>
          <w:rFonts w:hint="eastAsia" w:ascii="仿宋" w:hAnsi="仿宋" w:eastAsia="仿宋"/>
          <w:b/>
          <w:color w:val="000000"/>
          <w:sz w:val="36"/>
          <w:szCs w:val="36"/>
        </w:rPr>
        <w:t>询价评审记录表</w:t>
      </w:r>
    </w:p>
    <w:p>
      <w:pPr>
        <w:spacing w:line="360" w:lineRule="auto"/>
        <w:ind w:left="1200" w:leftChars="0" w:hanging="1200" w:hangingChars="500"/>
        <w:rPr>
          <w:rFonts w:hint="eastAsia" w:ascii="仿宋" w:hAnsi="仿宋" w:eastAsia="仿宋"/>
          <w:color w:val="000000"/>
          <w:sz w:val="24"/>
          <w:lang w:eastAsia="zh-CN"/>
        </w:rPr>
      </w:pPr>
      <w:r>
        <w:rPr>
          <w:rFonts w:hint="eastAsia" w:ascii="仿宋" w:hAnsi="仿宋" w:eastAsia="仿宋"/>
          <w:color w:val="000000"/>
          <w:sz w:val="24"/>
        </w:rPr>
        <w:t>项目名称:广州市净水有限公司石井净水厂地块控制性详细规划阶段海绵城市（含防洪排涝风险评估）专篇编制</w:t>
      </w:r>
      <w:r>
        <w:rPr>
          <w:rFonts w:hint="eastAsia" w:ascii="仿宋" w:hAnsi="仿宋" w:eastAsia="仿宋"/>
          <w:color w:val="000000"/>
          <w:sz w:val="24"/>
          <w:lang w:eastAsia="zh-CN"/>
        </w:rPr>
        <w:t>（</w:t>
      </w:r>
      <w:r>
        <w:rPr>
          <w:rFonts w:hint="eastAsia" w:ascii="仿宋" w:hAnsi="仿宋" w:eastAsia="仿宋"/>
          <w:color w:val="000000"/>
          <w:sz w:val="24"/>
          <w:lang w:val="en-US" w:eastAsia="zh-CN"/>
        </w:rPr>
        <w:t>第二次</w:t>
      </w:r>
      <w:r>
        <w:rPr>
          <w:rFonts w:hint="eastAsia" w:ascii="仿宋" w:hAnsi="仿宋" w:eastAsia="仿宋"/>
          <w:color w:val="000000"/>
          <w:sz w:val="24"/>
          <w:lang w:eastAsia="zh-CN"/>
        </w:rPr>
        <w:t>）</w:t>
      </w:r>
    </w:p>
    <w:tbl>
      <w:tblPr>
        <w:tblStyle w:val="20"/>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lang w:val="en-US" w:eastAsia="zh-CN"/>
              </w:rPr>
              <w:t>企业</w:t>
            </w:r>
            <w:r>
              <w:rPr>
                <w:rFonts w:hint="eastAsia" w:ascii="宋体" w:hAnsi="宋体"/>
                <w:sz w:val="24"/>
              </w:rPr>
              <w:t>法定代表人</w:t>
            </w:r>
            <w:r>
              <w:rPr>
                <w:rFonts w:hint="eastAsia" w:ascii="宋体" w:hAnsi="宋体"/>
                <w:sz w:val="24"/>
                <w:lang w:val="en-US" w:eastAsia="zh-CN"/>
              </w:rPr>
              <w:t>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lang w:val="en-US" w:eastAsia="zh-CN"/>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lang w:val="en-US" w:eastAsia="zh-CN"/>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color w:val="000000"/>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lang w:val="en-US" w:eastAsia="zh-CN"/>
              </w:rPr>
              <w:t>原</w:t>
            </w:r>
            <w:r>
              <w:rPr>
                <w:rFonts w:hint="eastAsia" w:ascii="宋体" w:hAnsi="宋体"/>
                <w:sz w:val="24"/>
              </w:rPr>
              <w:t>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7</w:t>
            </w:r>
          </w:p>
        </w:tc>
        <w:tc>
          <w:tcPr>
            <w:tcW w:w="4137" w:type="dxa"/>
            <w:tcBorders>
              <w:top w:val="single" w:color="auto" w:sz="4" w:space="0"/>
              <w:left w:val="double" w:color="auto" w:sz="4" w:space="0"/>
              <w:bottom w:val="single" w:color="auto" w:sz="4" w:space="0"/>
              <w:right w:val="single" w:color="auto" w:sz="4" w:space="0"/>
            </w:tcBorders>
            <w:vAlign w:val="center"/>
          </w:tcPr>
          <w:p>
            <w:pPr>
              <w:rPr>
                <w:rFonts w:hint="default" w:eastAsiaTheme="minorEastAsia"/>
                <w:lang w:val="en-US" w:eastAsia="zh-CN"/>
              </w:rPr>
            </w:pPr>
            <w:r>
              <w:rPr>
                <w:rFonts w:hint="eastAsia"/>
                <w:lang w:val="en-US" w:eastAsia="zh-CN"/>
              </w:rPr>
              <w:t>响应承诺书</w:t>
            </w:r>
          </w:p>
        </w:tc>
        <w:tc>
          <w:tcPr>
            <w:tcW w:w="1078"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40" w:hanging="840" w:hangingChars="400"/>
        <w:rPr>
          <w:rFonts w:ascii="仿宋" w:hAnsi="仿宋" w:eastAsia="仿宋"/>
          <w:color w:val="000000"/>
        </w:rPr>
      </w:pPr>
      <w:r>
        <w:rPr>
          <w:rFonts w:hint="eastAsia" w:ascii="仿宋" w:hAnsi="仿宋" w:eastAsia="仿宋"/>
          <w:color w:val="000000"/>
        </w:rPr>
        <w:t>备注：1、审核情况填写“符合”或“不符合；或者打“√”或“×”。</w:t>
      </w:r>
    </w:p>
    <w:p>
      <w:pPr>
        <w:numPr>
          <w:ilvl w:val="0"/>
          <w:numId w:val="2"/>
        </w:numPr>
        <w:ind w:firstLine="630" w:firstLineChars="300"/>
        <w:rPr>
          <w:rFonts w:ascii="仿宋" w:hAnsi="仿宋" w:eastAsia="仿宋"/>
          <w:color w:val="000000"/>
        </w:rPr>
      </w:pPr>
      <w:r>
        <w:rPr>
          <w:rFonts w:hint="eastAsia" w:ascii="仿宋" w:hAnsi="仿宋" w:eastAsia="仿宋"/>
          <w:color w:val="000000"/>
        </w:rPr>
        <w:t>本表所有审核情况均为符合的，结论为报名成功。若有一项或以上审核情况为不符合的，结论为报名不成功。</w:t>
      </w:r>
    </w:p>
    <w:p>
      <w:pPr>
        <w:widowControl/>
        <w:jc w:val="left"/>
        <w:rPr>
          <w:sz w:val="28"/>
          <w:szCs w:val="28"/>
        </w:rPr>
      </w:pPr>
      <w:r>
        <w:rPr>
          <w:sz w:val="28"/>
          <w:szCs w:val="28"/>
        </w:rPr>
        <w:br w:type="page"/>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附件三</w:t>
      </w:r>
    </w:p>
    <w:p>
      <w:pPr>
        <w:tabs>
          <w:tab w:val="left" w:pos="5740"/>
        </w:tabs>
        <w:autoSpaceDE w:val="0"/>
        <w:autoSpaceDN w:val="0"/>
        <w:adjustRightInd w:val="0"/>
        <w:jc w:val="center"/>
        <w:rPr>
          <w:rFonts w:ascii="仿宋" w:hAnsi="仿宋" w:eastAsia="仿宋"/>
          <w:b/>
          <w:color w:val="000000" w:themeColor="text1"/>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广州市净水有限公司非公开招标</w:t>
      </w:r>
      <w:r>
        <w:rPr>
          <w:rFonts w:hint="eastAsia" w:ascii="仿宋" w:hAnsi="仿宋" w:eastAsia="仿宋"/>
          <w:b/>
          <w:color w:val="000000" w:themeColor="text1"/>
          <w:sz w:val="44"/>
          <w:szCs w:val="44"/>
          <w14:textFill>
            <w14:solidFill>
              <w14:schemeClr w14:val="tx1"/>
            </w14:solidFill>
          </w14:textFill>
        </w:rPr>
        <w:t>项目</w:t>
      </w:r>
    </w:p>
    <w:p>
      <w:pPr>
        <w:tabs>
          <w:tab w:val="left" w:pos="5740"/>
        </w:tabs>
        <w:autoSpaceDE w:val="0"/>
        <w:autoSpaceDN w:val="0"/>
        <w:adjustRightInd w:val="0"/>
        <w:jc w:val="center"/>
        <w:rPr>
          <w:rFonts w:ascii="仿宋" w:hAnsi="仿宋" w:eastAsia="仿宋" w:cs="宋体"/>
          <w:b/>
          <w:bCs/>
          <w:color w:val="000000" w:themeColor="text1"/>
          <w:kern w:val="0"/>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发包通知书</w:t>
      </w:r>
    </w:p>
    <w:p>
      <w:pPr>
        <w:autoSpaceDE w:val="0"/>
        <w:autoSpaceDN w:val="0"/>
        <w:adjustRightInd w:val="0"/>
        <w:spacing w:after="400"/>
        <w:jc w:val="center"/>
        <w:rPr>
          <w:rFonts w:ascii="仿宋" w:hAnsi="仿宋" w:eastAsia="仿宋" w:cs="STSong-Light"/>
          <w:color w:val="000000" w:themeColor="text1"/>
          <w:kern w:val="0"/>
          <w:sz w:val="32"/>
          <w:szCs w:val="32"/>
          <w14:textFill>
            <w14:solidFill>
              <w14:schemeClr w14:val="tx1"/>
            </w14:solidFill>
          </w14:textFill>
        </w:rPr>
      </w:pPr>
    </w:p>
    <w:p>
      <w:pPr>
        <w:autoSpaceDE w:val="0"/>
        <w:autoSpaceDN w:val="0"/>
        <w:adjustRightInd w:val="0"/>
        <w:spacing w:after="300"/>
        <w:jc w:val="center"/>
        <w:rPr>
          <w:rFonts w:ascii="仿宋" w:hAnsi="仿宋" w:eastAsia="仿宋" w:cs="STSong-Light"/>
          <w:b/>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kern w:val="0"/>
          <w:sz w:val="32"/>
          <w:szCs w:val="32"/>
        </w:rPr>
        <w:t>广净（非公招）字</w:t>
      </w:r>
      <w:r>
        <w:rPr>
          <w:rFonts w:ascii="仿宋_GB2312" w:hAnsi="STSong-Light" w:eastAsia="仿宋_GB2312" w:cs="STSong-Light"/>
          <w:color w:val="000000"/>
          <w:kern w:val="0"/>
          <w:sz w:val="32"/>
          <w:szCs w:val="32"/>
        </w:rPr>
        <w:t xml:space="preserve"> [20</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第</w:t>
      </w:r>
      <w:r>
        <w:rPr>
          <w:rFonts w:ascii="仿宋_GB2312" w:hAnsi="STSong-Light" w:eastAsia="仿宋_GB2312" w:cs="STSong-Light"/>
          <w:color w:val="000000"/>
          <w:kern w:val="0"/>
          <w:sz w:val="32"/>
          <w:szCs w:val="32"/>
        </w:rPr>
        <w:t xml:space="preserve"> [</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号</w:t>
      </w:r>
    </w:p>
    <w:p>
      <w:pPr>
        <w:autoSpaceDE w:val="0"/>
        <w:autoSpaceDN w:val="0"/>
        <w:adjustRightInd w:val="0"/>
        <w:spacing w:after="3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承包单位</w:t>
      </w:r>
      <w:r>
        <w:rPr>
          <w:rFonts w:ascii="仿宋" w:hAnsi="仿宋" w:eastAsia="仿宋" w:cs="STSong-Light"/>
          <w:color w:val="000000" w:themeColor="text1"/>
          <w:kern w:val="0"/>
          <w:sz w:val="32"/>
          <w:szCs w:val="32"/>
          <w14:textFill>
            <w14:solidFill>
              <w14:schemeClr w14:val="tx1"/>
            </w14:solidFill>
          </w14:textFill>
        </w:rPr>
        <w:t>(全称):</w:t>
      </w:r>
    </w:p>
    <w:p>
      <w:pPr>
        <w:autoSpaceDE w:val="0"/>
        <w:autoSpaceDN w:val="0"/>
        <w:adjustRightInd w:val="0"/>
        <w:spacing w:after="300" w:line="500" w:lineRule="atLeast"/>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经询价小组评审推荐，确定你单位为</w:t>
      </w:r>
      <w:r>
        <w:rPr>
          <w:rFonts w:hint="eastAsia" w:ascii="仿宋" w:hAnsi="仿宋" w:eastAsia="仿宋" w:cs="STSong-Light"/>
          <w:color w:val="000000" w:themeColor="text1"/>
          <w:kern w:val="0"/>
          <w:sz w:val="32"/>
          <w:szCs w:val="32"/>
          <w14:textFill>
            <w14:solidFill>
              <w14:schemeClr w14:val="tx1"/>
            </w14:solidFill>
          </w14:textFill>
        </w:rPr>
        <w:t>广州市净水有限公司石井净水厂地块控制性详细规划阶段海绵城市（含防洪排涝风险评估）专篇编制的承包单位，承包内容为询价文件所规定的发包内容，报价为人民币×拾×万×仟×佰元（￥元）。</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其中：</w:t>
      </w:r>
    </w:p>
    <w:p>
      <w:pPr>
        <w:autoSpaceDE w:val="0"/>
        <w:autoSpaceDN w:val="0"/>
        <w:adjustRightInd w:val="0"/>
        <w:spacing w:after="5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年  月  日</w:t>
      </w:r>
    </w:p>
    <w:p>
      <w:pPr>
        <w:autoSpaceDE w:val="0"/>
        <w:autoSpaceDN w:val="0"/>
        <w:adjustRightInd w:val="0"/>
        <w:snapToGrid w:val="0"/>
        <w:spacing w:line="300" w:lineRule="auto"/>
        <w:ind w:left="420" w:right="32" w:hanging="420"/>
        <w:rPr>
          <w:rFonts w:ascii="仿宋" w:hAnsi="仿宋" w:eastAsia="仿宋" w:cs="仿宋_GB2312"/>
          <w:color w:val="000000"/>
          <w:sz w:val="28"/>
          <w:szCs w:val="28"/>
        </w:rPr>
      </w:pPr>
    </w:p>
    <w:p>
      <w:pPr>
        <w:widowControl/>
        <w:jc w:val="left"/>
        <w:rPr>
          <w:sz w:val="28"/>
          <w:szCs w:val="28"/>
        </w:rPr>
      </w:pPr>
      <w:r>
        <w:rPr>
          <w:sz w:val="28"/>
          <w:szCs w:val="28"/>
        </w:rPr>
        <w:br w:type="page"/>
      </w:r>
    </w:p>
    <w:p>
      <w:pPr>
        <w:pStyle w:val="17"/>
        <w:numPr>
          <w:ilvl w:val="0"/>
          <w:numId w:val="3"/>
        </w:numPr>
      </w:pPr>
      <w:r>
        <w:rPr>
          <w:rFonts w:hint="eastAsia"/>
        </w:rPr>
        <w:t>合同书格式</w:t>
      </w:r>
    </w:p>
    <w:p/>
    <w:p/>
    <w:p>
      <w:pPr>
        <w:jc w:val="center"/>
        <w:rPr>
          <w:rFonts w:hint="default" w:eastAsiaTheme="minorEastAsia"/>
          <w:sz w:val="32"/>
          <w:szCs w:val="32"/>
          <w:lang w:val="en-US" w:eastAsia="zh-CN"/>
        </w:rPr>
      </w:pPr>
      <w:r>
        <w:rPr>
          <w:rFonts w:hint="eastAsia"/>
          <w:sz w:val="32"/>
          <w:szCs w:val="32"/>
          <w:lang w:val="en-US" w:eastAsia="zh-CN"/>
        </w:rPr>
        <w:t>委托服务合同</w:t>
      </w:r>
    </w:p>
    <w:p/>
    <w:p>
      <w:pPr>
        <w:rPr>
          <w:rFonts w:ascii="仿宋_GB2312" w:hAnsi="仿宋_GB2312" w:eastAsia="仿宋_GB2312" w:cs="仿宋_GB2312"/>
          <w:sz w:val="28"/>
          <w:szCs w:val="28"/>
        </w:rPr>
      </w:pPr>
    </w:p>
    <w:p>
      <w:pPr>
        <w:ind w:firstLine="228" w:firstLineChars="95"/>
        <w:rPr>
          <w:rFonts w:ascii="宋体" w:hAnsi="宋体"/>
          <w:color w:val="000000"/>
          <w:sz w:val="24"/>
        </w:rPr>
      </w:pPr>
    </w:p>
    <w:p>
      <w:pPr>
        <w:adjustRightInd w:val="0"/>
        <w:spacing w:line="360" w:lineRule="auto"/>
        <w:ind w:firstLine="480" w:firstLineChars="200"/>
        <w:jc w:val="left"/>
        <w:textAlignment w:val="baseline"/>
        <w:rPr>
          <w:rFonts w:ascii="宋体" w:hAnsi="宋体" w:cs="宋体"/>
          <w:color w:val="000000"/>
          <w:sz w:val="24"/>
          <w:szCs w:val="24"/>
          <w:u w:val="single"/>
        </w:rPr>
      </w:pPr>
      <w:r>
        <w:rPr>
          <w:rFonts w:hint="eastAsia" w:ascii="宋体" w:hAnsi="宋体" w:cs="宋体"/>
          <w:color w:val="000000"/>
          <w:sz w:val="24"/>
          <w:szCs w:val="24"/>
        </w:rPr>
        <w:t>甲方（发包人） ：</w:t>
      </w:r>
      <w:r>
        <w:rPr>
          <w:rFonts w:hint="eastAsia" w:ascii="宋体" w:hAnsi="宋体" w:cs="宋体"/>
          <w:color w:val="000000"/>
          <w:sz w:val="24"/>
          <w:szCs w:val="24"/>
          <w:u w:val="single"/>
        </w:rPr>
        <w:t>广州市</w:t>
      </w:r>
      <w:r>
        <w:rPr>
          <w:rFonts w:hint="eastAsia" w:ascii="宋体" w:hAnsi="宋体" w:cs="宋体"/>
          <w:bCs/>
          <w:color w:val="000000"/>
          <w:sz w:val="24"/>
          <w:szCs w:val="24"/>
          <w:u w:val="single"/>
        </w:rPr>
        <w:t>净水有限公司</w:t>
      </w:r>
    </w:p>
    <w:p>
      <w:pPr>
        <w:adjustRightInd w:val="0"/>
        <w:spacing w:line="360" w:lineRule="auto"/>
        <w:ind w:firstLine="480" w:firstLineChars="200"/>
        <w:jc w:val="left"/>
        <w:textAlignment w:val="baseline"/>
        <w:rPr>
          <w:rFonts w:ascii="宋体" w:hAnsi="宋体" w:cs="宋体"/>
          <w:color w:val="000000"/>
          <w:sz w:val="24"/>
          <w:szCs w:val="24"/>
          <w:u w:val="single"/>
        </w:rPr>
      </w:pPr>
      <w:r>
        <w:rPr>
          <w:rFonts w:hint="eastAsia" w:ascii="宋体" w:hAnsi="宋体" w:cs="宋体"/>
          <w:color w:val="000000"/>
          <w:sz w:val="24"/>
          <w:szCs w:val="24"/>
        </w:rPr>
        <w:t>乙方（承包人） ：</w:t>
      </w:r>
    </w:p>
    <w:p>
      <w:pPr>
        <w:adjustRightInd w:val="0"/>
        <w:spacing w:line="360" w:lineRule="auto"/>
        <w:ind w:firstLine="228" w:firstLineChars="95"/>
        <w:jc w:val="left"/>
        <w:textAlignment w:val="baseline"/>
        <w:rPr>
          <w:rFonts w:ascii="宋体" w:hAnsi="宋体" w:eastAsia="宋体" w:cs="宋体"/>
          <w:color w:val="000000"/>
          <w:sz w:val="24"/>
          <w:szCs w:val="24"/>
        </w:rPr>
      </w:pPr>
    </w:p>
    <w:p>
      <w:pPr>
        <w:pStyle w:val="9"/>
        <w:spacing w:line="360" w:lineRule="auto"/>
        <w:ind w:firstLine="480" w:firstLineChars="200"/>
        <w:rPr>
          <w:rFonts w:hAnsi="宋体" w:cs="宋体"/>
          <w:color w:val="000000"/>
          <w:sz w:val="24"/>
          <w:szCs w:val="24"/>
        </w:rPr>
      </w:pPr>
      <w:r>
        <w:rPr>
          <w:rFonts w:hint="eastAsia" w:hAnsi="宋体" w:cs="宋体"/>
          <w:color w:val="000000"/>
          <w:sz w:val="24"/>
          <w:szCs w:val="24"/>
        </w:rPr>
        <w:t>甲方就</w:t>
      </w:r>
      <w:r>
        <w:rPr>
          <w:rFonts w:hAnsi="宋体" w:cs="宋体"/>
          <w:color w:val="000000"/>
          <w:sz w:val="24"/>
          <w:szCs w:val="24"/>
          <w:u w:val="single"/>
        </w:rPr>
        <w:t>石井净水厂地块控制性详细规划阶段海绵城市（含防洪排涝风险评估）专篇编制</w:t>
      </w:r>
      <w:r>
        <w:rPr>
          <w:rFonts w:hint="eastAsia" w:hAnsi="宋体" w:cs="宋体"/>
          <w:color w:val="000000"/>
          <w:sz w:val="24"/>
          <w:szCs w:val="24"/>
        </w:rPr>
        <w:t>委托乙方提供相应工作成果。经双方协商一致，签订本合同。</w:t>
      </w:r>
    </w:p>
    <w:p>
      <w:pPr>
        <w:adjustRightInd w:val="0"/>
        <w:spacing w:line="360" w:lineRule="auto"/>
        <w:jc w:val="left"/>
        <w:textAlignment w:val="baseline"/>
        <w:rPr>
          <w:rFonts w:ascii="宋体" w:hAnsi="宋体" w:cs="宋体"/>
          <w:b/>
          <w:color w:val="000000"/>
          <w:sz w:val="24"/>
          <w:szCs w:val="24"/>
        </w:rPr>
      </w:pPr>
      <w:r>
        <w:rPr>
          <w:rFonts w:hint="eastAsia" w:ascii="宋体" w:hAnsi="宋体" w:cs="宋体"/>
          <w:b/>
          <w:bCs/>
          <w:color w:val="000000"/>
          <w:sz w:val="24"/>
          <w:szCs w:val="24"/>
        </w:rPr>
        <w:t>第一条</w:t>
      </w:r>
      <w:r>
        <w:rPr>
          <w:rFonts w:hint="eastAsia" w:ascii="宋体" w:hAnsi="宋体" w:cs="宋体"/>
          <w:b/>
          <w:color w:val="000000"/>
          <w:sz w:val="24"/>
          <w:szCs w:val="24"/>
        </w:rPr>
        <w:t xml:space="preserve">  签订依据 </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1.1《中华人民共和国民法典》、《中华人民共和国城乡规划法》、《中华人民共和国建筑法》、《建设工程勘察设计管理条例》、《广州市城乡规划条例》</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1.2 国家及地方有关规划、建设工程勘察设计管理法规和规章。</w:t>
      </w:r>
    </w:p>
    <w:p>
      <w:pPr>
        <w:overflowPunct w:val="0"/>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sz w:val="24"/>
          <w:szCs w:val="24"/>
        </w:rPr>
        <w:t>1.3 建设工程批准文件。</w:t>
      </w:r>
    </w:p>
    <w:p>
      <w:pPr>
        <w:pStyle w:val="2"/>
        <w:rPr>
          <w:rFonts w:hAnsi="宋体"/>
        </w:rPr>
      </w:pPr>
    </w:p>
    <w:p>
      <w:pPr>
        <w:adjustRightInd w:val="0"/>
        <w:spacing w:line="360" w:lineRule="auto"/>
        <w:jc w:val="left"/>
        <w:textAlignment w:val="baseline"/>
        <w:rPr>
          <w:rFonts w:ascii="宋体" w:hAnsi="宋体" w:cs="宋体"/>
          <w:b/>
          <w:bCs/>
          <w:color w:val="000000"/>
          <w:sz w:val="24"/>
          <w:szCs w:val="24"/>
        </w:rPr>
      </w:pPr>
      <w:r>
        <w:rPr>
          <w:rFonts w:hint="eastAsia" w:ascii="宋体" w:hAnsi="宋体" w:cs="宋体"/>
          <w:b/>
          <w:bCs/>
          <w:color w:val="000000"/>
          <w:sz w:val="24"/>
          <w:szCs w:val="24"/>
        </w:rPr>
        <w:t>第二条  编制依据</w:t>
      </w:r>
    </w:p>
    <w:p>
      <w:pPr>
        <w:overflowPunct w:val="0"/>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2.1甲方给乙方的发包通知书</w:t>
      </w:r>
    </w:p>
    <w:p>
      <w:pPr>
        <w:overflowPunct w:val="0"/>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2.2甲方提交的基础资料</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 xml:space="preserve">2.3 乙方采用的主要技术标准包括但不限于： </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eastAsiaTheme="minorEastAsia"/>
          <w:color w:val="000000"/>
          <w:sz w:val="24"/>
          <w:szCs w:val="24"/>
        </w:rPr>
        <w:t>《中华人民共和国城乡规划法》</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eastAsiaTheme="minorEastAsia"/>
          <w:color w:val="000000"/>
          <w:sz w:val="24"/>
          <w:szCs w:val="24"/>
        </w:rPr>
        <w:t>《城市规划编制办法》</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eastAsiaTheme="minorEastAsia"/>
          <w:color w:val="000000"/>
          <w:sz w:val="24"/>
          <w:szCs w:val="24"/>
        </w:rPr>
        <w:t>《广州市城市规划管理标准与准则》</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eastAsiaTheme="minorEastAsia"/>
          <w:color w:val="000000"/>
          <w:sz w:val="24"/>
          <w:szCs w:val="24"/>
        </w:rPr>
        <w:t>《广州市城乡规划技术规定（试行）》</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eastAsiaTheme="minorEastAsia"/>
          <w:color w:val="000000"/>
          <w:sz w:val="24"/>
          <w:szCs w:val="24"/>
        </w:rPr>
        <w:t>《广州市城市开发建设项目海绵城市建设-洪涝安全评估技术指引（试行）》</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eastAsiaTheme="minorEastAsia"/>
          <w:color w:val="000000"/>
          <w:sz w:val="24"/>
          <w:szCs w:val="24"/>
        </w:rPr>
        <w:t>《广州市水务局关于进一步加强控制性详细规划阶段涉水管控要求的函》</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eastAsiaTheme="minorEastAsia"/>
          <w:color w:val="000000"/>
          <w:sz w:val="24"/>
          <w:szCs w:val="24"/>
        </w:rPr>
        <w:t>《广州市水务局关于印发海绵城市建设——控制性详细规划阶段洪涝安全评估审查要点的通知》</w:t>
      </w:r>
    </w:p>
    <w:p>
      <w:pPr>
        <w:adjustRightInd w:val="0"/>
        <w:spacing w:line="360" w:lineRule="auto"/>
        <w:ind w:firstLine="480" w:firstLineChars="200"/>
        <w:jc w:val="left"/>
        <w:textAlignment w:val="baseline"/>
        <w:rPr>
          <w:rFonts w:ascii="宋体" w:hAnsi="宋体" w:eastAsia="仿宋_GB2312" w:cs="宋体"/>
          <w:color w:val="000000"/>
          <w:sz w:val="24"/>
          <w:szCs w:val="24"/>
        </w:rPr>
      </w:pPr>
      <w:r>
        <w:rPr>
          <w:rFonts w:hint="eastAsia" w:ascii="宋体" w:hAnsi="宋体" w:cs="宋体" w:eastAsiaTheme="minorEastAsia"/>
          <w:color w:val="000000"/>
          <w:sz w:val="24"/>
          <w:szCs w:val="24"/>
        </w:rPr>
        <w:t>《广州市海绵城市建设领导小组办公室关于印发广州市海绵城市建设专篇编制要点的通知》</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上述规范如有更新的，以最新版本为准。</w:t>
      </w:r>
    </w:p>
    <w:p>
      <w:pPr>
        <w:adjustRightInd w:val="0"/>
        <w:spacing w:line="360" w:lineRule="auto"/>
        <w:jc w:val="left"/>
        <w:textAlignment w:val="baseline"/>
        <w:rPr>
          <w:rFonts w:ascii="宋体" w:hAnsi="宋体" w:cs="宋体"/>
          <w:b/>
          <w:bCs/>
          <w:color w:val="000000"/>
          <w:sz w:val="24"/>
          <w:szCs w:val="24"/>
        </w:rPr>
      </w:pPr>
      <w:r>
        <w:rPr>
          <w:rFonts w:hint="eastAsia" w:ascii="宋体" w:hAnsi="宋体" w:cs="宋体"/>
          <w:b/>
          <w:bCs/>
          <w:color w:val="000000"/>
          <w:sz w:val="24"/>
          <w:szCs w:val="24"/>
        </w:rPr>
        <w:t>第三条  合同文件的优先次序</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构成本合同的文件可视为是能互相说明的，如果合同文件存在歧义或不一致，则根据如下优先次序来判断其效力：</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3.1合同书</w:t>
      </w:r>
    </w:p>
    <w:p>
      <w:pPr>
        <w:adjustRightInd w:val="0"/>
        <w:spacing w:line="360" w:lineRule="auto"/>
        <w:ind w:firstLine="480" w:firstLineChars="200"/>
        <w:jc w:val="left"/>
        <w:textAlignment w:val="baseline"/>
        <w:rPr>
          <w:rFonts w:ascii="宋体" w:hAnsi="宋体" w:cs="宋体"/>
          <w:color w:val="000000"/>
          <w:sz w:val="24"/>
          <w:szCs w:val="24"/>
          <w:shd w:val="pct10" w:color="auto" w:fill="FFFFFF"/>
        </w:rPr>
      </w:pPr>
      <w:r>
        <w:rPr>
          <w:rFonts w:hint="eastAsia" w:ascii="宋体" w:hAnsi="宋体" w:cs="宋体"/>
          <w:color w:val="000000"/>
          <w:sz w:val="24"/>
          <w:szCs w:val="24"/>
        </w:rPr>
        <w:t>3.2发包通知书</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 xml:space="preserve">3.3 甲方的要求 </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3.4技术规范</w:t>
      </w:r>
    </w:p>
    <w:p>
      <w:pPr>
        <w:adjustRightInd w:val="0"/>
        <w:spacing w:line="360" w:lineRule="auto"/>
        <w:jc w:val="left"/>
        <w:textAlignment w:val="baseline"/>
        <w:rPr>
          <w:rFonts w:ascii="宋体" w:hAnsi="宋体" w:cs="宋体"/>
          <w:b/>
          <w:bCs/>
          <w:color w:val="000000"/>
          <w:sz w:val="24"/>
          <w:szCs w:val="24"/>
          <w:highlight w:val="none"/>
        </w:rPr>
      </w:pPr>
      <w:r>
        <w:rPr>
          <w:rFonts w:hint="eastAsia" w:ascii="宋体" w:hAnsi="宋体" w:cs="宋体"/>
          <w:b/>
          <w:bCs/>
          <w:color w:val="000000"/>
          <w:sz w:val="24"/>
          <w:szCs w:val="24"/>
          <w:highlight w:val="none"/>
        </w:rPr>
        <w:t>第四条  项目概况</w:t>
      </w:r>
    </w:p>
    <w:p>
      <w:pPr>
        <w:adjustRightInd w:val="0"/>
        <w:spacing w:line="360" w:lineRule="auto"/>
        <w:ind w:left="1" w:firstLine="480" w:firstLineChars="200"/>
        <w:jc w:val="left"/>
        <w:textAlignment w:val="baseline"/>
        <w:rPr>
          <w:rFonts w:ascii="宋体" w:hAnsi="宋体" w:cs="宋体"/>
          <w:sz w:val="24"/>
          <w:szCs w:val="24"/>
        </w:rPr>
      </w:pPr>
      <w:r>
        <w:rPr>
          <w:rFonts w:hint="eastAsia" w:ascii="宋体" w:hAnsi="宋体" w:cs="宋体"/>
          <w:sz w:val="24"/>
          <w:szCs w:val="24"/>
        </w:rPr>
        <w:t>项目名称：</w:t>
      </w:r>
      <w:r>
        <w:rPr>
          <w:rFonts w:asciiTheme="minorEastAsia" w:hAnsiTheme="minorEastAsia" w:cstheme="minorEastAsia"/>
          <w:sz w:val="24"/>
          <w:szCs w:val="24"/>
          <w:u w:val="single"/>
        </w:rPr>
        <w:t>石井净水厂地块控制性详细规划阶段海绵城市（含防洪排涝风险评估）专篇编制</w:t>
      </w:r>
      <w:r>
        <w:rPr>
          <w:rFonts w:hint="eastAsia" w:ascii="宋体" w:hAnsi="宋体" w:cs="宋体"/>
          <w:sz w:val="24"/>
          <w:szCs w:val="24"/>
        </w:rPr>
        <w:t>。</w:t>
      </w:r>
    </w:p>
    <w:p>
      <w:pPr>
        <w:adjustRightInd w:val="0"/>
        <w:spacing w:line="360" w:lineRule="auto"/>
        <w:ind w:left="1" w:firstLine="480" w:firstLineChars="200"/>
        <w:jc w:val="left"/>
        <w:textAlignment w:val="baseline"/>
        <w:rPr>
          <w:rFonts w:asciiTheme="minorEastAsia" w:hAnsiTheme="minorEastAsia" w:cstheme="minorEastAsia"/>
          <w:sz w:val="24"/>
          <w:szCs w:val="24"/>
          <w:highlight w:val="yellow"/>
        </w:rPr>
      </w:pPr>
      <w:r>
        <w:rPr>
          <w:rFonts w:hint="eastAsia" w:asciiTheme="minorEastAsia" w:hAnsiTheme="minorEastAsia" w:cstheme="minorEastAsia"/>
          <w:sz w:val="24"/>
          <w:szCs w:val="24"/>
        </w:rPr>
        <w:t>项目地点：</w:t>
      </w:r>
      <w:r>
        <w:rPr>
          <w:rFonts w:hint="eastAsia" w:asciiTheme="minorEastAsia" w:hAnsiTheme="minorEastAsia" w:cstheme="minorEastAsia"/>
          <w:sz w:val="24"/>
          <w:szCs w:val="24"/>
          <w:u w:val="single"/>
        </w:rPr>
        <w:t xml:space="preserve">  本项目地块位于白云区张村社区。</w:t>
      </w:r>
    </w:p>
    <w:p>
      <w:pPr>
        <w:adjustRightInd w:val="0"/>
        <w:spacing w:line="360" w:lineRule="auto"/>
        <w:ind w:left="1" w:firstLine="480" w:firstLineChars="200"/>
        <w:jc w:val="left"/>
        <w:textAlignment w:val="baseline"/>
        <w:rPr>
          <w:rFonts w:asciiTheme="minorEastAsia" w:hAnsiTheme="minorEastAsia" w:cstheme="minorEastAsia"/>
          <w:sz w:val="24"/>
          <w:szCs w:val="24"/>
          <w:u w:val="single"/>
        </w:rPr>
      </w:pPr>
      <w:r>
        <w:rPr>
          <w:rFonts w:hint="eastAsia" w:asciiTheme="minorEastAsia" w:hAnsiTheme="minorEastAsia" w:cstheme="minorEastAsia"/>
          <w:sz w:val="24"/>
          <w:szCs w:val="24"/>
        </w:rPr>
        <w:t>用地面积：</w:t>
      </w:r>
      <w:r>
        <w:rPr>
          <w:rFonts w:hint="eastAsia" w:asciiTheme="minorEastAsia" w:hAnsiTheme="minorEastAsia" w:cstheme="minorEastAsia"/>
          <w:sz w:val="24"/>
          <w:szCs w:val="24"/>
          <w:u w:val="single"/>
        </w:rPr>
        <w:t xml:space="preserve">  本项目地块用地面积14.68公顷；控规调整涉及AB2715规划管理单元，总用地面积为123.36公顷。 </w:t>
      </w:r>
    </w:p>
    <w:p>
      <w:pPr>
        <w:adjustRightInd w:val="0"/>
        <w:spacing w:line="360" w:lineRule="auto"/>
        <w:ind w:left="1" w:firstLine="480" w:firstLineChars="200"/>
        <w:jc w:val="lef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建筑面积：</w:t>
      </w:r>
      <w:r>
        <w:rPr>
          <w:rFonts w:hint="eastAsia" w:asciiTheme="minorEastAsia" w:hAnsiTheme="minorEastAsia" w:cstheme="minorEastAsia"/>
          <w:sz w:val="24"/>
          <w:szCs w:val="24"/>
          <w:u w:val="single"/>
        </w:rPr>
        <w:t xml:space="preserve">  以相关职能部门审批文件为准</w:t>
      </w:r>
      <w:r>
        <w:rPr>
          <w:rFonts w:hint="eastAsia" w:asciiTheme="minorEastAsia" w:hAnsiTheme="minorEastAsia" w:cstheme="minorEastAsia"/>
          <w:sz w:val="24"/>
          <w:szCs w:val="24"/>
        </w:rPr>
        <w:t>。</w:t>
      </w:r>
    </w:p>
    <w:p>
      <w:pPr>
        <w:adjustRightInd w:val="0"/>
        <w:spacing w:line="360" w:lineRule="auto"/>
        <w:ind w:left="1" w:firstLine="480" w:firstLineChars="200"/>
        <w:jc w:val="left"/>
        <w:textAlignment w:val="baseline"/>
        <w:rPr>
          <w:rFonts w:asciiTheme="minorEastAsia" w:hAnsiTheme="minorEastAsia" w:cstheme="minorEastAsia"/>
          <w:color w:val="auto"/>
          <w:sz w:val="24"/>
          <w:szCs w:val="24"/>
        </w:rPr>
      </w:pPr>
      <w:r>
        <w:rPr>
          <w:rFonts w:hint="eastAsia" w:asciiTheme="minorEastAsia" w:hAnsiTheme="minorEastAsia" w:cstheme="minorEastAsia"/>
          <w:sz w:val="24"/>
          <w:szCs w:val="24"/>
        </w:rPr>
        <w:t>为盘活现有土地资源，拓宽产业领域盈利渠道，目前正开展石井净水厂地块控规调整工作。</w:t>
      </w:r>
      <w:r>
        <w:rPr>
          <w:rFonts w:hint="eastAsia" w:asciiTheme="minorEastAsia" w:hAnsiTheme="minorEastAsia" w:cstheme="minorEastAsia"/>
          <w:color w:val="auto"/>
          <w:sz w:val="24"/>
          <w:szCs w:val="24"/>
        </w:rPr>
        <w:t>本次</w:t>
      </w:r>
      <w:r>
        <w:rPr>
          <w:rFonts w:asciiTheme="minorEastAsia" w:hAnsiTheme="minorEastAsia" w:cstheme="minorEastAsia"/>
          <w:color w:val="auto"/>
          <w:sz w:val="24"/>
          <w:szCs w:val="24"/>
        </w:rPr>
        <w:t>海绵城市(含防洪排涝风险评估)专篇编制</w:t>
      </w:r>
      <w:r>
        <w:rPr>
          <w:rFonts w:hint="eastAsia" w:asciiTheme="minorEastAsia" w:hAnsiTheme="minorEastAsia" w:cstheme="minorEastAsia"/>
          <w:color w:val="auto"/>
          <w:sz w:val="24"/>
          <w:szCs w:val="24"/>
        </w:rPr>
        <w:t>工作依据市水务局文件《广州市水务局关于进一步加强控制性详细规划阶段涉水管控要求的函》及相关文件</w:t>
      </w:r>
      <w:r>
        <w:rPr>
          <w:rFonts w:asciiTheme="minorEastAsia" w:hAnsiTheme="minorEastAsia" w:cstheme="minorEastAsia"/>
          <w:color w:val="auto"/>
          <w:sz w:val="24"/>
          <w:szCs w:val="24"/>
        </w:rPr>
        <w:t>要求</w:t>
      </w:r>
      <w:r>
        <w:rPr>
          <w:rFonts w:hint="eastAsia" w:asciiTheme="minorEastAsia" w:hAnsiTheme="minorEastAsia" w:cstheme="minorEastAsia"/>
          <w:color w:val="auto"/>
          <w:sz w:val="24"/>
          <w:szCs w:val="24"/>
        </w:rPr>
        <w:t>，拟</w:t>
      </w:r>
      <w:r>
        <w:rPr>
          <w:rFonts w:asciiTheme="minorEastAsia" w:hAnsiTheme="minorEastAsia" w:cstheme="minorEastAsia"/>
          <w:color w:val="auto"/>
          <w:sz w:val="24"/>
          <w:szCs w:val="24"/>
        </w:rPr>
        <w:t>在控制性详细规划中</w:t>
      </w:r>
      <w:r>
        <w:rPr>
          <w:rFonts w:hint="eastAsia" w:asciiTheme="minorEastAsia" w:hAnsiTheme="minorEastAsia" w:cstheme="minorEastAsia"/>
          <w:color w:val="auto"/>
          <w:sz w:val="24"/>
          <w:szCs w:val="24"/>
        </w:rPr>
        <w:t>增加</w:t>
      </w:r>
      <w:r>
        <w:rPr>
          <w:rFonts w:asciiTheme="minorEastAsia" w:hAnsiTheme="minorEastAsia" w:cstheme="minorEastAsia"/>
          <w:color w:val="auto"/>
          <w:sz w:val="24"/>
          <w:szCs w:val="24"/>
        </w:rPr>
        <w:t>海绵城市(含防洪排涝风险评估)专篇，作为控规批复及后续规划条件发放的依据</w:t>
      </w:r>
      <w:r>
        <w:rPr>
          <w:rFonts w:hint="eastAsia" w:asciiTheme="minorEastAsia" w:hAnsiTheme="minorEastAsia" w:cstheme="minorEastAsia"/>
          <w:color w:val="auto"/>
          <w:sz w:val="24"/>
          <w:szCs w:val="24"/>
        </w:rPr>
        <w:t>。主要工作内容如下：</w:t>
      </w:r>
    </w:p>
    <w:p>
      <w:pPr>
        <w:spacing w:line="360" w:lineRule="auto"/>
        <w:ind w:firstLine="480" w:firstLineChars="20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4.1  </w:t>
      </w:r>
      <w:r>
        <w:rPr>
          <w:rFonts w:hint="eastAsia" w:asciiTheme="minorEastAsia" w:hAnsiTheme="minorEastAsia" w:cstheme="minorEastAsia"/>
          <w:color w:val="auto"/>
          <w:sz w:val="24"/>
          <w:szCs w:val="24"/>
          <w:highlight w:val="none"/>
        </w:rPr>
        <w:t>海绵城市专项规划工作内容主要包括：</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依据《广州市建设项目雨水径流控制办法》（广州市人民政府令第</w:t>
      </w:r>
      <w:r>
        <w:rPr>
          <w:rFonts w:asciiTheme="minorEastAsia" w:hAnsiTheme="minorEastAsia" w:cstheme="minorEastAsia"/>
          <w:color w:val="auto"/>
          <w:sz w:val="24"/>
          <w:szCs w:val="24"/>
          <w:highlight w:val="none"/>
        </w:rPr>
        <w:t>107号）、《广州市建设项目海绵城市建设管控指标分类指引（试行）的通知》(穗水河湖﹝2020﹞7号)、《广州市海绵城市建设领导小组办公室关于印发广州市海绵城市建设专篇编制要点的通知》（穗海绵办﹝2021﹞12号）和各区海绵城市专项规划的有关要求，细化落实各地块的海绵城市相关管控指标和建设方案。</w:t>
      </w:r>
    </w:p>
    <w:p>
      <w:pPr>
        <w:spacing w:line="360" w:lineRule="auto"/>
        <w:ind w:firstLine="480" w:firstLineChars="20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4.2  </w:t>
      </w:r>
      <w:r>
        <w:rPr>
          <w:rFonts w:hint="eastAsia" w:asciiTheme="minorEastAsia" w:hAnsiTheme="minorEastAsia" w:cstheme="minorEastAsia"/>
          <w:color w:val="auto"/>
          <w:sz w:val="24"/>
          <w:szCs w:val="24"/>
          <w:highlight w:val="none"/>
        </w:rPr>
        <w:t>防洪排涝风险评估工作内容主要包括：</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建设项目、工程区域基本情况</w:t>
      </w:r>
      <w:r>
        <w:rPr>
          <w:rFonts w:hint="eastAsia" w:asciiTheme="minorEastAsia" w:hAnsiTheme="minorEastAsia" w:cstheme="minorEastAsia"/>
          <w:color w:val="auto"/>
          <w:sz w:val="24"/>
          <w:szCs w:val="24"/>
          <w:highlight w:val="none"/>
          <w:lang w:eastAsia="zh-CN"/>
        </w:rPr>
        <w:t>描述</w:t>
      </w:r>
      <w:r>
        <w:rPr>
          <w:rFonts w:hint="eastAsia" w:asciiTheme="minorEastAsia" w:hAnsiTheme="minorEastAsia" w:cstheme="minorEastAsia"/>
          <w:color w:val="auto"/>
          <w:sz w:val="24"/>
          <w:szCs w:val="24"/>
          <w:highlight w:val="none"/>
        </w:rPr>
        <w:t>；项目所处区域洪涝风险等级评定；防洪排涝风险评估；排水工程评估；海绵城市评估；地块竖向评估；供水、污水承载力评估等，按照洪涝安全评估审查要点，提出总结和建议。</w:t>
      </w:r>
      <w:r>
        <w:rPr>
          <w:rFonts w:hint="eastAsia" w:asciiTheme="minorEastAsia" w:hAnsiTheme="minorEastAsia" w:cstheme="minorEastAsia"/>
          <w:color w:val="auto"/>
          <w:sz w:val="24"/>
          <w:szCs w:val="24"/>
          <w:highlight w:val="none"/>
          <w:lang w:eastAsia="zh-CN"/>
        </w:rPr>
        <w:t>并提供</w:t>
      </w:r>
      <w:r>
        <w:rPr>
          <w:rFonts w:hint="eastAsia" w:asciiTheme="minorEastAsia" w:hAnsiTheme="minorEastAsia" w:cstheme="minorEastAsia"/>
          <w:color w:val="auto"/>
          <w:sz w:val="24"/>
          <w:szCs w:val="24"/>
          <w:highlight w:val="none"/>
        </w:rPr>
        <w:t>“三图一表”：蓝绿设施布局图、水务设施布局图、地块竖向优化图和洪涝评估特征表。</w:t>
      </w:r>
    </w:p>
    <w:p>
      <w:pPr>
        <w:spacing w:line="360" w:lineRule="auto"/>
        <w:ind w:firstLine="480" w:firstLineChars="20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4.3海绵城市(含防洪排涝风险评估)专篇内容需</w:t>
      </w:r>
      <w:r>
        <w:rPr>
          <w:rFonts w:hint="eastAsia" w:asciiTheme="minorEastAsia" w:hAnsiTheme="minorEastAsia" w:cstheme="minorEastAsia"/>
          <w:color w:val="auto"/>
          <w:sz w:val="24"/>
          <w:szCs w:val="24"/>
          <w:highlight w:val="none"/>
        </w:rPr>
        <w:t>满足最新国家和地方的法律、法规、规章、标准和技术要求，以及地方规划、水务等主管部门的对控规阶段</w:t>
      </w:r>
      <w:r>
        <w:rPr>
          <w:rFonts w:asciiTheme="minorEastAsia" w:hAnsiTheme="minorEastAsia" w:cstheme="minorEastAsia"/>
          <w:color w:val="auto"/>
          <w:sz w:val="24"/>
          <w:szCs w:val="24"/>
          <w:highlight w:val="none"/>
        </w:rPr>
        <w:t>海绵城市(含防洪排涝风险评估)专篇的</w:t>
      </w:r>
      <w:r>
        <w:rPr>
          <w:rFonts w:hint="eastAsia" w:asciiTheme="minorEastAsia" w:hAnsiTheme="minorEastAsia" w:cstheme="minorEastAsia"/>
          <w:color w:val="auto"/>
          <w:sz w:val="24"/>
          <w:szCs w:val="24"/>
          <w:highlight w:val="none"/>
        </w:rPr>
        <w:t>其它相关要求。</w:t>
      </w:r>
    </w:p>
    <w:p>
      <w:pPr>
        <w:adjustRightInd w:val="0"/>
        <w:spacing w:line="360" w:lineRule="auto"/>
        <w:jc w:val="left"/>
        <w:textAlignment w:val="baseline"/>
        <w:rPr>
          <w:rFonts w:ascii="宋体" w:hAnsi="宋体" w:cs="宋体"/>
          <w:b/>
          <w:bCs/>
          <w:color w:val="auto"/>
          <w:sz w:val="24"/>
          <w:szCs w:val="24"/>
          <w:highlight w:val="none"/>
        </w:rPr>
      </w:pPr>
      <w:r>
        <w:rPr>
          <w:rFonts w:hint="eastAsia" w:ascii="宋体" w:hAnsi="宋体" w:cs="宋体"/>
          <w:b/>
          <w:bCs/>
          <w:color w:val="auto"/>
          <w:sz w:val="24"/>
          <w:szCs w:val="24"/>
          <w:highlight w:val="none"/>
        </w:rPr>
        <w:t>第五条 乙方向甲方交付资料及文件</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5.1本合同签订后，乙方应在3</w:t>
      </w:r>
      <w:r>
        <w:rPr>
          <w:rFonts w:hint="eastAsia" w:ascii="宋体" w:hAnsi="宋体" w:cs="宋体"/>
          <w:color w:val="auto"/>
          <w:sz w:val="24"/>
          <w:szCs w:val="24"/>
          <w:highlight w:val="none"/>
          <w:lang w:val="en-US" w:eastAsia="zh-CN"/>
        </w:rPr>
        <w:t>个</w:t>
      </w:r>
      <w:r>
        <w:rPr>
          <w:rFonts w:hint="eastAsia" w:ascii="宋体" w:hAnsi="宋体" w:cs="宋体"/>
          <w:color w:val="auto"/>
          <w:sz w:val="24"/>
          <w:szCs w:val="24"/>
          <w:highlight w:val="none"/>
        </w:rPr>
        <w:t>工作日内提交编制计划及参编人员名单并征得甲方同意。合同执行中，乙方如需更换设计人员的，需征得甲方书面同意。</w:t>
      </w:r>
      <w:r>
        <w:rPr>
          <w:rFonts w:hint="eastAsia" w:asciiTheme="minorEastAsia" w:hAnsiTheme="minorEastAsia" w:cstheme="minorEastAsia"/>
          <w:color w:val="auto"/>
          <w:sz w:val="24"/>
          <w:szCs w:val="24"/>
          <w:highlight w:val="none"/>
        </w:rPr>
        <w:t>乙方应在合同签订后40个工作日内完成石井净水厂地块</w:t>
      </w:r>
      <w:r>
        <w:rPr>
          <w:rFonts w:asciiTheme="minorEastAsia" w:hAnsiTheme="minorEastAsia" w:cstheme="minorEastAsia"/>
          <w:color w:val="auto"/>
          <w:sz w:val="24"/>
          <w:szCs w:val="24"/>
          <w:highlight w:val="none"/>
        </w:rPr>
        <w:t>海绵城市(含防洪排涝风险评估)</w:t>
      </w:r>
      <w:r>
        <w:rPr>
          <w:rFonts w:hint="eastAsia" w:asciiTheme="minorEastAsia" w:hAnsiTheme="minorEastAsia" w:cstheme="minorEastAsia"/>
          <w:color w:val="auto"/>
          <w:sz w:val="24"/>
          <w:szCs w:val="24"/>
          <w:highlight w:val="none"/>
        </w:rPr>
        <w:t>专篇编制工作。该</w:t>
      </w:r>
      <w:r>
        <w:rPr>
          <w:rFonts w:asciiTheme="minorEastAsia" w:hAnsiTheme="minorEastAsia" w:cstheme="minorEastAsia"/>
          <w:color w:val="auto"/>
          <w:sz w:val="24"/>
          <w:szCs w:val="24"/>
          <w:highlight w:val="none"/>
        </w:rPr>
        <w:t>工作应配合</w:t>
      </w:r>
      <w:r>
        <w:rPr>
          <w:rFonts w:hint="eastAsia" w:asciiTheme="minorEastAsia" w:hAnsiTheme="minorEastAsia" w:cstheme="minorEastAsia"/>
          <w:color w:val="auto"/>
          <w:sz w:val="24"/>
          <w:szCs w:val="24"/>
          <w:highlight w:val="none"/>
        </w:rPr>
        <w:t>石井净水厂</w:t>
      </w:r>
      <w:r>
        <w:rPr>
          <w:rFonts w:asciiTheme="minorEastAsia" w:hAnsiTheme="minorEastAsia" w:cstheme="minorEastAsia"/>
          <w:color w:val="auto"/>
          <w:sz w:val="24"/>
          <w:szCs w:val="24"/>
          <w:highlight w:val="none"/>
        </w:rPr>
        <w:t>地块</w:t>
      </w:r>
      <w:r>
        <w:rPr>
          <w:rFonts w:hint="eastAsia" w:ascii="宋体" w:hAnsi="宋体" w:cs="宋体"/>
          <w:color w:val="auto"/>
          <w:sz w:val="24"/>
          <w:szCs w:val="24"/>
          <w:highlight w:val="none"/>
        </w:rPr>
        <w:t>控规调整工作进度时间进行评估、提交成果及作相应修改完善，以用于甲方申请控规调整。</w:t>
      </w:r>
    </w:p>
    <w:p>
      <w:pPr>
        <w:adjustRightInd w:val="0"/>
        <w:spacing w:line="360" w:lineRule="auto"/>
        <w:ind w:firstLine="566" w:firstLineChars="236"/>
        <w:jc w:val="left"/>
        <w:textAlignment w:val="baseline"/>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5.1.1 在</w:t>
      </w:r>
      <w:r>
        <w:rPr>
          <w:rFonts w:asciiTheme="minorEastAsia" w:hAnsiTheme="minorEastAsia" w:cstheme="minorEastAsia"/>
          <w:color w:val="auto"/>
          <w:sz w:val="24"/>
          <w:szCs w:val="24"/>
          <w:highlight w:val="none"/>
        </w:rPr>
        <w:t>控规调整项目报相关规划主管部门初步审查</w:t>
      </w:r>
      <w:r>
        <w:rPr>
          <w:rFonts w:hint="eastAsia" w:asciiTheme="minorEastAsia" w:hAnsiTheme="minorEastAsia" w:cstheme="minorEastAsia"/>
          <w:color w:val="auto"/>
          <w:sz w:val="24"/>
          <w:szCs w:val="24"/>
          <w:highlight w:val="none"/>
        </w:rPr>
        <w:t>时</w:t>
      </w:r>
      <w:r>
        <w:rPr>
          <w:rFonts w:asciiTheme="minorEastAsia" w:hAnsiTheme="minorEastAsia" w:cstheme="minorEastAsia"/>
          <w:color w:val="auto"/>
          <w:sz w:val="24"/>
          <w:szCs w:val="24"/>
          <w:highlight w:val="none"/>
        </w:rPr>
        <w:t>，提前与控调方案编制单位完成协调工作，并完成控规调整成果中初步评估结论部分内容。</w:t>
      </w:r>
    </w:p>
    <w:p>
      <w:pPr>
        <w:adjustRightInd w:val="0"/>
        <w:spacing w:line="360" w:lineRule="auto"/>
        <w:ind w:firstLine="566" w:firstLineChars="236"/>
        <w:jc w:val="left"/>
        <w:textAlignment w:val="baseline"/>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5.1.2 在</w:t>
      </w:r>
      <w:r>
        <w:rPr>
          <w:rFonts w:asciiTheme="minorEastAsia" w:hAnsiTheme="minorEastAsia" w:cstheme="minorEastAsia"/>
          <w:color w:val="auto"/>
          <w:sz w:val="24"/>
          <w:szCs w:val="24"/>
          <w:highlight w:val="none"/>
        </w:rPr>
        <w:t>控规调整项目提交相关规划主管部门业务会审议或征询规委会成员部门及相关单位意见</w:t>
      </w:r>
      <w:r>
        <w:rPr>
          <w:rFonts w:hint="eastAsia" w:asciiTheme="minorEastAsia" w:hAnsiTheme="minorEastAsia" w:cstheme="minorEastAsia"/>
          <w:color w:val="auto"/>
          <w:sz w:val="24"/>
          <w:szCs w:val="24"/>
          <w:highlight w:val="none"/>
        </w:rPr>
        <w:t>时</w:t>
      </w:r>
      <w:r>
        <w:rPr>
          <w:rFonts w:asciiTheme="minorEastAsia" w:hAnsiTheme="minorEastAsia" w:cstheme="minorEastAsia"/>
          <w:color w:val="auto"/>
          <w:sz w:val="24"/>
          <w:szCs w:val="24"/>
          <w:highlight w:val="none"/>
        </w:rPr>
        <w:t>，提前与控调方案编制单位完成协调工作，按照相关部门意见完善修改，并完成评估初步成果和控规调整成果相关内容。</w:t>
      </w:r>
    </w:p>
    <w:p>
      <w:pPr>
        <w:adjustRightInd w:val="0"/>
        <w:spacing w:line="360" w:lineRule="auto"/>
        <w:ind w:firstLine="566" w:firstLineChars="236"/>
        <w:jc w:val="left"/>
        <w:textAlignment w:val="baseline"/>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5.1.3 在</w:t>
      </w:r>
      <w:r>
        <w:rPr>
          <w:rFonts w:asciiTheme="minorEastAsia" w:hAnsiTheme="minorEastAsia" w:cstheme="minorEastAsia"/>
          <w:color w:val="auto"/>
          <w:sz w:val="24"/>
          <w:szCs w:val="24"/>
          <w:highlight w:val="none"/>
        </w:rPr>
        <w:t>控规调整项目提交规委会审议时，提前与控调方案编制单位完成协调工作，按照相关部门意见完善修改，并完成评估中期成果和控规调整成果相关内容。</w:t>
      </w:r>
    </w:p>
    <w:p>
      <w:pPr>
        <w:adjustRightInd w:val="0"/>
        <w:spacing w:line="360" w:lineRule="auto"/>
        <w:ind w:firstLine="566" w:firstLineChars="236"/>
        <w:jc w:val="left"/>
        <w:textAlignment w:val="baseline"/>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5.1.4 </w:t>
      </w:r>
      <w:r>
        <w:rPr>
          <w:rFonts w:asciiTheme="minorEastAsia" w:hAnsiTheme="minorEastAsia" w:cstheme="minorEastAsia"/>
          <w:color w:val="auto"/>
          <w:sz w:val="24"/>
          <w:szCs w:val="24"/>
          <w:highlight w:val="none"/>
        </w:rPr>
        <w:t>当控规调整项目提交市政府批复时，提前与控调方案编制单位完成协调工作，按照相关部门意见完善修改，并完成评估终期成果和控规调整成果相关内容。</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 xml:space="preserve">5.2 </w:t>
      </w:r>
      <w:r>
        <w:rPr>
          <w:rFonts w:hint="eastAsia" w:asciiTheme="minorEastAsia" w:hAnsiTheme="minorEastAsia" w:cstheme="minorEastAsia"/>
          <w:color w:val="auto"/>
          <w:sz w:val="24"/>
          <w:szCs w:val="24"/>
          <w:highlight w:val="none"/>
        </w:rPr>
        <w:t>乙方应在合同签订后40个工作日内完成石井净水厂地块</w:t>
      </w:r>
      <w:r>
        <w:rPr>
          <w:rFonts w:asciiTheme="minorEastAsia" w:hAnsiTheme="minorEastAsia" w:cstheme="minorEastAsia"/>
          <w:color w:val="auto"/>
          <w:sz w:val="24"/>
          <w:szCs w:val="24"/>
          <w:highlight w:val="none"/>
        </w:rPr>
        <w:t>海绵城市(含防洪排涝风险评估)</w:t>
      </w:r>
      <w:r>
        <w:rPr>
          <w:rFonts w:hint="eastAsia" w:asciiTheme="minorEastAsia" w:hAnsiTheme="minorEastAsia" w:cstheme="minorEastAsia"/>
          <w:color w:val="auto"/>
          <w:sz w:val="24"/>
          <w:szCs w:val="24"/>
          <w:highlight w:val="none"/>
        </w:rPr>
        <w:t>专篇编制工作并提交成果。</w:t>
      </w:r>
      <w:r>
        <w:rPr>
          <w:rFonts w:hint="eastAsia" w:ascii="宋体" w:hAnsi="宋体" w:cs="宋体"/>
          <w:color w:val="auto"/>
          <w:sz w:val="24"/>
          <w:szCs w:val="24"/>
          <w:highlight w:val="none"/>
        </w:rPr>
        <w:t>乙方向甲方交付成果报告书并按需要进行修改完善，该成果用于甲方在不同阶段申请控规调整。成果书暂定一式十份，电子光盘2份（未加密且可编辑格式），具体以甲方通知为准。</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highlight w:val="none"/>
        </w:rPr>
        <w:t>5.3乙方应配合甲方开展结算工作并提交结算的相关资料,若乙方在接到甲方通知后逾期超过30天未提交完整的结算资料和结算报告等，甲方有权单方自行结算，由此产生的一切责任由乙方承担。</w:t>
      </w:r>
    </w:p>
    <w:p>
      <w:pPr>
        <w:adjustRightInd w:val="0"/>
        <w:spacing w:line="360" w:lineRule="auto"/>
        <w:jc w:val="left"/>
        <w:textAlignment w:val="baseline"/>
        <w:rPr>
          <w:rFonts w:ascii="宋体" w:hAnsi="宋体" w:cs="宋体"/>
          <w:b/>
          <w:bCs/>
          <w:color w:val="auto"/>
          <w:sz w:val="24"/>
          <w:szCs w:val="24"/>
        </w:rPr>
      </w:pPr>
      <w:r>
        <w:rPr>
          <w:rFonts w:hint="eastAsia" w:ascii="宋体" w:hAnsi="宋体" w:cs="宋体"/>
          <w:b/>
          <w:bCs/>
          <w:color w:val="auto"/>
          <w:sz w:val="24"/>
          <w:szCs w:val="24"/>
        </w:rPr>
        <w:t xml:space="preserve">第六条 费用 </w:t>
      </w:r>
    </w:p>
    <w:p>
      <w:pPr>
        <w:adjustRightInd w:val="0"/>
        <w:spacing w:line="360" w:lineRule="auto"/>
        <w:ind w:firstLine="480" w:firstLineChars="200"/>
        <w:jc w:val="left"/>
        <w:textAlignment w:val="baseline"/>
        <w:rPr>
          <w:rFonts w:ascii="宋体" w:hAnsi="宋体" w:cs="宋体"/>
          <w:sz w:val="24"/>
          <w:szCs w:val="24"/>
          <w:highlight w:val="none"/>
        </w:rPr>
      </w:pPr>
      <w:r>
        <w:rPr>
          <w:rFonts w:hint="eastAsia" w:ascii="宋体" w:hAnsi="宋体" w:cs="宋体"/>
          <w:color w:val="auto"/>
          <w:sz w:val="24"/>
          <w:szCs w:val="24"/>
        </w:rPr>
        <w:t>6.1本合同总价包干暂定为人民币XX万元（大写：人民币XXX），含税率。甲、乙双方同意，对属于《广州市财政投资评审管理办法》评审范围的财政性资</w:t>
      </w:r>
      <w:r>
        <w:rPr>
          <w:rFonts w:hint="eastAsia" w:ascii="宋体" w:hAnsi="宋体" w:cs="宋体"/>
          <w:sz w:val="24"/>
          <w:szCs w:val="24"/>
        </w:rPr>
        <w:t>金投资项目，财政投资评审结果作为该项目价款结算的依据。</w:t>
      </w:r>
    </w:p>
    <w:p>
      <w:pPr>
        <w:adjustRightInd w:val="0"/>
        <w:spacing w:line="360" w:lineRule="auto"/>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6.2本合同采用总价包干，工作内容包括完成本合同项下的所有工作（包含但不限于报告编制和报审、</w:t>
      </w:r>
      <w:r>
        <w:rPr>
          <w:rFonts w:hint="eastAsia" w:ascii="宋体" w:hAnsi="宋体" w:cs="宋体"/>
          <w:color w:val="auto"/>
          <w:sz w:val="24"/>
          <w:szCs w:val="24"/>
          <w:highlight w:val="none"/>
        </w:rPr>
        <w:t>修改完善及公示期间</w:t>
      </w:r>
      <w:r>
        <w:rPr>
          <w:rFonts w:hint="eastAsia" w:ascii="宋体" w:hAnsi="宋体" w:cs="宋体"/>
          <w:sz w:val="24"/>
          <w:szCs w:val="24"/>
          <w:highlight w:val="none"/>
        </w:rPr>
        <w:t>相关工作的配合）。</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第七条 支付方式</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7.1.1 支付办法：本合同生效后，甲方按照</w:t>
      </w:r>
      <w:r>
        <w:rPr>
          <w:rFonts w:hint="eastAsia" w:ascii="宋体" w:hAnsi="宋体" w:cs="宋体"/>
          <w:sz w:val="24"/>
          <w:szCs w:val="24"/>
          <w:u w:val="single"/>
        </w:rPr>
        <w:t>《广州市净水有限公司资金集中支付管理办法》（穗净水[2015]278号）（见附件1）的</w:t>
      </w:r>
      <w:r>
        <w:rPr>
          <w:rFonts w:hint="eastAsia" w:ascii="宋体" w:hAnsi="宋体" w:cs="宋体"/>
          <w:sz w:val="24"/>
          <w:szCs w:val="24"/>
        </w:rPr>
        <w:t>操作程序，向乙方支付合同费用。</w:t>
      </w:r>
    </w:p>
    <w:p>
      <w:pPr>
        <w:pStyle w:val="2"/>
        <w:ind w:firstLine="480" w:firstLineChars="200"/>
        <w:rPr>
          <w:rFonts w:asciiTheme="minorEastAsia" w:hAnsiTheme="minorEastAsia" w:eastAsiaTheme="minorEastAsia" w:cstheme="minorEastAsia"/>
        </w:rPr>
      </w:pPr>
      <w:r>
        <w:rPr>
          <w:rFonts w:hint="eastAsia" w:hAnsi="宋体"/>
        </w:rPr>
        <w:t xml:space="preserve">7.1.2 </w:t>
      </w:r>
      <w:r>
        <w:rPr>
          <w:rFonts w:hint="eastAsia" w:asciiTheme="minorEastAsia" w:hAnsiTheme="minorEastAsia" w:eastAsiaTheme="minorEastAsia" w:cstheme="minorEastAsia"/>
        </w:rPr>
        <w:t>乙方收款账号资料</w:t>
      </w:r>
    </w:p>
    <w:p>
      <w:pPr>
        <w:spacing w:line="384" w:lineRule="auto"/>
        <w:ind w:firstLine="720" w:firstLineChars="300"/>
        <w:rPr>
          <w:rFonts w:ascii="宋体" w:hAnsi="宋体" w:cs="宋体"/>
          <w:sz w:val="24"/>
        </w:rPr>
      </w:pPr>
      <w:r>
        <w:rPr>
          <w:rFonts w:hint="eastAsia" w:ascii="宋体" w:hAnsi="宋体" w:cs="宋体"/>
          <w:sz w:val="24"/>
        </w:rPr>
        <w:t>乙方收款账户：；</w:t>
      </w:r>
    </w:p>
    <w:p>
      <w:pPr>
        <w:spacing w:line="384" w:lineRule="auto"/>
        <w:ind w:firstLine="840" w:firstLineChars="350"/>
        <w:rPr>
          <w:rFonts w:ascii="宋体" w:hAnsi="宋体" w:cs="宋体"/>
          <w:sz w:val="24"/>
        </w:rPr>
      </w:pPr>
      <w:r>
        <w:rPr>
          <w:rFonts w:hint="eastAsia" w:ascii="宋体" w:hAnsi="宋体" w:cs="宋体"/>
          <w:sz w:val="24"/>
        </w:rPr>
        <w:t>收款账号：；</w:t>
      </w:r>
    </w:p>
    <w:p>
      <w:pPr>
        <w:spacing w:line="384" w:lineRule="auto"/>
        <w:ind w:firstLine="840" w:firstLineChars="350"/>
        <w:rPr>
          <w:rFonts w:ascii="宋体" w:hAnsi="宋体" w:cs="宋体"/>
          <w:sz w:val="24"/>
        </w:rPr>
      </w:pPr>
      <w:r>
        <w:rPr>
          <w:rFonts w:hint="eastAsia" w:ascii="宋体" w:hAnsi="宋体" w:cs="宋体"/>
          <w:sz w:val="24"/>
        </w:rPr>
        <w:t>开户行：；</w:t>
      </w:r>
    </w:p>
    <w:p>
      <w:pPr>
        <w:spacing w:line="384" w:lineRule="auto"/>
        <w:ind w:firstLine="720" w:firstLineChars="300"/>
        <w:rPr>
          <w:rFonts w:ascii="宋体" w:hAnsi="宋体" w:cs="宋体"/>
          <w:sz w:val="24"/>
        </w:rPr>
      </w:pPr>
      <w:r>
        <w:rPr>
          <w:rFonts w:hint="eastAsia" w:ascii="宋体" w:hAnsi="宋体" w:cs="宋体"/>
          <w:sz w:val="24"/>
        </w:rPr>
        <w:t>乙方在收款前需提交等额增值税专用发票给甲方。增值税专用发票信息：</w:t>
      </w:r>
    </w:p>
    <w:p>
      <w:pPr>
        <w:spacing w:line="384" w:lineRule="auto"/>
        <w:ind w:firstLine="960" w:firstLineChars="400"/>
        <w:rPr>
          <w:rFonts w:ascii="宋体" w:hAnsi="宋体" w:cs="宋体"/>
          <w:sz w:val="24"/>
        </w:rPr>
      </w:pPr>
      <w:r>
        <w:rPr>
          <w:rFonts w:hint="eastAsia" w:ascii="宋体" w:hAnsi="宋体" w:cs="宋体"/>
          <w:sz w:val="24"/>
        </w:rPr>
        <w:t>名称：广州市净水有限公司</w:t>
      </w:r>
    </w:p>
    <w:p>
      <w:pPr>
        <w:spacing w:line="384" w:lineRule="auto"/>
        <w:ind w:firstLine="960" w:firstLineChars="400"/>
        <w:rPr>
          <w:rFonts w:ascii="宋体" w:hAnsi="宋体" w:cs="宋体"/>
          <w:sz w:val="24"/>
        </w:rPr>
      </w:pPr>
      <w:r>
        <w:rPr>
          <w:rFonts w:hint="eastAsia" w:ascii="宋体" w:hAnsi="宋体" w:cs="宋体"/>
          <w:sz w:val="24"/>
        </w:rPr>
        <w:t>税号：</w:t>
      </w:r>
    </w:p>
    <w:p>
      <w:pPr>
        <w:pStyle w:val="2"/>
        <w:ind w:firstLine="960" w:firstLineChars="400"/>
        <w:rPr>
          <w:rFonts w:asciiTheme="minorEastAsia" w:hAnsiTheme="minorEastAsia" w:eastAsiaTheme="minorEastAsia" w:cstheme="minorEastAsia"/>
          <w:u w:val="single"/>
        </w:rPr>
      </w:pPr>
      <w:r>
        <w:rPr>
          <w:rFonts w:hint="eastAsia" w:asciiTheme="minorEastAsia" w:hAnsiTheme="minorEastAsia" w:eastAsiaTheme="minorEastAsia" w:cstheme="minorEastAsia"/>
        </w:rPr>
        <w:t>地址：</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7.2 本合同生效后，乙方向甲方提出定金支付申请，甲方向乙方支付合同包干价的20％作为定金，计</w:t>
      </w:r>
      <w:r>
        <w:rPr>
          <w:rFonts w:hint="eastAsia" w:ascii="宋体" w:hAnsi="宋体" w:cs="宋体"/>
          <w:sz w:val="24"/>
          <w:szCs w:val="24"/>
          <w:lang w:val="en-US" w:eastAsia="zh-CN"/>
        </w:rPr>
        <w:t xml:space="preserve">     </w:t>
      </w:r>
      <w:r>
        <w:rPr>
          <w:rFonts w:hint="eastAsia" w:ascii="宋体" w:hAnsi="宋体" w:cs="宋体"/>
          <w:sz w:val="24"/>
          <w:szCs w:val="24"/>
        </w:rPr>
        <w:t>万元。</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sz w:val="24"/>
          <w:szCs w:val="24"/>
        </w:rPr>
        <w:t>7.3 乙方应于当月20日前将工程支付申请书一式四份报送给甲方，规划设计费按照以</w:t>
      </w:r>
      <w:r>
        <w:rPr>
          <w:rFonts w:hint="eastAsia" w:ascii="宋体" w:hAnsi="宋体" w:cs="宋体"/>
          <w:color w:val="auto"/>
          <w:sz w:val="24"/>
          <w:szCs w:val="24"/>
          <w:highlight w:val="none"/>
        </w:rPr>
        <w:t>下方式予以支付：</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ascii="宋体" w:hAnsi="宋体" w:cs="宋体"/>
          <w:color w:val="auto"/>
          <w:sz w:val="24"/>
          <w:szCs w:val="24"/>
          <w:highlight w:val="none"/>
        </w:rPr>
        <w:t xml:space="preserve">7.3.1 </w:t>
      </w:r>
      <w:r>
        <w:rPr>
          <w:rFonts w:hint="eastAsia" w:ascii="宋体" w:hAnsi="宋体" w:cs="宋体"/>
          <w:color w:val="auto"/>
          <w:sz w:val="24"/>
          <w:szCs w:val="24"/>
          <w:highlight w:val="none"/>
        </w:rPr>
        <w:t>乙方提交本合同</w:t>
      </w:r>
      <w:r>
        <w:rPr>
          <w:rFonts w:ascii="宋体" w:hAnsi="宋体" w:cs="宋体"/>
          <w:color w:val="auto"/>
          <w:sz w:val="24"/>
          <w:szCs w:val="24"/>
          <w:highlight w:val="none"/>
        </w:rPr>
        <w:t>所述成果报告书</w:t>
      </w:r>
      <w:r>
        <w:rPr>
          <w:rFonts w:hint="eastAsia" w:ascii="宋体" w:hAnsi="宋体" w:cs="宋体"/>
          <w:color w:val="auto"/>
          <w:sz w:val="24"/>
          <w:szCs w:val="24"/>
          <w:highlight w:val="none"/>
        </w:rPr>
        <w:t>至规划和用地专题业务会审议，并取得最终意见后，甲方向乙方支付至合同包干价的</w:t>
      </w:r>
      <w:r>
        <w:rPr>
          <w:rFonts w:ascii="宋体" w:hAnsi="宋体" w:cs="宋体"/>
          <w:color w:val="auto"/>
          <w:sz w:val="24"/>
          <w:szCs w:val="24"/>
          <w:highlight w:val="none"/>
        </w:rPr>
        <w:t>60%（含定金）。</w:t>
      </w:r>
    </w:p>
    <w:p>
      <w:pPr>
        <w:overflowPunct w:val="0"/>
        <w:adjustRightInd w:val="0"/>
        <w:spacing w:line="360" w:lineRule="auto"/>
        <w:ind w:firstLine="480" w:firstLineChars="200"/>
        <w:jc w:val="left"/>
        <w:textAlignment w:val="baseline"/>
        <w:rPr>
          <w:rFonts w:ascii="宋体" w:hAnsi="宋体" w:cs="宋体"/>
          <w:color w:val="auto"/>
          <w:sz w:val="24"/>
          <w:szCs w:val="24"/>
          <w:highlight w:val="none"/>
        </w:rPr>
      </w:pPr>
      <w:r>
        <w:rPr>
          <w:rFonts w:ascii="宋体" w:hAnsi="宋体" w:cs="宋体"/>
          <w:color w:val="auto"/>
          <w:sz w:val="24"/>
          <w:szCs w:val="24"/>
          <w:highlight w:val="none"/>
        </w:rPr>
        <w:t xml:space="preserve">7.3.2 </w:t>
      </w:r>
      <w:r>
        <w:rPr>
          <w:rFonts w:hint="eastAsia" w:ascii="宋体" w:hAnsi="宋体" w:cs="宋体"/>
          <w:color w:val="auto"/>
          <w:sz w:val="24"/>
          <w:szCs w:val="24"/>
          <w:highlight w:val="none"/>
        </w:rPr>
        <w:t>乙方提交本合同</w:t>
      </w:r>
      <w:r>
        <w:rPr>
          <w:rFonts w:ascii="宋体" w:hAnsi="宋体" w:cs="宋体"/>
          <w:color w:val="auto"/>
          <w:sz w:val="24"/>
          <w:szCs w:val="24"/>
          <w:highlight w:val="none"/>
        </w:rPr>
        <w:t>所述最终成果报告书</w:t>
      </w:r>
      <w:r>
        <w:rPr>
          <w:rFonts w:hint="eastAsia" w:ascii="宋体" w:hAnsi="宋体" w:cs="宋体"/>
          <w:color w:val="auto"/>
          <w:sz w:val="24"/>
          <w:szCs w:val="24"/>
          <w:highlight w:val="none"/>
        </w:rPr>
        <w:t>并取得市规委会书面同意意见后，甲方向乙方支付至合同包干价的</w:t>
      </w:r>
      <w:r>
        <w:rPr>
          <w:rFonts w:ascii="宋体" w:hAnsi="宋体" w:cs="宋体"/>
          <w:color w:val="auto"/>
          <w:sz w:val="24"/>
          <w:szCs w:val="24"/>
          <w:highlight w:val="none"/>
        </w:rPr>
        <w:t>80%（含定金）。</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7.3.3对属于《广州市财政投资评审管理办法》评审范围的财政性资金投资项目，财政投资评审结果作为该项目价款结算的依据，甲方按照评审结果全额支付。如甲方实际支付的费用超过财政投资评审结算价的，乙方应当在财政投资评审结算完毕之日起30日内向甲方退还超支费用。乙方迟延退还的，每逾期一天按超支费用的三倍银行同期储蓄利率向甲方支付利息。</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7.3.4</w:t>
      </w:r>
      <w:r>
        <w:rPr>
          <w:rFonts w:hint="eastAsia" w:ascii="宋体" w:hAnsi="宋体"/>
          <w:sz w:val="24"/>
          <w:szCs w:val="24"/>
        </w:rPr>
        <w:t>如合同项目非财政性资金投资项目，待相关部门终审结算后，甲方支付至合同结算价的100% 。</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7.4双方委托银行代付代收有关费用。</w:t>
      </w:r>
    </w:p>
    <w:p>
      <w:pPr>
        <w:adjustRightInd w:val="0"/>
        <w:spacing w:line="360" w:lineRule="auto"/>
        <w:ind w:firstLine="480" w:firstLineChars="200"/>
        <w:jc w:val="left"/>
        <w:textAlignment w:val="baseline"/>
        <w:rPr>
          <w:color w:val="FF0000"/>
        </w:rPr>
      </w:pPr>
      <w:r>
        <w:rPr>
          <w:rFonts w:hint="eastAsia" w:ascii="宋体" w:hAnsi="宋体" w:cs="宋体"/>
          <w:sz w:val="24"/>
          <w:szCs w:val="24"/>
        </w:rPr>
        <w:t>7.5乙方</w:t>
      </w:r>
      <w:r>
        <w:rPr>
          <w:rFonts w:hint="eastAsia" w:ascii="宋体" w:hAnsi="宋体"/>
          <w:sz w:val="24"/>
          <w:szCs w:val="24"/>
        </w:rPr>
        <w:t>在收取每一笔合同费用前，需向甲方提供等额有效的增值税专用发票。</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第八条 双方责任</w:t>
      </w:r>
    </w:p>
    <w:p>
      <w:pPr>
        <w:spacing w:line="360" w:lineRule="auto"/>
        <w:ind w:firstLine="482" w:firstLineChars="200"/>
        <w:rPr>
          <w:rFonts w:ascii="宋体" w:hAnsi="宋体" w:cs="宋体"/>
          <w:sz w:val="24"/>
          <w:szCs w:val="24"/>
        </w:rPr>
      </w:pPr>
      <w:r>
        <w:rPr>
          <w:rFonts w:hint="eastAsia" w:ascii="宋体" w:hAnsi="宋体" w:cs="宋体"/>
          <w:b/>
          <w:bCs/>
          <w:sz w:val="24"/>
          <w:szCs w:val="24"/>
        </w:rPr>
        <w:t>8.1甲方责任</w:t>
      </w:r>
    </w:p>
    <w:p>
      <w:pPr>
        <w:spacing w:line="360" w:lineRule="auto"/>
        <w:ind w:firstLine="480" w:firstLineChars="200"/>
        <w:rPr>
          <w:rFonts w:ascii="宋体" w:hAnsi="宋体" w:cs="宋体"/>
          <w:sz w:val="24"/>
          <w:szCs w:val="24"/>
        </w:rPr>
      </w:pPr>
      <w:r>
        <w:rPr>
          <w:rFonts w:hint="eastAsia" w:ascii="宋体" w:hAnsi="宋体" w:cs="宋体"/>
          <w:sz w:val="24"/>
          <w:szCs w:val="24"/>
        </w:rPr>
        <w:t>8.1.1在合同履行期间，已开始编制工作，非乙方原因甲方要求终止或解除合同的，甲方根据乙方已进行的实际工作量按实进行结算，最高支付至合同包干价的六成。</w:t>
      </w:r>
    </w:p>
    <w:p>
      <w:pPr>
        <w:spacing w:line="360" w:lineRule="auto"/>
        <w:ind w:firstLine="360" w:firstLineChars="150"/>
        <w:rPr>
          <w:rFonts w:ascii="宋体" w:hAnsi="宋体" w:cs="宋体"/>
          <w:sz w:val="24"/>
          <w:szCs w:val="24"/>
        </w:rPr>
      </w:pPr>
      <w:r>
        <w:rPr>
          <w:rFonts w:hint="eastAsia" w:ascii="宋体" w:hAnsi="宋体" w:cs="宋体"/>
          <w:sz w:val="24"/>
          <w:szCs w:val="24"/>
        </w:rPr>
        <w:t xml:space="preserve"> 8.1.</w:t>
      </w:r>
      <w:r>
        <w:rPr>
          <w:rFonts w:hint="eastAsia" w:ascii="宋体" w:hAnsi="宋体" w:cs="宋体"/>
          <w:sz w:val="24"/>
          <w:szCs w:val="24"/>
          <w:lang w:val="en-US" w:eastAsia="zh-CN"/>
        </w:rPr>
        <w:t>2</w:t>
      </w:r>
      <w:r>
        <w:rPr>
          <w:rFonts w:hint="eastAsia" w:ascii="宋体" w:hAnsi="宋体" w:cs="宋体"/>
          <w:sz w:val="24"/>
          <w:szCs w:val="24"/>
        </w:rPr>
        <w:t>甲方要求乙方比合同规定时间提前交付编制文件时，需提前通知乙方，且征得乙方同意，不得严重背离合理编制周期。</w:t>
      </w:r>
    </w:p>
    <w:p>
      <w:pPr>
        <w:pStyle w:val="4"/>
        <w:keepNext w:val="0"/>
        <w:keepLines w:val="0"/>
        <w:spacing w:before="0" w:after="0" w:line="360" w:lineRule="auto"/>
        <w:ind w:firstLine="482" w:firstLineChars="200"/>
        <w:rPr>
          <w:rFonts w:ascii="宋体" w:hAnsi="宋体" w:cs="宋体"/>
          <w:bCs w:val="0"/>
          <w:sz w:val="24"/>
          <w:szCs w:val="24"/>
        </w:rPr>
      </w:pPr>
      <w:r>
        <w:rPr>
          <w:rFonts w:hint="eastAsia" w:ascii="宋体" w:hAnsi="宋体" w:cs="宋体"/>
          <w:bCs w:val="0"/>
          <w:sz w:val="24"/>
          <w:szCs w:val="24"/>
        </w:rPr>
        <w:t>8.2乙方责任</w:t>
      </w:r>
    </w:p>
    <w:p>
      <w:pPr>
        <w:spacing w:line="360" w:lineRule="auto"/>
        <w:ind w:firstLine="480" w:firstLineChars="200"/>
        <w:rPr>
          <w:rFonts w:ascii="宋体" w:hAnsi="宋体" w:cs="宋体"/>
          <w:sz w:val="24"/>
          <w:szCs w:val="24"/>
        </w:rPr>
      </w:pPr>
      <w:r>
        <w:rPr>
          <w:rFonts w:hint="eastAsia" w:ascii="宋体" w:hAnsi="宋体" w:cs="宋体"/>
          <w:sz w:val="24"/>
          <w:szCs w:val="24"/>
        </w:rPr>
        <w:t>8.2.1乙方按合同约定时间向甲方提交有关工作成果，乙方保证具备相应的资质并对提交的文件、报告及所出的结论负责。</w:t>
      </w:r>
    </w:p>
    <w:p>
      <w:pPr>
        <w:spacing w:line="360" w:lineRule="auto"/>
        <w:ind w:firstLine="480" w:firstLineChars="200"/>
        <w:rPr>
          <w:rFonts w:ascii="宋体" w:hAnsi="宋体" w:cs="宋体"/>
          <w:sz w:val="24"/>
          <w:szCs w:val="24"/>
        </w:rPr>
      </w:pPr>
      <w:r>
        <w:rPr>
          <w:rFonts w:hint="eastAsia" w:ascii="宋体" w:hAnsi="宋体" w:cs="宋体"/>
          <w:sz w:val="24"/>
          <w:szCs w:val="24"/>
        </w:rPr>
        <w:t>8.2.2因文件质量问题引起返工，除由乙方继续完善外，并视造成损失大小，减收直至免收编制费。</w:t>
      </w:r>
    </w:p>
    <w:p>
      <w:pPr>
        <w:spacing w:line="360" w:lineRule="auto"/>
        <w:ind w:firstLine="480" w:firstLineChars="200"/>
        <w:rPr>
          <w:rFonts w:ascii="宋体" w:hAnsi="宋体" w:cs="宋体"/>
          <w:sz w:val="24"/>
          <w:szCs w:val="24"/>
        </w:rPr>
      </w:pPr>
      <w:r>
        <w:rPr>
          <w:rFonts w:hint="eastAsia" w:ascii="宋体" w:hAnsi="宋体" w:cs="宋体"/>
          <w:sz w:val="24"/>
          <w:szCs w:val="24"/>
        </w:rPr>
        <w:t>8.2.3乙方提交的文件不符合合同约定，经修改后仍未达到要求的，甲方有权解除合同，要求乙方赔偿损失并返还已收到的全部合同价款，如逾期未返还，应按同期银行贷款利率支付相应利息。</w:t>
      </w:r>
    </w:p>
    <w:p>
      <w:pPr>
        <w:spacing w:line="360" w:lineRule="auto"/>
        <w:ind w:firstLine="480" w:firstLineChars="200"/>
        <w:rPr>
          <w:rFonts w:ascii="宋体" w:hAnsi="宋体" w:cs="宋体"/>
          <w:sz w:val="24"/>
          <w:szCs w:val="24"/>
        </w:rPr>
      </w:pPr>
      <w:r>
        <w:rPr>
          <w:rFonts w:hint="eastAsia" w:ascii="宋体" w:hAnsi="宋体" w:cs="宋体"/>
          <w:sz w:val="24"/>
          <w:szCs w:val="24"/>
        </w:rPr>
        <w:t>8.2.4由于乙方自身原因，延误了按本合同第五条规定的规划设计成果交付时间，每延误一天应减收该项目合同价的2‰，逾期超过30天，甲方有权解除合同。由此给甲方造成损失的，乙方应承担赔偿责任。</w:t>
      </w:r>
    </w:p>
    <w:p>
      <w:pPr>
        <w:spacing w:line="360" w:lineRule="auto"/>
        <w:ind w:firstLine="480" w:firstLineChars="200"/>
        <w:rPr>
          <w:rFonts w:ascii="宋体" w:hAnsi="宋体" w:cs="宋体"/>
          <w:sz w:val="24"/>
          <w:szCs w:val="24"/>
        </w:rPr>
      </w:pPr>
      <w:r>
        <w:rPr>
          <w:rFonts w:hint="eastAsia" w:ascii="宋体" w:hAnsi="宋体" w:cs="宋体"/>
          <w:sz w:val="24"/>
          <w:szCs w:val="24"/>
        </w:rPr>
        <w:t>8.2.5乙方有责任对甲方提供的资料保密，未经许可，不得提供给与本项目无关的单位和人员使用。乙方未尽保密义务，给甲方造成损失的，应承担赔偿责任，并向甲方一次性支付合同价款1%的违约金。不论何种情况下保密内容泄密的，乙方应当及时采取救济措施。若乙方怠于救济导致甲方损失扩大的，乙方对扩大部分承担赔偿责任。</w:t>
      </w:r>
    </w:p>
    <w:p>
      <w:pPr>
        <w:spacing w:line="360" w:lineRule="auto"/>
        <w:ind w:firstLine="480" w:firstLineChars="200"/>
        <w:rPr>
          <w:rFonts w:ascii="宋体" w:hAnsi="宋体" w:cs="宋体"/>
          <w:sz w:val="24"/>
          <w:szCs w:val="24"/>
        </w:rPr>
      </w:pPr>
      <w:r>
        <w:rPr>
          <w:rFonts w:hint="eastAsia" w:ascii="宋体" w:hAnsi="宋体" w:cs="宋体"/>
          <w:sz w:val="24"/>
          <w:szCs w:val="24"/>
        </w:rPr>
        <w:t>8.2.6若标准或计划变更，经甲方同意，乙方可顺延期限。</w:t>
      </w:r>
    </w:p>
    <w:p>
      <w:pPr>
        <w:spacing w:line="360" w:lineRule="auto"/>
        <w:ind w:firstLine="480" w:firstLineChars="200"/>
        <w:rPr>
          <w:rFonts w:ascii="宋体" w:hAnsi="宋体" w:cs="宋体"/>
          <w:sz w:val="24"/>
          <w:szCs w:val="24"/>
        </w:rPr>
      </w:pPr>
      <w:r>
        <w:rPr>
          <w:rFonts w:hint="eastAsia" w:ascii="宋体" w:hAnsi="宋体" w:cs="宋体"/>
          <w:sz w:val="24"/>
          <w:szCs w:val="24"/>
        </w:rPr>
        <w:t>8.2.7合同生效后，非甲方原因乙方要求解除合同的，应赔偿甲方的损失，并双倍退还定金。</w:t>
      </w:r>
    </w:p>
    <w:p>
      <w:pPr>
        <w:spacing w:line="360" w:lineRule="auto"/>
        <w:ind w:firstLine="480" w:firstLineChars="200"/>
        <w:rPr>
          <w:rFonts w:hint="eastAsia" w:ascii="宋体" w:hAnsi="宋体" w:cs="宋体"/>
          <w:sz w:val="24"/>
          <w:szCs w:val="24"/>
          <w:highlight w:val="none"/>
        </w:rPr>
      </w:pPr>
      <w:r>
        <w:rPr>
          <w:rFonts w:ascii="宋体" w:hAnsi="宋体" w:cs="宋体"/>
          <w:color w:val="000000" w:themeColor="text1"/>
          <w:sz w:val="24"/>
          <w:szCs w:val="24"/>
          <w:highlight w:val="none"/>
          <w14:textFill>
            <w14:solidFill>
              <w14:schemeClr w14:val="tx1"/>
            </w14:solidFill>
          </w14:textFill>
        </w:rPr>
        <w:t>8.2.8如甲方选择适用定金罚则，定金不足以弥补乙方违约造成的损失的，甲方可以</w:t>
      </w:r>
      <w:r>
        <w:rPr>
          <w:rFonts w:hint="eastAsia" w:ascii="宋体" w:hAnsi="宋体" w:cs="宋体"/>
          <w:sz w:val="24"/>
          <w:szCs w:val="24"/>
          <w:highlight w:val="none"/>
        </w:rPr>
        <w:t>请求赔偿超过定金数额的损失。</w:t>
      </w:r>
    </w:p>
    <w:p>
      <w:pPr>
        <w:pStyle w:val="19"/>
        <w:ind w:firstLine="0"/>
        <w:rPr>
          <w:rFonts w:hint="default" w:eastAsia="等线"/>
          <w:lang w:val="en-US" w:eastAsia="zh-CN"/>
        </w:rPr>
      </w:pPr>
      <w:r>
        <w:rPr>
          <w:rFonts w:hint="eastAsia" w:ascii="宋体" w:hAnsi="宋体" w:cs="宋体"/>
          <w:sz w:val="24"/>
          <w:szCs w:val="24"/>
          <w:highlight w:val="none"/>
          <w:lang w:val="en-US" w:eastAsia="zh-CN"/>
        </w:rPr>
        <w:t>8.2.9</w:t>
      </w:r>
      <w:r>
        <w:rPr>
          <w:rFonts w:hint="eastAsia" w:ascii="宋体" w:hAnsi="宋体" w:cs="宋体" w:eastAsiaTheme="minorEastAsia"/>
          <w:color w:val="auto"/>
          <w:sz w:val="24"/>
          <w:szCs w:val="24"/>
          <w:lang w:val="en-US" w:eastAsia="zh-CN"/>
        </w:rPr>
        <w:t>在合同有效期内，若乙方发生不诚信行为情形的，乙方自愿接受甲方按《广州市净水有限公司经营建设项目参建企业不诚信行为管理办法》处理，具体处理标准详见附件4。</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第九条  知识产权</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双方均应保护对方的知识产权，未经对方同意，任何一方均不得对对方的资料及文件擅自修改、复制或向第三人转让。如发生以上情况，违约方承担一切由此引起的后果并承担赔偿责任。</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第十条  争议解决</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本合同履行过程中发生争议，由双方当事人协商解决。协商不成的按下列第（二）种方式解决。</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（一）提交广州仲裁委员会仲裁；</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（二）依法向甲方所在地的人民法院起诉。</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第十一条  合同生效及其他</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11.1合同生效的条件：合同签订盖章。</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11.2甲方委托乙方承担本合同内容以外的工作服务，需另行签订协议并支付费用。</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11.3当项目的建设业主变更时，甲方应书面通知乙方并协商合同终止或变更事宜。</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11.4由于不可抗力因素致使合同无法履行时，双方应及时协商解决。</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11.5本合同正本一式</w:t>
      </w:r>
      <w:r>
        <w:rPr>
          <w:rFonts w:hint="eastAsia" w:ascii="宋体" w:hAnsi="宋体" w:cs="宋体"/>
          <w:sz w:val="24"/>
          <w:szCs w:val="24"/>
          <w:u w:val="single"/>
        </w:rPr>
        <w:t xml:space="preserve"> 贰 </w:t>
      </w:r>
      <w:r>
        <w:rPr>
          <w:rFonts w:hint="eastAsia" w:ascii="宋体" w:hAnsi="宋体" w:cs="宋体"/>
          <w:sz w:val="24"/>
          <w:szCs w:val="24"/>
        </w:rPr>
        <w:t>份，甲方执</w:t>
      </w:r>
      <w:r>
        <w:rPr>
          <w:rFonts w:hint="eastAsia" w:ascii="宋体" w:hAnsi="宋体" w:cs="宋体"/>
          <w:sz w:val="24"/>
          <w:szCs w:val="24"/>
          <w:u w:val="single"/>
        </w:rPr>
        <w:t xml:space="preserve"> 壹 </w:t>
      </w:r>
      <w:r>
        <w:rPr>
          <w:rFonts w:hint="eastAsia" w:ascii="宋体" w:hAnsi="宋体" w:cs="宋体"/>
          <w:sz w:val="24"/>
          <w:szCs w:val="24"/>
        </w:rPr>
        <w:t>份，乙方执</w:t>
      </w:r>
      <w:r>
        <w:rPr>
          <w:rFonts w:hint="eastAsia" w:ascii="宋体" w:hAnsi="宋体" w:cs="宋体"/>
          <w:sz w:val="24"/>
          <w:szCs w:val="24"/>
          <w:u w:val="single"/>
        </w:rPr>
        <w:t>壹</w:t>
      </w:r>
      <w:r>
        <w:rPr>
          <w:rFonts w:hint="eastAsia" w:ascii="宋体" w:hAnsi="宋体" w:cs="宋体"/>
          <w:sz w:val="24"/>
          <w:szCs w:val="24"/>
        </w:rPr>
        <w:t>份；副本一式</w:t>
      </w:r>
      <w:r>
        <w:rPr>
          <w:rFonts w:hint="eastAsia" w:ascii="宋体" w:hAnsi="宋体" w:cs="宋体"/>
          <w:sz w:val="24"/>
          <w:szCs w:val="24"/>
          <w:u w:val="single"/>
        </w:rPr>
        <w:t>捌</w:t>
      </w:r>
      <w:r>
        <w:rPr>
          <w:rFonts w:hint="eastAsia" w:ascii="宋体" w:hAnsi="宋体" w:cs="宋体"/>
          <w:sz w:val="24"/>
          <w:szCs w:val="24"/>
        </w:rPr>
        <w:t>份，甲方执</w:t>
      </w:r>
      <w:r>
        <w:rPr>
          <w:rFonts w:hint="eastAsia" w:ascii="宋体" w:hAnsi="宋体" w:cs="宋体"/>
          <w:sz w:val="24"/>
          <w:szCs w:val="24"/>
          <w:u w:val="single"/>
        </w:rPr>
        <w:t>伍</w:t>
      </w:r>
      <w:r>
        <w:rPr>
          <w:rFonts w:hint="eastAsia" w:ascii="宋体" w:hAnsi="宋体" w:cs="宋体"/>
          <w:sz w:val="24"/>
          <w:szCs w:val="24"/>
        </w:rPr>
        <w:t>份，乙方执</w:t>
      </w:r>
      <w:r>
        <w:rPr>
          <w:rFonts w:hint="eastAsia" w:ascii="宋体" w:hAnsi="宋体" w:cs="宋体"/>
          <w:sz w:val="24"/>
          <w:szCs w:val="24"/>
          <w:u w:val="single"/>
        </w:rPr>
        <w:t>叁</w:t>
      </w:r>
      <w:r>
        <w:rPr>
          <w:rFonts w:hint="eastAsia" w:ascii="宋体" w:hAnsi="宋体" w:cs="宋体"/>
          <w:sz w:val="24"/>
          <w:szCs w:val="24"/>
        </w:rPr>
        <w:t>份，双方所执合同具同等法律效力。</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11.6双方履行完合同规定的义务后，本合同即行终止。</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11.7双方认可的来往传真、会议纪要等，均为合同的组成部分，与本合同具有同等法律效力。</w:t>
      </w:r>
    </w:p>
    <w:p>
      <w:pPr>
        <w:spacing w:line="360" w:lineRule="auto"/>
        <w:ind w:firstLine="480" w:firstLineChars="200"/>
        <w:outlineLvl w:val="0"/>
        <w:rPr>
          <w:rFonts w:ascii="宋体" w:hAnsi="宋体" w:cs="宋体"/>
          <w:color w:val="000000"/>
          <w:sz w:val="24"/>
          <w:szCs w:val="24"/>
        </w:rPr>
      </w:pPr>
      <w:r>
        <w:rPr>
          <w:rFonts w:hint="eastAsia" w:ascii="宋体" w:hAnsi="宋体" w:cs="宋体"/>
          <w:sz w:val="24"/>
          <w:szCs w:val="24"/>
        </w:rPr>
        <w:t>11.8未尽事宜，双方协商一致，</w:t>
      </w:r>
      <w:r>
        <w:rPr>
          <w:rFonts w:hint="eastAsia" w:ascii="宋体" w:hAnsi="宋体" w:cs="宋体"/>
          <w:color w:val="000000"/>
          <w:sz w:val="24"/>
          <w:szCs w:val="24"/>
        </w:rPr>
        <w:t>可签订补充协议，补充协议与本合同具有同等效力。</w:t>
      </w:r>
    </w:p>
    <w:p>
      <w:pPr>
        <w:pStyle w:val="10"/>
        <w:spacing w:line="360" w:lineRule="auto"/>
        <w:ind w:left="465" w:leftChars="50" w:hanging="360" w:hangingChars="150"/>
        <w:jc w:val="center"/>
        <w:rPr>
          <w:rFonts w:ascii="宋体" w:hAnsi="宋体" w:cs="宋体"/>
          <w:color w:val="000000"/>
          <w:sz w:val="24"/>
          <w:szCs w:val="24"/>
        </w:rPr>
      </w:pPr>
      <w:r>
        <w:rPr>
          <w:rFonts w:hint="eastAsia" w:ascii="宋体" w:hAnsi="宋体" w:cs="宋体"/>
          <w:color w:val="000000"/>
          <w:sz w:val="24"/>
          <w:szCs w:val="24"/>
        </w:rPr>
        <w:t>11.9本合同附件是合同不可分割的一部分，具有相同的法律效力，具体附件如下：</w:t>
      </w:r>
    </w:p>
    <w:p>
      <w:pPr>
        <w:pStyle w:val="10"/>
        <w:spacing w:line="360" w:lineRule="auto"/>
        <w:ind w:left="584" w:leftChars="278" w:firstLine="120" w:firstLineChars="50"/>
        <w:rPr>
          <w:rFonts w:ascii="宋体" w:hAnsi="宋体" w:cs="宋体"/>
          <w:color w:val="000000"/>
          <w:sz w:val="24"/>
          <w:szCs w:val="24"/>
        </w:rPr>
      </w:pPr>
      <w:r>
        <w:rPr>
          <w:rFonts w:hint="eastAsia" w:ascii="宋体" w:hAnsi="宋体" w:cs="宋体"/>
          <w:color w:val="000000"/>
          <w:sz w:val="24"/>
          <w:szCs w:val="24"/>
        </w:rPr>
        <w:t>附件</w:t>
      </w:r>
      <w:r>
        <w:rPr>
          <w:rFonts w:ascii="宋体" w:hAnsi="宋体" w:cs="宋体"/>
          <w:color w:val="000000"/>
          <w:sz w:val="24"/>
          <w:szCs w:val="24"/>
        </w:rPr>
        <w:t>1：</w:t>
      </w:r>
      <w:r>
        <w:rPr>
          <w:rFonts w:hint="eastAsia" w:ascii="宋体" w:hAnsi="宋体" w:cs="宋体"/>
          <w:b w:val="0"/>
          <w:bCs w:val="0"/>
          <w:color w:val="000000"/>
          <w:sz w:val="24"/>
          <w:szCs w:val="24"/>
        </w:rPr>
        <w:t>发包通知书</w:t>
      </w:r>
    </w:p>
    <w:p>
      <w:pPr>
        <w:pStyle w:val="10"/>
        <w:spacing w:line="360" w:lineRule="auto"/>
        <w:ind w:left="584" w:leftChars="278" w:firstLine="120" w:firstLineChars="50"/>
        <w:rPr>
          <w:rFonts w:ascii="宋体" w:hAnsi="宋体" w:cs="宋体"/>
          <w:color w:val="000000"/>
          <w:sz w:val="24"/>
          <w:szCs w:val="24"/>
        </w:rPr>
      </w:pPr>
      <w:r>
        <w:rPr>
          <w:rFonts w:hint="eastAsia" w:ascii="宋体" w:hAnsi="宋体" w:cs="宋体"/>
          <w:color w:val="000000"/>
          <w:sz w:val="24"/>
          <w:szCs w:val="24"/>
        </w:rPr>
        <w:t>附件</w:t>
      </w:r>
      <w:r>
        <w:rPr>
          <w:rFonts w:ascii="宋体" w:hAnsi="宋体" w:cs="宋体"/>
          <w:color w:val="000000"/>
          <w:sz w:val="24"/>
          <w:szCs w:val="24"/>
        </w:rPr>
        <w:t>2：</w:t>
      </w:r>
      <w:r>
        <w:rPr>
          <w:rFonts w:hint="eastAsia" w:ascii="宋体" w:hAnsi="宋体" w:cs="宋体"/>
          <w:b w:val="0"/>
          <w:bCs w:val="0"/>
          <w:color w:val="000000"/>
          <w:sz w:val="24"/>
          <w:szCs w:val="24"/>
        </w:rPr>
        <w:t>廉洁协议</w:t>
      </w:r>
    </w:p>
    <w:p>
      <w:pPr>
        <w:pStyle w:val="10"/>
        <w:spacing w:line="360" w:lineRule="auto"/>
        <w:ind w:left="584" w:leftChars="278" w:firstLine="120" w:firstLineChars="50"/>
        <w:rPr>
          <w:rFonts w:hint="eastAsia" w:ascii="宋体" w:hAnsi="宋体" w:cs="宋体"/>
          <w:color w:val="000000"/>
          <w:sz w:val="24"/>
          <w:szCs w:val="24"/>
        </w:rPr>
      </w:pPr>
      <w:r>
        <w:rPr>
          <w:rFonts w:hint="eastAsia" w:ascii="宋体" w:hAnsi="宋体" w:cs="宋体"/>
          <w:color w:val="000000"/>
          <w:sz w:val="24"/>
          <w:szCs w:val="24"/>
        </w:rPr>
        <w:t>附件3：安全协议书</w:t>
      </w:r>
    </w:p>
    <w:p>
      <w:pPr>
        <w:pStyle w:val="10"/>
        <w:spacing w:line="360" w:lineRule="auto"/>
        <w:ind w:left="584" w:leftChars="278" w:firstLine="120" w:firstLineChars="5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附件4：不诚信行为的情形及相应被暂停参与投标活动的处理标准</w:t>
      </w:r>
    </w:p>
    <w:p>
      <w:pPr>
        <w:pStyle w:val="10"/>
        <w:spacing w:line="360" w:lineRule="auto"/>
        <w:ind w:left="584" w:leftChars="278" w:firstLine="120" w:firstLineChars="50"/>
        <w:rPr>
          <w:rFonts w:hint="default" w:ascii="宋体" w:hAnsi="宋体" w:cs="宋体" w:eastAsiaTheme="minorEastAsia"/>
          <w:color w:val="000000"/>
          <w:sz w:val="24"/>
          <w:szCs w:val="24"/>
          <w:lang w:val="en-US" w:eastAsia="zh-CN"/>
        </w:rPr>
      </w:pPr>
    </w:p>
    <w:p>
      <w:pPr>
        <w:pStyle w:val="10"/>
        <w:spacing w:line="360" w:lineRule="auto"/>
        <w:ind w:left="465" w:leftChars="50" w:hanging="360" w:hangingChars="150"/>
        <w:rPr>
          <w:rFonts w:ascii="宋体" w:hAnsi="宋体" w:cs="宋体"/>
          <w:color w:val="000000"/>
          <w:sz w:val="24"/>
          <w:szCs w:val="24"/>
        </w:rPr>
      </w:pPr>
      <w:r>
        <w:rPr>
          <w:rFonts w:hint="eastAsia" w:ascii="宋体" w:hAnsi="宋体" w:cs="宋体"/>
          <w:color w:val="000000"/>
          <w:sz w:val="24"/>
          <w:szCs w:val="24"/>
        </w:rPr>
        <w:t>（以下无正文）</w:t>
      </w:r>
    </w:p>
    <w:tbl>
      <w:tblPr>
        <w:tblStyle w:val="20"/>
        <w:tblpPr w:leftFromText="180" w:rightFromText="180" w:vertAnchor="text" w:horzAnchor="page" w:tblpX="1656" w:tblpY="461"/>
        <w:tblOverlap w:val="never"/>
        <w:tblW w:w="8426" w:type="dxa"/>
        <w:jc w:val="center"/>
        <w:tblLayout w:type="fixed"/>
        <w:tblCellMar>
          <w:top w:w="0" w:type="dxa"/>
          <w:left w:w="28" w:type="dxa"/>
          <w:bottom w:w="0" w:type="dxa"/>
          <w:right w:w="28" w:type="dxa"/>
        </w:tblCellMar>
      </w:tblPr>
      <w:tblGrid>
        <w:gridCol w:w="3857"/>
        <w:gridCol w:w="562"/>
        <w:gridCol w:w="4007"/>
      </w:tblGrid>
      <w:tr>
        <w:tblPrEx>
          <w:tblCellMar>
            <w:top w:w="0" w:type="dxa"/>
            <w:left w:w="28" w:type="dxa"/>
            <w:bottom w:w="0" w:type="dxa"/>
            <w:right w:w="28" w:type="dxa"/>
          </w:tblCellMar>
        </w:tblPrEx>
        <w:trPr>
          <w:trHeight w:val="446" w:hRule="atLeast"/>
          <w:jc w:val="center"/>
        </w:trPr>
        <w:tc>
          <w:tcPr>
            <w:tcW w:w="3857" w:type="dxa"/>
            <w:vAlign w:val="center"/>
          </w:tcPr>
          <w:p>
            <w:pPr>
              <w:rPr>
                <w:rFonts w:ascii="宋体" w:hAnsi="宋体" w:cs="宋体"/>
                <w:sz w:val="24"/>
                <w:szCs w:val="24"/>
              </w:rPr>
            </w:pPr>
            <w:r>
              <w:rPr>
                <w:rFonts w:hint="eastAsia" w:ascii="宋体" w:hAnsi="宋体" w:cs="宋体"/>
                <w:color w:val="000000"/>
                <w:sz w:val="24"/>
                <w:szCs w:val="24"/>
              </w:rPr>
              <w:t>甲方：广州市净水有限公司</w:t>
            </w:r>
          </w:p>
        </w:tc>
        <w:tc>
          <w:tcPr>
            <w:tcW w:w="562" w:type="dxa"/>
            <w:vAlign w:val="center"/>
          </w:tcPr>
          <w:p>
            <w:pPr>
              <w:spacing w:line="360" w:lineRule="auto"/>
              <w:rPr>
                <w:rFonts w:ascii="宋体" w:hAnsi="宋体" w:cs="宋体"/>
                <w:color w:val="000000"/>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乙方：</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000000"/>
                <w:sz w:val="24"/>
                <w:szCs w:val="24"/>
              </w:rPr>
            </w:pPr>
            <w:r>
              <w:rPr>
                <w:rFonts w:hint="eastAsia" w:ascii="宋体" w:hAnsi="宋体" w:cs="宋体"/>
                <w:color w:val="000000"/>
                <w:sz w:val="24"/>
                <w:szCs w:val="24"/>
              </w:rPr>
              <w:t>(盖章)</w:t>
            </w:r>
          </w:p>
          <w:p>
            <w:pPr>
              <w:spacing w:line="360" w:lineRule="auto"/>
              <w:rPr>
                <w:rFonts w:ascii="宋体" w:hAnsi="宋体" w:cs="宋体"/>
                <w:color w:val="000000"/>
                <w:sz w:val="24"/>
                <w:szCs w:val="24"/>
              </w:rPr>
            </w:pPr>
          </w:p>
        </w:tc>
        <w:tc>
          <w:tcPr>
            <w:tcW w:w="562" w:type="dxa"/>
          </w:tcPr>
          <w:p>
            <w:pPr>
              <w:spacing w:line="360" w:lineRule="auto"/>
              <w:rPr>
                <w:rFonts w:ascii="宋体" w:hAnsi="宋体" w:cs="宋体"/>
                <w:color w:val="000000"/>
                <w:sz w:val="24"/>
                <w:szCs w:val="24"/>
              </w:rPr>
            </w:pPr>
          </w:p>
        </w:tc>
        <w:tc>
          <w:tcPr>
            <w:tcW w:w="4007" w:type="dxa"/>
          </w:tcPr>
          <w:p>
            <w:pPr>
              <w:spacing w:line="360" w:lineRule="auto"/>
              <w:rPr>
                <w:rFonts w:ascii="宋体" w:hAnsi="宋体" w:cs="宋体"/>
                <w:color w:val="000000"/>
                <w:sz w:val="24"/>
                <w:szCs w:val="24"/>
              </w:rPr>
            </w:pPr>
            <w:r>
              <w:rPr>
                <w:rFonts w:hint="eastAsia" w:ascii="宋体" w:hAnsi="宋体" w:cs="宋体"/>
                <w:color w:val="000000"/>
                <w:sz w:val="24"/>
                <w:szCs w:val="24"/>
              </w:rPr>
              <w:t>(盖章)</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000000"/>
                <w:sz w:val="24"/>
                <w:szCs w:val="24"/>
              </w:rPr>
            </w:pPr>
            <w:r>
              <w:rPr>
                <w:rFonts w:hint="eastAsia" w:ascii="宋体" w:hAnsi="宋体" w:cs="宋体"/>
                <w:color w:val="000000"/>
                <w:sz w:val="24"/>
                <w:szCs w:val="24"/>
              </w:rPr>
              <w:t>法定代表人/授权代理人：</w:t>
            </w:r>
          </w:p>
          <w:p>
            <w:pPr>
              <w:spacing w:line="360" w:lineRule="auto"/>
              <w:rPr>
                <w:rFonts w:ascii="宋体" w:hAnsi="宋体" w:cs="宋体"/>
                <w:color w:val="000000"/>
                <w:sz w:val="24"/>
                <w:szCs w:val="24"/>
              </w:rPr>
            </w:pPr>
          </w:p>
        </w:tc>
        <w:tc>
          <w:tcPr>
            <w:tcW w:w="562" w:type="dxa"/>
          </w:tcPr>
          <w:p>
            <w:pPr>
              <w:spacing w:line="360" w:lineRule="auto"/>
              <w:rPr>
                <w:rFonts w:ascii="宋体" w:hAnsi="宋体" w:cs="宋体"/>
                <w:sz w:val="24"/>
                <w:szCs w:val="24"/>
              </w:rPr>
            </w:pPr>
          </w:p>
        </w:tc>
        <w:tc>
          <w:tcPr>
            <w:tcW w:w="4007" w:type="dxa"/>
          </w:tcPr>
          <w:p>
            <w:pPr>
              <w:spacing w:line="360" w:lineRule="auto"/>
              <w:rPr>
                <w:rFonts w:ascii="宋体" w:hAnsi="宋体" w:cs="宋体"/>
                <w:color w:val="000000"/>
                <w:sz w:val="24"/>
                <w:szCs w:val="24"/>
              </w:rPr>
            </w:pPr>
            <w:r>
              <w:rPr>
                <w:rFonts w:hint="eastAsia" w:ascii="宋体" w:hAnsi="宋体" w:cs="宋体"/>
                <w:color w:val="000000"/>
                <w:sz w:val="24"/>
                <w:szCs w:val="24"/>
              </w:rPr>
              <w:t>法定代表人/授权代理人：</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sz w:val="24"/>
                <w:szCs w:val="24"/>
              </w:rPr>
            </w:pPr>
            <w:r>
              <w:rPr>
                <w:rFonts w:hint="eastAsia" w:ascii="宋体" w:hAnsi="宋体" w:cs="宋体"/>
                <w:color w:val="000000"/>
                <w:sz w:val="24"/>
                <w:szCs w:val="24"/>
              </w:rPr>
              <w:t>联系人：</w:t>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ind w:right="-19" w:rightChars="-9"/>
              <w:rPr>
                <w:rFonts w:ascii="宋体" w:hAnsi="宋体" w:cs="宋体"/>
                <w:color w:val="000000"/>
                <w:sz w:val="24"/>
                <w:szCs w:val="24"/>
              </w:rPr>
            </w:pPr>
            <w:r>
              <w:rPr>
                <w:rFonts w:hint="eastAsia" w:ascii="宋体" w:hAnsi="宋体" w:cs="宋体"/>
                <w:color w:val="000000"/>
                <w:sz w:val="24"/>
                <w:szCs w:val="24"/>
              </w:rPr>
              <w:t>联系人：</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sz w:val="24"/>
                <w:szCs w:val="24"/>
              </w:rPr>
            </w:pPr>
            <w:r>
              <w:rPr>
                <w:rFonts w:hint="eastAsia" w:ascii="宋体" w:hAnsi="宋体" w:cs="宋体"/>
                <w:color w:val="000000"/>
                <w:sz w:val="24"/>
                <w:szCs w:val="24"/>
              </w:rPr>
              <w:t>地址：广州市天河区临江大道501号</w:t>
            </w:r>
          </w:p>
        </w:tc>
        <w:tc>
          <w:tcPr>
            <w:tcW w:w="562" w:type="dxa"/>
          </w:tcPr>
          <w:p>
            <w:pPr>
              <w:spacing w:line="360" w:lineRule="auto"/>
              <w:rPr>
                <w:rFonts w:ascii="宋体" w:hAnsi="宋体" w:cs="宋体"/>
                <w:sz w:val="24"/>
                <w:szCs w:val="24"/>
              </w:rPr>
            </w:pPr>
          </w:p>
        </w:tc>
        <w:tc>
          <w:tcPr>
            <w:tcW w:w="4007" w:type="dxa"/>
          </w:tcPr>
          <w:p>
            <w:pPr>
              <w:spacing w:line="360" w:lineRule="auto"/>
              <w:rPr>
                <w:rFonts w:ascii="宋体" w:hAnsi="宋体" w:cs="宋体"/>
                <w:color w:val="000000"/>
                <w:sz w:val="24"/>
                <w:szCs w:val="24"/>
              </w:rPr>
            </w:pPr>
            <w:r>
              <w:rPr>
                <w:rFonts w:hint="eastAsia" w:ascii="宋体" w:hAnsi="宋体" w:cs="宋体"/>
                <w:color w:val="000000"/>
                <w:sz w:val="24"/>
                <w:szCs w:val="24"/>
              </w:rPr>
              <w:t>地址：</w:t>
            </w:r>
          </w:p>
        </w:tc>
      </w:tr>
      <w:tr>
        <w:tblPrEx>
          <w:tblCellMar>
            <w:top w:w="0" w:type="dxa"/>
            <w:left w:w="28" w:type="dxa"/>
            <w:bottom w:w="0" w:type="dxa"/>
            <w:right w:w="28" w:type="dxa"/>
          </w:tblCellMar>
        </w:tblPrEx>
        <w:trPr>
          <w:jc w:val="center"/>
        </w:trPr>
        <w:tc>
          <w:tcPr>
            <w:tcW w:w="3857" w:type="dxa"/>
            <w:vAlign w:val="center"/>
          </w:tcPr>
          <w:p>
            <w:pPr>
              <w:tabs>
                <w:tab w:val="right" w:pos="4098"/>
              </w:tabs>
              <w:spacing w:line="360" w:lineRule="auto"/>
              <w:rPr>
                <w:rFonts w:ascii="宋体" w:hAnsi="宋体" w:cs="宋体"/>
                <w:sz w:val="24"/>
                <w:szCs w:val="24"/>
              </w:rPr>
            </w:pPr>
            <w:r>
              <w:rPr>
                <w:rFonts w:hint="eastAsia" w:ascii="宋体" w:hAnsi="宋体" w:cs="宋体"/>
                <w:color w:val="000000"/>
                <w:sz w:val="24"/>
                <w:szCs w:val="24"/>
              </w:rPr>
              <w:t>邮政编码：510655</w:t>
            </w:r>
            <w:r>
              <w:rPr>
                <w:rFonts w:hint="eastAsia" w:ascii="宋体" w:hAnsi="宋体" w:cs="宋体"/>
                <w:sz w:val="24"/>
                <w:szCs w:val="24"/>
              </w:rPr>
              <w:tab/>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邮政编码：</w:t>
            </w:r>
          </w:p>
        </w:tc>
      </w:tr>
      <w:tr>
        <w:tblPrEx>
          <w:tblCellMar>
            <w:top w:w="0" w:type="dxa"/>
            <w:left w:w="28" w:type="dxa"/>
            <w:bottom w:w="0" w:type="dxa"/>
            <w:right w:w="28" w:type="dxa"/>
          </w:tblCellMar>
        </w:tblPrEx>
        <w:trPr>
          <w:trHeight w:val="453" w:hRule="atLeast"/>
          <w:jc w:val="center"/>
        </w:trPr>
        <w:tc>
          <w:tcPr>
            <w:tcW w:w="3857" w:type="dxa"/>
            <w:vAlign w:val="center"/>
          </w:tcPr>
          <w:p>
            <w:pPr>
              <w:spacing w:line="360" w:lineRule="auto"/>
              <w:rPr>
                <w:rFonts w:ascii="宋体" w:hAnsi="宋体" w:cs="宋体"/>
                <w:sz w:val="24"/>
                <w:szCs w:val="24"/>
              </w:rPr>
            </w:pPr>
            <w:r>
              <w:rPr>
                <w:rFonts w:hint="eastAsia" w:ascii="宋体" w:hAnsi="宋体" w:cs="宋体"/>
                <w:color w:val="000000"/>
                <w:sz w:val="24"/>
                <w:szCs w:val="24"/>
              </w:rPr>
              <w:t>电话：</w:t>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电话：</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sz w:val="24"/>
                <w:szCs w:val="24"/>
              </w:rPr>
            </w:pPr>
            <w:r>
              <w:rPr>
                <w:rFonts w:hint="eastAsia" w:ascii="宋体" w:hAnsi="宋体" w:cs="宋体"/>
                <w:color w:val="000000"/>
                <w:sz w:val="24"/>
                <w:szCs w:val="24"/>
              </w:rPr>
              <w:t>传真：</w:t>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传真：</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000000"/>
                <w:sz w:val="24"/>
                <w:szCs w:val="24"/>
              </w:rPr>
            </w:pP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银行帐户：</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000000"/>
                <w:sz w:val="24"/>
                <w:szCs w:val="24"/>
              </w:rPr>
            </w:pP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银行帐号：</w:t>
            </w:r>
          </w:p>
        </w:tc>
      </w:tr>
      <w:tr>
        <w:tblPrEx>
          <w:tblCellMar>
            <w:top w:w="0" w:type="dxa"/>
            <w:left w:w="28" w:type="dxa"/>
            <w:bottom w:w="0" w:type="dxa"/>
            <w:right w:w="28" w:type="dxa"/>
          </w:tblCellMar>
        </w:tblPrEx>
        <w:trPr>
          <w:trHeight w:val="416" w:hRule="atLeast"/>
          <w:jc w:val="center"/>
        </w:trPr>
        <w:tc>
          <w:tcPr>
            <w:tcW w:w="3857" w:type="dxa"/>
            <w:vAlign w:val="center"/>
          </w:tcPr>
          <w:p>
            <w:pPr>
              <w:rPr>
                <w:rFonts w:ascii="宋体" w:hAnsi="宋体" w:cs="宋体"/>
                <w:sz w:val="24"/>
                <w:szCs w:val="24"/>
              </w:rPr>
            </w:pPr>
            <w:r>
              <w:rPr>
                <w:rFonts w:hint="eastAsia" w:ascii="宋体" w:hAnsi="宋体" w:cs="宋体"/>
                <w:sz w:val="24"/>
                <w:szCs w:val="24"/>
              </w:rPr>
              <w:t>签约日期：2021年月日</w:t>
            </w:r>
          </w:p>
        </w:tc>
        <w:tc>
          <w:tcPr>
            <w:tcW w:w="562" w:type="dxa"/>
            <w:vAlign w:val="center"/>
          </w:tcPr>
          <w:p>
            <w:pPr>
              <w:rPr>
                <w:rFonts w:ascii="宋体" w:hAnsi="宋体" w:cs="宋体"/>
                <w:sz w:val="24"/>
                <w:szCs w:val="24"/>
              </w:rPr>
            </w:pPr>
          </w:p>
        </w:tc>
        <w:tc>
          <w:tcPr>
            <w:tcW w:w="4007" w:type="dxa"/>
            <w:vAlign w:val="center"/>
          </w:tcPr>
          <w:p>
            <w:pPr>
              <w:rPr>
                <w:rFonts w:ascii="宋体" w:hAnsi="宋体" w:cs="宋体"/>
                <w:sz w:val="24"/>
                <w:szCs w:val="24"/>
              </w:rPr>
            </w:pPr>
            <w:r>
              <w:rPr>
                <w:rFonts w:hint="eastAsia" w:ascii="宋体" w:hAnsi="宋体" w:cs="宋体"/>
                <w:sz w:val="24"/>
                <w:szCs w:val="24"/>
              </w:rPr>
              <w:t>签约日期：2021年月日</w:t>
            </w:r>
          </w:p>
        </w:tc>
      </w:tr>
    </w:tbl>
    <w:p>
      <w:pPr>
        <w:pStyle w:val="10"/>
        <w:spacing w:line="360" w:lineRule="auto"/>
        <w:ind w:left="465" w:leftChars="50" w:hanging="360" w:hangingChars="150"/>
        <w:rPr>
          <w:rFonts w:ascii="宋体" w:hAnsi="宋体" w:cs="宋体"/>
          <w:color w:val="000000"/>
          <w:sz w:val="24"/>
          <w:szCs w:val="24"/>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发包通知书</w:t>
      </w:r>
    </w:p>
    <w:p>
      <w:pPr>
        <w:spacing w:line="360" w:lineRule="auto"/>
        <w:rPr>
          <w:rFonts w:ascii="宋体" w:hAnsi="宋体" w:cs="宋体"/>
          <w:b/>
          <w:bCs/>
          <w:szCs w:val="21"/>
        </w:rPr>
      </w:pPr>
      <w:r>
        <w:rPr>
          <w:rFonts w:hint="eastAsia" w:ascii="宋体" w:hAnsi="宋体" w:cs="宋体"/>
          <w:b/>
          <w:bCs/>
          <w:szCs w:val="21"/>
        </w:rPr>
        <w:t>附件2廉洁协议</w:t>
      </w:r>
    </w:p>
    <w:p>
      <w:pPr>
        <w:pStyle w:val="2"/>
      </w:pPr>
    </w:p>
    <w:p>
      <w:pPr>
        <w:keepNext w:val="0"/>
        <w:keepLines w:val="0"/>
        <w:pageBreakBefore w:val="0"/>
        <w:kinsoku/>
        <w:wordWrap/>
        <w:overflowPunct/>
        <w:topLinePunct w:val="0"/>
        <w:autoSpaceDE/>
        <w:autoSpaceDN/>
        <w:bidi w:val="0"/>
        <w:adjustRightInd/>
        <w:snapToGrid/>
        <w:spacing w:line="560" w:lineRule="exact"/>
        <w:ind w:firstLine="4337" w:firstLineChars="1800"/>
        <w:jc w:val="left"/>
        <w:textAlignment w:val="auto"/>
        <w:rPr>
          <w:rFonts w:hint="eastAsia" w:asciiTheme="minorEastAsia" w:hAnsiTheme="minorEastAsia" w:eastAsiaTheme="minorEastAsia" w:cstheme="minorEastAsia"/>
          <w:b w:val="0"/>
          <w:bCs/>
          <w:color w:val="auto"/>
          <w:sz w:val="24"/>
          <w:szCs w:val="24"/>
          <w:highlight w:val="none"/>
        </w:rPr>
      </w:pPr>
      <w:bookmarkStart w:id="11" w:name="_Toc389815339"/>
      <w:bookmarkStart w:id="12" w:name="_Toc389815031"/>
      <w:bookmarkStart w:id="13" w:name="_Toc387080836"/>
      <w:r>
        <w:rPr>
          <w:rFonts w:hint="eastAsia" w:asciiTheme="minorEastAsia" w:hAnsiTheme="minorEastAsia" w:eastAsiaTheme="minorEastAsia" w:cstheme="minorEastAsia"/>
          <w:b/>
          <w:bCs w:val="0"/>
          <w:color w:val="auto"/>
          <w:sz w:val="24"/>
          <w:szCs w:val="24"/>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540" w:firstLineChars="225"/>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为促进双方诚信经营、廉洁从业，防范商业贿赂，保护国家、集体和当事人的合法权益，根据国家有关法律法规和广东省、广州市廉政建设的规定，</w:t>
      </w:r>
      <w:r>
        <w:rPr>
          <w:rFonts w:hint="eastAsia" w:asciiTheme="minorEastAsia" w:hAnsiTheme="minorEastAsia" w:eastAsiaTheme="minorEastAsia" w:cstheme="minorEastAsia"/>
          <w:b w:val="0"/>
          <w:bCs/>
          <w:color w:val="auto"/>
          <w:sz w:val="24"/>
          <w:szCs w:val="24"/>
          <w:highlight w:val="none"/>
          <w:u w:val="single"/>
        </w:rPr>
        <w:t>广州市净水有限公司</w:t>
      </w:r>
      <w:r>
        <w:rPr>
          <w:rFonts w:hint="eastAsia" w:asciiTheme="minorEastAsia" w:hAnsiTheme="minorEastAsia" w:eastAsiaTheme="minorEastAsia" w:cstheme="minorEastAsia"/>
          <w:b w:val="0"/>
          <w:bCs/>
          <w:color w:val="auto"/>
          <w:sz w:val="24"/>
          <w:szCs w:val="24"/>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360" w:firstLineChars="15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360" w:firstLineChars="15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（二）严格执行</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360" w:firstLineChars="15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360" w:firstLineChars="15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360" w:firstLineChars="15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rPr>
        <w:t>（五）发现对方在业务活动中有不廉洁行为，应及时提醒对方纠正。情节严重的，应向其有关监督部门</w:t>
      </w:r>
      <w:r>
        <w:rPr>
          <w:rFonts w:hint="eastAsia" w:asciiTheme="minorEastAsia" w:hAnsiTheme="minorEastAsia" w:eastAsiaTheme="minorEastAsia" w:cstheme="minorEastAsia"/>
          <w:b w:val="0"/>
          <w:bCs/>
          <w:color w:val="auto"/>
          <w:sz w:val="24"/>
          <w:szCs w:val="24"/>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（三）乙方不得以任何理由安排甲方工作人员参加可能影响相关业务公开、公正、公平性的宴请及娱乐活动。</w:t>
      </w:r>
    </w:p>
    <w:p>
      <w:pPr>
        <w:pStyle w:val="10"/>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（五）乙方不得擅自与甲方工作人员就</w:t>
      </w:r>
      <w:r>
        <w:rPr>
          <w:rFonts w:hint="eastAsia" w:asciiTheme="minorEastAsia" w:hAnsiTheme="minorEastAsia" w:eastAsiaTheme="minorEastAsia" w:cstheme="minorEastAsia"/>
          <w:b w:val="0"/>
          <w:bCs/>
          <w:color w:val="auto"/>
          <w:sz w:val="24"/>
          <w:szCs w:val="24"/>
          <w:highlight w:val="none"/>
          <w:lang w:val="en-US" w:eastAsia="zh-CN"/>
        </w:rPr>
        <w:t>主</w:t>
      </w:r>
      <w:r>
        <w:rPr>
          <w:rFonts w:hint="eastAsia" w:asciiTheme="minorEastAsia" w:hAnsiTheme="minorEastAsia" w:eastAsiaTheme="minorEastAsia" w:cstheme="minorEastAsia"/>
          <w:b w:val="0"/>
          <w:bCs/>
          <w:color w:val="auto"/>
          <w:sz w:val="24"/>
          <w:szCs w:val="24"/>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甲方举报投诉联系部门：广州市净水有限公司</w:t>
      </w:r>
      <w:r>
        <w:rPr>
          <w:rFonts w:hint="eastAsia" w:asciiTheme="minorEastAsia" w:hAnsiTheme="minorEastAsia" w:eastAsiaTheme="minorEastAsia" w:cstheme="minorEastAsia"/>
          <w:b w:val="0"/>
          <w:bCs/>
          <w:color w:val="auto"/>
          <w:sz w:val="24"/>
          <w:szCs w:val="24"/>
          <w:highlight w:val="none"/>
          <w:u w:val="single"/>
        </w:rPr>
        <w:t>纪检室</w:t>
      </w:r>
      <w:r>
        <w:rPr>
          <w:rFonts w:hint="eastAsia" w:asciiTheme="minorEastAsia" w:hAnsiTheme="minorEastAsia" w:eastAsiaTheme="minorEastAsia" w:cstheme="minorEastAsia"/>
          <w:b w:val="0"/>
          <w:bCs/>
          <w:color w:val="auto"/>
          <w:sz w:val="24"/>
          <w:szCs w:val="24"/>
          <w:highlight w:val="none"/>
        </w:rPr>
        <w:t>，联系电话：</w:t>
      </w:r>
      <w:r>
        <w:rPr>
          <w:rFonts w:hint="eastAsia" w:asciiTheme="minorEastAsia" w:hAnsiTheme="minorEastAsia" w:eastAsiaTheme="minorEastAsia" w:cstheme="minorEastAsia"/>
          <w:b w:val="0"/>
          <w:bCs/>
          <w:color w:val="auto"/>
          <w:sz w:val="24"/>
          <w:szCs w:val="24"/>
          <w:highlight w:val="none"/>
          <w:u w:val="single"/>
        </w:rPr>
        <w:t xml:space="preserve"> 020-38890265 </w:t>
      </w:r>
      <w:r>
        <w:rPr>
          <w:rFonts w:hint="eastAsia" w:asciiTheme="minorEastAsia" w:hAnsiTheme="minorEastAsia" w:eastAsiaTheme="minorEastAsia" w:cstheme="minorEastAsia"/>
          <w:b w:val="0"/>
          <w:bCs/>
          <w:color w:val="auto"/>
          <w:sz w:val="24"/>
          <w:szCs w:val="24"/>
          <w:highlight w:val="none"/>
        </w:rPr>
        <w:t>。</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Theme="minorEastAsia" w:hAnsiTheme="minorEastAsia" w:eastAsiaTheme="minorEastAsia" w:cstheme="minorEastAsia"/>
          <w:b w:val="0"/>
          <w:bCs/>
          <w:i w:val="0"/>
          <w:iCs w:val="0"/>
          <w:caps w:val="0"/>
          <w:color w:val="auto"/>
          <w:spacing w:val="0"/>
          <w:sz w:val="24"/>
          <w:szCs w:val="24"/>
          <w:highlight w:val="none"/>
        </w:rPr>
      </w:pPr>
      <w:r>
        <w:rPr>
          <w:rFonts w:hint="eastAsia" w:asciiTheme="minorEastAsia" w:hAnsiTheme="minorEastAsia" w:eastAsiaTheme="minorEastAsia" w:cstheme="minorEastAsia"/>
          <w:b w:val="0"/>
          <w:bCs/>
          <w:i w:val="0"/>
          <w:iCs w:val="0"/>
          <w:caps w:val="0"/>
          <w:color w:val="auto"/>
          <w:spacing w:val="0"/>
          <w:sz w:val="24"/>
          <w:szCs w:val="24"/>
          <w:highlight w:val="none"/>
        </w:rPr>
        <w:t>（二）乙方及其工作人员</w:t>
      </w:r>
      <w:r>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t>存在</w:t>
      </w:r>
      <w:r>
        <w:rPr>
          <w:rFonts w:hint="eastAsia" w:asciiTheme="minorEastAsia" w:hAnsiTheme="minorEastAsia" w:eastAsiaTheme="minorEastAsia" w:cstheme="minorEastAsia"/>
          <w:b w:val="0"/>
          <w:bCs/>
          <w:i w:val="0"/>
          <w:iCs w:val="0"/>
          <w:caps w:val="0"/>
          <w:color w:val="auto"/>
          <w:spacing w:val="0"/>
          <w:sz w:val="24"/>
          <w:szCs w:val="24"/>
          <w:highlight w:val="none"/>
        </w:rPr>
        <w:t>违反本协议第一、三条规定、或在甲方招标、询价等过程中违反法律法规中的廉洁规定</w:t>
      </w:r>
      <w:r>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t>的行为</w:t>
      </w:r>
      <w:r>
        <w:rPr>
          <w:rFonts w:hint="eastAsia" w:asciiTheme="minorEastAsia" w:hAnsiTheme="minorEastAsia" w:eastAsiaTheme="minorEastAsia" w:cstheme="minorEastAsia"/>
          <w:b w:val="0"/>
          <w:bCs/>
          <w:i w:val="0"/>
          <w:iCs w:val="0"/>
          <w:caps w:val="0"/>
          <w:color w:val="auto"/>
          <w:spacing w:val="0"/>
          <w:sz w:val="24"/>
          <w:szCs w:val="24"/>
          <w:highlight w:val="none"/>
        </w:rPr>
        <w:t>，</w:t>
      </w:r>
      <w:r>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t>无论该行为是否与主合同有关，</w:t>
      </w:r>
      <w:r>
        <w:rPr>
          <w:rFonts w:hint="eastAsia" w:asciiTheme="minorEastAsia" w:hAnsiTheme="minorEastAsia" w:eastAsiaTheme="minorEastAsia" w:cstheme="minorEastAsia"/>
          <w:b w:val="0"/>
          <w:bCs/>
          <w:i w:val="0"/>
          <w:iCs w:val="0"/>
          <w:caps w:val="0"/>
          <w:color w:val="auto"/>
          <w:spacing w:val="0"/>
          <w:sz w:val="24"/>
          <w:szCs w:val="24"/>
          <w:highlight w:val="none"/>
        </w:rPr>
        <w:t>甲方</w:t>
      </w:r>
      <w:r>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t>均</w:t>
      </w:r>
      <w:r>
        <w:rPr>
          <w:rFonts w:hint="eastAsia" w:asciiTheme="minorEastAsia" w:hAnsiTheme="minorEastAsia" w:eastAsiaTheme="minorEastAsia" w:cstheme="minorEastAsia"/>
          <w:b w:val="0"/>
          <w:bCs/>
          <w:i w:val="0"/>
          <w:iCs w:val="0"/>
          <w:caps w:val="0"/>
          <w:color w:val="auto"/>
          <w:spacing w:val="0"/>
          <w:sz w:val="24"/>
          <w:szCs w:val="24"/>
          <w:highlight w:val="none"/>
        </w:rPr>
        <w:t>有权根据具体情节和造成的后果，对乙方采取以下处理</w:t>
      </w:r>
      <w:r>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t>方式</w:t>
      </w:r>
      <w:r>
        <w:rPr>
          <w:rFonts w:hint="eastAsia" w:asciiTheme="minorEastAsia" w:hAnsiTheme="minorEastAsia" w:eastAsiaTheme="minorEastAsia" w:cstheme="minorEastAsia"/>
          <w:b w:val="0"/>
          <w:bCs/>
          <w:i w:val="0"/>
          <w:iCs w:val="0"/>
          <w:caps w:val="0"/>
          <w:color w:val="auto"/>
          <w:spacing w:val="0"/>
          <w:sz w:val="24"/>
          <w:szCs w:val="24"/>
          <w:highlight w:val="none"/>
        </w:rPr>
        <w:t>：</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Theme="minorEastAsia" w:hAnsiTheme="minorEastAsia" w:eastAsiaTheme="minorEastAsia" w:cstheme="minorEastAsia"/>
          <w:b w:val="0"/>
          <w:bCs/>
          <w:i w:val="0"/>
          <w:iCs w:val="0"/>
          <w:caps w:val="0"/>
          <w:color w:val="auto"/>
          <w:spacing w:val="0"/>
          <w:sz w:val="24"/>
          <w:szCs w:val="24"/>
          <w:highlight w:val="none"/>
        </w:rPr>
      </w:pPr>
      <w:r>
        <w:rPr>
          <w:rFonts w:hint="eastAsia" w:asciiTheme="minorEastAsia" w:hAnsiTheme="minorEastAsia" w:eastAsiaTheme="minorEastAsia" w:cstheme="minorEastAsia"/>
          <w:b w:val="0"/>
          <w:bCs/>
          <w:i w:val="0"/>
          <w:iCs w:val="0"/>
          <w:caps w:val="0"/>
          <w:color w:val="auto"/>
          <w:spacing w:val="0"/>
          <w:sz w:val="24"/>
          <w:szCs w:val="24"/>
          <w:highlight w:val="none"/>
        </w:rPr>
        <w:t>1、扣除主合同的全部履约保证金；</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Theme="minorEastAsia" w:hAnsiTheme="minorEastAsia" w:eastAsiaTheme="minorEastAsia" w:cstheme="minorEastAsia"/>
          <w:b w:val="0"/>
          <w:bCs/>
          <w:i w:val="0"/>
          <w:iCs w:val="0"/>
          <w:caps w:val="0"/>
          <w:color w:val="auto"/>
          <w:spacing w:val="0"/>
          <w:sz w:val="24"/>
          <w:szCs w:val="24"/>
          <w:highlight w:val="none"/>
        </w:rPr>
      </w:pPr>
      <w:r>
        <w:rPr>
          <w:rFonts w:hint="eastAsia" w:asciiTheme="minorEastAsia" w:hAnsiTheme="minorEastAsia" w:eastAsiaTheme="minorEastAsia" w:cstheme="minorEastAsia"/>
          <w:b w:val="0"/>
          <w:bCs/>
          <w:i w:val="0"/>
          <w:iCs w:val="0"/>
          <w:caps w:val="0"/>
          <w:color w:val="auto"/>
          <w:spacing w:val="0"/>
          <w:sz w:val="24"/>
          <w:szCs w:val="24"/>
          <w:highlight w:val="none"/>
        </w:rPr>
        <w:t>2、解除</w:t>
      </w:r>
      <w:r>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t>主合同</w:t>
      </w:r>
      <w:r>
        <w:rPr>
          <w:rFonts w:hint="eastAsia" w:asciiTheme="minorEastAsia" w:hAnsiTheme="minorEastAsia" w:eastAsiaTheme="minorEastAsia" w:cstheme="minorEastAsia"/>
          <w:b w:val="0"/>
          <w:bCs/>
          <w:i w:val="0"/>
          <w:iCs w:val="0"/>
          <w:caps w:val="0"/>
          <w:color w:val="auto"/>
          <w:spacing w:val="0"/>
          <w:sz w:val="24"/>
          <w:szCs w:val="24"/>
          <w:highlight w:val="none"/>
        </w:rPr>
        <w:t>；</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Theme="minorEastAsia" w:hAnsiTheme="minorEastAsia" w:eastAsiaTheme="minorEastAsia" w:cstheme="minorEastAsia"/>
          <w:b w:val="0"/>
          <w:bCs/>
          <w:i w:val="0"/>
          <w:iCs w:val="0"/>
          <w:caps w:val="0"/>
          <w:color w:val="auto"/>
          <w:spacing w:val="0"/>
          <w:sz w:val="24"/>
          <w:szCs w:val="24"/>
          <w:highlight w:val="none"/>
        </w:rPr>
      </w:pPr>
      <w:r>
        <w:rPr>
          <w:rFonts w:hint="eastAsia" w:asciiTheme="minorEastAsia" w:hAnsiTheme="minorEastAsia" w:eastAsiaTheme="minorEastAsia" w:cstheme="minorEastAsia"/>
          <w:b w:val="0"/>
          <w:bCs/>
          <w:i w:val="0"/>
          <w:iCs w:val="0"/>
          <w:caps w:val="0"/>
          <w:color w:val="auto"/>
          <w:spacing w:val="0"/>
          <w:sz w:val="24"/>
          <w:szCs w:val="24"/>
          <w:highlight w:val="none"/>
        </w:rPr>
        <w:t>3、追究乙方其他违约责任；</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Theme="minorEastAsia" w:hAnsiTheme="minorEastAsia" w:eastAsiaTheme="minorEastAsia" w:cstheme="minorEastAsia"/>
          <w:b w:val="0"/>
          <w:bCs/>
          <w:i w:val="0"/>
          <w:iCs w:val="0"/>
          <w:caps w:val="0"/>
          <w:color w:val="auto"/>
          <w:spacing w:val="0"/>
          <w:sz w:val="24"/>
          <w:szCs w:val="24"/>
          <w:highlight w:val="none"/>
        </w:rPr>
      </w:pPr>
      <w:r>
        <w:rPr>
          <w:rFonts w:hint="eastAsia" w:asciiTheme="minorEastAsia" w:hAnsiTheme="minorEastAsia" w:eastAsiaTheme="minorEastAsia" w:cstheme="minorEastAsia"/>
          <w:b w:val="0"/>
          <w:bCs/>
          <w:i w:val="0"/>
          <w:iCs w:val="0"/>
          <w:caps w:val="0"/>
          <w:color w:val="auto"/>
          <w:spacing w:val="0"/>
          <w:sz w:val="24"/>
          <w:szCs w:val="24"/>
          <w:highlight w:val="none"/>
        </w:rPr>
        <w:t>4、根据甲方的有关规章制度，在一定时间内暂停乙方参与甲方及下属单位所有项目的交易资格；</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Theme="minorEastAsia" w:hAnsiTheme="minorEastAsia" w:eastAsiaTheme="minorEastAsia" w:cstheme="minorEastAsia"/>
          <w:b w:val="0"/>
          <w:bCs/>
          <w:i w:val="0"/>
          <w:iCs w:val="0"/>
          <w:caps w:val="0"/>
          <w:color w:val="auto"/>
          <w:spacing w:val="0"/>
          <w:sz w:val="24"/>
          <w:szCs w:val="24"/>
          <w:highlight w:val="none"/>
        </w:rPr>
      </w:pPr>
      <w:r>
        <w:rPr>
          <w:rFonts w:hint="eastAsia" w:asciiTheme="minorEastAsia" w:hAnsiTheme="minorEastAsia" w:eastAsiaTheme="minorEastAsia" w:cstheme="minorEastAsia"/>
          <w:b w:val="0"/>
          <w:bCs/>
          <w:i w:val="0"/>
          <w:iCs w:val="0"/>
          <w:caps w:val="0"/>
          <w:color w:val="auto"/>
          <w:spacing w:val="0"/>
          <w:sz w:val="24"/>
          <w:szCs w:val="24"/>
          <w:highlight w:val="none"/>
        </w:rPr>
        <w:t>5、根据甲方的有关规章制度，将乙方清退出甲方相关企业库；</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Theme="minorEastAsia" w:hAnsiTheme="minorEastAsia" w:eastAsiaTheme="minorEastAsia" w:cstheme="minorEastAsia"/>
          <w:b w:val="0"/>
          <w:bCs/>
          <w:i w:val="0"/>
          <w:iCs w:val="0"/>
          <w:caps w:val="0"/>
          <w:color w:val="auto"/>
          <w:spacing w:val="0"/>
          <w:sz w:val="24"/>
          <w:szCs w:val="24"/>
          <w:highlight w:val="none"/>
        </w:rPr>
      </w:pPr>
      <w:r>
        <w:rPr>
          <w:rFonts w:hint="eastAsia" w:asciiTheme="minorEastAsia" w:hAnsiTheme="minorEastAsia" w:eastAsiaTheme="minorEastAsia" w:cstheme="minorEastAsia"/>
          <w:b w:val="0"/>
          <w:bCs/>
          <w:i w:val="0"/>
          <w:iCs w:val="0"/>
          <w:caps w:val="0"/>
          <w:color w:val="auto"/>
          <w:spacing w:val="0"/>
          <w:sz w:val="24"/>
          <w:szCs w:val="24"/>
          <w:highlight w:val="none"/>
        </w:rPr>
        <w:t>6、根据甲方上级单位、行政主管部门的意见、决定执行；</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Theme="minorEastAsia" w:hAnsiTheme="minorEastAsia" w:eastAsiaTheme="minorEastAsia" w:cstheme="minorEastAsia"/>
          <w:b w:val="0"/>
          <w:bCs/>
          <w:i w:val="0"/>
          <w:iCs w:val="0"/>
          <w:caps w:val="0"/>
          <w:color w:val="auto"/>
          <w:spacing w:val="0"/>
          <w:sz w:val="24"/>
          <w:szCs w:val="24"/>
          <w:highlight w:val="none"/>
        </w:rPr>
      </w:pPr>
      <w:r>
        <w:rPr>
          <w:rFonts w:hint="eastAsia" w:asciiTheme="minorEastAsia" w:hAnsiTheme="minorEastAsia" w:eastAsiaTheme="minorEastAsia" w:cstheme="minorEastAsia"/>
          <w:b w:val="0"/>
          <w:bCs/>
          <w:i w:val="0"/>
          <w:iCs w:val="0"/>
          <w:caps w:val="0"/>
          <w:color w:val="auto"/>
          <w:spacing w:val="0"/>
          <w:sz w:val="24"/>
          <w:szCs w:val="24"/>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i w:val="0"/>
          <w:iCs w:val="0"/>
          <w:caps w:val="0"/>
          <w:color w:val="auto"/>
          <w:spacing w:val="0"/>
          <w:sz w:val="24"/>
          <w:szCs w:val="24"/>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480" w:firstLineChars="200"/>
        <w:textAlignment w:val="auto"/>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sz w:val="24"/>
          <w:szCs w:val="24"/>
          <w:highlight w:val="none"/>
        </w:rPr>
        <w:t xml:space="preserve">第五条 </w:t>
      </w:r>
      <w:r>
        <w:rPr>
          <w:rFonts w:hint="eastAsia" w:asciiTheme="minorEastAsia" w:hAnsiTheme="minorEastAsia" w:eastAsiaTheme="minorEastAsia" w:cstheme="minorEastAsia"/>
          <w:b w:val="0"/>
          <w:bCs/>
          <w:color w:val="auto"/>
          <w:kern w:val="0"/>
          <w:sz w:val="24"/>
          <w:szCs w:val="24"/>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第六条本协议作为</w:t>
      </w:r>
      <w:r>
        <w:rPr>
          <w:rFonts w:hint="eastAsia" w:asciiTheme="minorEastAsia" w:hAnsiTheme="minorEastAsia" w:eastAsiaTheme="minorEastAsia" w:cstheme="minorEastAsia"/>
          <w:b w:val="0"/>
          <w:bCs/>
          <w:color w:val="auto"/>
          <w:sz w:val="24"/>
          <w:szCs w:val="24"/>
          <w:highlight w:val="none"/>
          <w:u w:val="single"/>
        </w:rPr>
        <w:t>（合同名称）+（合同编号）</w:t>
      </w:r>
      <w:r>
        <w:rPr>
          <w:rFonts w:hint="eastAsia" w:asciiTheme="minorEastAsia" w:hAnsiTheme="minorEastAsia" w:eastAsiaTheme="minorEastAsia" w:cstheme="minorEastAsia"/>
          <w:b w:val="0"/>
          <w:bCs/>
          <w:color w:val="auto"/>
          <w:sz w:val="24"/>
          <w:szCs w:val="24"/>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第七条本协议一式</w:t>
      </w:r>
      <w:r>
        <w:rPr>
          <w:rFonts w:hint="eastAsia" w:asciiTheme="minorEastAsia" w:hAnsiTheme="minorEastAsia" w:eastAsiaTheme="minorEastAsia" w:cstheme="minorEastAsia"/>
          <w:b w:val="0"/>
          <w:bCs/>
          <w:color w:val="auto"/>
          <w:sz w:val="24"/>
          <w:szCs w:val="24"/>
          <w:highlight w:val="none"/>
          <w:u w:val="single"/>
        </w:rPr>
        <w:t>…</w:t>
      </w:r>
      <w:r>
        <w:rPr>
          <w:rFonts w:hint="eastAsia" w:asciiTheme="minorEastAsia" w:hAnsiTheme="minorEastAsia" w:eastAsiaTheme="minorEastAsia" w:cstheme="minorEastAsia"/>
          <w:b w:val="0"/>
          <w:bCs/>
          <w:color w:val="auto"/>
          <w:sz w:val="24"/>
          <w:szCs w:val="24"/>
          <w:highlight w:val="none"/>
        </w:rPr>
        <w:t>份，甲方</w:t>
      </w:r>
      <w:r>
        <w:rPr>
          <w:rFonts w:hint="eastAsia" w:asciiTheme="minorEastAsia" w:hAnsiTheme="minorEastAsia" w:eastAsiaTheme="minorEastAsia" w:cstheme="minorEastAsia"/>
          <w:b w:val="0"/>
          <w:bCs/>
          <w:color w:val="auto"/>
          <w:sz w:val="24"/>
          <w:szCs w:val="24"/>
          <w:highlight w:val="none"/>
          <w:u w:val="single"/>
        </w:rPr>
        <w:t>…</w:t>
      </w:r>
      <w:r>
        <w:rPr>
          <w:rFonts w:hint="eastAsia" w:asciiTheme="minorEastAsia" w:hAnsiTheme="minorEastAsia" w:eastAsiaTheme="minorEastAsia" w:cstheme="minorEastAsia"/>
          <w:b w:val="0"/>
          <w:bCs/>
          <w:color w:val="auto"/>
          <w:sz w:val="24"/>
          <w:szCs w:val="24"/>
          <w:highlight w:val="none"/>
        </w:rPr>
        <w:t>份，乙方</w:t>
      </w:r>
      <w:r>
        <w:rPr>
          <w:rFonts w:hint="eastAsia" w:asciiTheme="minorEastAsia" w:hAnsiTheme="minorEastAsia" w:eastAsiaTheme="minorEastAsia" w:cstheme="minorEastAsia"/>
          <w:b w:val="0"/>
          <w:bCs/>
          <w:color w:val="auto"/>
          <w:sz w:val="24"/>
          <w:szCs w:val="24"/>
          <w:highlight w:val="none"/>
          <w:u w:val="single"/>
        </w:rPr>
        <w:t>…</w:t>
      </w:r>
      <w:r>
        <w:rPr>
          <w:rFonts w:hint="eastAsia" w:asciiTheme="minorEastAsia" w:hAnsiTheme="minorEastAsia" w:eastAsiaTheme="minorEastAsia" w:cstheme="minorEastAsia"/>
          <w:b w:val="0"/>
          <w:bCs/>
          <w:color w:val="auto"/>
          <w:sz w:val="24"/>
          <w:szCs w:val="24"/>
          <w:highlight w:val="none"/>
        </w:rPr>
        <w:t>份。</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甲方（盖章）：                     乙方（盖章）：</w:t>
      </w:r>
    </w:p>
    <w:p>
      <w:pPr>
        <w:pStyle w:val="33"/>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Theme="minorEastAsia" w:hAnsiTheme="minorEastAsia" w:eastAsiaTheme="minorEastAsia" w:cstheme="minorEastAsia"/>
          <w:b w:val="0"/>
          <w:bCs/>
          <w:color w:val="auto"/>
          <w:sz w:val="24"/>
          <w:szCs w:val="24"/>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7200" w:hangingChars="30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签约代表：                         签约代表：</w:t>
      </w:r>
    </w:p>
    <w:p>
      <w:pPr>
        <w:spacing w:line="360" w:lineRule="auto"/>
        <w:jc w:val="center"/>
        <w:rPr>
          <w:rFonts w:ascii="宋体" w:hAnsi="宋体"/>
          <w:sz w:val="24"/>
        </w:rPr>
      </w:pPr>
      <w:r>
        <w:rPr>
          <w:rFonts w:hint="eastAsia" w:asciiTheme="minorEastAsia" w:hAnsiTheme="minorEastAsia" w:eastAsiaTheme="minorEastAsia" w:cstheme="minorEastAsia"/>
          <w:b w:val="0"/>
          <w:bCs/>
          <w:color w:val="auto"/>
          <w:sz w:val="24"/>
          <w:szCs w:val="24"/>
          <w:highlight w:val="none"/>
        </w:rPr>
        <w:t>日期:    年  月  日</w:t>
      </w:r>
      <w:r>
        <w:rPr>
          <w:rFonts w:hint="eastAsia" w:asciiTheme="minorEastAsia" w:hAnsiTheme="minorEastAsia" w:eastAsiaTheme="minorEastAsia" w:cstheme="minorEastAsia"/>
          <w:b w:val="0"/>
          <w:bCs/>
          <w:color w:val="auto"/>
          <w:sz w:val="24"/>
          <w:szCs w:val="24"/>
          <w:highlight w:val="none"/>
        </w:rPr>
        <w:tab/>
      </w:r>
      <w:r>
        <w:rPr>
          <w:rFonts w:hint="eastAsia" w:asciiTheme="minorEastAsia" w:hAnsiTheme="minorEastAsia" w:eastAsiaTheme="minorEastAsia" w:cstheme="minorEastAsia"/>
          <w:b w:val="0"/>
          <w:bCs/>
          <w:color w:val="auto"/>
          <w:sz w:val="24"/>
          <w:szCs w:val="24"/>
          <w:highlight w:val="none"/>
        </w:rPr>
        <w:t>日期：  年  月  日</w:t>
      </w: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both"/>
        <w:rPr>
          <w:rFonts w:ascii="黑体" w:hAnsi="Batang" w:eastAsia="黑体" w:cs="Batang"/>
          <w:bCs/>
          <w:kern w:val="0"/>
          <w:sz w:val="44"/>
          <w:szCs w:val="44"/>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ascii="黑体" w:hAnsi="Batang" w:eastAsia="黑体" w:cs="Batang"/>
          <w:bCs/>
          <w:kern w:val="0"/>
          <w:sz w:val="28"/>
          <w:szCs w:val="28"/>
        </w:rPr>
      </w:pPr>
      <w:r>
        <w:rPr>
          <w:rFonts w:hint="eastAsia" w:ascii="宋体" w:hAnsi="宋体" w:cs="宋体"/>
          <w:b/>
          <w:bCs/>
          <w:szCs w:val="21"/>
        </w:rPr>
        <w:t>附件3 安全协议书</w:t>
      </w: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14"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3"/>
          <w:rFonts w:asciiTheme="minorEastAsia" w:hAnsiTheme="minorEastAsia" w:eastAsiaTheme="minorEastAsia"/>
          <w:b w:val="0"/>
          <w:u w:val="single"/>
        </w:rPr>
      </w:pPr>
    </w:p>
    <w:bookmarkEnd w:id="14"/>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一、本协议与主合同的关系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本协议作为的组成部分，与主合同具有同等法律。</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二、甲方权责</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三、乙方权责</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（三）严格执行国家、地方和行业主管部门的强制性标准、地方行政法规、管理要求。</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（四）遵守甲方制定的安全管理要求。</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（七）乙方聘请、委托的个人或单位，违反本协议的，全部责任均由乙方承担。</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四、事故责任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（五）乙方各类人员在甲方生产区域内发生人身伤害事故和其他事故，由乙方负责调查、处理和统计上报，并报甲方安全监督部门备案。</w:t>
      </w:r>
    </w:p>
    <w:p>
      <w:pPr>
        <w:spacing w:line="560" w:lineRule="exact"/>
        <w:ind w:firstLine="480" w:firstLineChars="200"/>
        <w:rPr>
          <w:rFonts w:asciiTheme="minorEastAsia" w:hAnsiTheme="minorEastAsia"/>
          <w:sz w:val="24"/>
        </w:rPr>
      </w:pPr>
      <w:r>
        <w:rPr>
          <w:rFonts w:hint="eastAsia" w:asciiTheme="minorEastAsia" w:hAnsi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Theme="minorEastAsia" w:hAnsiTheme="minorEastAsia"/>
          <w:sz w:val="24"/>
        </w:rPr>
      </w:pPr>
      <w:r>
        <w:rPr>
          <w:rFonts w:hint="eastAsia" w:asciiTheme="minorEastAsia" w:hAnsiTheme="minorEastAsia"/>
          <w:sz w:val="24"/>
        </w:rPr>
        <w:t>（七）委托的第三方运输单位或个人，违反本协议的，全部责任均由乙方承担。</w:t>
      </w:r>
    </w:p>
    <w:p>
      <w:pPr>
        <w:pStyle w:val="44"/>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六、附则</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sz w:val="24"/>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sz w:val="24"/>
              </w:rPr>
            </w:pPr>
            <w:r>
              <w:rPr>
                <w:rFonts w:hint="eastAsia" w:asciiTheme="minorEastAsia" w:hAnsiTheme="minorEastAsia"/>
                <w:sz w:val="24"/>
              </w:rPr>
              <w:t>甲方：</w:t>
            </w:r>
          </w:p>
          <w:p>
            <w:pPr>
              <w:adjustRightInd w:val="0"/>
              <w:snapToGrid w:val="0"/>
              <w:spacing w:line="560" w:lineRule="exact"/>
              <w:rPr>
                <w:rFonts w:asciiTheme="minorEastAsia" w:hAnsiTheme="minorEastAsia"/>
                <w:sz w:val="24"/>
              </w:rPr>
            </w:pPr>
            <w:r>
              <w:rPr>
                <w:rFonts w:hint="eastAsia" w:asciiTheme="minorEastAsia" w:hAnsiTheme="minorEastAsia"/>
                <w:sz w:val="24"/>
              </w:rPr>
              <w:t>签约代表：</w:t>
            </w:r>
          </w:p>
          <w:p>
            <w:pPr>
              <w:adjustRightInd w:val="0"/>
              <w:snapToGrid w:val="0"/>
              <w:spacing w:line="560" w:lineRule="exact"/>
              <w:rPr>
                <w:rFonts w:asciiTheme="minorEastAsia" w:hAnsiTheme="minorEastAsia"/>
                <w:sz w:val="24"/>
              </w:rPr>
            </w:pPr>
            <w:r>
              <w:rPr>
                <w:rFonts w:hint="eastAsia" w:asciiTheme="minorEastAsia" w:hAnsiTheme="minorEastAsia"/>
                <w:sz w:val="24"/>
              </w:rPr>
              <w:t>联系电话：</w:t>
            </w:r>
          </w:p>
          <w:p>
            <w:pPr>
              <w:adjustRightInd w:val="0"/>
              <w:snapToGrid w:val="0"/>
              <w:spacing w:line="560" w:lineRule="exact"/>
              <w:ind w:firstLine="240" w:firstLineChars="100"/>
              <w:jc w:val="right"/>
              <w:rPr>
                <w:rFonts w:asciiTheme="minorEastAsia" w:hAnsiTheme="minorEastAsia"/>
                <w:sz w:val="24"/>
              </w:rPr>
            </w:pPr>
            <w:r>
              <w:rPr>
                <w:rFonts w:hint="eastAsia" w:asciiTheme="minorEastAsia" w:hAnsiTheme="minorEastAsia"/>
                <w:sz w:val="24"/>
              </w:rPr>
              <w:t>年月日</w:t>
            </w:r>
          </w:p>
        </w:tc>
        <w:tc>
          <w:tcPr>
            <w:tcW w:w="4474" w:type="dxa"/>
          </w:tcPr>
          <w:p>
            <w:pPr>
              <w:adjustRightInd w:val="0"/>
              <w:snapToGrid w:val="0"/>
              <w:spacing w:line="560" w:lineRule="exact"/>
              <w:rPr>
                <w:rFonts w:asciiTheme="minorEastAsia" w:hAnsiTheme="minorEastAsia"/>
                <w:sz w:val="24"/>
              </w:rPr>
            </w:pPr>
            <w:r>
              <w:rPr>
                <w:rFonts w:hint="eastAsia" w:asciiTheme="minorEastAsia" w:hAnsiTheme="minorEastAsia"/>
                <w:sz w:val="24"/>
              </w:rPr>
              <w:t>乙方：</w:t>
            </w:r>
          </w:p>
          <w:p>
            <w:pPr>
              <w:adjustRightInd w:val="0"/>
              <w:snapToGrid w:val="0"/>
              <w:spacing w:line="560" w:lineRule="exact"/>
              <w:rPr>
                <w:rFonts w:asciiTheme="minorEastAsia" w:hAnsiTheme="minorEastAsia"/>
                <w:sz w:val="24"/>
              </w:rPr>
            </w:pPr>
            <w:r>
              <w:rPr>
                <w:rFonts w:hint="eastAsia" w:asciiTheme="minorEastAsia" w:hAnsiTheme="minorEastAsia"/>
                <w:sz w:val="24"/>
              </w:rPr>
              <w:t>签约代表：</w:t>
            </w:r>
          </w:p>
          <w:p>
            <w:pPr>
              <w:adjustRightInd w:val="0"/>
              <w:snapToGrid w:val="0"/>
              <w:spacing w:line="560" w:lineRule="exact"/>
              <w:rPr>
                <w:rFonts w:asciiTheme="minorEastAsia" w:hAnsiTheme="minorEastAsia"/>
                <w:sz w:val="24"/>
              </w:rPr>
            </w:pPr>
            <w:r>
              <w:rPr>
                <w:rFonts w:hint="eastAsia" w:asciiTheme="minorEastAsia" w:hAnsiTheme="minorEastAsia"/>
                <w:sz w:val="24"/>
              </w:rPr>
              <w:t>联系电话：</w:t>
            </w:r>
          </w:p>
          <w:p>
            <w:pPr>
              <w:adjustRightInd w:val="0"/>
              <w:snapToGrid w:val="0"/>
              <w:spacing w:line="560" w:lineRule="exact"/>
              <w:jc w:val="right"/>
              <w:rPr>
                <w:rFonts w:asciiTheme="minorEastAsia" w:hAnsiTheme="minorEastAsia"/>
                <w:sz w:val="24"/>
              </w:rPr>
            </w:pPr>
            <w:r>
              <w:rPr>
                <w:rFonts w:hint="eastAsia" w:asciiTheme="minorEastAsia" w:hAnsiTheme="minorEastAsia"/>
                <w:sz w:val="24"/>
              </w:rPr>
              <w:t>年月日</w:t>
            </w:r>
          </w:p>
        </w:tc>
      </w:tr>
    </w:tbl>
    <w:p>
      <w:pPr>
        <w:pStyle w:val="2"/>
      </w:pPr>
    </w:p>
    <w:p>
      <w:pPr>
        <w:spacing w:line="360" w:lineRule="auto"/>
        <w:jc w:val="center"/>
        <w:rPr>
          <w:rFonts w:ascii="宋体" w:hAnsi="宋体"/>
          <w:b/>
          <w:sz w:val="32"/>
          <w:szCs w:val="32"/>
          <w:highlight w:val="yellow"/>
        </w:rPr>
      </w:pPr>
    </w:p>
    <w:p>
      <w:pPr>
        <w:spacing w:line="360" w:lineRule="auto"/>
        <w:jc w:val="center"/>
        <w:rPr>
          <w:rFonts w:ascii="宋体" w:hAnsi="宋体"/>
          <w:b/>
          <w:sz w:val="32"/>
          <w:szCs w:val="32"/>
          <w:highlight w:val="yellow"/>
        </w:rPr>
      </w:pPr>
    </w:p>
    <w:p>
      <w:pPr>
        <w:tabs>
          <w:tab w:val="left" w:pos="4170"/>
        </w:tabs>
        <w:spacing w:line="360" w:lineRule="auto"/>
        <w:rPr>
          <w:rFonts w:ascii="宋体" w:hAnsi="宋体"/>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附件</w:t>
      </w:r>
      <w:r>
        <w:rPr>
          <w:rFonts w:hint="eastAsia" w:ascii="宋体" w:hAnsi="宋体" w:eastAsia="宋体" w:cs="宋体"/>
          <w:b/>
          <w:bCs/>
          <w:color w:val="000000" w:themeColor="text1"/>
          <w:szCs w:val="21"/>
          <w:highlight w:val="none"/>
          <w:lang w:val="en-US" w:eastAsia="zh-CN"/>
          <w14:textFill>
            <w14:solidFill>
              <w14:schemeClr w14:val="tx1"/>
            </w14:solidFill>
          </w14:textFill>
        </w:rPr>
        <w:t>4</w:t>
      </w:r>
      <w:r>
        <w:rPr>
          <w:rFonts w:hint="eastAsia" w:ascii="宋体" w:hAnsi="宋体" w:eastAsia="宋体" w:cs="宋体"/>
          <w:b/>
          <w:bCs/>
          <w:color w:val="000000" w:themeColor="text1"/>
          <w:szCs w:val="21"/>
          <w:highlight w:val="none"/>
          <w14:textFill>
            <w14:solidFill>
              <w14:schemeClr w14:val="tx1"/>
            </w14:solidFill>
          </w14:textFill>
        </w:rPr>
        <w:t>：</w:t>
      </w:r>
    </w:p>
    <w:p>
      <w:pPr>
        <w:pStyle w:val="2"/>
        <w:rPr>
          <w:rFonts w:hint="eastAsia" w:ascii="宋体" w:hAnsi="宋体" w:eastAsia="宋体" w:cs="宋体"/>
          <w:b/>
          <w:bCs/>
          <w:color w:val="000000" w:themeColor="text1"/>
          <w:szCs w:val="21"/>
          <w:highlight w:val="none"/>
          <w14:textFill>
            <w14:solidFill>
              <w14:schemeClr w14:val="tx1"/>
            </w14:solidFill>
          </w14:textFill>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宋体" w:hAnsi="宋体" w:eastAsia="宋体" w:cs="宋体"/>
          <w:b/>
          <w:bCs/>
          <w:color w:val="auto"/>
          <w:sz w:val="32"/>
          <w:szCs w:val="32"/>
          <w:highlight w:val="none"/>
        </w:rPr>
        <w:t>不诚信行为的情形及相应被暂停参与投标活动的处理标准</w:t>
      </w:r>
    </w:p>
    <w:tbl>
      <w:tblPr>
        <w:tblStyle w:val="20"/>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rPr>
          <w:rFonts w:hint="eastAsia" w:ascii="宋体" w:hAnsi="宋体" w:cs="宋体"/>
          <w:b/>
          <w:bCs/>
          <w:color w:val="000000" w:themeColor="text1"/>
          <w:sz w:val="24"/>
          <w:szCs w:val="24"/>
          <w:highlight w:val="none"/>
          <w:lang w:val="en-US" w:eastAsia="zh-CN"/>
          <w14:textFill>
            <w14:solidFill>
              <w14:schemeClr w14:val="tx1"/>
            </w14:solidFill>
          </w14:textFill>
        </w:rPr>
      </w:pPr>
    </w:p>
    <w:bookmarkEnd w:id="11"/>
    <w:bookmarkEnd w:id="12"/>
    <w:bookmarkEnd w:id="13"/>
    <w:p>
      <w:pPr>
        <w:pStyle w:val="4"/>
        <w:spacing w:line="360" w:lineRule="auto"/>
        <w:jc w:val="both"/>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hint="eastAsia" w:ascii="仿宋" w:hAnsi="仿宋" w:eastAsia="仿宋" w:cs="仿宋_GB2312"/>
          <w:color w:val="000000" w:themeColor="text1"/>
          <w14:textFill>
            <w14:solidFill>
              <w14:schemeClr w14:val="tx1"/>
            </w14:solidFill>
          </w14:textFill>
        </w:rPr>
      </w:pPr>
    </w:p>
    <w:p>
      <w:pPr>
        <w:rPr>
          <w:rFonts w:hint="eastAsia" w:ascii="仿宋" w:hAnsi="仿宋" w:eastAsia="仿宋" w:cs="仿宋_GB2312"/>
          <w:color w:val="000000" w:themeColor="text1"/>
          <w14:textFill>
            <w14:solidFill>
              <w14:schemeClr w14:val="tx1"/>
            </w14:solidFill>
          </w14:textFill>
        </w:rPr>
      </w:pPr>
    </w:p>
    <w:p>
      <w:pPr>
        <w:pStyle w:val="19"/>
        <w:rPr>
          <w:rFonts w:hint="eastAsia" w:ascii="仿宋" w:hAnsi="仿宋" w:eastAsia="仿宋" w:cs="仿宋_GB2312"/>
          <w:color w:val="000000" w:themeColor="text1"/>
          <w14:textFill>
            <w14:solidFill>
              <w14:schemeClr w14:val="tx1"/>
            </w14:solidFill>
          </w14:textFill>
        </w:rPr>
      </w:pPr>
    </w:p>
    <w:p>
      <w:pPr>
        <w:pStyle w:val="19"/>
        <w:rPr>
          <w:rFonts w:hint="eastAsia" w:ascii="仿宋" w:hAnsi="仿宋" w:eastAsia="仿宋" w:cs="仿宋_GB2312"/>
          <w:color w:val="000000" w:themeColor="text1"/>
          <w14:textFill>
            <w14:solidFill>
              <w14:schemeClr w14:val="tx1"/>
            </w14:solidFill>
          </w14:textFill>
        </w:rPr>
      </w:pPr>
    </w:p>
    <w:p>
      <w:pPr>
        <w:pStyle w:val="19"/>
        <w:rPr>
          <w:rFonts w:hint="eastAsia" w:ascii="仿宋" w:hAnsi="仿宋" w:eastAsia="仿宋" w:cs="仿宋_GB2312"/>
          <w:color w:val="000000" w:themeColor="text1"/>
          <w14:textFill>
            <w14:solidFill>
              <w14:schemeClr w14:val="tx1"/>
            </w14:solidFill>
          </w14:textFill>
        </w:rPr>
      </w:pPr>
    </w:p>
    <w:p>
      <w:pPr>
        <w:pStyle w:val="19"/>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第五部分　响应文件格式</w:t>
      </w:r>
    </w:p>
    <w:p>
      <w:pPr>
        <w:pStyle w:val="9"/>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9"/>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9"/>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9"/>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9"/>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广州市净水有限公司</w:t>
      </w:r>
    </w:p>
    <w:p>
      <w:pPr>
        <w:pStyle w:val="9"/>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（项目名称）</w:t>
      </w:r>
    </w:p>
    <w:p>
      <w:pPr>
        <w:pStyle w:val="9"/>
        <w:jc w:val="center"/>
        <w:rPr>
          <w:rFonts w:ascii="仿宋" w:hAnsi="仿宋" w:eastAsia="仿宋" w:cs="仿宋_GB2312"/>
          <w:b/>
          <w:color w:val="000000" w:themeColor="text1"/>
          <w:sz w:val="24"/>
          <w:szCs w:val="24"/>
          <w14:textFill>
            <w14:solidFill>
              <w14:schemeClr w14:val="tx1"/>
            </w14:solidFill>
          </w14:textFill>
        </w:rPr>
      </w:pPr>
    </w:p>
    <w:p>
      <w:pPr>
        <w:pStyle w:val="9"/>
        <w:jc w:val="center"/>
        <w:rPr>
          <w:rFonts w:ascii="仿宋" w:hAnsi="仿宋" w:eastAsia="仿宋" w:cs="仿宋_GB2312"/>
          <w:b/>
          <w:color w:val="000000" w:themeColor="text1"/>
          <w:sz w:val="24"/>
          <w:szCs w:val="24"/>
          <w14:textFill>
            <w14:solidFill>
              <w14:schemeClr w14:val="tx1"/>
            </w14:solidFill>
          </w14:textFill>
        </w:rPr>
      </w:pPr>
    </w:p>
    <w:p>
      <w:pPr>
        <w:pStyle w:val="9"/>
        <w:jc w:val="center"/>
        <w:rPr>
          <w:rFonts w:ascii="仿宋" w:hAnsi="仿宋" w:eastAsia="仿宋" w:cs="仿宋_GB2312"/>
          <w:b/>
          <w:color w:val="000000" w:themeColor="text1"/>
          <w:sz w:val="24"/>
          <w:szCs w:val="24"/>
          <w14:textFill>
            <w14:solidFill>
              <w14:schemeClr w14:val="tx1"/>
            </w14:solidFill>
          </w14:textFill>
        </w:rPr>
      </w:pPr>
    </w:p>
    <w:p>
      <w:pPr>
        <w:pStyle w:val="9"/>
        <w:jc w:val="center"/>
        <w:rPr>
          <w:rFonts w:ascii="仿宋" w:hAnsi="仿宋" w:eastAsia="仿宋" w:cs="仿宋_GB2312"/>
          <w:b/>
          <w:color w:val="000000" w:themeColor="text1"/>
          <w:sz w:val="24"/>
          <w:szCs w:val="24"/>
          <w14:textFill>
            <w14:solidFill>
              <w14:schemeClr w14:val="tx1"/>
            </w14:solidFill>
          </w14:textFill>
        </w:rPr>
      </w:pPr>
    </w:p>
    <w:p>
      <w:pPr>
        <w:pStyle w:val="9"/>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9"/>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w:t>
      </w:r>
      <w:r>
        <w:rPr>
          <w:rFonts w:ascii="仿宋" w:hAnsi="仿宋" w:eastAsia="仿宋" w:cs="仿宋_GB2312"/>
          <w:b/>
          <w:color w:val="000000" w:themeColor="text1"/>
          <w:sz w:val="28"/>
          <w:szCs w:val="28"/>
          <w14:textFill>
            <w14:solidFill>
              <w14:schemeClr w14:val="tx1"/>
            </w14:solidFill>
          </w14:textFill>
        </w:rPr>
        <w:t>/副本）</w:t>
      </w:r>
    </w:p>
    <w:p>
      <w:pPr>
        <w:pStyle w:val="9"/>
        <w:jc w:val="center"/>
        <w:rPr>
          <w:rFonts w:ascii="仿宋" w:hAnsi="仿宋" w:eastAsia="仿宋" w:cs="仿宋_GB2312"/>
          <w:b/>
          <w:color w:val="000000" w:themeColor="text1"/>
          <w14:textFill>
            <w14:solidFill>
              <w14:schemeClr w14:val="tx1"/>
            </w14:solidFill>
          </w14:textFill>
        </w:rPr>
      </w:pPr>
    </w:p>
    <w:p>
      <w:pPr>
        <w:pStyle w:val="9"/>
        <w:jc w:val="center"/>
        <w:rPr>
          <w:rFonts w:ascii="仿宋" w:hAnsi="仿宋" w:eastAsia="仿宋" w:cs="仿宋_GB2312"/>
          <w:b/>
          <w:color w:val="000000" w:themeColor="text1"/>
          <w14:textFill>
            <w14:solidFill>
              <w14:schemeClr w14:val="tx1"/>
            </w14:solidFill>
          </w14:textFill>
        </w:rPr>
      </w:pPr>
    </w:p>
    <w:p>
      <w:pPr>
        <w:pStyle w:val="9"/>
        <w:jc w:val="center"/>
        <w:rPr>
          <w:rFonts w:ascii="仿宋" w:hAnsi="仿宋" w:eastAsia="仿宋" w:cs="仿宋_GB2312"/>
          <w:b/>
          <w:color w:val="000000" w:themeColor="text1"/>
          <w14:textFill>
            <w14:solidFill>
              <w14:schemeClr w14:val="tx1"/>
            </w14:solidFill>
          </w14:textFill>
        </w:rPr>
      </w:pPr>
    </w:p>
    <w:p>
      <w:pPr>
        <w:pStyle w:val="9"/>
        <w:jc w:val="center"/>
        <w:rPr>
          <w:rFonts w:ascii="仿宋" w:hAnsi="仿宋" w:eastAsia="仿宋" w:cs="仿宋_GB2312"/>
          <w:b/>
          <w:color w:val="000000" w:themeColor="text1"/>
          <w14:textFill>
            <w14:solidFill>
              <w14:schemeClr w14:val="tx1"/>
            </w14:solidFill>
          </w14:textFill>
        </w:rPr>
      </w:pPr>
    </w:p>
    <w:p>
      <w:pPr>
        <w:pStyle w:val="9"/>
        <w:jc w:val="center"/>
        <w:rPr>
          <w:rFonts w:ascii="仿宋" w:hAnsi="仿宋" w:eastAsia="仿宋" w:cs="仿宋_GB2312"/>
          <w:b/>
          <w:color w:val="000000" w:themeColor="text1"/>
          <w14:textFill>
            <w14:solidFill>
              <w14:schemeClr w14:val="tx1"/>
            </w14:solidFill>
          </w14:textFill>
        </w:rPr>
      </w:pPr>
    </w:p>
    <w:p>
      <w:pPr>
        <w:pStyle w:val="9"/>
        <w:jc w:val="center"/>
        <w:rPr>
          <w:rFonts w:ascii="仿宋" w:hAnsi="仿宋" w:eastAsia="仿宋" w:cs="仿宋_GB2312"/>
          <w:b/>
          <w:color w:val="000000" w:themeColor="text1"/>
          <w:sz w:val="28"/>
          <w:szCs w:val="28"/>
          <w14:textFill>
            <w14:solidFill>
              <w14:schemeClr w14:val="tx1"/>
            </w14:solidFill>
          </w14:textFill>
        </w:rPr>
      </w:pPr>
    </w:p>
    <w:p>
      <w:pPr>
        <w:pStyle w:val="9"/>
        <w:spacing w:line="360" w:lineRule="auto"/>
        <w:ind w:firstLine="980" w:firstLineChars="35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p>
    <w:p>
      <w:pPr>
        <w:pStyle w:val="8"/>
        <w:spacing w:line="360" w:lineRule="auto"/>
        <w:ind w:firstLine="560" w:firstLineChars="200"/>
        <w:rPr>
          <w:rFonts w:hint="eastAsia" w:ascii="仿宋" w:hAnsi="仿宋" w:eastAsia="仿宋" w:cs="仿宋_GB2312"/>
          <w:color w:val="000000" w:themeColor="text1"/>
          <w:sz w:val="28"/>
          <w:szCs w:val="28"/>
          <w:u w:val="single"/>
          <w:lang w:eastAsia="zh-CN"/>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项目名称：广州市净水有限公司石井净水厂地块控制性详细规划阶段海绵城市（含防洪排涝风险评估）专篇编制</w:t>
      </w:r>
      <w:r>
        <w:rPr>
          <w:rFonts w:hint="eastAsia" w:ascii="仿宋" w:hAnsi="仿宋" w:eastAsia="仿宋" w:cs="仿宋_GB2312"/>
          <w:color w:val="000000" w:themeColor="text1"/>
          <w:sz w:val="28"/>
          <w:szCs w:val="28"/>
          <w:lang w:eastAsia="zh-CN"/>
          <w14:textFill>
            <w14:solidFill>
              <w14:schemeClr w14:val="tx1"/>
            </w14:solidFill>
          </w14:textFill>
        </w:rPr>
        <w:t>（</w:t>
      </w:r>
      <w:r>
        <w:rPr>
          <w:rFonts w:hint="eastAsia" w:ascii="仿宋" w:hAnsi="仿宋" w:eastAsia="仿宋" w:cs="仿宋_GB2312"/>
          <w:color w:val="000000" w:themeColor="text1"/>
          <w:sz w:val="28"/>
          <w:szCs w:val="28"/>
          <w:lang w:val="en-US" w:eastAsia="zh-CN"/>
          <w14:textFill>
            <w14:solidFill>
              <w14:schemeClr w14:val="tx1"/>
            </w14:solidFill>
          </w14:textFill>
        </w:rPr>
        <w:t>第二次</w:t>
      </w:r>
      <w:r>
        <w:rPr>
          <w:rFonts w:hint="eastAsia" w:ascii="仿宋" w:hAnsi="仿宋" w:eastAsia="仿宋" w:cs="仿宋_GB2312"/>
          <w:color w:val="000000" w:themeColor="text1"/>
          <w:sz w:val="28"/>
          <w:szCs w:val="28"/>
          <w:lang w:eastAsia="zh-CN"/>
          <w14:textFill>
            <w14:solidFill>
              <w14:schemeClr w14:val="tx1"/>
            </w14:solidFill>
          </w14:textFill>
        </w:rPr>
        <w:t>）</w:t>
      </w: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spacing w:line="360" w:lineRule="auto"/>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报价单位名称：</w:t>
      </w:r>
    </w:p>
    <w:p>
      <w:pPr>
        <w:autoSpaceDE w:val="0"/>
        <w:autoSpaceDN w:val="0"/>
        <w:spacing w:line="240" w:lineRule="atLeast"/>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日期：   年      月      日</w:t>
      </w:r>
    </w:p>
    <w:p>
      <w:pPr>
        <w:widowControl/>
        <w:jc w:val="left"/>
        <w:rPr>
          <w:rFonts w:ascii="宋体" w:hAnsi="宋体" w:cs="宋体"/>
          <w:bCs/>
          <w:sz w:val="24"/>
        </w:rPr>
      </w:pPr>
      <w:r>
        <w:rPr>
          <w:rFonts w:ascii="宋体" w:hAnsi="宋体" w:cs="宋体"/>
          <w:bCs/>
          <w:sz w:val="24"/>
        </w:rPr>
        <w:br w:type="page"/>
      </w:r>
    </w:p>
    <w:p>
      <w:pPr>
        <w:pStyle w:val="4"/>
        <w:jc w:val="left"/>
      </w:pPr>
      <w:r>
        <w:rPr>
          <w:rFonts w:hint="eastAsia"/>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rPr>
          <w:rFonts w:ascii="仿宋" w:hAnsi="仿宋" w:eastAsia="仿宋" w:cs="仿宋_GB2312"/>
          <w:color w:val="000000" w:themeColor="text1"/>
          <w:sz w:val="28"/>
          <w:szCs w:val="28"/>
          <w:highlight w:val="none"/>
          <w14:textFill>
            <w14:solidFill>
              <w14:schemeClr w14:val="tx1"/>
            </w14:solidFill>
          </w14:textFill>
        </w:rPr>
      </w:pPr>
    </w:p>
    <w:p>
      <w:pPr>
        <w:spacing w:line="44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兼营：</w:t>
      </w: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ind w:firstLine="0" w:firstLineChars="0"/>
              <w:jc w:val="both"/>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
              <w:rPr>
                <w:rFonts w:hint="eastAsia"/>
              </w:rPr>
            </w:pPr>
          </w:p>
          <w:p>
            <w:pPr>
              <w:spacing w:line="360" w:lineRule="auto"/>
              <w:jc w:val="left"/>
              <w:rPr>
                <w:rFonts w:ascii="宋体" w:hAnsi="宋体"/>
                <w:sz w:val="24"/>
                <w:szCs w:val="24"/>
              </w:rPr>
            </w:pPr>
          </w:p>
        </w:tc>
      </w:tr>
    </w:tbl>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_GB2312" w:hAnsi="仿宋_GB2312" w:eastAsia="仿宋_GB2312" w:cs="仿宋_GB2312"/>
          <w:sz w:val="28"/>
          <w:szCs w:val="28"/>
        </w:rPr>
      </w:pPr>
    </w:p>
    <w:p>
      <w:pPr>
        <w:spacing w:line="480" w:lineRule="exact"/>
        <w:jc w:val="both"/>
        <w:rPr>
          <w:rFonts w:ascii="仿宋" w:hAnsi="仿宋" w:eastAsia="仿宋" w:cs="仿宋_GB2312"/>
          <w:b/>
          <w:color w:val="000000" w:themeColor="text1"/>
          <w:sz w:val="28"/>
          <w:szCs w:val="28"/>
          <w14:textFill>
            <w14:solidFill>
              <w14:schemeClr w14:val="tx1"/>
            </w14:solidFill>
          </w14:textFill>
        </w:rPr>
      </w:pPr>
      <w:r>
        <w:rPr>
          <w:rFonts w:ascii="仿宋_GB2312" w:hAnsi="仿宋_GB2312" w:eastAsia="仿宋_GB2312" w:cs="仿宋_GB2312"/>
          <w:b/>
          <w:sz w:val="28"/>
          <w:szCs w:val="28"/>
        </w:rPr>
        <w:br w:type="page"/>
      </w: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w:t>
      </w:r>
      <w:r>
        <w:rPr>
          <w:rFonts w:hint="eastAsia" w:ascii="仿宋" w:hAnsi="仿宋" w:eastAsia="仿宋" w:cs="仿宋_GB2312"/>
          <w:color w:val="000000"/>
          <w:sz w:val="28"/>
          <w:szCs w:val="28"/>
          <w:highlight w:val="none"/>
          <w:u w:val="single"/>
          <w:lang w:val="en-US" w:eastAsia="zh-CN"/>
        </w:rPr>
        <w:t>法人</w:t>
      </w:r>
      <w:r>
        <w:rPr>
          <w:rFonts w:hint="eastAsia" w:ascii="仿宋" w:hAnsi="仿宋" w:eastAsia="仿宋" w:cs="仿宋_GB2312"/>
          <w:color w:val="000000"/>
          <w:sz w:val="28"/>
          <w:szCs w:val="28"/>
          <w:highlight w:val="none"/>
          <w:u w:val="single"/>
        </w:rPr>
        <w:t>姓名）</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u w:val="single"/>
          <w:lang w:val="en-US" w:eastAsia="zh-CN"/>
        </w:rPr>
        <w:t>法人签字或盖私章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w:t>
      </w:r>
      <w:r>
        <w:rPr>
          <w:rFonts w:hint="eastAsia" w:ascii="仿宋" w:hAnsi="仿宋" w:eastAsia="仿宋" w:cs="仿宋_GB2312"/>
          <w:color w:val="000000"/>
          <w:sz w:val="28"/>
          <w:szCs w:val="28"/>
          <w:highlight w:val="none"/>
          <w:u w:val="single"/>
          <w:lang w:eastAsia="zh-CN"/>
        </w:rPr>
        <w:t>（盖</w:t>
      </w:r>
      <w:r>
        <w:rPr>
          <w:rFonts w:hint="eastAsia" w:ascii="仿宋" w:hAnsi="仿宋" w:eastAsia="仿宋" w:cs="仿宋_GB2312"/>
          <w:color w:val="000000"/>
          <w:sz w:val="28"/>
          <w:szCs w:val="28"/>
          <w:highlight w:val="none"/>
          <w:u w:val="single"/>
          <w:lang w:val="en-US" w:eastAsia="zh-CN"/>
        </w:rPr>
        <w:t>单位公章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活动及相关事宜。该授权代表在本</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default" w:ascii="仿宋" w:hAnsi="仿宋" w:eastAsia="仿宋" w:cs="仿宋_GB2312"/>
          <w:color w:val="000000"/>
          <w:sz w:val="28"/>
          <w:szCs w:val="28"/>
          <w:highlight w:val="none"/>
          <w:lang w:val="en-US" w:eastAsia="zh-CN"/>
        </w:rPr>
      </w:pPr>
      <w:r>
        <w:rPr>
          <w:rFonts w:hint="eastAsia" w:ascii="仿宋" w:hAnsi="仿宋" w:eastAsia="仿宋" w:cs="仿宋_GB2312"/>
          <w:color w:val="000000"/>
          <w:sz w:val="28"/>
          <w:szCs w:val="28"/>
          <w:highlight w:val="none"/>
        </w:rPr>
        <w:t>附：签发日期：</w:t>
      </w:r>
      <w:r>
        <w:rPr>
          <w:rFonts w:hint="eastAsia" w:ascii="仿宋" w:hAnsi="仿宋" w:eastAsia="仿宋" w:cs="仿宋_GB2312"/>
          <w:color w:val="000000"/>
          <w:sz w:val="28"/>
          <w:szCs w:val="28"/>
          <w:highlight w:val="none"/>
          <w:lang w:val="en-US" w:eastAsia="zh-CN"/>
        </w:rPr>
        <w:t xml:space="preserve">   年 月 日       有效期限：</w:t>
      </w:r>
    </w:p>
    <w:p>
      <w:pPr>
        <w:spacing w:line="480" w:lineRule="exact"/>
        <w:ind w:firstLine="840" w:firstLineChars="3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年龄：</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职务：</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（营业执照等）注册号码：</w:t>
      </w:r>
    </w:p>
    <w:p>
      <w:pPr>
        <w:spacing w:line="480" w:lineRule="exact"/>
        <w:ind w:firstLine="280" w:firstLineChars="100"/>
        <w:rPr>
          <w:rFonts w:ascii="仿宋_GB2312" w:hAnsi="仿宋_GB2312" w:eastAsia="仿宋_GB2312" w:cs="仿宋_GB2312"/>
          <w:sz w:val="28"/>
          <w:szCs w:val="28"/>
          <w:highlight w:val="none"/>
        </w:rPr>
      </w:pPr>
      <w:r>
        <w:rPr>
          <w:rFonts w:hint="eastAsia" w:ascii="仿宋" w:hAnsi="仿宋" w:eastAsia="仿宋" w:cs="仿宋_GB2312"/>
          <w:color w:val="000000"/>
          <w:sz w:val="28"/>
          <w:szCs w:val="28"/>
          <w:highlight w:val="none"/>
        </w:rPr>
        <w:t>　　 经营范围：</w:t>
      </w:r>
    </w:p>
    <w:p>
      <w:pPr>
        <w:spacing w:line="480" w:lineRule="exact"/>
        <w:ind w:firstLine="280" w:firstLineChars="100"/>
        <w:rPr>
          <w:rFonts w:ascii="仿宋_GB2312" w:hAnsi="仿宋_GB2312" w:eastAsia="仿宋_GB2312" w:cs="仿宋_GB2312"/>
          <w:sz w:val="28"/>
          <w:szCs w:val="28"/>
          <w:highlight w:val="none"/>
        </w:rPr>
      </w:pPr>
    </w:p>
    <w:p>
      <w:pPr>
        <w:spacing w:line="480" w:lineRule="exact"/>
        <w:rPr>
          <w:rFonts w:ascii="仿宋" w:hAnsi="仿宋" w:eastAsia="仿宋" w:cs="仿宋_GB2312"/>
          <w:color w:val="000000"/>
          <w:sz w:val="24"/>
          <w:szCs w:val="24"/>
          <w:highlight w:val="none"/>
        </w:rPr>
      </w:pPr>
      <w:r>
        <w:rPr>
          <w:rFonts w:hint="eastAsia" w:ascii="仿宋_GB2312" w:hAnsi="仿宋_GB2312" w:eastAsia="仿宋_GB2312" w:cs="仿宋_GB2312"/>
          <w:color w:val="000000"/>
          <w:sz w:val="24"/>
          <w:szCs w:val="24"/>
          <w:highlight w:val="none"/>
        </w:rPr>
        <w:t>说明：</w:t>
      </w:r>
      <w:r>
        <w:rPr>
          <w:rFonts w:ascii="仿宋" w:hAnsi="仿宋" w:eastAsia="仿宋" w:cs="仿宋_GB2312"/>
          <w:color w:val="000000"/>
          <w:sz w:val="24"/>
          <w:szCs w:val="24"/>
          <w:highlight w:val="none"/>
        </w:rPr>
        <w:t>1.法定代表人为企业事业单位、国家机关、社会团体的主要行政负责人。</w:t>
      </w:r>
    </w:p>
    <w:p>
      <w:pPr>
        <w:spacing w:line="480" w:lineRule="exact"/>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 xml:space="preserve">      2.内容必须填写真实、清楚、涂改无效，不得转让、买卖。</w:t>
      </w:r>
    </w:p>
    <w:p>
      <w:pPr>
        <w:spacing w:line="480" w:lineRule="exact"/>
        <w:ind w:firstLine="720" w:firstLineChars="300"/>
        <w:rPr>
          <w:rFonts w:ascii="仿宋" w:hAnsi="仿宋" w:eastAsia="仿宋" w:cs="仿宋_GB2312"/>
          <w:b/>
          <w:color w:val="000000"/>
          <w:sz w:val="24"/>
          <w:szCs w:val="24"/>
          <w:highlight w:val="none"/>
        </w:rPr>
      </w:pPr>
      <w:r>
        <w:rPr>
          <w:rFonts w:ascii="仿宋" w:hAnsi="仿宋" w:eastAsia="仿宋" w:cs="仿宋_GB2312"/>
          <w:color w:val="000000"/>
          <w:sz w:val="24"/>
          <w:szCs w:val="24"/>
          <w:highlight w:val="none"/>
        </w:rPr>
        <w:t>3.将此证明书提交对方作为合同附件</w:t>
      </w:r>
      <w:r>
        <w:rPr>
          <w:rFonts w:hint="eastAsia" w:ascii="仿宋" w:hAnsi="仿宋" w:eastAsia="仿宋" w:cs="仿宋_GB2312"/>
          <w:b/>
          <w:color w:val="000000"/>
          <w:sz w:val="24"/>
          <w:szCs w:val="24"/>
          <w:highlight w:val="none"/>
        </w:rPr>
        <w:t>。</w:t>
      </w:r>
    </w:p>
    <w:p>
      <w:pPr>
        <w:spacing w:line="480" w:lineRule="exact"/>
        <w:ind w:firstLine="720" w:firstLineChars="300"/>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6.谈判签字代表为法定代表人，则本表不适用。</w:t>
      </w:r>
    </w:p>
    <w:p>
      <w:pPr>
        <w:spacing w:line="440" w:lineRule="exact"/>
        <w:ind w:firstLine="736" w:firstLineChars="307"/>
        <w:rPr>
          <w:rFonts w:ascii="仿宋_GB2312" w:hAnsi="仿宋_GB2312" w:eastAsia="仿宋_GB2312" w:cs="仿宋_GB2312"/>
          <w:sz w:val="28"/>
          <w:szCs w:val="28"/>
          <w:highlight w:val="none"/>
        </w:rPr>
      </w:pPr>
      <w:r>
        <w:rPr>
          <w:rFonts w:hint="default" w:ascii="仿宋" w:hAnsi="仿宋" w:eastAsia="仿宋" w:cs="仿宋_GB2312"/>
          <w:b w:val="0"/>
          <w:color w:val="000000"/>
          <w:sz w:val="24"/>
          <w:szCs w:val="24"/>
          <w:highlight w:val="none"/>
        </w:rPr>
        <w:t>7.提供授权委托人在本单位近三个月社保记录（以加盖社会保险基金管理中心印章的《缴费历史明细表》或《社会保险参保人员证明》为准），否则为无效代理人，询价响应文件无效。</w:t>
      </w: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sz w:val="24"/>
          <w:szCs w:val="24"/>
          <w:highlight w:val="none"/>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highlight w:val="none"/>
        </w:rPr>
        <w:t>身份证复印件：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8" w:hRule="atLeast"/>
        </w:trPr>
        <w:tc>
          <w:tcPr>
            <w:tcW w:w="4814" w:type="dxa"/>
            <w:noWrap w:val="0"/>
            <w:vAlign w:val="top"/>
          </w:tcPr>
          <w:p>
            <w:pPr>
              <w:spacing w:line="360" w:lineRule="auto"/>
              <w:jc w:val="both"/>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sz w:val="24"/>
                <w:szCs w:val="24"/>
                <w:highlight w:val="none"/>
                <w:lang w:val="en-US" w:eastAsia="zh-CN"/>
              </w:rPr>
            </w:pPr>
            <w:r>
              <w:rPr>
                <w:rFonts w:hint="eastAsia" w:ascii="宋体" w:hAnsi="宋体" w:eastAsia="宋体" w:cs="Times New Roman"/>
                <w:sz w:val="24"/>
                <w:szCs w:val="24"/>
                <w:highlight w:val="none"/>
              </w:rPr>
              <w:t>人像面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p>
            <w:pPr>
              <w:spacing w:line="360" w:lineRule="auto"/>
              <w:jc w:val="center"/>
              <w:rPr>
                <w:rFonts w:hint="eastAsia" w:ascii="宋体" w:hAnsi="宋体"/>
                <w:sz w:val="24"/>
                <w:szCs w:val="24"/>
                <w:highlight w:val="none"/>
                <w:lang w:val="en-US" w:eastAsia="zh-CN"/>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spacing w:line="360" w:lineRule="auto"/>
              <w:jc w:val="center"/>
              <w:rPr>
                <w:rFonts w:hint="eastAsia" w:ascii="仿宋" w:hAnsi="仿宋" w:eastAsia="仿宋" w:cs="仿宋_GB2312"/>
                <w:color w:val="000000"/>
                <w:sz w:val="24"/>
                <w:szCs w:val="24"/>
                <w:highlight w:val="none"/>
              </w:rPr>
            </w:pPr>
          </w:p>
          <w:p>
            <w:pPr>
              <w:spacing w:line="360" w:lineRule="auto"/>
              <w:jc w:val="both"/>
              <w:rPr>
                <w:rFonts w:hint="eastAsia"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eastAsia="宋体" w:cs="Times New Roman"/>
                <w:sz w:val="24"/>
                <w:szCs w:val="24"/>
                <w:highlight w:val="none"/>
              </w:rPr>
              <w:t>国徽面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tc>
      </w:tr>
    </w:tbl>
    <w:p>
      <w:pPr>
        <w:spacing w:line="480" w:lineRule="exact"/>
        <w:ind w:firstLine="843" w:firstLineChars="300"/>
        <w:rPr>
          <w:rFonts w:hint="default" w:ascii="仿宋" w:hAnsi="仿宋" w:eastAsia="仿宋" w:cs="仿宋_GB2312"/>
          <w:b/>
          <w:color w:val="000000"/>
          <w:sz w:val="28"/>
          <w:szCs w:val="28"/>
          <w:highlight w:val="none"/>
          <w:lang w:val="en-US"/>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sz w:val="24"/>
                <w:szCs w:val="24"/>
                <w:highlight w:val="none"/>
                <w:lang w:val="en-US" w:eastAsia="zh-CN"/>
              </w:rPr>
            </w:pPr>
            <w:r>
              <w:rPr>
                <w:rFonts w:hint="eastAsia" w:ascii="宋体" w:hAnsi="宋体" w:cs="Times New Roman"/>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sz w:val="24"/>
                <w:szCs w:val="24"/>
                <w:highlight w:val="none"/>
                <w:lang w:val="en-US" w:eastAsia="zh-CN"/>
              </w:rPr>
              <w:t>盖单位公章</w:t>
            </w:r>
          </w:p>
          <w:p>
            <w:pPr>
              <w:spacing w:line="360" w:lineRule="auto"/>
              <w:jc w:val="center"/>
              <w:rPr>
                <w:rFonts w:hint="eastAsia" w:ascii="宋体" w:hAnsi="宋体"/>
                <w:sz w:val="24"/>
                <w:szCs w:val="24"/>
                <w:highlight w:val="none"/>
                <w:lang w:val="en-US" w:eastAsia="zh-CN"/>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jc w:val="center"/>
        <w:rPr>
          <w:rFonts w:ascii="仿宋" w:hAnsi="仿宋" w:eastAsia="仿宋" w:cs="仿宋_GB2312"/>
          <w:color w:val="000000" w:themeColor="text1"/>
          <w:sz w:val="28"/>
          <w:szCs w:val="28"/>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p>
    <w:p>
      <w:pPr>
        <w:widowControl/>
        <w:jc w:val="left"/>
        <w:rPr>
          <w:rFonts w:ascii="仿宋_GB2312" w:hAnsi="仿宋_GB2312" w:eastAsia="仿宋_GB2312" w:cs="仿宋_GB2312"/>
          <w:sz w:val="28"/>
          <w:szCs w:val="28"/>
          <w:u w:val="single"/>
        </w:rPr>
      </w:pPr>
    </w:p>
    <w:p>
      <w:pPr>
        <w:spacing w:line="300" w:lineRule="auto"/>
        <w:rPr>
          <w:rFonts w:ascii="仿宋_GB2312" w:hAnsi="仿宋_GB2312" w:eastAsia="仿宋_GB2312" w:cs="仿宋_GB2312"/>
          <w:b/>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widowControl/>
        <w:jc w:val="left"/>
        <w:rPr>
          <w:rFonts w:ascii="仿宋_GB2312" w:hAnsi="仿宋_GB2312" w:eastAsia="仿宋_GB2312" w:cs="仿宋_GB2312"/>
          <w:b/>
          <w:sz w:val="28"/>
          <w:szCs w:val="28"/>
        </w:rPr>
      </w:pPr>
    </w:p>
    <w:p>
      <w:pPr>
        <w:pStyle w:val="4"/>
        <w:ind w:firstLine="562"/>
        <w:jc w:val="center"/>
        <w:rPr>
          <w:rFonts w:hint="eastAsia" w:ascii="仿宋_GB2312" w:hAnsi="仿宋_GB2312" w:cs="仿宋_GB2312"/>
          <w:bCs w:val="0"/>
        </w:rPr>
      </w:pPr>
    </w:p>
    <w:p>
      <w:pPr>
        <w:pStyle w:val="4"/>
        <w:ind w:firstLine="562"/>
        <w:jc w:val="center"/>
        <w:rPr>
          <w:rFonts w:ascii="仿宋_GB2312" w:hAnsi="仿宋_GB2312" w:cs="仿宋_GB2312"/>
          <w:b w:val="0"/>
          <w:bCs w:val="0"/>
        </w:rPr>
      </w:pPr>
      <w:r>
        <w:rPr>
          <w:rFonts w:hint="eastAsia" w:ascii="仿宋_GB2312" w:hAnsi="仿宋_GB2312" w:cs="仿宋_GB2312"/>
          <w:bCs w:val="0"/>
        </w:rPr>
        <w:t>2资格证明文件</w:t>
      </w:r>
    </w:p>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ascii="仿宋_GB2312" w:hAnsi="仿宋_GB2312" w:eastAsia="仿宋_GB2312" w:cs="仿宋_GB2312"/>
          <w:sz w:val="28"/>
          <w:szCs w:val="28"/>
        </w:rPr>
        <w:sectPr>
          <w:pgSz w:w="11906" w:h="16838"/>
          <w:pgMar w:top="1089" w:right="1469" w:bottom="1089" w:left="1077" w:header="851" w:footer="992" w:gutter="0"/>
          <w:cols w:space="720" w:num="1"/>
          <w:docGrid w:linePitch="312" w:charSpace="0"/>
        </w:sectPr>
      </w:pPr>
      <w:r>
        <w:rPr>
          <w:rFonts w:hint="eastAsia" w:ascii="仿宋_GB2312" w:hAnsi="仿宋_GB2312" w:eastAsia="仿宋_GB2312" w:cs="仿宋_GB2312"/>
          <w:sz w:val="28"/>
          <w:szCs w:val="28"/>
        </w:rPr>
        <w:t>日期：年 月 日</w:t>
      </w: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3 </w:t>
      </w:r>
      <w:r>
        <w:rPr>
          <w:rFonts w:hint="eastAsia" w:ascii="仿宋" w:hAnsi="仿宋" w:eastAsia="仿宋" w:cs="仿宋_GB2312"/>
          <w:b/>
          <w:color w:val="000000" w:themeColor="text1"/>
          <w:sz w:val="28"/>
          <w:szCs w:val="28"/>
          <w14:textFill>
            <w14:solidFill>
              <w14:schemeClr w14:val="tx1"/>
            </w14:solidFill>
          </w14:textFill>
        </w:rPr>
        <w:t>报价意向承诺及声明函</w:t>
      </w:r>
    </w:p>
    <w:p>
      <w:pPr>
        <w:jc w:val="center"/>
        <w:rPr>
          <w:rFonts w:ascii="仿宋" w:hAnsi="仿宋" w:eastAsia="仿宋" w:cs="仿宋_GB2312"/>
          <w:b/>
          <w:color w:val="000000" w:themeColor="text1"/>
          <w:sz w:val="28"/>
          <w:szCs w:val="28"/>
          <w14:textFill>
            <w14:solidFill>
              <w14:schemeClr w14:val="tx1"/>
            </w14:solidFill>
          </w14:textFill>
        </w:rPr>
      </w:pPr>
    </w:p>
    <w:p>
      <w:pPr>
        <w:pStyle w:val="41"/>
        <w:adjustRightInd w:val="0"/>
        <w:ind w:firstLine="0"/>
        <w:rPr>
          <w:rFonts w:hAnsi="仿宋" w:cs="仿宋_GB2312"/>
          <w:color w:val="000000" w:themeColor="text1"/>
          <w:sz w:val="24"/>
          <w:szCs w:val="24"/>
          <w14:textFill>
            <w14:solidFill>
              <w14:schemeClr w14:val="tx1"/>
            </w14:solidFill>
          </w14:textFill>
        </w:rPr>
      </w:pPr>
      <w:r>
        <w:rPr>
          <w:rFonts w:hint="eastAsia" w:hAnsi="仿宋" w:cs="仿宋_GB2312"/>
          <w:color w:val="000000" w:themeColor="text1"/>
          <w:sz w:val="24"/>
          <w:szCs w:val="24"/>
          <w14:textFill>
            <w14:solidFill>
              <w14:schemeClr w14:val="tx1"/>
            </w14:solidFill>
          </w14:textFill>
        </w:rPr>
        <w:t>致：</w:t>
      </w:r>
      <w:r>
        <w:rPr>
          <w:rFonts w:hint="eastAsia" w:hAnsi="仿宋" w:cs="仿宋_GB2312"/>
          <w:color w:val="000000" w:themeColor="text1"/>
          <w:sz w:val="24"/>
          <w:szCs w:val="24"/>
          <w:u w:val="single"/>
          <w14:textFill>
            <w14:solidFill>
              <w14:schemeClr w14:val="tx1"/>
            </w14:solidFill>
          </w14:textFill>
        </w:rPr>
        <w:t>（项目实施单位）</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w:t>
      </w:r>
      <w:r>
        <w:rPr>
          <w:rFonts w:hint="eastAsia" w:ascii="仿宋_GB2312" w:hAnsi="仿宋" w:eastAsia="仿宋_GB2312" w:cs="仿宋_GB2312"/>
          <w:color w:val="000000" w:themeColor="text1"/>
          <w:sz w:val="24"/>
          <w14:textFill>
            <w14:solidFill>
              <w14:schemeClr w14:val="tx1"/>
            </w14:solidFill>
          </w14:textFill>
        </w:rPr>
        <w:t>根据询价人发出的的项目编号为的工程的询价文件，我方已详细审查了全部内容，并无异议。</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2.现我方承诺：</w:t>
      </w:r>
      <w:r>
        <w:rPr>
          <w:rFonts w:hint="eastAsia" w:ascii="仿宋_GB2312" w:hAnsi="仿宋" w:eastAsia="仿宋_GB2312" w:cs="仿宋_GB2312"/>
          <w:color w:val="000000" w:themeColor="text1"/>
          <w:kern w:val="0"/>
          <w:sz w:val="24"/>
          <w14:textFill>
            <w14:solidFill>
              <w14:schemeClr w14:val="tx1"/>
            </w14:solidFill>
          </w14:textFill>
        </w:rPr>
        <w:t>愿以人民币[单价]元,（小写：￥元）;[总价]元,（小写：￥元）的报价，承包本次交易所包含的所有工作，并承担任何质量缺陷责任。</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3.我方保证将按照本项目询价文件第二部分项目内容的技术、商务要求完成本项目。</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5.如果我方获得承包资格，我方保证将</w:t>
      </w:r>
      <w:r>
        <w:rPr>
          <w:rFonts w:hint="eastAsia" w:ascii="仿宋_GB2312" w:hAnsi="仿宋" w:eastAsia="仿宋_GB2312" w:cs="仿宋_GB2312"/>
          <w:color w:val="000000" w:themeColor="text1"/>
          <w:kern w:val="0"/>
          <w:sz w:val="24"/>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7.我方就参加本项目交易工作，作出以下郑重声明：</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⑴本公司保证报价资料及其后提供的一切材料都是真实的。</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⑵本公司保证在本项目交易中不给其他单位挂靠，不出让交易资格，不向询价人行贿。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⑶本公司没有处于被责令停业的状态；没有处于被建设行政主管部门取消报价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⑷本公司及其有隶属关系的机构没有参加本项目的前期工作编写工作。</w:t>
      </w:r>
    </w:p>
    <w:p>
      <w:pPr>
        <w:pStyle w:val="40"/>
        <w:ind w:firstLine="496"/>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本公司违反上述承诺，或本声明陈述与事实不符，经查实，本公司愿意接受公开通报，承担由此带来的法律后果。</w:t>
      </w:r>
    </w:p>
    <w:p>
      <w:pPr>
        <w:pStyle w:val="40"/>
        <w:ind w:firstLine="496"/>
        <w:rPr>
          <w:rFonts w:ascii="仿宋_GB2312" w:hAnsi="仿宋" w:eastAsia="仿宋_GB2312" w:cs="仿宋_GB2312"/>
          <w:color w:val="000000" w:themeColor="text1"/>
          <w:u w:val="single"/>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承包意向人：(盖公章)</w:t>
      </w:r>
    </w:p>
    <w:p>
      <w:pPr>
        <w:pStyle w:val="40"/>
        <w:ind w:firstLine="496"/>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法定代表人（签名或盖</w:t>
      </w:r>
      <w:r>
        <w:rPr>
          <w:rFonts w:hint="eastAsia" w:ascii="仿宋_GB2312" w:hAnsi="仿宋" w:eastAsia="仿宋_GB2312" w:cs="仿宋_GB2312"/>
          <w:color w:val="000000" w:themeColor="text1"/>
          <w:lang w:val="en-US" w:eastAsia="zh-CN"/>
          <w14:textFill>
            <w14:solidFill>
              <w14:schemeClr w14:val="tx1"/>
            </w14:solidFill>
          </w14:textFill>
        </w:rPr>
        <w:t>私</w:t>
      </w:r>
      <w:r>
        <w:rPr>
          <w:rFonts w:hint="eastAsia" w:ascii="仿宋_GB2312" w:hAnsi="仿宋" w:eastAsia="仿宋_GB2312" w:cs="仿宋_GB2312"/>
          <w:color w:val="000000" w:themeColor="text1"/>
          <w14:textFill>
            <w14:solidFill>
              <w14:schemeClr w14:val="tx1"/>
            </w14:solidFill>
          </w14:textFill>
        </w:rPr>
        <w:t>章）：</w:t>
      </w:r>
    </w:p>
    <w:p>
      <w:pPr>
        <w:pStyle w:val="40"/>
        <w:ind w:firstLine="496"/>
        <w:rPr>
          <w:rFonts w:ascii="仿宋_GB2312" w:hAnsi="仿宋_GB2312" w:eastAsia="仿宋_GB2312" w:cs="仿宋_GB2312"/>
        </w:rPr>
      </w:pPr>
      <w:r>
        <w:rPr>
          <w:rFonts w:hint="eastAsia" w:ascii="仿宋_GB2312" w:hAnsi="仿宋" w:eastAsia="仿宋_GB2312" w:cs="仿宋_GB2312"/>
          <w:color w:val="000000" w:themeColor="text1"/>
          <w14:textFill>
            <w14:solidFill>
              <w14:schemeClr w14:val="tx1"/>
            </w14:solidFill>
          </w14:textFill>
        </w:rPr>
        <w:t xml:space="preserve">日    期：  年 月 日  </w:t>
      </w:r>
    </w:p>
    <w:p>
      <w:pPr>
        <w:pStyle w:val="40"/>
        <w:ind w:firstLine="496"/>
        <w:rPr>
          <w:rFonts w:ascii="仿宋_GB2312" w:hAnsi="仿宋_GB2312" w:eastAsia="仿宋_GB2312" w:cs="仿宋_GB2312"/>
        </w:rPr>
        <w:sectPr>
          <w:endnotePr>
            <w:numFmt w:val="decimal"/>
          </w:endnotePr>
          <w:pgSz w:w="11906" w:h="16838"/>
          <w:pgMar w:top="1089" w:right="1469" w:bottom="1089" w:left="1077" w:header="851" w:footer="907" w:gutter="0"/>
          <w:cols w:space="720" w:num="1"/>
          <w:docGrid w:linePitch="312" w:charSpace="0"/>
        </w:sectPr>
      </w:pP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4 </w:t>
      </w:r>
      <w:r>
        <w:rPr>
          <w:rFonts w:hint="eastAsia" w:ascii="仿宋" w:hAnsi="仿宋" w:eastAsia="仿宋" w:cs="仿宋_GB2312"/>
          <w:b/>
          <w:color w:val="000000" w:themeColor="text1"/>
          <w:sz w:val="28"/>
          <w:szCs w:val="28"/>
          <w14:textFill>
            <w14:solidFill>
              <w14:schemeClr w14:val="tx1"/>
            </w14:solidFill>
          </w14:textFill>
        </w:rPr>
        <w:t>拟投入本项目的项目负责人情况表</w:t>
      </w:r>
    </w:p>
    <w:p>
      <w:pPr>
        <w:jc w:val="center"/>
        <w:rPr>
          <w:rFonts w:ascii="仿宋" w:hAnsi="仿宋" w:eastAsia="仿宋" w:cs="仿宋_GB2312"/>
          <w:b/>
          <w:color w:val="000000" w:themeColor="text1"/>
          <w:sz w:val="28"/>
          <w:szCs w:val="28"/>
          <w14:textFill>
            <w14:solidFill>
              <w14:schemeClr w14:val="tx1"/>
            </w14:solidFill>
          </w14:textFill>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61" w:type="dxa"/>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322" w:type="dxa"/>
            <w:gridSpan w:val="3"/>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3322" w:type="dxa"/>
            <w:gridSpan w:val="4"/>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22" w:type="dxa"/>
            <w:gridSpan w:val="3"/>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3322" w:type="dxa"/>
            <w:gridSpan w:val="4"/>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68" w:type="dxa"/>
            <w:gridSpan w:val="10"/>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bl>
    <w:p>
      <w:pPr>
        <w:jc w:val="both"/>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pStyle w:val="2"/>
        <w:jc w:val="both"/>
        <w:rPr>
          <w:rFonts w:hint="eastAsia"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w:t>
      </w:r>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w:t>
      </w:r>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月</w:t>
      </w:r>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日</w:t>
      </w:r>
    </w:p>
    <w:p>
      <w:pPr>
        <w:pStyle w:val="2"/>
        <w:jc w:val="both"/>
        <w:rPr>
          <w:rFonts w:hint="eastAsia" w:ascii="仿宋" w:hAnsi="仿宋" w:eastAsia="仿宋" w:cs="仿宋_GB2312"/>
          <w:b/>
          <w:bCs/>
          <w:color w:val="000000" w:themeColor="text1"/>
          <w:sz w:val="28"/>
          <w:szCs w:val="28"/>
          <w14:textFill>
            <w14:solidFill>
              <w14:schemeClr w14:val="tx1"/>
            </w14:solidFill>
          </w14:textFill>
        </w:rPr>
      </w:pPr>
    </w:p>
    <w:p>
      <w:pPr>
        <w:pStyle w:val="2"/>
        <w:jc w:val="center"/>
        <w:rPr>
          <w:rFonts w:hint="eastAsia" w:ascii="仿宋" w:hAnsi="仿宋" w:eastAsia="仿宋" w:cs="仿宋_GB2312"/>
          <w:b/>
          <w:bCs/>
          <w:color w:val="000000" w:themeColor="text1"/>
          <w:sz w:val="28"/>
          <w:szCs w:val="28"/>
          <w14:textFill>
            <w14:solidFill>
              <w14:schemeClr w14:val="tx1"/>
            </w14:solidFill>
          </w14:textFill>
        </w:rPr>
      </w:pPr>
    </w:p>
    <w:p>
      <w:pPr>
        <w:pStyle w:val="2"/>
        <w:jc w:val="center"/>
        <w:rPr>
          <w:rFonts w:hint="eastAsia" w:ascii="仿宋" w:hAnsi="仿宋" w:eastAsia="仿宋" w:cs="仿宋_GB2312"/>
          <w:b/>
          <w:bCs/>
          <w:color w:val="000000" w:themeColor="text1"/>
          <w:sz w:val="28"/>
          <w:szCs w:val="28"/>
          <w14:textFill>
            <w14:solidFill>
              <w14:schemeClr w14:val="tx1"/>
            </w14:solidFill>
          </w14:textFill>
        </w:rPr>
      </w:pPr>
    </w:p>
    <w:p>
      <w:pPr>
        <w:pStyle w:val="2"/>
        <w:jc w:val="center"/>
        <w:rPr>
          <w:rFonts w:hint="eastAsia" w:ascii="仿宋" w:hAnsi="仿宋" w:eastAsia="仿宋" w:cs="仿宋_GB2312"/>
          <w:b/>
          <w:bCs/>
          <w:color w:val="000000" w:themeColor="text1"/>
          <w:sz w:val="28"/>
          <w:szCs w:val="28"/>
          <w14:textFill>
            <w14:solidFill>
              <w14:schemeClr w14:val="tx1"/>
            </w14:solidFill>
          </w14:textFill>
        </w:rPr>
      </w:pPr>
    </w:p>
    <w:p>
      <w:pPr>
        <w:pStyle w:val="2"/>
        <w:jc w:val="center"/>
        <w:rPr>
          <w:rFonts w:hint="eastAsia" w:ascii="仿宋" w:hAnsi="仿宋" w:eastAsia="仿宋" w:cs="仿宋_GB2312"/>
          <w:b/>
          <w:bCs/>
          <w:color w:val="000000" w:themeColor="text1"/>
          <w:sz w:val="28"/>
          <w:szCs w:val="28"/>
          <w14:textFill>
            <w14:solidFill>
              <w14:schemeClr w14:val="tx1"/>
            </w14:solidFill>
          </w14:textFill>
        </w:rPr>
      </w:pPr>
      <w:bookmarkStart w:id="15" w:name="_GoBack"/>
      <w:bookmarkEnd w:id="15"/>
      <w:r>
        <w:rPr>
          <w:rFonts w:hint="eastAsia" w:ascii="仿宋" w:hAnsi="仿宋" w:eastAsia="仿宋" w:cs="仿宋_GB2312"/>
          <w:b/>
          <w:bCs/>
          <w:color w:val="000000" w:themeColor="text1"/>
          <w:sz w:val="28"/>
          <w:szCs w:val="28"/>
          <w14:textFill>
            <w14:solidFill>
              <w14:schemeClr w14:val="tx1"/>
            </w14:solidFill>
          </w14:textFill>
        </w:rPr>
        <w:t>5  项目单位、人员资格情况</w:t>
      </w: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6 承诺书</w:t>
      </w:r>
    </w:p>
    <w:p>
      <w:pPr>
        <w:jc w:val="lef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广州市净水有限公司：</w:t>
      </w:r>
    </w:p>
    <w:p>
      <w:pPr>
        <w:ind w:firstLine="562"/>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我</w:t>
      </w:r>
      <w:r>
        <w:rPr>
          <w:rFonts w:hint="eastAsia" w:ascii="仿宋_GB2312" w:hAnsi="仿宋_GB2312" w:eastAsia="仿宋_GB2312" w:cs="仿宋_GB2312"/>
          <w:b w:val="0"/>
          <w:bCs/>
          <w:sz w:val="28"/>
          <w:szCs w:val="28"/>
          <w:lang w:val="en-US" w:eastAsia="zh-CN"/>
        </w:rPr>
        <w:t>司</w:t>
      </w:r>
      <w:r>
        <w:rPr>
          <w:rFonts w:hint="eastAsia" w:ascii="仿宋_GB2312" w:hAnsi="仿宋_GB2312" w:eastAsia="仿宋_GB2312" w:cs="仿宋_GB2312"/>
          <w:b w:val="0"/>
          <w:bCs/>
          <w:sz w:val="28"/>
          <w:szCs w:val="28"/>
        </w:rPr>
        <w:t>已仔细研究本询价文件全部要求，完全理解询价文件所有实质性响应条款，如有任何一条负偏离或者不满足将导致</w:t>
      </w:r>
      <w:r>
        <w:rPr>
          <w:rFonts w:hint="eastAsia" w:ascii="仿宋_GB2312" w:hAnsi="仿宋_GB2312" w:eastAsia="仿宋_GB2312" w:cs="仿宋_GB2312"/>
          <w:b w:val="0"/>
          <w:bCs/>
          <w:sz w:val="28"/>
          <w:szCs w:val="28"/>
          <w:lang w:val="en-US" w:eastAsia="zh-CN"/>
        </w:rPr>
        <w:t>响应文件</w:t>
      </w:r>
      <w:r>
        <w:rPr>
          <w:rFonts w:hint="eastAsia" w:ascii="仿宋_GB2312" w:hAnsi="仿宋_GB2312" w:eastAsia="仿宋_GB2312" w:cs="仿宋_GB2312"/>
          <w:b w:val="0"/>
          <w:bCs/>
          <w:sz w:val="28"/>
          <w:szCs w:val="28"/>
        </w:rPr>
        <w:t>无效。</w:t>
      </w:r>
    </w:p>
    <w:p>
      <w:pPr>
        <w:jc w:val="both"/>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由于我</w:t>
      </w:r>
      <w:r>
        <w:rPr>
          <w:rFonts w:hint="eastAsia" w:ascii="仿宋_GB2312" w:hAnsi="仿宋_GB2312" w:eastAsia="仿宋_GB2312" w:cs="仿宋_GB2312"/>
          <w:b w:val="0"/>
          <w:bCs/>
          <w:sz w:val="28"/>
          <w:szCs w:val="28"/>
          <w:lang w:val="en-US" w:eastAsia="zh-CN"/>
        </w:rPr>
        <w:t>司</w:t>
      </w:r>
      <w:r>
        <w:rPr>
          <w:rFonts w:hint="eastAsia" w:ascii="仿宋_GB2312" w:hAnsi="仿宋_GB2312" w:eastAsia="仿宋_GB2312" w:cs="仿宋_GB2312"/>
          <w:b w:val="0"/>
          <w:bCs/>
          <w:sz w:val="28"/>
          <w:szCs w:val="28"/>
        </w:rPr>
        <w:t>提供资料不实或与</w:t>
      </w:r>
      <w:r>
        <w:rPr>
          <w:rFonts w:hint="eastAsia" w:ascii="仿宋_GB2312" w:hAnsi="仿宋_GB2312" w:eastAsia="仿宋_GB2312" w:cs="仿宋_GB2312"/>
          <w:b w:val="0"/>
          <w:bCs/>
          <w:sz w:val="28"/>
          <w:szCs w:val="28"/>
          <w:lang w:val="en-US" w:eastAsia="zh-CN"/>
        </w:rPr>
        <w:t>询价文件</w:t>
      </w:r>
      <w:r>
        <w:rPr>
          <w:rFonts w:hint="eastAsia" w:ascii="仿宋_GB2312" w:hAnsi="仿宋_GB2312" w:eastAsia="仿宋_GB2312" w:cs="仿宋_GB2312"/>
          <w:b w:val="0"/>
          <w:bCs/>
          <w:sz w:val="28"/>
          <w:szCs w:val="28"/>
        </w:rPr>
        <w:t>中所有条款不符而造成的责任和后果由我</w:t>
      </w:r>
      <w:r>
        <w:rPr>
          <w:rFonts w:hint="eastAsia" w:ascii="仿宋_GB2312" w:hAnsi="仿宋_GB2312" w:eastAsia="仿宋_GB2312" w:cs="仿宋_GB2312"/>
          <w:b w:val="0"/>
          <w:bCs/>
          <w:sz w:val="28"/>
          <w:szCs w:val="28"/>
          <w:lang w:val="en-US" w:eastAsia="zh-CN"/>
        </w:rPr>
        <w:t>司</w:t>
      </w:r>
      <w:r>
        <w:rPr>
          <w:rFonts w:hint="eastAsia" w:ascii="仿宋_GB2312" w:hAnsi="仿宋_GB2312" w:eastAsia="仿宋_GB2312" w:cs="仿宋_GB2312"/>
          <w:b w:val="0"/>
          <w:bCs/>
          <w:sz w:val="28"/>
          <w:szCs w:val="28"/>
        </w:rPr>
        <w:t>承担。</w:t>
      </w:r>
    </w:p>
    <w:p>
      <w:pPr>
        <w:ind w:firstLine="0"/>
        <w:jc w:val="both"/>
        <w:rPr>
          <w:rFonts w:hint="eastAsia" w:ascii="仿宋_GB2312" w:hAnsi="仿宋_GB2312" w:eastAsia="仿宋_GB2312" w:cs="仿宋_GB2312"/>
          <w:b w:val="0"/>
          <w:bCs/>
          <w:sz w:val="28"/>
          <w:szCs w:val="28"/>
        </w:rPr>
      </w:pPr>
    </w:p>
    <w:p>
      <w:pPr>
        <w:ind w:firstLine="0"/>
        <w:jc w:val="righ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报价单位（盖公章）：</w:t>
      </w:r>
    </w:p>
    <w:p>
      <w:pPr>
        <w:pStyle w:val="2"/>
        <w:jc w:val="center"/>
        <w:rPr>
          <w:rFonts w:hint="eastAsia" w:ascii="仿宋" w:hAnsi="仿宋" w:eastAsia="仿宋"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val="0"/>
          <w:bCs/>
          <w:sz w:val="28"/>
          <w:szCs w:val="28"/>
          <w:lang w:val="en-US" w:eastAsia="zh-CN"/>
        </w:rPr>
        <w:t xml:space="preserve">                                            年  月  日</w:t>
      </w:r>
    </w:p>
    <w:p>
      <w:pPr>
        <w:jc w:val="cente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widowControl/>
        <w:tabs>
          <w:tab w:val="left" w:pos="851"/>
        </w:tabs>
        <w:adjustRightInd w:val="0"/>
        <w:snapToGrid w:val="0"/>
        <w:spacing w:line="384" w:lineRule="auto"/>
        <w:jc w:val="left"/>
        <w:rPr>
          <w:rFonts w:ascii="仿宋" w:hAnsi="仿宋" w:eastAsia="仿宋" w:cs="仿宋_GB2312"/>
          <w:b/>
          <w:color w:val="00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新宋体">
    <w:panose1 w:val="02010609030101010101"/>
    <w:charset w:val="86"/>
    <w:family w:val="auto"/>
    <w:pitch w:val="default"/>
    <w:sig w:usb0="00000283" w:usb1="288F0000" w:usb2="0000000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u8AFjRAAAAAgEAAA8AAAAA&#10;AAAAAQAgAAAAIgAAAGRycy9kb3ducmV2LnhtbFBLAQIUABQAAAAIAIdO4kBmwhEFGwIAABIEAAAO&#10;AAAAAAAAAAEAIAAAACABAABkcnMvZTJvRG9jLnhtbFBLBQYAAAAABgAGAFkBAACt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4"/>
      </w:rPr>
    </w:pPr>
    <w:r>
      <w:fldChar w:fldCharType="begin"/>
    </w:r>
    <w:r>
      <w:rPr>
        <w:rStyle w:val="24"/>
      </w:rPr>
      <w:instrText xml:space="preserve">PAGE  </w:instrText>
    </w:r>
    <w:r>
      <w:fldChar w:fldCharType="separate"/>
    </w:r>
    <w:r>
      <w:rPr>
        <w:rStyle w:val="24"/>
      </w:rPr>
      <w:t>23</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4100B7B"/>
    <w:multiLevelType w:val="singleLevel"/>
    <w:tmpl w:val="24100B7B"/>
    <w:lvl w:ilvl="0" w:tentative="0">
      <w:start w:val="4"/>
      <w:numFmt w:val="chineseCounting"/>
      <w:suff w:val="space"/>
      <w:lvlText w:val="第%1部分"/>
      <w:lvlJc w:val="left"/>
      <w:rPr>
        <w:rFonts w:hint="eastAsia"/>
      </w:rPr>
    </w:lvl>
  </w:abstractNum>
  <w:abstractNum w:abstractNumId="2">
    <w:nsid w:val="534B5C71"/>
    <w:multiLevelType w:val="singleLevel"/>
    <w:tmpl w:val="534B5C71"/>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revisionView w:markup="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9FA"/>
    <w:rsid w:val="00006243"/>
    <w:rsid w:val="00017E3B"/>
    <w:rsid w:val="00026748"/>
    <w:rsid w:val="0002731E"/>
    <w:rsid w:val="00042526"/>
    <w:rsid w:val="00044267"/>
    <w:rsid w:val="00045679"/>
    <w:rsid w:val="000644E6"/>
    <w:rsid w:val="000657B9"/>
    <w:rsid w:val="00067A1B"/>
    <w:rsid w:val="0008071C"/>
    <w:rsid w:val="000A46D5"/>
    <w:rsid w:val="000A513D"/>
    <w:rsid w:val="000B2E59"/>
    <w:rsid w:val="000B5150"/>
    <w:rsid w:val="000B56D5"/>
    <w:rsid w:val="000B6E2A"/>
    <w:rsid w:val="000C269F"/>
    <w:rsid w:val="000E45BC"/>
    <w:rsid w:val="000F0E33"/>
    <w:rsid w:val="00112127"/>
    <w:rsid w:val="00113A79"/>
    <w:rsid w:val="001166BB"/>
    <w:rsid w:val="001467CA"/>
    <w:rsid w:val="0015464B"/>
    <w:rsid w:val="00163A61"/>
    <w:rsid w:val="00190153"/>
    <w:rsid w:val="00194425"/>
    <w:rsid w:val="00196351"/>
    <w:rsid w:val="001B229F"/>
    <w:rsid w:val="001C2A08"/>
    <w:rsid w:val="001C2A41"/>
    <w:rsid w:val="001F46A9"/>
    <w:rsid w:val="001F4B7D"/>
    <w:rsid w:val="001F5CC8"/>
    <w:rsid w:val="00203513"/>
    <w:rsid w:val="00204AB7"/>
    <w:rsid w:val="002144D7"/>
    <w:rsid w:val="00235700"/>
    <w:rsid w:val="00243240"/>
    <w:rsid w:val="00246613"/>
    <w:rsid w:val="00250256"/>
    <w:rsid w:val="002A21F8"/>
    <w:rsid w:val="002E23B2"/>
    <w:rsid w:val="002E2EA5"/>
    <w:rsid w:val="002F588A"/>
    <w:rsid w:val="00320FA9"/>
    <w:rsid w:val="00335D77"/>
    <w:rsid w:val="00352134"/>
    <w:rsid w:val="00356EFB"/>
    <w:rsid w:val="0035701B"/>
    <w:rsid w:val="00383CF0"/>
    <w:rsid w:val="003A0C70"/>
    <w:rsid w:val="003A30A6"/>
    <w:rsid w:val="003A6177"/>
    <w:rsid w:val="003C43FE"/>
    <w:rsid w:val="003D205C"/>
    <w:rsid w:val="003D3EB3"/>
    <w:rsid w:val="003D6308"/>
    <w:rsid w:val="003D66E3"/>
    <w:rsid w:val="003E1CBF"/>
    <w:rsid w:val="003E3A96"/>
    <w:rsid w:val="003F7185"/>
    <w:rsid w:val="00400CFA"/>
    <w:rsid w:val="00413436"/>
    <w:rsid w:val="00414334"/>
    <w:rsid w:val="004273C1"/>
    <w:rsid w:val="0046764A"/>
    <w:rsid w:val="00477301"/>
    <w:rsid w:val="00481194"/>
    <w:rsid w:val="004814F2"/>
    <w:rsid w:val="0048211B"/>
    <w:rsid w:val="00491F67"/>
    <w:rsid w:val="004B707F"/>
    <w:rsid w:val="004C5DB3"/>
    <w:rsid w:val="004E1354"/>
    <w:rsid w:val="004F3212"/>
    <w:rsid w:val="0050227A"/>
    <w:rsid w:val="00504917"/>
    <w:rsid w:val="00523FFA"/>
    <w:rsid w:val="00525D06"/>
    <w:rsid w:val="00527A1E"/>
    <w:rsid w:val="00532787"/>
    <w:rsid w:val="005328FE"/>
    <w:rsid w:val="00536854"/>
    <w:rsid w:val="00570096"/>
    <w:rsid w:val="00570D85"/>
    <w:rsid w:val="005840C1"/>
    <w:rsid w:val="0058445E"/>
    <w:rsid w:val="00592032"/>
    <w:rsid w:val="005A4EA8"/>
    <w:rsid w:val="005A6632"/>
    <w:rsid w:val="005F336B"/>
    <w:rsid w:val="006077E7"/>
    <w:rsid w:val="00613B10"/>
    <w:rsid w:val="00653163"/>
    <w:rsid w:val="00666D6D"/>
    <w:rsid w:val="0067290B"/>
    <w:rsid w:val="006840DB"/>
    <w:rsid w:val="0069107D"/>
    <w:rsid w:val="006C581B"/>
    <w:rsid w:val="006D78B3"/>
    <w:rsid w:val="006E0C83"/>
    <w:rsid w:val="006E59CC"/>
    <w:rsid w:val="00703691"/>
    <w:rsid w:val="00724C42"/>
    <w:rsid w:val="007263F2"/>
    <w:rsid w:val="007331F2"/>
    <w:rsid w:val="00747A49"/>
    <w:rsid w:val="007550D7"/>
    <w:rsid w:val="00786097"/>
    <w:rsid w:val="007957B4"/>
    <w:rsid w:val="0079655F"/>
    <w:rsid w:val="007A3FFF"/>
    <w:rsid w:val="007A6F35"/>
    <w:rsid w:val="007B6895"/>
    <w:rsid w:val="007C7208"/>
    <w:rsid w:val="007D172A"/>
    <w:rsid w:val="007F6D48"/>
    <w:rsid w:val="007F7F8F"/>
    <w:rsid w:val="008077D6"/>
    <w:rsid w:val="00817C82"/>
    <w:rsid w:val="008328A8"/>
    <w:rsid w:val="0083305F"/>
    <w:rsid w:val="00833F4E"/>
    <w:rsid w:val="00834211"/>
    <w:rsid w:val="008410FC"/>
    <w:rsid w:val="00850945"/>
    <w:rsid w:val="00854ED4"/>
    <w:rsid w:val="00862C6C"/>
    <w:rsid w:val="0086709D"/>
    <w:rsid w:val="00876F4F"/>
    <w:rsid w:val="008A3A31"/>
    <w:rsid w:val="008B03F8"/>
    <w:rsid w:val="008B0FD9"/>
    <w:rsid w:val="008E4F0E"/>
    <w:rsid w:val="00933EEF"/>
    <w:rsid w:val="00940686"/>
    <w:rsid w:val="00950382"/>
    <w:rsid w:val="009513CD"/>
    <w:rsid w:val="0095329C"/>
    <w:rsid w:val="00974494"/>
    <w:rsid w:val="0098076A"/>
    <w:rsid w:val="009B1F7B"/>
    <w:rsid w:val="009C7F95"/>
    <w:rsid w:val="00A042A5"/>
    <w:rsid w:val="00A07297"/>
    <w:rsid w:val="00A10754"/>
    <w:rsid w:val="00A10F87"/>
    <w:rsid w:val="00A26B96"/>
    <w:rsid w:val="00A3022D"/>
    <w:rsid w:val="00A37654"/>
    <w:rsid w:val="00A470EB"/>
    <w:rsid w:val="00A55510"/>
    <w:rsid w:val="00A66265"/>
    <w:rsid w:val="00A9730C"/>
    <w:rsid w:val="00AC68CE"/>
    <w:rsid w:val="00AC7CE3"/>
    <w:rsid w:val="00AD5870"/>
    <w:rsid w:val="00AE2741"/>
    <w:rsid w:val="00AF5C08"/>
    <w:rsid w:val="00B057D6"/>
    <w:rsid w:val="00B322B9"/>
    <w:rsid w:val="00B76342"/>
    <w:rsid w:val="00B842DF"/>
    <w:rsid w:val="00B908B9"/>
    <w:rsid w:val="00B936D7"/>
    <w:rsid w:val="00BA63CA"/>
    <w:rsid w:val="00BC5308"/>
    <w:rsid w:val="00BC63F4"/>
    <w:rsid w:val="00BD0A61"/>
    <w:rsid w:val="00BD2540"/>
    <w:rsid w:val="00BD6CB0"/>
    <w:rsid w:val="00BF29CD"/>
    <w:rsid w:val="00BF79FA"/>
    <w:rsid w:val="00C00DEE"/>
    <w:rsid w:val="00C2525F"/>
    <w:rsid w:val="00C351CD"/>
    <w:rsid w:val="00C40D7A"/>
    <w:rsid w:val="00C669FA"/>
    <w:rsid w:val="00C67000"/>
    <w:rsid w:val="00C95977"/>
    <w:rsid w:val="00CA316B"/>
    <w:rsid w:val="00CA61FE"/>
    <w:rsid w:val="00CC428A"/>
    <w:rsid w:val="00CC688F"/>
    <w:rsid w:val="00CF6BB9"/>
    <w:rsid w:val="00D0201F"/>
    <w:rsid w:val="00D141CE"/>
    <w:rsid w:val="00D23D4A"/>
    <w:rsid w:val="00D30450"/>
    <w:rsid w:val="00D32BCA"/>
    <w:rsid w:val="00D57EC1"/>
    <w:rsid w:val="00D61CC7"/>
    <w:rsid w:val="00D61E8F"/>
    <w:rsid w:val="00D64BDD"/>
    <w:rsid w:val="00D70B32"/>
    <w:rsid w:val="00DB0C60"/>
    <w:rsid w:val="00DC06EB"/>
    <w:rsid w:val="00E135A3"/>
    <w:rsid w:val="00ED2CAD"/>
    <w:rsid w:val="00EE09EB"/>
    <w:rsid w:val="00EE5DF6"/>
    <w:rsid w:val="00F056F1"/>
    <w:rsid w:val="00F222B0"/>
    <w:rsid w:val="00F35C04"/>
    <w:rsid w:val="00F44C25"/>
    <w:rsid w:val="00F81A4F"/>
    <w:rsid w:val="00FC38AC"/>
    <w:rsid w:val="00FC4531"/>
    <w:rsid w:val="00FD2A30"/>
    <w:rsid w:val="00FD67EF"/>
    <w:rsid w:val="01213C08"/>
    <w:rsid w:val="01825CB1"/>
    <w:rsid w:val="0215573E"/>
    <w:rsid w:val="024822B0"/>
    <w:rsid w:val="027951E6"/>
    <w:rsid w:val="02C45024"/>
    <w:rsid w:val="02CB58CB"/>
    <w:rsid w:val="03087985"/>
    <w:rsid w:val="03475D9E"/>
    <w:rsid w:val="035D56B7"/>
    <w:rsid w:val="03832948"/>
    <w:rsid w:val="03D06DBA"/>
    <w:rsid w:val="04965E27"/>
    <w:rsid w:val="055C1B6B"/>
    <w:rsid w:val="05F767B7"/>
    <w:rsid w:val="06DB216C"/>
    <w:rsid w:val="070D21A9"/>
    <w:rsid w:val="0738668D"/>
    <w:rsid w:val="074005C3"/>
    <w:rsid w:val="07945DCD"/>
    <w:rsid w:val="07966214"/>
    <w:rsid w:val="079E1868"/>
    <w:rsid w:val="07BF48E5"/>
    <w:rsid w:val="08251C73"/>
    <w:rsid w:val="08AF64BB"/>
    <w:rsid w:val="08DD6F50"/>
    <w:rsid w:val="0A4A2DA1"/>
    <w:rsid w:val="0A810BB7"/>
    <w:rsid w:val="0A851038"/>
    <w:rsid w:val="0BEE4AD8"/>
    <w:rsid w:val="0BF7794B"/>
    <w:rsid w:val="0C056B63"/>
    <w:rsid w:val="0C165C1F"/>
    <w:rsid w:val="0CA010C8"/>
    <w:rsid w:val="0CD71487"/>
    <w:rsid w:val="0D4A2254"/>
    <w:rsid w:val="0D917F28"/>
    <w:rsid w:val="0DD442A4"/>
    <w:rsid w:val="0E0F34CE"/>
    <w:rsid w:val="0E105F13"/>
    <w:rsid w:val="0E8B1A39"/>
    <w:rsid w:val="0F157AE7"/>
    <w:rsid w:val="0F390B28"/>
    <w:rsid w:val="0F437716"/>
    <w:rsid w:val="0F5027BF"/>
    <w:rsid w:val="0F595CE1"/>
    <w:rsid w:val="0F5D2C98"/>
    <w:rsid w:val="0FB15B6E"/>
    <w:rsid w:val="0FE9290F"/>
    <w:rsid w:val="100551E5"/>
    <w:rsid w:val="101B6A2A"/>
    <w:rsid w:val="103743C6"/>
    <w:rsid w:val="10930A51"/>
    <w:rsid w:val="10A21193"/>
    <w:rsid w:val="10B43B38"/>
    <w:rsid w:val="10CC2CED"/>
    <w:rsid w:val="117C356D"/>
    <w:rsid w:val="117D701A"/>
    <w:rsid w:val="118C396D"/>
    <w:rsid w:val="11DD09DC"/>
    <w:rsid w:val="120339C7"/>
    <w:rsid w:val="122261D1"/>
    <w:rsid w:val="166677CD"/>
    <w:rsid w:val="166B72D3"/>
    <w:rsid w:val="16774A77"/>
    <w:rsid w:val="16AD7949"/>
    <w:rsid w:val="16CB57E7"/>
    <w:rsid w:val="16CE05E6"/>
    <w:rsid w:val="16EE30E7"/>
    <w:rsid w:val="171B257B"/>
    <w:rsid w:val="17374AFE"/>
    <w:rsid w:val="175975CB"/>
    <w:rsid w:val="17614C76"/>
    <w:rsid w:val="18341647"/>
    <w:rsid w:val="18576EA5"/>
    <w:rsid w:val="185E6891"/>
    <w:rsid w:val="18832F1A"/>
    <w:rsid w:val="192D3736"/>
    <w:rsid w:val="195E787B"/>
    <w:rsid w:val="198533A4"/>
    <w:rsid w:val="19EE3322"/>
    <w:rsid w:val="1A3C59EA"/>
    <w:rsid w:val="1A5A050B"/>
    <w:rsid w:val="1B43354C"/>
    <w:rsid w:val="1B6C3A06"/>
    <w:rsid w:val="1BC51A48"/>
    <w:rsid w:val="1BE72C9D"/>
    <w:rsid w:val="1C440C1D"/>
    <w:rsid w:val="1CC63289"/>
    <w:rsid w:val="1D8D6C0F"/>
    <w:rsid w:val="1DDD2F7D"/>
    <w:rsid w:val="1DE87568"/>
    <w:rsid w:val="1DFA5B50"/>
    <w:rsid w:val="1DFD3E11"/>
    <w:rsid w:val="1E172573"/>
    <w:rsid w:val="1E75317E"/>
    <w:rsid w:val="1E8651E3"/>
    <w:rsid w:val="1EED6483"/>
    <w:rsid w:val="1F2F4F22"/>
    <w:rsid w:val="1F626CBE"/>
    <w:rsid w:val="1FCB7AAE"/>
    <w:rsid w:val="1FDA5354"/>
    <w:rsid w:val="201607F8"/>
    <w:rsid w:val="201C0EBB"/>
    <w:rsid w:val="2094043D"/>
    <w:rsid w:val="20E1358A"/>
    <w:rsid w:val="21197576"/>
    <w:rsid w:val="214B6BF0"/>
    <w:rsid w:val="21734A3E"/>
    <w:rsid w:val="221F635B"/>
    <w:rsid w:val="229B7230"/>
    <w:rsid w:val="22B424EA"/>
    <w:rsid w:val="23285357"/>
    <w:rsid w:val="2344568D"/>
    <w:rsid w:val="23CB38A6"/>
    <w:rsid w:val="23E76396"/>
    <w:rsid w:val="2411337A"/>
    <w:rsid w:val="24254283"/>
    <w:rsid w:val="24844CE0"/>
    <w:rsid w:val="24AF79E0"/>
    <w:rsid w:val="251A021B"/>
    <w:rsid w:val="25351C96"/>
    <w:rsid w:val="25C507A2"/>
    <w:rsid w:val="26F56AC0"/>
    <w:rsid w:val="27B26870"/>
    <w:rsid w:val="27D50AB7"/>
    <w:rsid w:val="27EF76F4"/>
    <w:rsid w:val="281F7A50"/>
    <w:rsid w:val="28651E57"/>
    <w:rsid w:val="28B67AA9"/>
    <w:rsid w:val="28F033EC"/>
    <w:rsid w:val="291E1603"/>
    <w:rsid w:val="29221318"/>
    <w:rsid w:val="298F6B3E"/>
    <w:rsid w:val="29A441D3"/>
    <w:rsid w:val="29B26E64"/>
    <w:rsid w:val="29E47B0A"/>
    <w:rsid w:val="2A940D1D"/>
    <w:rsid w:val="2AFA2A43"/>
    <w:rsid w:val="2B8F2CA4"/>
    <w:rsid w:val="2BF2732D"/>
    <w:rsid w:val="2C0F5B60"/>
    <w:rsid w:val="2C2E6EB5"/>
    <w:rsid w:val="2CD61190"/>
    <w:rsid w:val="2D19638F"/>
    <w:rsid w:val="2DAB1D7F"/>
    <w:rsid w:val="2DF2210B"/>
    <w:rsid w:val="2DF2482E"/>
    <w:rsid w:val="2E234B22"/>
    <w:rsid w:val="2E9A7907"/>
    <w:rsid w:val="2EBA18AD"/>
    <w:rsid w:val="2F0B2C00"/>
    <w:rsid w:val="2FC067FF"/>
    <w:rsid w:val="2FCA12C3"/>
    <w:rsid w:val="31343EAE"/>
    <w:rsid w:val="31D806F6"/>
    <w:rsid w:val="31FE415B"/>
    <w:rsid w:val="32207E65"/>
    <w:rsid w:val="32D03ED3"/>
    <w:rsid w:val="33804F89"/>
    <w:rsid w:val="338D3FB9"/>
    <w:rsid w:val="33B204B9"/>
    <w:rsid w:val="3427114C"/>
    <w:rsid w:val="349E71E6"/>
    <w:rsid w:val="34E92F2E"/>
    <w:rsid w:val="357836E7"/>
    <w:rsid w:val="358B4E40"/>
    <w:rsid w:val="35971342"/>
    <w:rsid w:val="35C75BE6"/>
    <w:rsid w:val="368842E7"/>
    <w:rsid w:val="377E7997"/>
    <w:rsid w:val="37942F37"/>
    <w:rsid w:val="37CE07EF"/>
    <w:rsid w:val="381E2730"/>
    <w:rsid w:val="38F70FAB"/>
    <w:rsid w:val="394D21E7"/>
    <w:rsid w:val="395A5702"/>
    <w:rsid w:val="39C851DB"/>
    <w:rsid w:val="3A042CB3"/>
    <w:rsid w:val="3AB900A5"/>
    <w:rsid w:val="3B5E7FDD"/>
    <w:rsid w:val="3B6B6DD0"/>
    <w:rsid w:val="3BA305CB"/>
    <w:rsid w:val="3C370838"/>
    <w:rsid w:val="3C595F7D"/>
    <w:rsid w:val="3C7C7217"/>
    <w:rsid w:val="3CE74F29"/>
    <w:rsid w:val="3D1F511B"/>
    <w:rsid w:val="3D5B310B"/>
    <w:rsid w:val="3E095BCA"/>
    <w:rsid w:val="3E0F351A"/>
    <w:rsid w:val="3EA65850"/>
    <w:rsid w:val="3EC8123A"/>
    <w:rsid w:val="3EEB1ACE"/>
    <w:rsid w:val="3F055128"/>
    <w:rsid w:val="3F466C6C"/>
    <w:rsid w:val="3F54054D"/>
    <w:rsid w:val="3F7A5E74"/>
    <w:rsid w:val="3FBB7391"/>
    <w:rsid w:val="401310ED"/>
    <w:rsid w:val="41AC5A97"/>
    <w:rsid w:val="41D14A55"/>
    <w:rsid w:val="41DF27B1"/>
    <w:rsid w:val="42093E84"/>
    <w:rsid w:val="42BF01C5"/>
    <w:rsid w:val="42C17449"/>
    <w:rsid w:val="4310494B"/>
    <w:rsid w:val="43415061"/>
    <w:rsid w:val="43A4461F"/>
    <w:rsid w:val="43BE13BF"/>
    <w:rsid w:val="441066A3"/>
    <w:rsid w:val="441A32F1"/>
    <w:rsid w:val="44600DBD"/>
    <w:rsid w:val="44FD12C2"/>
    <w:rsid w:val="454618D9"/>
    <w:rsid w:val="45D04201"/>
    <w:rsid w:val="45D12721"/>
    <w:rsid w:val="4611043A"/>
    <w:rsid w:val="46194FAB"/>
    <w:rsid w:val="461C0EF1"/>
    <w:rsid w:val="464B1280"/>
    <w:rsid w:val="4661697B"/>
    <w:rsid w:val="46B34996"/>
    <w:rsid w:val="475A2186"/>
    <w:rsid w:val="477F4975"/>
    <w:rsid w:val="478B465D"/>
    <w:rsid w:val="47977170"/>
    <w:rsid w:val="47C65815"/>
    <w:rsid w:val="480139C4"/>
    <w:rsid w:val="481F5DE7"/>
    <w:rsid w:val="48D75621"/>
    <w:rsid w:val="48DB21ED"/>
    <w:rsid w:val="4A2851B5"/>
    <w:rsid w:val="4A2F4E2F"/>
    <w:rsid w:val="4AD262D7"/>
    <w:rsid w:val="4AD9788D"/>
    <w:rsid w:val="4BC82AC7"/>
    <w:rsid w:val="4C1E7E8C"/>
    <w:rsid w:val="4C310D10"/>
    <w:rsid w:val="4CE82F0D"/>
    <w:rsid w:val="4D1F07CC"/>
    <w:rsid w:val="4D284C9B"/>
    <w:rsid w:val="4D3840BE"/>
    <w:rsid w:val="4D551989"/>
    <w:rsid w:val="4D8305D8"/>
    <w:rsid w:val="4DF46039"/>
    <w:rsid w:val="4E725989"/>
    <w:rsid w:val="4E762343"/>
    <w:rsid w:val="4F2F4D0F"/>
    <w:rsid w:val="4FCB1D63"/>
    <w:rsid w:val="500D4543"/>
    <w:rsid w:val="502B2642"/>
    <w:rsid w:val="502E55DD"/>
    <w:rsid w:val="513E3034"/>
    <w:rsid w:val="515A6194"/>
    <w:rsid w:val="51722D1F"/>
    <w:rsid w:val="5172393A"/>
    <w:rsid w:val="51734708"/>
    <w:rsid w:val="51A926EA"/>
    <w:rsid w:val="51B65006"/>
    <w:rsid w:val="52090955"/>
    <w:rsid w:val="5210640D"/>
    <w:rsid w:val="52160B7C"/>
    <w:rsid w:val="52253E41"/>
    <w:rsid w:val="522971FC"/>
    <w:rsid w:val="523A3295"/>
    <w:rsid w:val="52755A5B"/>
    <w:rsid w:val="52A50864"/>
    <w:rsid w:val="52FC3E3A"/>
    <w:rsid w:val="5375002C"/>
    <w:rsid w:val="537F7BFD"/>
    <w:rsid w:val="54256235"/>
    <w:rsid w:val="5428437A"/>
    <w:rsid w:val="54606D16"/>
    <w:rsid w:val="5489728D"/>
    <w:rsid w:val="54B057B0"/>
    <w:rsid w:val="54B91869"/>
    <w:rsid w:val="54BF3C9C"/>
    <w:rsid w:val="54FB7AE0"/>
    <w:rsid w:val="55461FCB"/>
    <w:rsid w:val="55921860"/>
    <w:rsid w:val="562E6E42"/>
    <w:rsid w:val="56447F87"/>
    <w:rsid w:val="568508B6"/>
    <w:rsid w:val="56A0149E"/>
    <w:rsid w:val="56E25835"/>
    <w:rsid w:val="57435AA6"/>
    <w:rsid w:val="57E2260A"/>
    <w:rsid w:val="57FC0614"/>
    <w:rsid w:val="582E1436"/>
    <w:rsid w:val="584222D3"/>
    <w:rsid w:val="58C8034C"/>
    <w:rsid w:val="595A6DAA"/>
    <w:rsid w:val="5A36592C"/>
    <w:rsid w:val="5A6155C2"/>
    <w:rsid w:val="5A9D2DFB"/>
    <w:rsid w:val="5AFC4773"/>
    <w:rsid w:val="5B1E4FDA"/>
    <w:rsid w:val="5B3C1EDE"/>
    <w:rsid w:val="5B43063E"/>
    <w:rsid w:val="5B7758D0"/>
    <w:rsid w:val="5BBB1BFC"/>
    <w:rsid w:val="5C955D81"/>
    <w:rsid w:val="5CBF7366"/>
    <w:rsid w:val="5CEA6842"/>
    <w:rsid w:val="5CF93944"/>
    <w:rsid w:val="5D0C2841"/>
    <w:rsid w:val="5DD0123C"/>
    <w:rsid w:val="5E52450A"/>
    <w:rsid w:val="5E6C1EE2"/>
    <w:rsid w:val="5E784C84"/>
    <w:rsid w:val="5EF24BD1"/>
    <w:rsid w:val="5F2B4751"/>
    <w:rsid w:val="5F3975A3"/>
    <w:rsid w:val="5F516386"/>
    <w:rsid w:val="5F6F647E"/>
    <w:rsid w:val="5F7B439F"/>
    <w:rsid w:val="600D03A1"/>
    <w:rsid w:val="612F265F"/>
    <w:rsid w:val="61317F51"/>
    <w:rsid w:val="616A4354"/>
    <w:rsid w:val="618C1BE2"/>
    <w:rsid w:val="61932D7D"/>
    <w:rsid w:val="628208BB"/>
    <w:rsid w:val="62CD5B89"/>
    <w:rsid w:val="6331176E"/>
    <w:rsid w:val="634D18EF"/>
    <w:rsid w:val="63526B3A"/>
    <w:rsid w:val="635D716A"/>
    <w:rsid w:val="63BE341B"/>
    <w:rsid w:val="64C272AD"/>
    <w:rsid w:val="64D4152E"/>
    <w:rsid w:val="65284570"/>
    <w:rsid w:val="655C3140"/>
    <w:rsid w:val="656D64FA"/>
    <w:rsid w:val="658052DD"/>
    <w:rsid w:val="659C18B1"/>
    <w:rsid w:val="65A25D59"/>
    <w:rsid w:val="65C47416"/>
    <w:rsid w:val="665C3C76"/>
    <w:rsid w:val="669D7E10"/>
    <w:rsid w:val="67057CC2"/>
    <w:rsid w:val="670D7173"/>
    <w:rsid w:val="673B2037"/>
    <w:rsid w:val="6785569E"/>
    <w:rsid w:val="67C72854"/>
    <w:rsid w:val="681869FD"/>
    <w:rsid w:val="68B32721"/>
    <w:rsid w:val="690B6D7C"/>
    <w:rsid w:val="693E2350"/>
    <w:rsid w:val="699C0231"/>
    <w:rsid w:val="69F6405B"/>
    <w:rsid w:val="6A091B6D"/>
    <w:rsid w:val="6A3320AF"/>
    <w:rsid w:val="6ABB5727"/>
    <w:rsid w:val="6B1A6F57"/>
    <w:rsid w:val="6B4026C8"/>
    <w:rsid w:val="6CD41863"/>
    <w:rsid w:val="6D5E7D64"/>
    <w:rsid w:val="6DA93AF7"/>
    <w:rsid w:val="6DFD1267"/>
    <w:rsid w:val="6F0A4BA7"/>
    <w:rsid w:val="6F1A7372"/>
    <w:rsid w:val="6F2155D1"/>
    <w:rsid w:val="6F2D4C56"/>
    <w:rsid w:val="6F387F41"/>
    <w:rsid w:val="6F3B08A0"/>
    <w:rsid w:val="6F4D1D02"/>
    <w:rsid w:val="6F93363A"/>
    <w:rsid w:val="702E3856"/>
    <w:rsid w:val="70624653"/>
    <w:rsid w:val="710B10C2"/>
    <w:rsid w:val="71950079"/>
    <w:rsid w:val="71EA5114"/>
    <w:rsid w:val="71F37EA0"/>
    <w:rsid w:val="72411309"/>
    <w:rsid w:val="726957A9"/>
    <w:rsid w:val="72903204"/>
    <w:rsid w:val="72962E22"/>
    <w:rsid w:val="72A30DB4"/>
    <w:rsid w:val="72AD7B2C"/>
    <w:rsid w:val="73AD6D3B"/>
    <w:rsid w:val="73B5332C"/>
    <w:rsid w:val="73F64AD6"/>
    <w:rsid w:val="745B0474"/>
    <w:rsid w:val="75664885"/>
    <w:rsid w:val="75FC5708"/>
    <w:rsid w:val="764515DD"/>
    <w:rsid w:val="76B414A3"/>
    <w:rsid w:val="76C057F2"/>
    <w:rsid w:val="77104A5B"/>
    <w:rsid w:val="774A16C1"/>
    <w:rsid w:val="78033B32"/>
    <w:rsid w:val="78624B9D"/>
    <w:rsid w:val="79816561"/>
    <w:rsid w:val="79BE5874"/>
    <w:rsid w:val="79FE6F5F"/>
    <w:rsid w:val="7A052862"/>
    <w:rsid w:val="7AA856BE"/>
    <w:rsid w:val="7ADA653A"/>
    <w:rsid w:val="7C57001E"/>
    <w:rsid w:val="7C6914D9"/>
    <w:rsid w:val="7C8912DD"/>
    <w:rsid w:val="7C8F63C8"/>
    <w:rsid w:val="7DCB439A"/>
    <w:rsid w:val="7E862C85"/>
    <w:rsid w:val="7EC07050"/>
    <w:rsid w:val="7ECE0477"/>
    <w:rsid w:val="7F0B2A41"/>
    <w:rsid w:val="7F6053B4"/>
    <w:rsid w:val="7F8C2D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3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8"/>
    <w:semiHidden/>
    <w:unhideWhenUsed/>
    <w:qFormat/>
    <w:uiPriority w:val="9"/>
    <w:pPr>
      <w:keepNext/>
      <w:keepLines/>
      <w:spacing w:before="260" w:after="260" w:line="416" w:lineRule="auto"/>
      <w:outlineLvl w:val="2"/>
    </w:pPr>
    <w:rPr>
      <w:b/>
      <w:bCs/>
      <w:sz w:val="32"/>
      <w:szCs w:val="32"/>
    </w:rPr>
  </w:style>
  <w:style w:type="paragraph" w:styleId="5">
    <w:name w:val="heading 5"/>
    <w:basedOn w:val="1"/>
    <w:next w:val="1"/>
    <w:link w:val="30"/>
    <w:unhideWhenUsed/>
    <w:qFormat/>
    <w:uiPriority w:val="9"/>
    <w:pPr>
      <w:keepNext/>
      <w:keepLines/>
      <w:widowControl/>
      <w:spacing w:before="40" w:line="259" w:lineRule="auto"/>
      <w:jc w:val="left"/>
      <w:outlineLvl w:val="4"/>
    </w:pPr>
    <w:rPr>
      <w:rFonts w:asciiTheme="majorHAnsi" w:hAnsiTheme="majorHAnsi" w:eastAsiaTheme="majorEastAsia" w:cstheme="majorBidi"/>
      <w:color w:val="376092" w:themeColor="accent1" w:themeShade="BF"/>
      <w:kern w:val="0"/>
      <w:sz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annotation text"/>
    <w:basedOn w:val="1"/>
    <w:link w:val="37"/>
    <w:qFormat/>
    <w:uiPriority w:val="0"/>
    <w:pPr>
      <w:jc w:val="left"/>
    </w:pPr>
    <w:rPr>
      <w:rFonts w:ascii="Times New Roman" w:hAnsi="Times New Roman" w:eastAsia="宋体" w:cs="Times New Roman"/>
      <w:szCs w:val="24"/>
    </w:rPr>
  </w:style>
  <w:style w:type="paragraph" w:styleId="7">
    <w:name w:val="Body Text"/>
    <w:basedOn w:val="1"/>
    <w:unhideWhenUsed/>
    <w:qFormat/>
    <w:uiPriority w:val="99"/>
    <w:rPr>
      <w:sz w:val="28"/>
    </w:rPr>
  </w:style>
  <w:style w:type="paragraph" w:styleId="8">
    <w:name w:val="Body Text Indent"/>
    <w:basedOn w:val="1"/>
    <w:link w:val="39"/>
    <w:semiHidden/>
    <w:unhideWhenUsed/>
    <w:qFormat/>
    <w:uiPriority w:val="99"/>
    <w:pPr>
      <w:spacing w:after="120"/>
      <w:ind w:left="420" w:leftChars="200"/>
    </w:pPr>
  </w:style>
  <w:style w:type="paragraph" w:styleId="9">
    <w:name w:val="Plain Text"/>
    <w:basedOn w:val="1"/>
    <w:link w:val="34"/>
    <w:qFormat/>
    <w:uiPriority w:val="0"/>
    <w:rPr>
      <w:rFonts w:ascii="宋体" w:hAnsi="Courier New" w:eastAsia="宋体" w:cs="Courier New"/>
      <w:szCs w:val="21"/>
    </w:r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43"/>
    <w:semiHidden/>
    <w:unhideWhenUsed/>
    <w:qFormat/>
    <w:uiPriority w:val="99"/>
    <w:rPr>
      <w:sz w:val="18"/>
      <w:szCs w:val="18"/>
    </w:rPr>
  </w:style>
  <w:style w:type="paragraph" w:styleId="12">
    <w:name w:val="footer"/>
    <w:basedOn w:val="1"/>
    <w:link w:val="27"/>
    <w:unhideWhenUsed/>
    <w:qFormat/>
    <w:uiPriority w:val="99"/>
    <w:pPr>
      <w:tabs>
        <w:tab w:val="center" w:pos="4153"/>
        <w:tab w:val="right" w:pos="8306"/>
      </w:tabs>
      <w:snapToGrid w:val="0"/>
      <w:jc w:val="left"/>
    </w:pPr>
    <w:rPr>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rPr>
      <w:rFonts w:ascii="Times New Roman" w:hAnsi="Times New Roman" w:eastAsia="宋体" w:cs="Times New Roman"/>
      <w:szCs w:val="24"/>
    </w:rPr>
  </w:style>
  <w:style w:type="paragraph" w:styleId="15">
    <w:name w:val="Body Text Indent 3"/>
    <w:basedOn w:val="1"/>
    <w:link w:val="32"/>
    <w:qFormat/>
    <w:uiPriority w:val="99"/>
    <w:pPr>
      <w:widowControl/>
      <w:spacing w:after="120" w:line="259" w:lineRule="auto"/>
      <w:ind w:left="420" w:leftChars="200"/>
      <w:jc w:val="left"/>
    </w:pPr>
    <w:rPr>
      <w:kern w:val="0"/>
      <w:sz w:val="16"/>
      <w:szCs w:val="16"/>
    </w:rPr>
  </w:style>
  <w:style w:type="paragraph" w:styleId="16">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7">
    <w:name w:val="Title"/>
    <w:basedOn w:val="1"/>
    <w:next w:val="1"/>
    <w:link w:val="36"/>
    <w:qFormat/>
    <w:uiPriority w:val="0"/>
    <w:pPr>
      <w:spacing w:before="240" w:after="60"/>
      <w:jc w:val="center"/>
      <w:outlineLvl w:val="0"/>
    </w:pPr>
    <w:rPr>
      <w:rFonts w:ascii="Cambria" w:hAnsi="Cambria" w:eastAsia="宋体" w:cs="Times New Roman"/>
      <w:b/>
      <w:bCs/>
      <w:sz w:val="32"/>
      <w:szCs w:val="32"/>
    </w:rPr>
  </w:style>
  <w:style w:type="paragraph" w:styleId="18">
    <w:name w:val="Body Text First Indent"/>
    <w:basedOn w:val="7"/>
    <w:unhideWhenUsed/>
    <w:qFormat/>
    <w:uiPriority w:val="99"/>
    <w:pPr>
      <w:spacing w:after="120"/>
      <w:ind w:firstLine="420"/>
    </w:pPr>
    <w:rPr>
      <w:sz w:val="21"/>
    </w:rPr>
  </w:style>
  <w:style w:type="paragraph" w:styleId="19">
    <w:name w:val="Body Text First Indent 2"/>
    <w:basedOn w:val="8"/>
    <w:qFormat/>
    <w:uiPriority w:val="0"/>
    <w:pPr>
      <w:adjustRightInd w:val="0"/>
      <w:spacing w:line="360" w:lineRule="auto"/>
      <w:ind w:left="0" w:leftChars="0" w:firstLine="420"/>
      <w:textAlignment w:val="baseline"/>
    </w:pPr>
    <w:rPr>
      <w:rFonts w:eastAsia="等线" w:cs="Times New Roman"/>
      <w:color w:val="000000"/>
      <w:szCs w:val="24"/>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qFormat/>
    <w:uiPriority w:val="22"/>
    <w:rPr>
      <w:rFonts w:eastAsia="宋体"/>
      <w:b/>
      <w:bCs/>
      <w:kern w:val="2"/>
      <w:sz w:val="24"/>
      <w:szCs w:val="24"/>
      <w:lang w:val="en-US" w:eastAsia="zh-CN" w:bidi="ar-SA"/>
    </w:rPr>
  </w:style>
  <w:style w:type="character" w:styleId="24">
    <w:name w:val="page number"/>
    <w:basedOn w:val="22"/>
    <w:qFormat/>
    <w:uiPriority w:val="0"/>
  </w:style>
  <w:style w:type="character" w:styleId="25">
    <w:name w:val="annotation reference"/>
    <w:basedOn w:val="22"/>
    <w:qFormat/>
    <w:uiPriority w:val="0"/>
    <w:rPr>
      <w:sz w:val="21"/>
      <w:szCs w:val="21"/>
    </w:rPr>
  </w:style>
  <w:style w:type="character" w:customStyle="1" w:styleId="26">
    <w:name w:val="页眉 Char"/>
    <w:basedOn w:val="22"/>
    <w:link w:val="13"/>
    <w:qFormat/>
    <w:uiPriority w:val="99"/>
    <w:rPr>
      <w:sz w:val="18"/>
      <w:szCs w:val="18"/>
    </w:rPr>
  </w:style>
  <w:style w:type="character" w:customStyle="1" w:styleId="27">
    <w:name w:val="页脚 Char"/>
    <w:basedOn w:val="22"/>
    <w:link w:val="12"/>
    <w:qFormat/>
    <w:uiPriority w:val="99"/>
    <w:rPr>
      <w:sz w:val="18"/>
      <w:szCs w:val="18"/>
    </w:rPr>
  </w:style>
  <w:style w:type="paragraph" w:customStyle="1" w:styleId="28">
    <w:name w:val="列出段落1"/>
    <w:basedOn w:val="1"/>
    <w:qFormat/>
    <w:uiPriority w:val="34"/>
    <w:pPr>
      <w:ind w:firstLine="420" w:firstLineChars="200"/>
    </w:pPr>
    <w:rPr>
      <w:rFonts w:ascii="Calibri" w:hAnsi="Calibri" w:eastAsia="宋体" w:cs="Times New Roman"/>
    </w:rPr>
  </w:style>
  <w:style w:type="character" w:customStyle="1" w:styleId="29">
    <w:name w:val="标题 5 Char"/>
    <w:basedOn w:val="22"/>
    <w:link w:val="5"/>
    <w:semiHidden/>
    <w:qFormat/>
    <w:uiPriority w:val="9"/>
    <w:rPr>
      <w:b/>
      <w:bCs/>
      <w:sz w:val="28"/>
      <w:szCs w:val="28"/>
    </w:rPr>
  </w:style>
  <w:style w:type="character" w:customStyle="1" w:styleId="30">
    <w:name w:val="标题 5 Char1"/>
    <w:basedOn w:val="22"/>
    <w:link w:val="5"/>
    <w:qFormat/>
    <w:uiPriority w:val="9"/>
    <w:rPr>
      <w:rFonts w:asciiTheme="majorHAnsi" w:hAnsiTheme="majorHAnsi" w:eastAsiaTheme="majorEastAsia" w:cstheme="majorBidi"/>
      <w:color w:val="376092" w:themeColor="accent1" w:themeShade="BF"/>
      <w:kern w:val="0"/>
      <w:sz w:val="22"/>
    </w:rPr>
  </w:style>
  <w:style w:type="character" w:customStyle="1" w:styleId="31">
    <w:name w:val="正文文本缩进 3 Char"/>
    <w:basedOn w:val="22"/>
    <w:link w:val="15"/>
    <w:semiHidden/>
    <w:qFormat/>
    <w:uiPriority w:val="99"/>
    <w:rPr>
      <w:sz w:val="16"/>
      <w:szCs w:val="16"/>
    </w:rPr>
  </w:style>
  <w:style w:type="character" w:customStyle="1" w:styleId="32">
    <w:name w:val="正文文本缩进 3 Char1"/>
    <w:basedOn w:val="22"/>
    <w:link w:val="15"/>
    <w:qFormat/>
    <w:uiPriority w:val="99"/>
    <w:rPr>
      <w:kern w:val="0"/>
      <w:sz w:val="16"/>
      <w:szCs w:val="16"/>
    </w:rPr>
  </w:style>
  <w:style w:type="paragraph" w:styleId="33">
    <w:name w:val="List Paragraph"/>
    <w:basedOn w:val="1"/>
    <w:qFormat/>
    <w:uiPriority w:val="34"/>
    <w:pPr>
      <w:ind w:firstLine="420" w:firstLineChars="200"/>
    </w:pPr>
  </w:style>
  <w:style w:type="character" w:customStyle="1" w:styleId="34">
    <w:name w:val="纯文本 Char"/>
    <w:basedOn w:val="22"/>
    <w:link w:val="9"/>
    <w:qFormat/>
    <w:uiPriority w:val="0"/>
    <w:rPr>
      <w:rFonts w:ascii="宋体" w:hAnsi="Courier New" w:eastAsia="宋体" w:cs="Courier New"/>
      <w:szCs w:val="21"/>
    </w:rPr>
  </w:style>
  <w:style w:type="character" w:customStyle="1" w:styleId="35">
    <w:name w:val="标题 2 Char"/>
    <w:basedOn w:val="22"/>
    <w:link w:val="3"/>
    <w:semiHidden/>
    <w:qFormat/>
    <w:uiPriority w:val="9"/>
    <w:rPr>
      <w:rFonts w:asciiTheme="majorHAnsi" w:hAnsiTheme="majorHAnsi" w:eastAsiaTheme="majorEastAsia" w:cstheme="majorBidi"/>
      <w:b/>
      <w:bCs/>
      <w:sz w:val="32"/>
      <w:szCs w:val="32"/>
    </w:rPr>
  </w:style>
  <w:style w:type="character" w:customStyle="1" w:styleId="36">
    <w:name w:val="标题 Char"/>
    <w:basedOn w:val="22"/>
    <w:link w:val="17"/>
    <w:qFormat/>
    <w:uiPriority w:val="0"/>
    <w:rPr>
      <w:rFonts w:ascii="Cambria" w:hAnsi="Cambria" w:eastAsia="宋体" w:cs="Times New Roman"/>
      <w:b/>
      <w:bCs/>
      <w:sz w:val="32"/>
      <w:szCs w:val="32"/>
    </w:rPr>
  </w:style>
  <w:style w:type="character" w:customStyle="1" w:styleId="37">
    <w:name w:val="批注文字 Char"/>
    <w:basedOn w:val="22"/>
    <w:link w:val="6"/>
    <w:qFormat/>
    <w:uiPriority w:val="0"/>
    <w:rPr>
      <w:rFonts w:ascii="Times New Roman" w:hAnsi="Times New Roman" w:eastAsia="宋体" w:cs="Times New Roman"/>
      <w:szCs w:val="24"/>
    </w:rPr>
  </w:style>
  <w:style w:type="character" w:customStyle="1" w:styleId="38">
    <w:name w:val="标题 3 Char"/>
    <w:basedOn w:val="22"/>
    <w:link w:val="4"/>
    <w:semiHidden/>
    <w:qFormat/>
    <w:uiPriority w:val="9"/>
    <w:rPr>
      <w:b/>
      <w:bCs/>
      <w:sz w:val="32"/>
      <w:szCs w:val="32"/>
    </w:rPr>
  </w:style>
  <w:style w:type="character" w:customStyle="1" w:styleId="39">
    <w:name w:val="正文文本缩进 Char"/>
    <w:basedOn w:val="22"/>
    <w:link w:val="8"/>
    <w:semiHidden/>
    <w:qFormat/>
    <w:uiPriority w:val="99"/>
  </w:style>
  <w:style w:type="paragraph" w:customStyle="1" w:styleId="40">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kern w:val="0"/>
      <w:sz w:val="24"/>
      <w:szCs w:val="24"/>
    </w:rPr>
  </w:style>
  <w:style w:type="paragraph" w:customStyle="1" w:styleId="4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42">
    <w:name w:val="apple-converted-space"/>
    <w:basedOn w:val="22"/>
    <w:qFormat/>
    <w:uiPriority w:val="0"/>
  </w:style>
  <w:style w:type="character" w:customStyle="1" w:styleId="43">
    <w:name w:val="批注框文本 Char"/>
    <w:basedOn w:val="22"/>
    <w:link w:val="11"/>
    <w:semiHidden/>
    <w:qFormat/>
    <w:uiPriority w:val="99"/>
    <w:rPr>
      <w:kern w:val="2"/>
      <w:sz w:val="18"/>
      <w:szCs w:val="18"/>
    </w:rPr>
  </w:style>
  <w:style w:type="paragraph" w:styleId="4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Char Char Char Char"/>
    <w:basedOn w:val="1"/>
    <w:next w:val="1"/>
    <w:qFormat/>
    <w:uiPriority w:val="0"/>
    <w:pPr>
      <w:spacing w:line="360" w:lineRule="auto"/>
      <w:ind w:firstLine="20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414D70-2D37-492B-849D-1B5330ED1FA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2714</Words>
  <Characters>15472</Characters>
  <Lines>128</Lines>
  <Paragraphs>36</Paragraphs>
  <TotalTime>1</TotalTime>
  <ScaleCrop>false</ScaleCrop>
  <LinksUpToDate>false</LinksUpToDate>
  <CharactersWithSpaces>18150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2021-08-02T01:30:00Z</dcterms:created>
  <dc:creator>李嘉雯</dc:creator>
  <cp:lastModifiedBy>林煜韩</cp:lastModifiedBy>
  <cp:lastPrinted>2021-08-12T08:43:00Z</cp:lastPrinted>
  <dcterms:modified xsi:type="dcterms:W3CDTF">2021-09-13T06:59:12Z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7C244FD32A1D4197B3AE461C1BE44218</vt:lpwstr>
  </property>
</Properties>
</file>