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320" w:firstLineChars="100"/>
        <w:jc w:val="left"/>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w:t>
      </w:r>
      <w:r>
        <w:rPr>
          <w:rFonts w:hint="eastAsia" w:ascii="仿宋_GB2312" w:hAnsi="仿宋_GB2312" w:eastAsia="仿宋_GB2312" w:cs="仿宋_GB2312"/>
          <w:b/>
          <w:bCs/>
          <w:color w:val="000000" w:themeColor="text1"/>
          <w:sz w:val="32"/>
          <w:szCs w:val="32"/>
          <w14:textFill>
            <w14:solidFill>
              <w14:schemeClr w14:val="tx1"/>
            </w14:solidFill>
          </w14:textFill>
        </w:rPr>
        <w:t>-2021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0827-1</w:t>
      </w:r>
    </w:p>
    <w:p>
      <w:pPr>
        <w:spacing w:line="500" w:lineRule="exact"/>
        <w:ind w:left="0" w:leftChars="0" w:firstLine="320" w:firstLineChars="10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广州市净水有限公司石井净水厂</w:t>
      </w:r>
      <w:r>
        <w:rPr>
          <w:rFonts w:ascii="仿宋_GB2312" w:hAnsi="仿宋_GB2312" w:eastAsia="仿宋_GB2312" w:cs="仿宋_GB2312"/>
          <w:b/>
          <w:bCs/>
          <w:color w:val="000000" w:themeColor="text1"/>
          <w:sz w:val="32"/>
          <w:szCs w:val="32"/>
          <w14:textFill>
            <w14:solidFill>
              <w14:schemeClr w14:val="tx1"/>
            </w14:solidFill>
          </w14:textFill>
        </w:rPr>
        <w:t>地块</w:t>
      </w:r>
      <w:r>
        <w:rPr>
          <w:rFonts w:hint="eastAsia" w:ascii="仿宋_GB2312" w:hAnsi="仿宋_GB2312" w:eastAsia="仿宋_GB2312" w:cs="仿宋_GB2312"/>
          <w:b/>
          <w:bCs/>
          <w:color w:val="000000" w:themeColor="text1"/>
          <w:sz w:val="32"/>
          <w:szCs w:val="32"/>
          <w14:textFill>
            <w14:solidFill>
              <w14:schemeClr w14:val="tx1"/>
            </w14:solidFill>
          </w14:textFill>
        </w:rPr>
        <w:t>控制性详细</w:t>
      </w:r>
    </w:p>
    <w:p>
      <w:pPr>
        <w:spacing w:line="500" w:lineRule="exact"/>
        <w:ind w:left="0" w:leftChars="0" w:firstLine="1920" w:firstLineChars="60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规划阶段海绵城市（含防洪排涝风险评估）专篇</w:t>
      </w:r>
    </w:p>
    <w:p>
      <w:pPr>
        <w:spacing w:line="500" w:lineRule="exact"/>
        <w:ind w:left="0" w:leftChars="0" w:firstLine="1920" w:firstLineChars="600"/>
        <w:jc w:val="lef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编制</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8</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27</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4"/>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14:textFill>
            <w14:solidFill>
              <w14:schemeClr w14:val="tx1"/>
            </w14:solidFill>
          </w14:textFill>
        </w:rPr>
        <w:t>石井净水厂</w:t>
      </w:r>
      <w:r>
        <w:rPr>
          <w:rFonts w:ascii="仿宋_GB2312" w:hAnsi="仿宋_GB2312" w:eastAsia="仿宋_GB2312" w:cs="仿宋_GB2312"/>
          <w:color w:val="000000" w:themeColor="text1"/>
          <w:sz w:val="28"/>
          <w:szCs w:val="28"/>
          <w:u w:val="single"/>
          <w14:textFill>
            <w14:solidFill>
              <w14:schemeClr w14:val="tx1"/>
            </w14:solidFill>
          </w14:textFill>
        </w:rPr>
        <w:t>地块</w:t>
      </w:r>
      <w:r>
        <w:rPr>
          <w:rFonts w:hint="eastAsia" w:ascii="仿宋_GB2312" w:hAnsi="仿宋_GB2312" w:eastAsia="仿宋_GB2312" w:cs="仿宋_GB2312"/>
          <w:color w:val="000000" w:themeColor="text1"/>
          <w:sz w:val="28"/>
          <w:szCs w:val="28"/>
          <w:u w:val="single"/>
          <w14:textFill>
            <w14:solidFill>
              <w14:schemeClr w14:val="tx1"/>
            </w14:solidFill>
          </w14:textFill>
        </w:rPr>
        <w:t>控制性详细规划阶段海绵城市（含防洪排涝风险评估）专篇编制</w:t>
      </w:r>
      <w:r>
        <w:rPr>
          <w:rFonts w:hint="eastAsia" w:ascii="仿宋_GB2312" w:hAnsi="仿宋_GB2312" w:eastAsia="仿宋_GB2312" w:cs="仿宋_GB2312"/>
          <w:color w:val="000000" w:themeColor="text1"/>
          <w:sz w:val="28"/>
          <w:szCs w:val="28"/>
          <w14:textFill>
            <w14:solidFill>
              <w14:schemeClr w14:val="tx1"/>
            </w14:solidFill>
          </w14:textFill>
        </w:rPr>
        <w:t>进行询价，欢迎符合资格条件的报价单位参加。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rPr>
        <w:t>自筹资金</w:t>
      </w:r>
    </w:p>
    <w:p>
      <w:pPr>
        <w:autoSpaceDE w:val="0"/>
        <w:autoSpaceDN w:val="0"/>
        <w:ind w:firstLine="560" w:firstLineChars="200"/>
        <w:rPr>
          <w:rFonts w:ascii="仿宋_GB2312" w:hAnsi="仿宋_GB2312" w:eastAsia="仿宋_GB2312" w:cs="仿宋_GB2312"/>
          <w:color w:val="000000" w:themeColor="text1"/>
          <w:sz w:val="28"/>
          <w:szCs w:val="28"/>
          <w:highlight w:val="yellow"/>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w:t>
      </w:r>
      <w:r>
        <w:rPr>
          <w:rFonts w:hint="eastAsia" w:ascii="仿宋_GB2312" w:hAnsi="仿宋_GB2312" w:eastAsia="仿宋_GB2312" w:cs="仿宋_GB2312"/>
          <w:color w:val="000000" w:themeColor="text1"/>
          <w:sz w:val="28"/>
          <w:szCs w:val="28"/>
          <w14:textFill>
            <w14:solidFill>
              <w14:schemeClr w14:val="tx1"/>
            </w14:solidFill>
          </w14:textFill>
        </w:rPr>
        <w:t>-2021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0827-1</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广州市净水有限公司石井净水厂</w:t>
      </w:r>
      <w:r>
        <w:rPr>
          <w:rFonts w:ascii="仿宋_GB2312" w:hAnsi="仿宋_GB2312" w:eastAsia="仿宋_GB2312" w:cs="仿宋_GB2312"/>
          <w:color w:val="000000" w:themeColor="text1"/>
          <w:sz w:val="28"/>
          <w:szCs w:val="28"/>
          <w:u w:val="single"/>
          <w14:textFill>
            <w14:solidFill>
              <w14:schemeClr w14:val="tx1"/>
            </w14:solidFill>
          </w14:textFill>
        </w:rPr>
        <w:t>地块</w:t>
      </w:r>
      <w:r>
        <w:rPr>
          <w:rFonts w:hint="eastAsia" w:ascii="仿宋_GB2312" w:hAnsi="仿宋_GB2312" w:eastAsia="仿宋_GB2312" w:cs="仿宋_GB2312"/>
          <w:color w:val="000000" w:themeColor="text1"/>
          <w:sz w:val="28"/>
          <w:szCs w:val="28"/>
          <w:u w:val="single"/>
          <w14:textFill>
            <w14:solidFill>
              <w14:schemeClr w14:val="tx1"/>
            </w14:solidFill>
          </w14:textFill>
        </w:rPr>
        <w:t>控制性详细规划阶段海绵城市（含防洪排涝风险评估）专篇编制</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40万元</w:t>
      </w:r>
    </w:p>
    <w:p>
      <w:pPr>
        <w:ind w:firstLine="602" w:firstLineChars="21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项目内容及需求：为盘</w:t>
      </w:r>
      <w:r>
        <w:rPr>
          <w:rFonts w:hint="eastAsia" w:ascii="仿宋_GB2312" w:hAnsi="仿宋_GB2312" w:eastAsia="仿宋_GB2312" w:cs="仿宋_GB2312"/>
          <w:color w:val="auto"/>
          <w:sz w:val="28"/>
          <w:szCs w:val="28"/>
        </w:rPr>
        <w:t>活现有土地资源，拓宽产业领域盈利渠道，按石井净水厂地块综合开发方案，目前正开展石井净水厂地块控规调整工作。</w:t>
      </w:r>
      <w:r>
        <w:rPr>
          <w:rFonts w:ascii="仿宋_GB2312" w:hAnsi="仿宋_GB2312" w:eastAsia="仿宋_GB2312" w:cs="仿宋_GB2312"/>
          <w:color w:val="auto"/>
          <w:sz w:val="28"/>
          <w:szCs w:val="28"/>
        </w:rPr>
        <w:t>根据《广州市城市开发建设项目海绵城市建设-洪涝安全评估技术指引（试行）》、《广州市水务局关于进一步加强控制性详细规划阶段涉水管控要求的函》、《广州市水务局关于印发海绵城市建设——控制性详细规划阶段洪涝安全评估审查要点的通知》、《广州市海绵城市建设领导小组办公室关于印发广州市海绵城市建设专篇编制要点的通知》等要求，</w:t>
      </w:r>
      <w:r>
        <w:rPr>
          <w:rFonts w:hint="eastAsia" w:ascii="仿宋_GB2312" w:hAnsi="仿宋_GB2312" w:eastAsia="仿宋_GB2312" w:cs="仿宋_GB2312"/>
          <w:color w:val="auto"/>
          <w:sz w:val="28"/>
          <w:szCs w:val="28"/>
        </w:rPr>
        <w:t>现拟</w:t>
      </w:r>
      <w:r>
        <w:rPr>
          <w:rFonts w:ascii="仿宋_GB2312" w:hAnsi="仿宋_GB2312" w:eastAsia="仿宋_GB2312" w:cs="仿宋_GB2312"/>
          <w:color w:val="auto"/>
          <w:sz w:val="28"/>
          <w:szCs w:val="28"/>
        </w:rPr>
        <w:t>在控制性详细规划中</w:t>
      </w:r>
      <w:r>
        <w:rPr>
          <w:rFonts w:hint="eastAsia" w:ascii="仿宋_GB2312" w:hAnsi="仿宋_GB2312" w:eastAsia="仿宋_GB2312" w:cs="仿宋_GB2312"/>
          <w:color w:val="auto"/>
          <w:sz w:val="28"/>
          <w:szCs w:val="28"/>
        </w:rPr>
        <w:t>增加</w:t>
      </w:r>
      <w:r>
        <w:rPr>
          <w:rFonts w:ascii="仿宋_GB2312" w:hAnsi="仿宋_GB2312" w:eastAsia="仿宋_GB2312" w:cs="仿宋_GB2312"/>
          <w:color w:val="auto"/>
          <w:sz w:val="28"/>
          <w:szCs w:val="28"/>
        </w:rPr>
        <w:t>海绵城市(含防洪排涝风险评估)专篇，作为控规批复</w:t>
      </w:r>
      <w:r>
        <w:rPr>
          <w:rFonts w:hint="eastAsia" w:ascii="仿宋_GB2312" w:hAnsi="仿宋_GB2312" w:eastAsia="仿宋_GB2312" w:cs="仿宋_GB2312"/>
          <w:color w:val="auto"/>
          <w:sz w:val="28"/>
          <w:szCs w:val="28"/>
        </w:rPr>
        <w:t>及</w:t>
      </w:r>
      <w:r>
        <w:rPr>
          <w:rFonts w:ascii="仿宋_GB2312" w:hAnsi="仿宋_GB2312" w:eastAsia="仿宋_GB2312" w:cs="仿宋_GB2312"/>
          <w:color w:val="auto"/>
          <w:sz w:val="28"/>
          <w:szCs w:val="28"/>
        </w:rPr>
        <w:t>后续规划条件发放的依据。</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六、报价单位资格要求：</w:t>
      </w:r>
    </w:p>
    <w:p>
      <w:pPr>
        <w:pStyle w:val="28"/>
        <w:autoSpaceDE w:val="0"/>
        <w:autoSpaceDN w:val="0"/>
        <w:ind w:firstLine="560"/>
        <w:jc w:val="left"/>
        <w:rPr>
          <w:rFonts w:ascii="仿宋_GB2312" w:hAnsi="仿宋_GB2312" w:eastAsia="仿宋_GB2312" w:cs="仿宋_GB2312"/>
          <w:color w:val="auto"/>
          <w:sz w:val="28"/>
          <w:szCs w:val="28"/>
          <w:u w:val="single"/>
        </w:rPr>
      </w:pPr>
      <w:r>
        <w:rPr>
          <w:rFonts w:ascii="仿宋_GB2312" w:hAnsi="仿宋_GB2312" w:eastAsia="仿宋_GB2312" w:cs="仿宋_GB2312"/>
          <w:color w:val="auto"/>
          <w:sz w:val="28"/>
          <w:szCs w:val="28"/>
          <w:u w:val="single"/>
        </w:rPr>
        <w:t>1</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报价单位须是中华人民共和国境内的法人或者其他组织，具有独立法人资格，能开具增值税专用发票，持有工商行政管理部门核发的法人营业执照或各级登记管理机关颁发的事业单位法定代表人证。</w:t>
      </w:r>
    </w:p>
    <w:p>
      <w:pPr>
        <w:pStyle w:val="28"/>
        <w:autoSpaceDE w:val="0"/>
        <w:autoSpaceDN w:val="0"/>
        <w:ind w:firstLine="560"/>
        <w:jc w:val="left"/>
        <w:rPr>
          <w:rFonts w:ascii="仿宋_GB2312" w:hAnsi="仿宋_GB2312" w:eastAsia="仿宋_GB2312" w:cs="仿宋_GB2312"/>
          <w:color w:val="auto"/>
          <w:sz w:val="28"/>
          <w:szCs w:val="28"/>
          <w:u w:val="single"/>
        </w:rPr>
      </w:pPr>
      <w:r>
        <w:rPr>
          <w:rFonts w:ascii="仿宋_GB2312" w:hAnsi="仿宋_GB2312" w:eastAsia="仿宋_GB2312" w:cs="仿宋_GB2312"/>
          <w:color w:val="auto"/>
          <w:sz w:val="28"/>
          <w:szCs w:val="28"/>
          <w:u w:val="single"/>
        </w:rPr>
        <w:t>2</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拟派项目负责人</w:t>
      </w:r>
      <w:r>
        <w:rPr>
          <w:rFonts w:hint="eastAsia" w:ascii="仿宋_GB2312" w:hAnsi="仿宋_GB2312" w:eastAsia="仿宋_GB2312" w:cs="仿宋_GB2312"/>
          <w:color w:val="auto"/>
          <w:sz w:val="28"/>
          <w:szCs w:val="28"/>
          <w:u w:val="single"/>
          <w:lang w:val="en-US" w:eastAsia="zh-CN"/>
        </w:rPr>
        <w:t>须</w:t>
      </w:r>
      <w:r>
        <w:rPr>
          <w:rFonts w:hint="eastAsia" w:ascii="仿宋_GB2312" w:hAnsi="仿宋_GB2312" w:eastAsia="仿宋_GB2312" w:cs="仿宋_GB2312"/>
          <w:color w:val="auto"/>
          <w:sz w:val="28"/>
          <w:szCs w:val="28"/>
          <w:u w:val="single"/>
        </w:rPr>
        <w:t>具备相关专业资质工程师</w:t>
      </w:r>
      <w:r>
        <w:rPr>
          <w:rFonts w:hint="eastAsia" w:ascii="仿宋_GB2312" w:hAnsi="仿宋_GB2312" w:eastAsia="仿宋_GB2312" w:cs="仿宋_GB2312"/>
          <w:color w:val="auto"/>
          <w:sz w:val="28"/>
          <w:szCs w:val="28"/>
          <w:u w:val="single"/>
          <w:lang w:val="en-US" w:eastAsia="zh-CN"/>
        </w:rPr>
        <w:t>中级</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或</w:t>
      </w:r>
      <w:r>
        <w:rPr>
          <w:rFonts w:hint="eastAsia" w:ascii="仿宋_GB2312" w:hAnsi="仿宋_GB2312" w:eastAsia="仿宋_GB2312" w:cs="仿宋_GB2312"/>
          <w:color w:val="auto"/>
          <w:sz w:val="28"/>
          <w:szCs w:val="28"/>
          <w:u w:val="single"/>
        </w:rPr>
        <w:t>以上</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职称</w:t>
      </w:r>
      <w:r>
        <w:rPr>
          <w:rFonts w:hint="eastAsia" w:ascii="仿宋_GB2312" w:hAnsi="仿宋_GB2312" w:eastAsia="仿宋_GB2312" w:cs="仿宋_GB2312"/>
          <w:color w:val="auto"/>
          <w:sz w:val="28"/>
          <w:szCs w:val="28"/>
          <w:u w:val="single"/>
        </w:rPr>
        <w:t>。</w:t>
      </w:r>
    </w:p>
    <w:p>
      <w:pPr>
        <w:pStyle w:val="28"/>
        <w:autoSpaceDE w:val="0"/>
        <w:autoSpaceDN w:val="0"/>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u w:val="single"/>
        </w:rPr>
        <w:t>自</w:t>
      </w:r>
      <w:bookmarkStart w:id="0" w:name="OLE_LINK3"/>
      <w:r>
        <w:rPr>
          <w:rFonts w:hint="eastAsia" w:ascii="仿宋_GB2312" w:hAnsi="仿宋_GB2312" w:eastAsia="仿宋_GB2312" w:cs="仿宋_GB2312"/>
          <w:color w:val="auto"/>
          <w:sz w:val="28"/>
          <w:szCs w:val="28"/>
          <w:u w:val="single"/>
        </w:rPr>
        <w:t>2018年1月1日至今，</w:t>
      </w:r>
      <w:bookmarkEnd w:id="0"/>
      <w:r>
        <w:rPr>
          <w:rFonts w:hint="eastAsia" w:ascii="仿宋_GB2312" w:hAnsi="仿宋_GB2312" w:eastAsia="仿宋_GB2312" w:cs="仿宋_GB2312"/>
          <w:color w:val="auto"/>
          <w:sz w:val="28"/>
          <w:szCs w:val="28"/>
          <w:u w:val="single"/>
        </w:rPr>
        <w:t>最少完成一项海绵城市</w:t>
      </w:r>
      <w:r>
        <w:rPr>
          <w:rFonts w:ascii="仿宋_GB2312" w:hAnsi="仿宋_GB2312" w:eastAsia="仿宋_GB2312" w:cs="仿宋_GB2312"/>
          <w:color w:val="auto"/>
          <w:sz w:val="28"/>
          <w:szCs w:val="28"/>
          <w:u w:val="single"/>
        </w:rPr>
        <w:t>专项规划</w:t>
      </w:r>
      <w:r>
        <w:rPr>
          <w:rFonts w:hint="eastAsia" w:ascii="仿宋_GB2312" w:hAnsi="仿宋_GB2312" w:eastAsia="仿宋_GB2312" w:cs="仿宋_GB2312"/>
          <w:color w:val="auto"/>
          <w:sz w:val="28"/>
          <w:szCs w:val="28"/>
          <w:u w:val="single"/>
        </w:rPr>
        <w:t>或</w:t>
      </w:r>
      <w:r>
        <w:rPr>
          <w:rFonts w:ascii="仿宋_GB2312" w:hAnsi="仿宋_GB2312" w:eastAsia="仿宋_GB2312" w:cs="仿宋_GB2312"/>
          <w:color w:val="auto"/>
          <w:sz w:val="28"/>
          <w:szCs w:val="28"/>
          <w:u w:val="single"/>
        </w:rPr>
        <w:t>实施评估</w:t>
      </w:r>
      <w:r>
        <w:rPr>
          <w:rFonts w:hint="eastAsia" w:ascii="仿宋_GB2312" w:hAnsi="仿宋_GB2312" w:eastAsia="仿宋_GB2312" w:cs="仿宋_GB2312"/>
          <w:color w:val="auto"/>
          <w:sz w:val="28"/>
          <w:szCs w:val="28"/>
          <w:u w:val="single"/>
        </w:rPr>
        <w:t>业绩（提供合同复印件证明，包括但不限于项目名称、实施内容、合同双方签字盖章、签订日期，并加盖单位公章）。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hint="eastAsia" w:ascii="仿宋" w:hAnsi="仿宋" w:eastAsia="仿宋" w:cs="仿宋_GB2312"/>
          <w:sz w:val="28"/>
          <w:szCs w:val="28"/>
          <w:lang w:eastAsia="zh-CN"/>
        </w:rPr>
      </w:pPr>
      <w:r>
        <w:rPr>
          <w:rFonts w:hint="eastAsia" w:ascii="仿宋" w:hAnsi="仿宋" w:eastAsia="仿宋" w:cs="仿宋_GB2312"/>
          <w:sz w:val="28"/>
          <w:szCs w:val="28"/>
        </w:rPr>
        <w:t>十、询价响应文件送达地点：广州市天河区临江大道501号广州市净水有限公司招标办</w:t>
      </w:r>
      <w:r>
        <w:rPr>
          <w:rFonts w:hint="eastAsia" w:ascii="仿宋" w:hAnsi="仿宋" w:eastAsia="仿宋" w:cs="仿宋_GB2312"/>
          <w:sz w:val="28"/>
          <w:szCs w:val="28"/>
          <w:lang w:eastAsia="zh-CN"/>
        </w:rPr>
        <w:t>。</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十二、评审地点：广州市净水有限公司六楼招标办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联系地址：广州市天河区临江大道501号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联系人：</w:t>
      </w:r>
      <w:r>
        <w:rPr>
          <w:rFonts w:hint="eastAsia" w:ascii="仿宋" w:hAnsi="仿宋" w:eastAsia="仿宋" w:cs="仿宋_GB2312"/>
          <w:sz w:val="28"/>
          <w:szCs w:val="28"/>
          <w:lang w:val="en-US" w:eastAsia="zh-CN"/>
        </w:rPr>
        <w:t>黄</w:t>
      </w:r>
      <w:r>
        <w:rPr>
          <w:rFonts w:hint="eastAsia" w:ascii="仿宋" w:hAnsi="仿宋" w:eastAsia="仿宋" w:cs="仿宋_GB2312"/>
          <w:sz w:val="28"/>
          <w:szCs w:val="28"/>
        </w:rPr>
        <w:t>工             联系方式：020-</w:t>
      </w:r>
      <w:r>
        <w:rPr>
          <w:rFonts w:hint="eastAsia" w:ascii="仿宋" w:hAnsi="仿宋" w:eastAsia="仿宋" w:cs="仿宋_GB2312"/>
          <w:sz w:val="28"/>
          <w:szCs w:val="28"/>
          <w:lang w:val="en-US" w:eastAsia="zh-CN"/>
        </w:rPr>
        <w:t>62315524</w:t>
      </w:r>
      <w:r>
        <w:rPr>
          <w:rFonts w:hint="eastAsia" w:ascii="仿宋" w:hAnsi="仿宋" w:eastAsia="仿宋" w:cs="仿宋_GB2312"/>
          <w:sz w:val="28"/>
          <w:szCs w:val="28"/>
        </w:rPr>
        <w:t xml:space="preserve">   </w:t>
      </w:r>
    </w:p>
    <w:p>
      <w:pPr>
        <w:rPr>
          <w:rFonts w:ascii="仿宋" w:hAnsi="仿宋" w:eastAsia="仿宋" w:cs="仿宋_GB2312"/>
          <w:sz w:val="28"/>
          <w:szCs w:val="28"/>
        </w:rPr>
      </w:pPr>
    </w:p>
    <w:p>
      <w:pPr>
        <w:ind w:firstLine="6020" w:firstLineChars="2150"/>
        <w:rPr>
          <w:rFonts w:ascii="仿宋" w:hAnsi="仿宋" w:eastAsia="仿宋" w:cs="仿宋"/>
          <w:sz w:val="28"/>
          <w:szCs w:val="28"/>
        </w:rPr>
      </w:pPr>
      <w:r>
        <w:rPr>
          <w:rFonts w:hint="eastAsia" w:ascii="仿宋" w:hAnsi="仿宋" w:eastAsia="仿宋" w:cs="仿宋"/>
          <w:sz w:val="28"/>
          <w:szCs w:val="28"/>
        </w:rPr>
        <w:t>广州市净水有限公司</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2021年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27</w:t>
      </w:r>
      <w:bookmarkStart w:id="15" w:name="_GoBack"/>
      <w:bookmarkEnd w:id="15"/>
      <w:r>
        <w:rPr>
          <w:rFonts w:hint="eastAsia" w:ascii="仿宋" w:hAnsi="仿宋" w:eastAsia="仿宋" w:cs="仿宋"/>
          <w:sz w:val="28"/>
          <w:szCs w:val="28"/>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一、项目概况</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石井净水厂地块位于广州市城市中心区，属于白云区张村社区，地块周边为机场高速与许广高速等高快速路。为盘活现有土地资源，拓宽产业领域盈利渠道，变“邻避”为“邻利”，目前正按该地块综合开发方案，开展石井净水厂地块控规调整工作，控规调整工作包含控规论证报告，以及对应控制性详细规划所需的专题评估（交通影响评估、环境影响篇章、市政设施影响评估报告）内容。</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根据2021年5月6日市水务局文件《广州市水务局关于进一步加强控制性详细规划阶段涉水管控要求的函》等相关文件</w:t>
      </w:r>
      <w:r>
        <w:rPr>
          <w:rFonts w:ascii="仿宋_GB2312" w:hAnsi="仿宋_GB2312" w:eastAsia="仿宋_GB2312" w:cs="仿宋_GB2312"/>
          <w:color w:val="auto"/>
          <w:sz w:val="28"/>
          <w:szCs w:val="28"/>
          <w:highlight w:val="none"/>
        </w:rPr>
        <w:t>要求</w:t>
      </w:r>
      <w:r>
        <w:rPr>
          <w:rFonts w:hint="eastAsia" w:ascii="仿宋_GB2312" w:hAnsi="仿宋_GB2312" w:eastAsia="仿宋_GB2312" w:cs="仿宋_GB2312"/>
          <w:color w:val="auto"/>
          <w:sz w:val="28"/>
          <w:szCs w:val="28"/>
          <w:highlight w:val="none"/>
        </w:rPr>
        <w:t>，现拟</w:t>
      </w:r>
      <w:r>
        <w:rPr>
          <w:rFonts w:ascii="仿宋_GB2312" w:hAnsi="仿宋_GB2312" w:eastAsia="仿宋_GB2312" w:cs="仿宋_GB2312"/>
          <w:color w:val="auto"/>
          <w:sz w:val="28"/>
          <w:szCs w:val="28"/>
          <w:highlight w:val="none"/>
        </w:rPr>
        <w:t>在控制性详细规划中</w:t>
      </w:r>
      <w:r>
        <w:rPr>
          <w:rFonts w:hint="eastAsia" w:ascii="仿宋_GB2312" w:hAnsi="仿宋_GB2312" w:eastAsia="仿宋_GB2312" w:cs="仿宋_GB2312"/>
          <w:color w:val="auto"/>
          <w:sz w:val="28"/>
          <w:szCs w:val="28"/>
          <w:highlight w:val="none"/>
        </w:rPr>
        <w:t>增加</w:t>
      </w:r>
      <w:r>
        <w:rPr>
          <w:rFonts w:ascii="仿宋_GB2312" w:hAnsi="仿宋_GB2312" w:eastAsia="仿宋_GB2312" w:cs="仿宋_GB2312"/>
          <w:color w:val="auto"/>
          <w:sz w:val="28"/>
          <w:szCs w:val="28"/>
          <w:highlight w:val="none"/>
        </w:rPr>
        <w:t>海绵城市(含防洪排涝风险评估)专篇，作为控规批复及后续规划条件发放的依据。</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二、项目技术要求</w:t>
      </w:r>
    </w:p>
    <w:p>
      <w:pPr>
        <w:spacing w:line="360" w:lineRule="auto"/>
        <w:ind w:firstLine="560" w:firstLineChars="200"/>
        <w:rPr>
          <w:rFonts w:ascii="仿宋" w:hAnsi="仿宋" w:eastAsia="仿宋" w:cs="仿宋_GB2312"/>
          <w:color w:val="auto"/>
          <w:sz w:val="28"/>
          <w:szCs w:val="28"/>
          <w:highlight w:val="none"/>
        </w:rPr>
      </w:pPr>
      <w:r>
        <w:rPr>
          <w:rFonts w:hint="eastAsia" w:ascii="仿宋_GB2312" w:hAnsi="仿宋_GB2312" w:eastAsia="仿宋_GB2312" w:cs="仿宋_GB2312"/>
          <w:color w:val="auto"/>
          <w:sz w:val="28"/>
          <w:szCs w:val="28"/>
          <w:highlight w:val="none"/>
        </w:rPr>
        <w:t>1.石井净水厂</w:t>
      </w:r>
      <w:r>
        <w:rPr>
          <w:rFonts w:ascii="仿宋_GB2312" w:hAnsi="仿宋_GB2312" w:eastAsia="仿宋_GB2312" w:cs="仿宋_GB2312"/>
          <w:color w:val="auto"/>
          <w:sz w:val="28"/>
          <w:szCs w:val="28"/>
          <w:highlight w:val="none"/>
        </w:rPr>
        <w:t>地块</w:t>
      </w:r>
      <w:r>
        <w:rPr>
          <w:rFonts w:hint="eastAsia" w:ascii="仿宋_GB2312" w:hAnsi="仿宋_GB2312" w:eastAsia="仿宋_GB2312" w:cs="仿宋_GB2312"/>
          <w:color w:val="auto"/>
          <w:sz w:val="28"/>
          <w:szCs w:val="28"/>
          <w:highlight w:val="none"/>
        </w:rPr>
        <w:t>控制性详细规划阶段</w:t>
      </w:r>
      <w:r>
        <w:rPr>
          <w:rFonts w:ascii="仿宋_GB2312" w:hAnsi="仿宋_GB2312" w:eastAsia="仿宋_GB2312" w:cs="仿宋_GB2312"/>
          <w:color w:val="auto"/>
          <w:sz w:val="28"/>
          <w:szCs w:val="28"/>
          <w:highlight w:val="none"/>
        </w:rPr>
        <w:t>海绵城市(含防洪排涝风险评估)专篇的编制</w:t>
      </w:r>
      <w:r>
        <w:rPr>
          <w:rFonts w:hint="eastAsia" w:ascii="仿宋" w:hAnsi="仿宋" w:eastAsia="仿宋" w:cs="仿宋_GB2312"/>
          <w:color w:val="auto"/>
          <w:sz w:val="28"/>
          <w:szCs w:val="28"/>
          <w:highlight w:val="none"/>
        </w:rPr>
        <w:t>必须符合《中华人民共和国城乡规划法》、《城市规划编制办法》、《广州市城市规划管理标准与准则》、《广州市城乡规划技术规定（试行）》、</w:t>
      </w:r>
      <w:r>
        <w:rPr>
          <w:rFonts w:ascii="仿宋_GB2312" w:hAnsi="仿宋_GB2312" w:eastAsia="仿宋_GB2312" w:cs="仿宋_GB2312"/>
          <w:color w:val="auto"/>
          <w:sz w:val="28"/>
          <w:szCs w:val="28"/>
          <w:highlight w:val="none"/>
        </w:rPr>
        <w:t>《广州市城市开发建设项目海绵城市建设-洪涝安全评估技术指引（试行）》、《广州市水务局关于进一步加强控制性详细规划阶段涉水管控要求的函》、《广州市水务局关于印发海绵城市建设——控制性详细规划阶段洪涝安全评估审查要点的通知》、《广州市海绵城市建设领导小组办公室关于印发广州市海绵城市建设专篇编制要点的通知》</w:t>
      </w:r>
      <w:r>
        <w:rPr>
          <w:rFonts w:hint="eastAsia" w:ascii="仿宋" w:hAnsi="仿宋" w:eastAsia="仿宋" w:cs="仿宋_GB2312"/>
          <w:color w:val="auto"/>
          <w:sz w:val="28"/>
          <w:szCs w:val="28"/>
          <w:highlight w:val="none"/>
        </w:rPr>
        <w:t>等有关国家和地方的法律、法规、规章、标准和技术要求。</w:t>
      </w:r>
    </w:p>
    <w:p>
      <w:pPr>
        <w:pStyle w:val="9"/>
        <w:adjustRightInd w:val="0"/>
        <w:snapToGrid w:val="0"/>
        <w:spacing w:line="360" w:lineRule="auto"/>
        <w:ind w:firstLine="560" w:firstLineChars="20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w:t>
      </w:r>
      <w:r>
        <w:rPr>
          <w:rFonts w:ascii="仿宋_GB2312" w:hAnsi="仿宋_GB2312" w:eastAsia="仿宋_GB2312" w:cs="仿宋_GB2312"/>
          <w:color w:val="auto"/>
          <w:sz w:val="28"/>
          <w:szCs w:val="28"/>
          <w:highlight w:val="none"/>
        </w:rPr>
        <w:t xml:space="preserve"> 海绵城市(含防洪排涝风险评估)</w:t>
      </w:r>
      <w:r>
        <w:rPr>
          <w:rFonts w:hint="eastAsia" w:ascii="仿宋" w:hAnsi="仿宋" w:eastAsia="仿宋" w:cs="仿宋_GB2312"/>
          <w:color w:val="auto"/>
          <w:sz w:val="28"/>
          <w:szCs w:val="28"/>
          <w:highlight w:val="none"/>
        </w:rPr>
        <w:t>专篇内容、深度必须符合并满足规划、水务等主管部门的有关要求，对水务工程进行技术指标控制，落实所需配套项目等。</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三、项目商务要求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r>
        <w:rPr>
          <w:rFonts w:ascii="仿宋_GB2312" w:hAnsi="仿宋_GB2312" w:eastAsia="仿宋_GB2312" w:cs="仿宋_GB2312"/>
          <w:color w:val="auto"/>
          <w:sz w:val="28"/>
          <w:szCs w:val="28"/>
          <w:highlight w:val="none"/>
        </w:rPr>
        <w:t>海绵城市(含防洪排涝风险评估)</w:t>
      </w:r>
      <w:r>
        <w:rPr>
          <w:rFonts w:hint="eastAsia" w:ascii="仿宋" w:hAnsi="仿宋" w:eastAsia="仿宋" w:cs="仿宋_GB2312"/>
          <w:color w:val="auto"/>
          <w:sz w:val="28"/>
          <w:szCs w:val="28"/>
          <w:highlight w:val="none"/>
        </w:rPr>
        <w:t>专篇作为</w:t>
      </w:r>
      <w:r>
        <w:rPr>
          <w:rFonts w:ascii="仿宋_GB2312" w:hAnsi="仿宋_GB2312" w:eastAsia="仿宋_GB2312" w:cs="仿宋_GB2312"/>
          <w:color w:val="auto"/>
          <w:sz w:val="28"/>
          <w:szCs w:val="28"/>
          <w:highlight w:val="none"/>
        </w:rPr>
        <w:t>控制性详细规划论证报告的一部分</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需配合石井净水厂地块控制性详细规划的不同阶段需要</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完成控规成果中</w:t>
      </w:r>
      <w:r>
        <w:rPr>
          <w:rFonts w:hint="eastAsia" w:ascii="仿宋_GB2312" w:hAnsi="仿宋_GB2312" w:eastAsia="仿宋_GB2312" w:cs="仿宋_GB2312"/>
          <w:color w:val="auto"/>
          <w:sz w:val="28"/>
          <w:szCs w:val="28"/>
          <w:highlight w:val="none"/>
        </w:rPr>
        <w:t>的</w:t>
      </w:r>
      <w:r>
        <w:rPr>
          <w:rFonts w:ascii="仿宋_GB2312" w:hAnsi="仿宋_GB2312" w:eastAsia="仿宋_GB2312" w:cs="仿宋_GB2312"/>
          <w:color w:val="auto"/>
          <w:sz w:val="28"/>
          <w:szCs w:val="28"/>
          <w:highlight w:val="none"/>
        </w:rPr>
        <w:t>海绵城市(含防洪排涝风险评估)专篇内容</w:t>
      </w:r>
      <w:r>
        <w:rPr>
          <w:rFonts w:hint="eastAsia" w:ascii="仿宋_GB2312" w:hAnsi="仿宋_GB2312" w:eastAsia="仿宋_GB2312" w:cs="仿宋_GB2312"/>
          <w:color w:val="auto"/>
          <w:sz w:val="28"/>
          <w:szCs w:val="28"/>
          <w:highlight w:val="none"/>
        </w:rPr>
        <w:t>，并</w:t>
      </w:r>
      <w:r>
        <w:rPr>
          <w:rFonts w:ascii="仿宋_GB2312" w:hAnsi="仿宋_GB2312" w:eastAsia="仿宋_GB2312" w:cs="仿宋_GB2312"/>
          <w:color w:val="auto"/>
          <w:sz w:val="28"/>
          <w:szCs w:val="28"/>
          <w:highlight w:val="none"/>
        </w:rPr>
        <w:t>按照相关部门意见完善修改至满足要求</w:t>
      </w:r>
      <w:r>
        <w:rPr>
          <w:rFonts w:hint="eastAsia" w:ascii="仿宋_GB2312" w:hAnsi="仿宋_GB2312" w:eastAsia="仿宋_GB2312" w:cs="仿宋_GB2312"/>
          <w:color w:val="auto"/>
          <w:sz w:val="28"/>
          <w:szCs w:val="28"/>
          <w:highlight w:val="none"/>
        </w:rPr>
        <w:t>。</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3.付款方式：见合同书格式。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4.承包方式：总价包干。</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本合同采用总价包干，工作内容包括完成本合同项下的所有工作（包含但不限于报告编制和报审、修改完善及公示期间相关工作的配合）。整个项目主要工作内容包括：</w:t>
      </w:r>
    </w:p>
    <w:p>
      <w:pPr>
        <w:spacing w:line="360" w:lineRule="auto"/>
        <w:ind w:firstLine="560" w:firstLineChars="200"/>
        <w:rPr>
          <w:rFonts w:ascii="仿宋_GB2312" w:hAnsi="仿宋_GB2312" w:eastAsia="仿宋_GB2312" w:cs="仿宋_GB2312"/>
          <w:color w:val="auto"/>
          <w:sz w:val="28"/>
          <w:szCs w:val="28"/>
          <w:highlight w:val="none"/>
        </w:rPr>
      </w:pPr>
      <w:bookmarkStart w:id="1" w:name="_Toc62667714"/>
      <w:r>
        <w:rPr>
          <w:rFonts w:hint="eastAsia" w:ascii="仿宋_GB2312" w:hAnsi="仿宋_GB2312" w:eastAsia="仿宋_GB2312" w:cs="仿宋_GB2312"/>
          <w:color w:val="auto"/>
          <w:sz w:val="28"/>
          <w:szCs w:val="28"/>
          <w:highlight w:val="none"/>
        </w:rPr>
        <w:t>（1）海绵城市专项规划工作内容主要包括：</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依据《广州市建设项目雨水径流控制办法》（广州市人民政府令第107号）、《广州市建设项目海绵城市建设管控指标分类指引（试行）的通知》(穗水河湖</w:t>
      </w:r>
      <w:r>
        <w:rPr>
          <w:rFonts w:hint="eastAsia" w:ascii="仿宋" w:hAnsi="仿宋" w:eastAsia="仿宋" w:cs="仿宋_GB2312"/>
          <w:color w:val="auto"/>
          <w:sz w:val="28"/>
          <w:szCs w:val="28"/>
          <w:highlight w:val="none"/>
        </w:rPr>
        <w:t>﹝2020﹞</w:t>
      </w:r>
      <w:r>
        <w:rPr>
          <w:rFonts w:hint="eastAsia" w:ascii="仿宋_GB2312" w:hAnsi="仿宋_GB2312" w:eastAsia="仿宋_GB2312" w:cs="仿宋_GB2312"/>
          <w:color w:val="auto"/>
          <w:sz w:val="28"/>
          <w:szCs w:val="28"/>
          <w:highlight w:val="none"/>
        </w:rPr>
        <w:t>7号)、《广州市海绵城市建设领导小组办公室关于印发广州市海绵城市建设专篇编制要点的通知》（穗海绵办</w:t>
      </w:r>
      <w:r>
        <w:rPr>
          <w:rFonts w:hint="eastAsia" w:ascii="仿宋" w:hAnsi="仿宋" w:eastAsia="仿宋" w:cs="仿宋_GB2312"/>
          <w:color w:val="auto"/>
          <w:sz w:val="28"/>
          <w:szCs w:val="28"/>
          <w:highlight w:val="none"/>
        </w:rPr>
        <w:t>﹝2021﹞</w:t>
      </w:r>
      <w:r>
        <w:rPr>
          <w:rFonts w:hint="eastAsia" w:ascii="仿宋_GB2312" w:hAnsi="仿宋_GB2312" w:eastAsia="仿宋_GB2312" w:cs="仿宋_GB2312"/>
          <w:color w:val="auto"/>
          <w:sz w:val="28"/>
          <w:szCs w:val="28"/>
          <w:highlight w:val="none"/>
        </w:rPr>
        <w:t>12号）和各区海绵城市专项规划的有关要求，细化落实各地块的海绵城市相关管控指标和建设方案。</w:t>
      </w:r>
    </w:p>
    <w:bookmarkEnd w:id="1"/>
    <w:p>
      <w:pPr>
        <w:spacing w:line="360" w:lineRule="auto"/>
        <w:ind w:firstLine="560" w:firstLineChars="200"/>
        <w:rPr>
          <w:rFonts w:ascii="仿宋_GB2312" w:hAnsi="仿宋_GB2312" w:eastAsia="仿宋_GB2312" w:cs="仿宋_GB2312"/>
          <w:color w:val="auto"/>
          <w:sz w:val="28"/>
          <w:szCs w:val="28"/>
          <w:highlight w:val="none"/>
        </w:rPr>
      </w:pPr>
      <w:bookmarkStart w:id="2" w:name="_Toc62667715"/>
      <w:bookmarkStart w:id="3" w:name="OLE_LINK1"/>
      <w:bookmarkStart w:id="4" w:name="OLE_LINK2"/>
      <w:r>
        <w:rPr>
          <w:rFonts w:hint="eastAsia" w:ascii="仿宋_GB2312" w:hAnsi="仿宋_GB2312" w:eastAsia="仿宋_GB2312" w:cs="仿宋_GB2312"/>
          <w:color w:val="auto"/>
          <w:sz w:val="28"/>
          <w:szCs w:val="28"/>
          <w:highlight w:val="none"/>
        </w:rPr>
        <w:t>（2）</w:t>
      </w:r>
      <w:bookmarkEnd w:id="2"/>
      <w:r>
        <w:rPr>
          <w:rFonts w:hint="eastAsia" w:ascii="仿宋_GB2312" w:hAnsi="仿宋_GB2312" w:eastAsia="仿宋_GB2312" w:cs="仿宋_GB2312"/>
          <w:color w:val="auto"/>
          <w:sz w:val="28"/>
          <w:szCs w:val="28"/>
          <w:highlight w:val="none"/>
        </w:rPr>
        <w:t>防洪排涝风险评估工作内容主要包括：</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1）基本情况：包括①建设项目概况；②工程区域及流域基本情况；③防洪排涝及排水现状；④排水防涝设施规划及控制指标；⑤工程区域下垫面变化情况；⑥流域历史洪涝灾害情况。</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2）项目所处区域洪涝风险等级评定：包括①洪涝风险等级评定方法；②洪涝风险等级评定结果。</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3）防洪排涝风险评估：包括①外江防洪（潮）标准；②河涌整治防洪标准；③内涝防治标准。</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4）排水工程评估：包括①雨水径流控制标准；②雨水管渠、泵站及附属设施设计标准；③规划排水布局复核；④规划排水体制复核。</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5）海绵城市评估：评估径流削减要求和地块配建调蓄容积需求。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6）地块竖向评估：评估地块高程是否满足防涝要求，若不满足，给出合理化建议。</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7）供水、污水承载力评估：定量评估地块内规划用水量和污水量，周边市政供水水压、水量及污水管网是否满足承载要求。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8）结论及建议：按照洪涝安全评估审查要点，提出总结和建议。</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9）附件</w:t>
      </w:r>
      <w:r>
        <w:rPr>
          <w:rFonts w:hint="eastAsia" w:ascii="宋体" w:hAnsi="宋体" w:eastAsia="宋体" w:cs="宋体"/>
          <w:color w:val="auto"/>
          <w:sz w:val="28"/>
          <w:szCs w:val="28"/>
          <w:highlight w:val="none"/>
        </w:rPr>
        <w:t>“</w:t>
      </w:r>
      <w:r>
        <w:rPr>
          <w:rFonts w:hint="eastAsia" w:ascii="仿宋_GB2312" w:hAnsi="仿宋_GB2312" w:eastAsia="仿宋_GB2312" w:cs="仿宋_GB2312"/>
          <w:color w:val="auto"/>
          <w:sz w:val="28"/>
          <w:szCs w:val="28"/>
          <w:highlight w:val="none"/>
        </w:rPr>
        <w:t>三图一表</w:t>
      </w:r>
      <w:r>
        <w:rPr>
          <w:rFonts w:hint="eastAsia" w:ascii="宋体" w:hAnsi="宋体" w:eastAsia="宋体" w:cs="宋体"/>
          <w:color w:val="auto"/>
          <w:sz w:val="28"/>
          <w:szCs w:val="28"/>
          <w:highlight w:val="none"/>
        </w:rPr>
        <w:t>”</w:t>
      </w:r>
      <w:r>
        <w:rPr>
          <w:rFonts w:hint="eastAsia" w:ascii="仿宋_GB2312" w:hAnsi="仿宋_GB2312" w:eastAsia="仿宋_GB2312" w:cs="仿宋_GB2312"/>
          <w:color w:val="auto"/>
          <w:sz w:val="28"/>
          <w:szCs w:val="28"/>
          <w:highlight w:val="none"/>
        </w:rPr>
        <w:t>：提交蓝绿设施布局图、水务设施布局图、地块竖向优化图和洪涝评估特征表。</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海绵城市(含防洪排涝风险评估)专篇内容需</w:t>
      </w:r>
      <w:r>
        <w:rPr>
          <w:rFonts w:hint="eastAsia" w:ascii="仿宋_GB2312" w:hAnsi="仿宋_GB2312" w:eastAsia="仿宋_GB2312" w:cs="仿宋_GB2312"/>
          <w:color w:val="auto"/>
          <w:sz w:val="28"/>
          <w:szCs w:val="28"/>
          <w:highlight w:val="none"/>
        </w:rPr>
        <w:t>满足最新</w:t>
      </w:r>
      <w:r>
        <w:rPr>
          <w:rFonts w:hint="eastAsia" w:ascii="仿宋" w:hAnsi="仿宋" w:eastAsia="仿宋" w:cs="仿宋_GB2312"/>
          <w:color w:val="auto"/>
          <w:sz w:val="28"/>
          <w:szCs w:val="28"/>
          <w:highlight w:val="none"/>
        </w:rPr>
        <w:t>国家和地方的法律、法规、规章、标准和技术要求，以及地方</w:t>
      </w:r>
      <w:r>
        <w:rPr>
          <w:rFonts w:hint="eastAsia" w:ascii="仿宋_GB2312" w:hAnsi="仿宋_GB2312" w:eastAsia="仿宋_GB2312" w:cs="仿宋_GB2312"/>
          <w:color w:val="auto"/>
          <w:sz w:val="28"/>
          <w:szCs w:val="28"/>
          <w:highlight w:val="none"/>
        </w:rPr>
        <w:t>规划、水务等主管部门的对控规阶段</w:t>
      </w:r>
      <w:r>
        <w:rPr>
          <w:rFonts w:ascii="仿宋_GB2312" w:hAnsi="仿宋_GB2312" w:eastAsia="仿宋_GB2312" w:cs="仿宋_GB2312"/>
          <w:color w:val="auto"/>
          <w:sz w:val="28"/>
          <w:szCs w:val="28"/>
          <w:highlight w:val="none"/>
        </w:rPr>
        <w:t>海绵城市(含防洪排涝风险评估)专篇的</w:t>
      </w:r>
      <w:r>
        <w:rPr>
          <w:rFonts w:hint="eastAsia" w:ascii="仿宋_GB2312" w:hAnsi="仿宋_GB2312" w:eastAsia="仿宋_GB2312" w:cs="仿宋_GB2312"/>
          <w:color w:val="auto"/>
          <w:sz w:val="28"/>
          <w:szCs w:val="28"/>
          <w:highlight w:val="none"/>
        </w:rPr>
        <w:t>其它相关要求。</w:t>
      </w:r>
    </w:p>
    <w:bookmarkEnd w:id="3"/>
    <w:bookmarkEnd w:id="4"/>
    <w:p>
      <w:pPr>
        <w:pStyle w:val="2"/>
        <w:rPr>
          <w:color w:val="auto"/>
          <w:highlight w:val="none"/>
        </w:rPr>
      </w:pPr>
    </w:p>
    <w:p>
      <w:pPr>
        <w:widowControl/>
        <w:spacing w:line="560" w:lineRule="exact"/>
        <w:ind w:firstLine="560" w:firstLineChars="200"/>
        <w:jc w:val="left"/>
        <w:rPr>
          <w:rFonts w:ascii="仿宋_GB2312" w:hAnsi="宋体" w:eastAsia="仿宋_GB2312"/>
          <w:sz w:val="28"/>
          <w:szCs w:val="28"/>
        </w:rPr>
      </w:pP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9"/>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9"/>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9"/>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9"/>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9"/>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9"/>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9"/>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9"/>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9"/>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9"/>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9"/>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9"/>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9"/>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9"/>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9"/>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snapToGrid w:val="0"/>
        <w:spacing w:line="300" w:lineRule="auto"/>
        <w:ind w:left="420" w:right="32" w:hanging="420"/>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w:t>
      </w:r>
      <w:r>
        <w:rPr>
          <w:rFonts w:hint="eastAsia" w:ascii="仿宋" w:hAnsi="仿宋" w:eastAsia="仿宋" w:cs="仿宋_GB2312"/>
          <w:color w:val="000000" w:themeColor="text1"/>
          <w:sz w:val="28"/>
          <w:szCs w:val="28"/>
          <w14:textFill>
            <w14:solidFill>
              <w14:schemeClr w14:val="tx1"/>
            </w14:solidFill>
          </w14:textFill>
        </w:rPr>
        <w:t>可向询价人提出书面质疑。询价人应在规定时间内给予答复。</w:t>
      </w:r>
    </w:p>
    <w:p>
      <w:pPr>
        <w:pStyle w:val="9"/>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widowControl/>
        <w:jc w:val="left"/>
        <w:rPr>
          <w:sz w:val="28"/>
          <w:szCs w:val="28"/>
        </w:rPr>
      </w:pPr>
      <w:r>
        <w:rPr>
          <w:sz w:val="28"/>
          <w:szCs w:val="28"/>
        </w:rPr>
        <w:br w:type="page"/>
      </w:r>
    </w:p>
    <w:p>
      <w:pPr>
        <w:pStyle w:val="3"/>
      </w:pPr>
      <w:bookmarkStart w:id="5" w:name="_Toc179632599"/>
      <w:bookmarkStart w:id="6" w:name="_Toc152045581"/>
      <w:bookmarkStart w:id="7" w:name="_Toc144974548"/>
      <w:bookmarkStart w:id="8" w:name="_Toc371433002"/>
      <w:bookmarkStart w:id="9" w:name="_Toc152042358"/>
      <w:bookmarkStart w:id="10" w:name="_Toc247085739"/>
      <w:r>
        <w:rPr>
          <w:rFonts w:hint="eastAsia"/>
        </w:rPr>
        <w:t>附件一报价记录表</w:t>
      </w:r>
      <w:bookmarkEnd w:id="5"/>
      <w:bookmarkEnd w:id="6"/>
      <w:bookmarkEnd w:id="7"/>
      <w:bookmarkEnd w:id="8"/>
      <w:bookmarkEnd w:id="9"/>
      <w:bookmarkEnd w:id="10"/>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广州市净水有限公司石井净水厂地块控制性详细规划阶段海绵城市</w:t>
      </w:r>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（含防洪排涝风险评估）专篇编制</w:t>
      </w: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20"/>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leftChars="0" w:hanging="1200" w:hangingChars="500"/>
        <w:rPr>
          <w:rFonts w:ascii="仿宋" w:hAnsi="仿宋" w:eastAsia="仿宋"/>
          <w:color w:val="000000"/>
          <w:sz w:val="24"/>
        </w:rPr>
      </w:pPr>
      <w:r>
        <w:rPr>
          <w:rFonts w:hint="eastAsia" w:ascii="仿宋" w:hAnsi="仿宋" w:eastAsia="仿宋"/>
          <w:color w:val="000000"/>
          <w:sz w:val="24"/>
        </w:rPr>
        <w:t>项目名称:广州市净水有限公司石井净水厂地块控制性详细规划阶段海绵城市（含防洪排涝风险评估）专篇编制</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lang w:val="en-US" w:eastAsia="zh-CN"/>
              </w:rPr>
              <w:t>原</w:t>
            </w:r>
            <w:r>
              <w:rPr>
                <w:rFonts w:hint="eastAsia" w:ascii="宋体" w:hAnsi="宋体"/>
                <w:sz w:val="24"/>
              </w:rPr>
              <w:t>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广州市净水有限公司石井净水厂地块控制性详细规划阶段海绵城市（含防洪排涝风险评估）专篇编制 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7"/>
        <w:numPr>
          <w:ilvl w:val="0"/>
          <w:numId w:val="3"/>
        </w:numPr>
      </w:pPr>
      <w:r>
        <w:rPr>
          <w:rFonts w:hint="eastAsia"/>
        </w:rPr>
        <w:t>合同书格式</w:t>
      </w:r>
    </w:p>
    <w:p/>
    <w:p/>
    <w:p>
      <w:pPr>
        <w:jc w:val="center"/>
        <w:rPr>
          <w:rFonts w:hint="default" w:eastAsiaTheme="minorEastAsia"/>
          <w:sz w:val="32"/>
          <w:szCs w:val="32"/>
          <w:lang w:val="en-US" w:eastAsia="zh-CN"/>
        </w:rPr>
      </w:pPr>
      <w:r>
        <w:rPr>
          <w:rFonts w:hint="eastAsia"/>
          <w:sz w:val="32"/>
          <w:szCs w:val="32"/>
          <w:lang w:val="en-US" w:eastAsia="zh-CN"/>
        </w:rPr>
        <w:t>委托服务合同</w:t>
      </w:r>
    </w:p>
    <w:p/>
    <w:p>
      <w:pPr>
        <w:rPr>
          <w:rFonts w:ascii="仿宋_GB2312" w:hAnsi="仿宋_GB2312" w:eastAsia="仿宋_GB2312" w:cs="仿宋_GB2312"/>
          <w:sz w:val="28"/>
          <w:szCs w:val="28"/>
        </w:rPr>
      </w:pPr>
    </w:p>
    <w:p>
      <w:pPr>
        <w:ind w:firstLine="228" w:firstLineChars="95"/>
        <w:rPr>
          <w:rFonts w:ascii="宋体" w:hAnsi="宋体"/>
          <w:color w:val="000000"/>
          <w:sz w:val="24"/>
        </w:rPr>
      </w:pP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 ：</w:t>
      </w:r>
      <w:r>
        <w:rPr>
          <w:rFonts w:hint="eastAsia" w:ascii="宋体" w:hAnsi="宋体" w:cs="宋体"/>
          <w:color w:val="000000"/>
          <w:sz w:val="24"/>
          <w:szCs w:val="24"/>
          <w:u w:val="single"/>
        </w:rPr>
        <w:t>广州市</w:t>
      </w:r>
      <w:r>
        <w:rPr>
          <w:rFonts w:hint="eastAsia" w:ascii="宋体" w:hAnsi="宋体" w:cs="宋体"/>
          <w:bCs/>
          <w:color w:val="000000"/>
          <w:sz w:val="24"/>
          <w:szCs w:val="24"/>
          <w:u w:val="singl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 ：</w:t>
      </w:r>
    </w:p>
    <w:p>
      <w:pPr>
        <w:adjustRightInd w:val="0"/>
        <w:spacing w:line="360" w:lineRule="auto"/>
        <w:ind w:firstLine="228" w:firstLineChars="95"/>
        <w:jc w:val="left"/>
        <w:textAlignment w:val="baseline"/>
        <w:rPr>
          <w:rFonts w:ascii="宋体" w:hAnsi="宋体" w:eastAsia="宋体" w:cs="宋体"/>
          <w:color w:val="000000"/>
          <w:sz w:val="24"/>
          <w:szCs w:val="24"/>
        </w:rPr>
      </w:pPr>
    </w:p>
    <w:p>
      <w:pPr>
        <w:pStyle w:val="9"/>
        <w:spacing w:line="360" w:lineRule="auto"/>
        <w:ind w:firstLine="480" w:firstLineChars="200"/>
        <w:rPr>
          <w:rFonts w:hAnsi="宋体" w:cs="宋体"/>
          <w:color w:val="000000"/>
          <w:sz w:val="24"/>
          <w:szCs w:val="24"/>
        </w:rPr>
      </w:pPr>
      <w:r>
        <w:rPr>
          <w:rFonts w:hint="eastAsia" w:hAnsi="宋体" w:cs="宋体"/>
          <w:color w:val="000000"/>
          <w:sz w:val="24"/>
          <w:szCs w:val="24"/>
        </w:rPr>
        <w:t>甲方就</w:t>
      </w:r>
      <w:r>
        <w:rPr>
          <w:rFonts w:hAnsi="宋体" w:cs="宋体"/>
          <w:color w:val="000000"/>
          <w:sz w:val="24"/>
          <w:szCs w:val="24"/>
          <w:u w:val="single"/>
        </w:rPr>
        <w:t>石井净水厂地块控制性详细规划阶段海绵城市（含防洪排涝风险评估）专篇编制</w:t>
      </w:r>
      <w:r>
        <w:rPr>
          <w:rFonts w:hint="eastAsia" w:hAnsi="宋体" w:cs="宋体"/>
          <w:color w:val="000000"/>
          <w:sz w:val="24"/>
          <w:szCs w:val="24"/>
        </w:rPr>
        <w:t>委托乙方提供相应工作成果。经双方协商一致，签订本合同。</w:t>
      </w:r>
    </w:p>
    <w:p>
      <w:pPr>
        <w:adjustRightInd w:val="0"/>
        <w:spacing w:line="360" w:lineRule="auto"/>
        <w:jc w:val="left"/>
        <w:textAlignment w:val="baseline"/>
        <w:rPr>
          <w:rFonts w:ascii="宋体" w:hAnsi="宋体" w:cs="宋体"/>
          <w:b/>
          <w:color w:val="000000"/>
          <w:sz w:val="24"/>
          <w:szCs w:val="24"/>
        </w:rPr>
      </w:pPr>
      <w:r>
        <w:rPr>
          <w:rFonts w:hint="eastAsia" w:ascii="宋体" w:hAnsi="宋体" w:cs="宋体"/>
          <w:b/>
          <w:bCs/>
          <w:color w:val="000000"/>
          <w:sz w:val="24"/>
          <w:szCs w:val="24"/>
        </w:rPr>
        <w:t>第一条</w:t>
      </w:r>
      <w:r>
        <w:rPr>
          <w:rFonts w:hint="eastAsia" w:ascii="宋体" w:hAnsi="宋体" w:cs="宋体"/>
          <w:b/>
          <w:color w:val="000000"/>
          <w:sz w:val="24"/>
          <w:szCs w:val="24"/>
        </w:rPr>
        <w:t xml:space="preserve">  签订依据 </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1.1《中华人民共和国民法典》、《中华人民共和国城乡规划法》、《中华人民共和国建筑法》、《建设工程勘察设计管理条例》、《广州市城乡规划条例》</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1.2 国家及地方有关规划、建设工程勘察设计管理法规和规章。</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sz w:val="24"/>
          <w:szCs w:val="24"/>
        </w:rPr>
        <w:t>1.3 建设工程批准文件。</w:t>
      </w:r>
    </w:p>
    <w:p>
      <w:pPr>
        <w:pStyle w:val="2"/>
        <w:rPr>
          <w:rFonts w:hAnsi="宋体"/>
        </w:rPr>
      </w:pP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第二条  编制依据</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2.1甲方给乙方的发包通知书</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2.2甲方提交的基础资料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2.3 乙方采用的主要技术标准包括但不限于：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《中华人民共和国城乡规划法》</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《城市规划编制办法》</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《广州市城市规划管理标准与准则》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《广州市城乡规划技术规定（试行）》</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《广州市城市开发建设项目海绵城市建设-洪涝安全评估技术指引（试行）》</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《广州市水务局关于进一步加强控制性详细规划阶段涉水管控要求的函》</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eastAsiaTheme="minorEastAsia"/>
          <w:color w:val="000000"/>
          <w:sz w:val="24"/>
          <w:szCs w:val="24"/>
        </w:rPr>
        <w:t>《广州市水务局关于印发海绵城市建设——控制性详细规划阶段洪涝安全评估审查要点的通知》</w:t>
      </w:r>
    </w:p>
    <w:p>
      <w:pPr>
        <w:adjustRightInd w:val="0"/>
        <w:spacing w:line="360" w:lineRule="auto"/>
        <w:ind w:firstLine="480" w:firstLineChars="200"/>
        <w:jc w:val="left"/>
        <w:textAlignment w:val="baseline"/>
        <w:rPr>
          <w:rFonts w:ascii="宋体" w:hAnsi="宋体" w:eastAsia="仿宋_GB2312" w:cs="宋体"/>
          <w:color w:val="000000"/>
          <w:sz w:val="24"/>
          <w:szCs w:val="24"/>
        </w:rPr>
      </w:pPr>
      <w:r>
        <w:rPr>
          <w:rFonts w:hint="eastAsia" w:ascii="宋体" w:hAnsi="宋体" w:cs="宋体" w:eastAsiaTheme="minorEastAsia"/>
          <w:color w:val="000000"/>
          <w:sz w:val="24"/>
          <w:szCs w:val="24"/>
        </w:rPr>
        <w:t>《广州市海绵城市建设领导小组办公室关于印发广州市海绵城市建设专篇编制要点的通知》</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上述规范如有更新的，以最新版本为准。</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第三条  合同文件的优先次序</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3.1合同书</w:t>
      </w:r>
    </w:p>
    <w:p>
      <w:pPr>
        <w:adjustRightInd w:val="0"/>
        <w:spacing w:line="360" w:lineRule="auto"/>
        <w:ind w:firstLine="480" w:firstLineChars="200"/>
        <w:jc w:val="left"/>
        <w:textAlignment w:val="baseline"/>
        <w:rPr>
          <w:rFonts w:ascii="宋体" w:hAnsi="宋体" w:cs="宋体"/>
          <w:color w:val="000000"/>
          <w:sz w:val="24"/>
          <w:szCs w:val="24"/>
          <w:shd w:val="pct10" w:color="auto" w:fill="FFFFFF"/>
        </w:rPr>
      </w:pPr>
      <w:r>
        <w:rPr>
          <w:rFonts w:hint="eastAsia" w:ascii="宋体" w:hAnsi="宋体" w:cs="宋体"/>
          <w:color w:val="000000"/>
          <w:sz w:val="24"/>
          <w:szCs w:val="24"/>
        </w:rPr>
        <w:t>3.2发包通知书</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3.3 甲方的要求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3.4技术规范</w:t>
      </w:r>
    </w:p>
    <w:p>
      <w:pPr>
        <w:adjustRightInd w:val="0"/>
        <w:spacing w:line="360" w:lineRule="auto"/>
        <w:jc w:val="left"/>
        <w:textAlignment w:val="baseline"/>
        <w:rPr>
          <w:rFonts w:ascii="宋体" w:hAnsi="宋体" w:cs="宋体"/>
          <w:b/>
          <w:bCs/>
          <w:color w:val="000000"/>
          <w:sz w:val="24"/>
          <w:szCs w:val="24"/>
          <w:highlight w:val="none"/>
        </w:rPr>
      </w:pPr>
      <w:r>
        <w:rPr>
          <w:rFonts w:hint="eastAsia" w:ascii="宋体" w:hAnsi="宋体" w:cs="宋体"/>
          <w:b/>
          <w:bCs/>
          <w:color w:val="000000"/>
          <w:sz w:val="24"/>
          <w:szCs w:val="24"/>
          <w:highlight w:val="none"/>
        </w:rPr>
        <w:t>第四条  项目概况</w:t>
      </w:r>
    </w:p>
    <w:p>
      <w:pPr>
        <w:adjustRightInd w:val="0"/>
        <w:spacing w:line="360" w:lineRule="auto"/>
        <w:ind w:left="1" w:firstLine="480" w:firstLineChars="200"/>
        <w:jc w:val="left"/>
        <w:textAlignment w:val="baseline"/>
        <w:rPr>
          <w:rFonts w:ascii="宋体" w:hAnsi="宋体" w:cs="宋体"/>
          <w:sz w:val="24"/>
          <w:szCs w:val="24"/>
        </w:rPr>
      </w:pPr>
      <w:r>
        <w:rPr>
          <w:rFonts w:hint="eastAsia" w:ascii="宋体" w:hAnsi="宋体" w:cs="宋体"/>
          <w:sz w:val="24"/>
          <w:szCs w:val="24"/>
        </w:rPr>
        <w:t>项目名称：</w:t>
      </w:r>
      <w:r>
        <w:rPr>
          <w:rFonts w:asciiTheme="minorEastAsia" w:hAnsiTheme="minorEastAsia" w:cstheme="minorEastAsia"/>
          <w:sz w:val="24"/>
          <w:szCs w:val="24"/>
          <w:u w:val="single"/>
        </w:rPr>
        <w:t>石井净水厂地块控制性详细规划阶段海绵城市（含防洪排涝风险评估）专篇编制</w:t>
      </w:r>
      <w:r>
        <w:rPr>
          <w:rFonts w:hint="eastAsia" w:ascii="宋体" w:hAnsi="宋体" w:cs="宋体"/>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highlight w:val="yellow"/>
        </w:rPr>
      </w:pPr>
      <w:r>
        <w:rPr>
          <w:rFonts w:hint="eastAsia" w:asciiTheme="minorEastAsia" w:hAnsiTheme="minorEastAsia" w:cstheme="minorEastAsia"/>
          <w:sz w:val="24"/>
          <w:szCs w:val="24"/>
        </w:rPr>
        <w:t>项目地点：</w:t>
      </w:r>
      <w:r>
        <w:rPr>
          <w:rFonts w:hint="eastAsia" w:asciiTheme="minorEastAsia" w:hAnsiTheme="minorEastAsia" w:cstheme="minorEastAsia"/>
          <w:sz w:val="24"/>
          <w:szCs w:val="24"/>
          <w:u w:val="single"/>
        </w:rPr>
        <w:t xml:space="preserve">  本项目地块位于白云区张村社区。</w:t>
      </w:r>
    </w:p>
    <w:p>
      <w:pPr>
        <w:adjustRightInd w:val="0"/>
        <w:spacing w:line="360" w:lineRule="auto"/>
        <w:ind w:left="1" w:firstLine="480" w:firstLineChars="200"/>
        <w:jc w:val="left"/>
        <w:textAlignment w:val="baseline"/>
        <w:rPr>
          <w:rFonts w:asciiTheme="minorEastAsia" w:hAnsiTheme="minorEastAsia" w:cstheme="minorEastAsia"/>
          <w:sz w:val="24"/>
          <w:szCs w:val="24"/>
          <w:u w:val="single"/>
        </w:rPr>
      </w:pPr>
      <w:r>
        <w:rPr>
          <w:rFonts w:hint="eastAsia" w:asciiTheme="minorEastAsia" w:hAnsiTheme="minorEastAsia" w:cstheme="minorEastAsia"/>
          <w:sz w:val="24"/>
          <w:szCs w:val="24"/>
        </w:rPr>
        <w:t>用地面积：</w:t>
      </w:r>
      <w:r>
        <w:rPr>
          <w:rFonts w:hint="eastAsia" w:asciiTheme="minorEastAsia" w:hAnsiTheme="minorEastAsia" w:cstheme="minorEastAsia"/>
          <w:sz w:val="24"/>
          <w:szCs w:val="24"/>
          <w:u w:val="single"/>
        </w:rPr>
        <w:t xml:space="preserve">  本项目地块用地面积14.68公顷；控规调整涉及AB2715规划管理单元，总用地面积为123.36公顷。 </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建筑面积：</w:t>
      </w:r>
      <w:r>
        <w:rPr>
          <w:rFonts w:hint="eastAsia" w:asciiTheme="minorEastAsia" w:hAnsiTheme="minorEastAsia" w:cstheme="minorEastAsia"/>
          <w:sz w:val="24"/>
          <w:szCs w:val="24"/>
          <w:u w:val="single"/>
        </w:rPr>
        <w:t xml:space="preserve">  以相关职能部门审批文件为准</w:t>
      </w:r>
      <w:r>
        <w:rPr>
          <w:rFonts w:hint="eastAsia" w:asciiTheme="minorEastAsia" w:hAnsiTheme="minorEastAsia" w:cstheme="minorEastAsia"/>
          <w:sz w:val="24"/>
          <w:szCs w:val="24"/>
        </w:rPr>
        <w:t>。</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rPr>
      </w:pPr>
      <w:r>
        <w:rPr>
          <w:rFonts w:hint="eastAsia" w:asciiTheme="minorEastAsia" w:hAnsiTheme="minorEastAsia" w:cstheme="minorEastAsia"/>
          <w:sz w:val="24"/>
          <w:szCs w:val="24"/>
        </w:rPr>
        <w:t>为盘活现有土地资源，拓宽产业领域盈利渠道，目前正开展石井净水厂地块控规调整工作。</w:t>
      </w:r>
      <w:r>
        <w:rPr>
          <w:rFonts w:hint="eastAsia" w:asciiTheme="minorEastAsia" w:hAnsiTheme="minorEastAsia" w:cstheme="minorEastAsia"/>
          <w:color w:val="auto"/>
          <w:sz w:val="24"/>
          <w:szCs w:val="24"/>
        </w:rPr>
        <w:t>本次</w:t>
      </w:r>
      <w:r>
        <w:rPr>
          <w:rFonts w:asciiTheme="minorEastAsia" w:hAnsiTheme="minorEastAsia" w:cstheme="minorEastAsia"/>
          <w:color w:val="auto"/>
          <w:sz w:val="24"/>
          <w:szCs w:val="24"/>
        </w:rPr>
        <w:t>海绵城市(含防洪排涝风险评估)专篇编制</w:t>
      </w:r>
      <w:r>
        <w:rPr>
          <w:rFonts w:hint="eastAsia" w:asciiTheme="minorEastAsia" w:hAnsiTheme="minorEastAsia" w:cstheme="minorEastAsia"/>
          <w:color w:val="auto"/>
          <w:sz w:val="24"/>
          <w:szCs w:val="24"/>
        </w:rPr>
        <w:t>工作依据市水务局文件《广州市水务局关于进一步加强控制性详细规划阶段涉水管控要求的函》及相关文件</w:t>
      </w:r>
      <w:r>
        <w:rPr>
          <w:rFonts w:asciiTheme="minorEastAsia" w:hAnsiTheme="minorEastAsia" w:cstheme="minorEastAsia"/>
          <w:color w:val="auto"/>
          <w:sz w:val="24"/>
          <w:szCs w:val="24"/>
        </w:rPr>
        <w:t>要求</w:t>
      </w:r>
      <w:r>
        <w:rPr>
          <w:rFonts w:hint="eastAsia" w:asciiTheme="minorEastAsia" w:hAnsiTheme="minorEastAsia" w:cstheme="minorEastAsia"/>
          <w:color w:val="auto"/>
          <w:sz w:val="24"/>
          <w:szCs w:val="24"/>
        </w:rPr>
        <w:t>，拟</w:t>
      </w:r>
      <w:r>
        <w:rPr>
          <w:rFonts w:asciiTheme="minorEastAsia" w:hAnsiTheme="minorEastAsia" w:cstheme="minorEastAsia"/>
          <w:color w:val="auto"/>
          <w:sz w:val="24"/>
          <w:szCs w:val="24"/>
        </w:rPr>
        <w:t>在控制性详细规划中</w:t>
      </w:r>
      <w:r>
        <w:rPr>
          <w:rFonts w:hint="eastAsia" w:asciiTheme="minorEastAsia" w:hAnsiTheme="minorEastAsia" w:cstheme="minorEastAsia"/>
          <w:color w:val="auto"/>
          <w:sz w:val="24"/>
          <w:szCs w:val="24"/>
        </w:rPr>
        <w:t>增加</w:t>
      </w:r>
      <w:r>
        <w:rPr>
          <w:rFonts w:asciiTheme="minorEastAsia" w:hAnsiTheme="minorEastAsia" w:cstheme="minorEastAsia"/>
          <w:color w:val="auto"/>
          <w:sz w:val="24"/>
          <w:szCs w:val="24"/>
        </w:rPr>
        <w:t>海绵城市(含防洪排涝风险评估)专篇，作为控规批复及后续规划条件发放的依据</w:t>
      </w:r>
      <w:r>
        <w:rPr>
          <w:rFonts w:hint="eastAsia" w:asciiTheme="minorEastAsia" w:hAnsiTheme="minorEastAsia" w:cstheme="minorEastAsia"/>
          <w:color w:val="auto"/>
          <w:sz w:val="24"/>
          <w:szCs w:val="24"/>
        </w:rPr>
        <w:t>。主要工作内容如下：</w:t>
      </w:r>
    </w:p>
    <w:p>
      <w:pPr>
        <w:spacing w:line="360" w:lineRule="auto"/>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4.1  </w:t>
      </w:r>
      <w:r>
        <w:rPr>
          <w:rFonts w:hint="eastAsia" w:asciiTheme="minorEastAsia" w:hAnsiTheme="minorEastAsia" w:cstheme="minorEastAsia"/>
          <w:color w:val="auto"/>
          <w:sz w:val="24"/>
          <w:szCs w:val="24"/>
          <w:highlight w:val="none"/>
        </w:rPr>
        <w:t>海绵城市专项规划工作内容主要包括：</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依据《广州市建设项目雨水径流控制办法》（广州市人民政府令第</w:t>
      </w:r>
      <w:r>
        <w:rPr>
          <w:rFonts w:asciiTheme="minorEastAsia" w:hAnsiTheme="minorEastAsia" w:cstheme="minorEastAsia"/>
          <w:color w:val="auto"/>
          <w:sz w:val="24"/>
          <w:szCs w:val="24"/>
          <w:highlight w:val="none"/>
        </w:rPr>
        <w:t>107号）、《广州市建设项目海绵城市建设管控指标分类指引（试行）的通知》(穗水河湖﹝2020﹞7号)、《广州市海绵城市建设领导小组办公室关于印发广州市海绵城市建设专篇编制要点的通知》（穗海绵办﹝2021﹞12号）和各区海绵城市专项规划的有关要求，细化落实各地块的海绵城市相关管控指标和建设方案。</w:t>
      </w:r>
    </w:p>
    <w:p>
      <w:pPr>
        <w:spacing w:line="360" w:lineRule="auto"/>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4.2  </w:t>
      </w:r>
      <w:r>
        <w:rPr>
          <w:rFonts w:hint="eastAsia" w:asciiTheme="minorEastAsia" w:hAnsiTheme="minorEastAsia" w:cstheme="minorEastAsia"/>
          <w:color w:val="auto"/>
          <w:sz w:val="24"/>
          <w:szCs w:val="24"/>
          <w:highlight w:val="none"/>
        </w:rPr>
        <w:t>防洪排涝风险评估工作内容主要包括：</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建设项目、工程区域基本情况</w:t>
      </w:r>
      <w:r>
        <w:rPr>
          <w:rFonts w:hint="eastAsia" w:asciiTheme="minorEastAsia" w:hAnsiTheme="minorEastAsia" w:cstheme="minorEastAsia"/>
          <w:color w:val="auto"/>
          <w:sz w:val="24"/>
          <w:szCs w:val="24"/>
          <w:highlight w:val="none"/>
          <w:lang w:eastAsia="zh-CN"/>
        </w:rPr>
        <w:t>描述</w:t>
      </w:r>
      <w:r>
        <w:rPr>
          <w:rFonts w:hint="eastAsia" w:asciiTheme="minorEastAsia" w:hAnsiTheme="minorEastAsia" w:cstheme="minorEastAsia"/>
          <w:color w:val="auto"/>
          <w:sz w:val="24"/>
          <w:szCs w:val="24"/>
          <w:highlight w:val="none"/>
        </w:rPr>
        <w:t>；项目所处区域洪涝风险等级评定；防洪排涝风险评估；排水工程评估；海绵城市评估；地块竖向评估；供水、污水承载力评估等，按照洪涝安全评估审查要点，提出总结和建议。</w:t>
      </w:r>
      <w:r>
        <w:rPr>
          <w:rFonts w:hint="eastAsia" w:asciiTheme="minorEastAsia" w:hAnsiTheme="minorEastAsia" w:cstheme="minorEastAsia"/>
          <w:color w:val="auto"/>
          <w:sz w:val="24"/>
          <w:szCs w:val="24"/>
          <w:highlight w:val="none"/>
          <w:lang w:eastAsia="zh-CN"/>
        </w:rPr>
        <w:t>并提供</w:t>
      </w:r>
      <w:r>
        <w:rPr>
          <w:rFonts w:hint="eastAsia" w:asciiTheme="minorEastAsia" w:hAnsiTheme="minorEastAsia" w:cstheme="minorEastAsia"/>
          <w:color w:val="auto"/>
          <w:sz w:val="24"/>
          <w:szCs w:val="24"/>
          <w:highlight w:val="none"/>
        </w:rPr>
        <w:t>“三图一表”：蓝绿设施布局图、水务设施布局图、地块竖向优化图和洪涝评估特征表。</w:t>
      </w:r>
    </w:p>
    <w:p>
      <w:pPr>
        <w:spacing w:line="360" w:lineRule="auto"/>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4.3海绵城市(含防洪排涝风险评估)专篇内容需</w:t>
      </w:r>
      <w:r>
        <w:rPr>
          <w:rFonts w:hint="eastAsia" w:asciiTheme="minorEastAsia" w:hAnsiTheme="minorEastAsia" w:cstheme="minorEastAsia"/>
          <w:color w:val="auto"/>
          <w:sz w:val="24"/>
          <w:szCs w:val="24"/>
          <w:highlight w:val="none"/>
        </w:rPr>
        <w:t>满足最新国家和地方的法律、法规、规章、标准和技术要求，以及地方规划、水务等主管部门的对控规阶段</w:t>
      </w:r>
      <w:r>
        <w:rPr>
          <w:rFonts w:asciiTheme="minorEastAsia" w:hAnsiTheme="minorEastAsia" w:cstheme="minorEastAsia"/>
          <w:color w:val="auto"/>
          <w:sz w:val="24"/>
          <w:szCs w:val="24"/>
          <w:highlight w:val="none"/>
        </w:rPr>
        <w:t>海绵城市(含防洪排涝风险评估)专篇的</w:t>
      </w:r>
      <w:r>
        <w:rPr>
          <w:rFonts w:hint="eastAsia" w:asciiTheme="minorEastAsia" w:hAnsiTheme="minorEastAsia" w:cstheme="minorEastAsia"/>
          <w:color w:val="auto"/>
          <w:sz w:val="24"/>
          <w:szCs w:val="24"/>
          <w:highlight w:val="none"/>
        </w:rPr>
        <w:t>其它相关要求。</w:t>
      </w:r>
    </w:p>
    <w:p>
      <w:pPr>
        <w:adjustRightInd w:val="0"/>
        <w:spacing w:line="360" w:lineRule="auto"/>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第五条 乙方向甲方交付资料及文件</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5.1本合同签订后，乙方应在3</w:t>
      </w:r>
      <w:r>
        <w:rPr>
          <w:rFonts w:hint="eastAsia" w:ascii="宋体" w:hAnsi="宋体" w:cs="宋体"/>
          <w:color w:val="auto"/>
          <w:sz w:val="24"/>
          <w:szCs w:val="24"/>
          <w:highlight w:val="none"/>
          <w:lang w:val="en-US" w:eastAsia="zh-CN"/>
        </w:rPr>
        <w:t>个</w:t>
      </w:r>
      <w:r>
        <w:rPr>
          <w:rFonts w:hint="eastAsia" w:ascii="宋体" w:hAnsi="宋体" w:cs="宋体"/>
          <w:color w:val="auto"/>
          <w:sz w:val="24"/>
          <w:szCs w:val="24"/>
          <w:highlight w:val="none"/>
        </w:rPr>
        <w:t>工作日内提交编制计划及参编人员名单并征得甲方同意。合同执行中，乙方如需更换设计人员的，需征得甲方书面同意。</w:t>
      </w:r>
      <w:r>
        <w:rPr>
          <w:rFonts w:hint="eastAsia" w:asciiTheme="minorEastAsia" w:hAnsiTheme="minorEastAsia" w:cstheme="minorEastAsia"/>
          <w:color w:val="auto"/>
          <w:sz w:val="24"/>
          <w:szCs w:val="24"/>
          <w:highlight w:val="none"/>
        </w:rPr>
        <w:t>乙方应在合同签订后40个工作日内完成石井净水厂地块</w:t>
      </w:r>
      <w:r>
        <w:rPr>
          <w:rFonts w:asciiTheme="minorEastAsia" w:hAnsiTheme="minorEastAsia" w:cstheme="minorEastAsia"/>
          <w:color w:val="auto"/>
          <w:sz w:val="24"/>
          <w:szCs w:val="24"/>
          <w:highlight w:val="none"/>
        </w:rPr>
        <w:t>海绵城市(含防洪排涝风险评估)</w:t>
      </w:r>
      <w:r>
        <w:rPr>
          <w:rFonts w:hint="eastAsia" w:asciiTheme="minorEastAsia" w:hAnsiTheme="minorEastAsia" w:cstheme="minorEastAsia"/>
          <w:color w:val="auto"/>
          <w:sz w:val="24"/>
          <w:szCs w:val="24"/>
          <w:highlight w:val="none"/>
        </w:rPr>
        <w:t>专篇编制工作。该</w:t>
      </w:r>
      <w:r>
        <w:rPr>
          <w:rFonts w:asciiTheme="minorEastAsia" w:hAnsiTheme="minorEastAsia" w:cstheme="minorEastAsia"/>
          <w:color w:val="auto"/>
          <w:sz w:val="24"/>
          <w:szCs w:val="24"/>
          <w:highlight w:val="none"/>
        </w:rPr>
        <w:t>工作应配合</w:t>
      </w:r>
      <w:r>
        <w:rPr>
          <w:rFonts w:hint="eastAsia" w:asciiTheme="minorEastAsia" w:hAnsiTheme="minorEastAsia" w:cstheme="minorEastAsia"/>
          <w:color w:val="auto"/>
          <w:sz w:val="24"/>
          <w:szCs w:val="24"/>
          <w:highlight w:val="none"/>
        </w:rPr>
        <w:t>石井净水厂</w:t>
      </w:r>
      <w:r>
        <w:rPr>
          <w:rFonts w:asciiTheme="minorEastAsia" w:hAnsiTheme="minorEastAsia" w:cstheme="minorEastAsia"/>
          <w:color w:val="auto"/>
          <w:sz w:val="24"/>
          <w:szCs w:val="24"/>
          <w:highlight w:val="none"/>
        </w:rPr>
        <w:t>地块</w:t>
      </w:r>
      <w:r>
        <w:rPr>
          <w:rFonts w:hint="eastAsia" w:ascii="宋体" w:hAnsi="宋体" w:cs="宋体"/>
          <w:color w:val="auto"/>
          <w:sz w:val="24"/>
          <w:szCs w:val="24"/>
          <w:highlight w:val="none"/>
        </w:rPr>
        <w:t>控规调整工作进度时间进行评估、提交成果及作相应修改完善，以用于甲方申请控规调整。</w:t>
      </w:r>
    </w:p>
    <w:p>
      <w:pPr>
        <w:adjustRightInd w:val="0"/>
        <w:spacing w:line="360" w:lineRule="auto"/>
        <w:ind w:firstLine="566" w:firstLineChars="236"/>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5.1.1 在</w:t>
      </w:r>
      <w:r>
        <w:rPr>
          <w:rFonts w:asciiTheme="minorEastAsia" w:hAnsiTheme="minorEastAsia" w:cstheme="minorEastAsia"/>
          <w:color w:val="auto"/>
          <w:sz w:val="24"/>
          <w:szCs w:val="24"/>
          <w:highlight w:val="none"/>
        </w:rPr>
        <w:t>控规调整项目报相关规划主管部门初步审查</w:t>
      </w:r>
      <w:r>
        <w:rPr>
          <w:rFonts w:hint="eastAsia" w:asciiTheme="minorEastAsia" w:hAnsiTheme="minorEastAsia" w:cstheme="minorEastAsia"/>
          <w:color w:val="auto"/>
          <w:sz w:val="24"/>
          <w:szCs w:val="24"/>
          <w:highlight w:val="none"/>
        </w:rPr>
        <w:t>时</w:t>
      </w:r>
      <w:r>
        <w:rPr>
          <w:rFonts w:asciiTheme="minorEastAsia" w:hAnsiTheme="minorEastAsia" w:cstheme="minorEastAsia"/>
          <w:color w:val="auto"/>
          <w:sz w:val="24"/>
          <w:szCs w:val="24"/>
          <w:highlight w:val="none"/>
        </w:rPr>
        <w:t>，提前与控调方案编制单位完成协调工作，并完成控规调整成果中初步评估结论部分内容。</w:t>
      </w:r>
    </w:p>
    <w:p>
      <w:pPr>
        <w:adjustRightInd w:val="0"/>
        <w:spacing w:line="360" w:lineRule="auto"/>
        <w:ind w:firstLine="566" w:firstLineChars="236"/>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5.1.2 在</w:t>
      </w:r>
      <w:r>
        <w:rPr>
          <w:rFonts w:asciiTheme="minorEastAsia" w:hAnsiTheme="minorEastAsia" w:cstheme="minorEastAsia"/>
          <w:color w:val="auto"/>
          <w:sz w:val="24"/>
          <w:szCs w:val="24"/>
          <w:highlight w:val="none"/>
        </w:rPr>
        <w:t>控规调整项目提交相关规划主管部门业务会审议或征询规委会成员部门及相关单位意见</w:t>
      </w:r>
      <w:r>
        <w:rPr>
          <w:rFonts w:hint="eastAsia" w:asciiTheme="minorEastAsia" w:hAnsiTheme="minorEastAsia" w:cstheme="minorEastAsia"/>
          <w:color w:val="auto"/>
          <w:sz w:val="24"/>
          <w:szCs w:val="24"/>
          <w:highlight w:val="none"/>
        </w:rPr>
        <w:t>时</w:t>
      </w:r>
      <w:r>
        <w:rPr>
          <w:rFonts w:asciiTheme="minorEastAsia" w:hAnsiTheme="minorEastAsia" w:cstheme="minorEastAsia"/>
          <w:color w:val="auto"/>
          <w:sz w:val="24"/>
          <w:szCs w:val="24"/>
          <w:highlight w:val="none"/>
        </w:rPr>
        <w:t>，提前与控调方案编制单位完成协调工作，按照相关部门意见完善修改，并完成评估初步成果和控规调整成果相关内容。</w:t>
      </w:r>
    </w:p>
    <w:p>
      <w:pPr>
        <w:adjustRightInd w:val="0"/>
        <w:spacing w:line="360" w:lineRule="auto"/>
        <w:ind w:firstLine="566" w:firstLineChars="236"/>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5.1.3 在</w:t>
      </w:r>
      <w:r>
        <w:rPr>
          <w:rFonts w:asciiTheme="minorEastAsia" w:hAnsiTheme="minorEastAsia" w:cstheme="minorEastAsia"/>
          <w:color w:val="auto"/>
          <w:sz w:val="24"/>
          <w:szCs w:val="24"/>
          <w:highlight w:val="none"/>
        </w:rPr>
        <w:t>控规调整项目提交规委会审议时，提前与控调方案编制单位完成协调工作，按照相关部门意见完善修改，并完成评估中期成果和控规调整成果相关内容。</w:t>
      </w:r>
    </w:p>
    <w:p>
      <w:pPr>
        <w:adjustRightInd w:val="0"/>
        <w:spacing w:line="360" w:lineRule="auto"/>
        <w:ind w:firstLine="566" w:firstLineChars="236"/>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5.1.4 </w:t>
      </w:r>
      <w:r>
        <w:rPr>
          <w:rFonts w:asciiTheme="minorEastAsia" w:hAnsiTheme="minorEastAsia" w:cstheme="minorEastAsia"/>
          <w:color w:val="auto"/>
          <w:sz w:val="24"/>
          <w:szCs w:val="24"/>
          <w:highlight w:val="none"/>
        </w:rPr>
        <w:t>当控规调整项目提交市政府批复时，提前与控调方案编制单位完成协调工作，按照相关部门意见完善修改，并完成评估终期成果和控规调整成果相关内容。</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5.2 </w:t>
      </w:r>
      <w:r>
        <w:rPr>
          <w:rFonts w:hint="eastAsia" w:asciiTheme="minorEastAsia" w:hAnsiTheme="minorEastAsia" w:cstheme="minorEastAsia"/>
          <w:color w:val="auto"/>
          <w:sz w:val="24"/>
          <w:szCs w:val="24"/>
          <w:highlight w:val="none"/>
        </w:rPr>
        <w:t>乙方应在合同签订后40个工作日内完成石井净水厂地块</w:t>
      </w:r>
      <w:r>
        <w:rPr>
          <w:rFonts w:asciiTheme="minorEastAsia" w:hAnsiTheme="minorEastAsia" w:cstheme="minorEastAsia"/>
          <w:color w:val="auto"/>
          <w:sz w:val="24"/>
          <w:szCs w:val="24"/>
          <w:highlight w:val="none"/>
        </w:rPr>
        <w:t>海绵城市(含防洪排涝风险评估)</w:t>
      </w:r>
      <w:r>
        <w:rPr>
          <w:rFonts w:hint="eastAsia" w:asciiTheme="minorEastAsia" w:hAnsiTheme="minorEastAsia" w:cstheme="minorEastAsia"/>
          <w:color w:val="auto"/>
          <w:sz w:val="24"/>
          <w:szCs w:val="24"/>
          <w:highlight w:val="none"/>
        </w:rPr>
        <w:t>专篇编制工作并提交成果。</w:t>
      </w:r>
      <w:r>
        <w:rPr>
          <w:rFonts w:hint="eastAsia" w:ascii="宋体" w:hAnsi="宋体" w:cs="宋体"/>
          <w:color w:val="auto"/>
          <w:sz w:val="24"/>
          <w:szCs w:val="24"/>
          <w:highlight w:val="none"/>
        </w:rPr>
        <w:t>乙方向甲方交付成果报告书并按需要进行修改完善，该成果用于甲方在不同阶段申请控规调整。成果书暂定一式十份，电子光盘2份（未加密且可编辑格式），具体以甲方通知为准。</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highlight w:val="none"/>
        </w:rPr>
        <w:t>5.3乙方应配合甲方开展结算工作并提交结算的相关资料,若乙方在接到甲方通知后逾期超过30天未提交完整的结算资料和结算报告等，甲方有权单方自行结算，由此产生的一切责任由乙方承担。</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 xml:space="preserve">第六条 费用 </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color w:val="auto"/>
          <w:sz w:val="24"/>
          <w:szCs w:val="24"/>
        </w:rPr>
        <w:t>6.1本合同总价包干暂定为人民币XX万元（大写：人民币XXX），含税率。甲、乙双方同意，对属于《广州市财政投资评审管理办法》评审范围的财政性资</w:t>
      </w:r>
      <w:r>
        <w:rPr>
          <w:rFonts w:hint="eastAsia" w:ascii="宋体" w:hAnsi="宋体" w:cs="宋体"/>
          <w:sz w:val="24"/>
          <w:szCs w:val="24"/>
        </w:rPr>
        <w:t>金投资项目，财政投资评审结果作为该项目价款结算的依据。</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6.2本合同采用总价包干，工作内容包括完成本合同项下的所有工作（包含但不限于报告编制和报审、</w:t>
      </w:r>
      <w:r>
        <w:rPr>
          <w:rFonts w:hint="eastAsia" w:ascii="宋体" w:hAnsi="宋体" w:cs="宋体"/>
          <w:color w:val="auto"/>
          <w:sz w:val="24"/>
          <w:szCs w:val="24"/>
          <w:highlight w:val="none"/>
        </w:rPr>
        <w:t>修改完善及公示期间</w:t>
      </w:r>
      <w:r>
        <w:rPr>
          <w:rFonts w:hint="eastAsia" w:ascii="宋体" w:hAnsi="宋体" w:cs="宋体"/>
          <w:sz w:val="24"/>
          <w:szCs w:val="24"/>
          <w:highlight w:val="none"/>
        </w:rPr>
        <w:t>相关工作的配合）。</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第七条 支付方式</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7.1.1 支付办法：本合同生效后，甲方按照</w:t>
      </w:r>
      <w:r>
        <w:rPr>
          <w:rFonts w:hint="eastAsia" w:ascii="宋体" w:hAnsi="宋体" w:cs="宋体"/>
          <w:sz w:val="24"/>
          <w:szCs w:val="24"/>
          <w:u w:val="single"/>
        </w:rPr>
        <w:t>《广州市净水有限公司资金集中支付管理办法》（穗净水[2015]278号）（见附件1）的</w:t>
      </w:r>
      <w:r>
        <w:rPr>
          <w:rFonts w:hint="eastAsia" w:ascii="宋体" w:hAnsi="宋体" w:cs="宋体"/>
          <w:sz w:val="24"/>
          <w:szCs w:val="24"/>
        </w:rPr>
        <w:t>操作程序，向乙方支付合同费用。</w:t>
      </w:r>
    </w:p>
    <w:p>
      <w:pPr>
        <w:pStyle w:val="2"/>
        <w:ind w:firstLine="480" w:firstLineChars="200"/>
        <w:rPr>
          <w:rFonts w:asciiTheme="minorEastAsia" w:hAnsiTheme="minorEastAsia" w:eastAsiaTheme="minorEastAsia" w:cstheme="minorEastAsia"/>
        </w:rPr>
      </w:pPr>
      <w:r>
        <w:rPr>
          <w:rFonts w:hint="eastAsia" w:hAnsi="宋体"/>
        </w:rPr>
        <w:t xml:space="preserve">7.1.2 </w:t>
      </w:r>
      <w:r>
        <w:rPr>
          <w:rFonts w:hint="eastAsia" w:asciiTheme="minorEastAsia" w:hAnsiTheme="minorEastAsia" w:eastAsiaTheme="minorEastAsia" w:cstheme="minorEastAsia"/>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720" w:firstLineChars="300"/>
        <w:rPr>
          <w:rFonts w:ascii="宋体" w:hAnsi="宋体" w:cs="宋体"/>
          <w:sz w:val="24"/>
        </w:rPr>
      </w:pP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pStyle w:val="2"/>
        <w:ind w:firstLine="960" w:firstLineChars="400"/>
        <w:rPr>
          <w:rFonts w:asciiTheme="minorEastAsia" w:hAnsiTheme="minorEastAsia" w:eastAsiaTheme="minorEastAsia" w:cstheme="minorEastAsia"/>
          <w:u w:val="single"/>
        </w:rPr>
      </w:pPr>
      <w:r>
        <w:rPr>
          <w:rFonts w:hint="eastAsia" w:asciiTheme="minorEastAsia" w:hAnsiTheme="minorEastAsia" w:eastAsiaTheme="minorEastAsia" w:cstheme="minorEastAsia"/>
        </w:rPr>
        <w:t>地址：</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7.2 本合同生效后，乙方向甲方提出定金支付申请，甲方向乙方支付合同包干价的20％作为定金，计</w:t>
      </w:r>
      <w:r>
        <w:rPr>
          <w:rFonts w:hint="eastAsia" w:ascii="宋体" w:hAnsi="宋体" w:cs="宋体"/>
          <w:sz w:val="24"/>
          <w:szCs w:val="24"/>
          <w:lang w:val="en-US" w:eastAsia="zh-CN"/>
        </w:rPr>
        <w:t xml:space="preserve">     </w:t>
      </w:r>
      <w:r>
        <w:rPr>
          <w:rFonts w:hint="eastAsia" w:ascii="宋体" w:hAnsi="宋体" w:cs="宋体"/>
          <w:sz w:val="24"/>
          <w:szCs w:val="24"/>
        </w:rPr>
        <w:t>万元。</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sz w:val="24"/>
          <w:szCs w:val="24"/>
        </w:rPr>
        <w:t>7.3 乙方应于当月20日前将工程支付申请书一式四份报送给甲方，规划设计费按照以</w:t>
      </w:r>
      <w:r>
        <w:rPr>
          <w:rFonts w:hint="eastAsia" w:ascii="宋体" w:hAnsi="宋体" w:cs="宋体"/>
          <w:color w:val="auto"/>
          <w:sz w:val="24"/>
          <w:szCs w:val="24"/>
          <w:highlight w:val="none"/>
        </w:rPr>
        <w:t>下方式予以支付：</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ascii="宋体" w:hAnsi="宋体" w:cs="宋体"/>
          <w:color w:val="auto"/>
          <w:sz w:val="24"/>
          <w:szCs w:val="24"/>
          <w:highlight w:val="none"/>
        </w:rPr>
        <w:t xml:space="preserve">7.3.1 </w:t>
      </w:r>
      <w:r>
        <w:rPr>
          <w:rFonts w:hint="eastAsia" w:ascii="宋体" w:hAnsi="宋体" w:cs="宋体"/>
          <w:color w:val="auto"/>
          <w:sz w:val="24"/>
          <w:szCs w:val="24"/>
          <w:highlight w:val="none"/>
        </w:rPr>
        <w:t>乙方提交本合同</w:t>
      </w:r>
      <w:r>
        <w:rPr>
          <w:rFonts w:ascii="宋体" w:hAnsi="宋体" w:cs="宋体"/>
          <w:color w:val="auto"/>
          <w:sz w:val="24"/>
          <w:szCs w:val="24"/>
          <w:highlight w:val="none"/>
        </w:rPr>
        <w:t>所述成果报告书</w:t>
      </w:r>
      <w:r>
        <w:rPr>
          <w:rFonts w:hint="eastAsia" w:ascii="宋体" w:hAnsi="宋体" w:cs="宋体"/>
          <w:color w:val="auto"/>
          <w:sz w:val="24"/>
          <w:szCs w:val="24"/>
          <w:highlight w:val="none"/>
        </w:rPr>
        <w:t>至规划和用地专题业务会审议，并取得最终意见后，甲方向乙方支付至合同包干价的</w:t>
      </w:r>
      <w:r>
        <w:rPr>
          <w:rFonts w:ascii="宋体" w:hAnsi="宋体" w:cs="宋体"/>
          <w:color w:val="auto"/>
          <w:sz w:val="24"/>
          <w:szCs w:val="24"/>
          <w:highlight w:val="none"/>
        </w:rPr>
        <w:t>60%（含定金）。</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ascii="宋体" w:hAnsi="宋体" w:cs="宋体"/>
          <w:color w:val="auto"/>
          <w:sz w:val="24"/>
          <w:szCs w:val="24"/>
          <w:highlight w:val="none"/>
        </w:rPr>
        <w:t xml:space="preserve">7.3.2 </w:t>
      </w:r>
      <w:r>
        <w:rPr>
          <w:rFonts w:hint="eastAsia" w:ascii="宋体" w:hAnsi="宋体" w:cs="宋体"/>
          <w:color w:val="auto"/>
          <w:sz w:val="24"/>
          <w:szCs w:val="24"/>
          <w:highlight w:val="none"/>
        </w:rPr>
        <w:t>乙方提交本合同</w:t>
      </w:r>
      <w:r>
        <w:rPr>
          <w:rFonts w:ascii="宋体" w:hAnsi="宋体" w:cs="宋体"/>
          <w:color w:val="auto"/>
          <w:sz w:val="24"/>
          <w:szCs w:val="24"/>
          <w:highlight w:val="none"/>
        </w:rPr>
        <w:t>所述最终成果报告书</w:t>
      </w:r>
      <w:r>
        <w:rPr>
          <w:rFonts w:hint="eastAsia" w:ascii="宋体" w:hAnsi="宋体" w:cs="宋体"/>
          <w:color w:val="auto"/>
          <w:sz w:val="24"/>
          <w:szCs w:val="24"/>
          <w:highlight w:val="none"/>
        </w:rPr>
        <w:t>并取得市规委会书面同意意见后，甲方向乙方支付至合同包干价的</w:t>
      </w:r>
      <w:r>
        <w:rPr>
          <w:rFonts w:ascii="宋体" w:hAnsi="宋体" w:cs="宋体"/>
          <w:color w:val="auto"/>
          <w:sz w:val="24"/>
          <w:szCs w:val="24"/>
          <w:highlight w:val="none"/>
        </w:rPr>
        <w:t>80%（含定金）。</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7.3.3对属于《广州市财政投资评审管理办法》评审范围的财政性资金投资项目，财政投资评审结果作为该项目价款结算的依据，甲方按照评审结果全额支付。如甲方实际支付的费用超过财政投资评审结算价的，乙方应当在财政投资评审结算完毕之日起30日内向甲方退还超支费用。乙方迟延退还的，每逾期一天按超支费用的三倍银行同期储蓄利率向甲方支付利息。</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7.3.4</w:t>
      </w:r>
      <w:r>
        <w:rPr>
          <w:rFonts w:hint="eastAsia" w:ascii="宋体" w:hAnsi="宋体"/>
          <w:sz w:val="24"/>
          <w:szCs w:val="24"/>
        </w:rPr>
        <w:t>如合同项目非财政性资金投资项目，待相关部门终审结算后，甲方支付至合同结算价的100%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7.4双方委托银行代付代收有关费用。</w:t>
      </w:r>
    </w:p>
    <w:p>
      <w:pPr>
        <w:adjustRightInd w:val="0"/>
        <w:spacing w:line="360" w:lineRule="auto"/>
        <w:ind w:firstLine="480" w:firstLineChars="200"/>
        <w:jc w:val="left"/>
        <w:textAlignment w:val="baseline"/>
        <w:rPr>
          <w:color w:val="FF0000"/>
        </w:rPr>
      </w:pPr>
      <w:r>
        <w:rPr>
          <w:rFonts w:hint="eastAsia" w:ascii="宋体" w:hAnsi="宋体" w:cs="宋体"/>
          <w:sz w:val="24"/>
          <w:szCs w:val="24"/>
        </w:rPr>
        <w:t>7.5乙方</w:t>
      </w:r>
      <w:r>
        <w:rPr>
          <w:rFonts w:hint="eastAsia" w:ascii="宋体" w:hAnsi="宋体"/>
          <w:sz w:val="24"/>
          <w:szCs w:val="24"/>
        </w:rPr>
        <w:t>在收取每一笔合同费用前，需向甲方提供等额有效的增值税专用发票。</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第八条 双方责任</w:t>
      </w:r>
    </w:p>
    <w:p>
      <w:pPr>
        <w:spacing w:line="360" w:lineRule="auto"/>
        <w:ind w:firstLine="482" w:firstLineChars="200"/>
        <w:rPr>
          <w:rFonts w:ascii="宋体" w:hAnsi="宋体" w:cs="宋体"/>
          <w:sz w:val="24"/>
          <w:szCs w:val="24"/>
        </w:rPr>
      </w:pPr>
      <w:r>
        <w:rPr>
          <w:rFonts w:hint="eastAsia" w:ascii="宋体" w:hAnsi="宋体" w:cs="宋体"/>
          <w:b/>
          <w:bCs/>
          <w:sz w:val="24"/>
          <w:szCs w:val="24"/>
        </w:rPr>
        <w:t>8.1甲方责任</w:t>
      </w:r>
    </w:p>
    <w:p>
      <w:pPr>
        <w:spacing w:line="360" w:lineRule="auto"/>
        <w:ind w:firstLine="480" w:firstLineChars="200"/>
        <w:rPr>
          <w:rFonts w:ascii="宋体" w:hAnsi="宋体" w:cs="宋体"/>
          <w:sz w:val="24"/>
          <w:szCs w:val="24"/>
        </w:rPr>
      </w:pPr>
      <w:r>
        <w:rPr>
          <w:rFonts w:hint="eastAsia" w:ascii="宋体" w:hAnsi="宋体" w:cs="宋体"/>
          <w:sz w:val="24"/>
          <w:szCs w:val="24"/>
        </w:rPr>
        <w:t>8.1.1在合同履行期间，已开始编制工作，非乙方原因甲方要求终止或解除合同的，甲方根据乙方已进行的实际工作量按实进行结算，最高支付至合同包干价的六成。</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 8.1.</w:t>
      </w:r>
      <w:r>
        <w:rPr>
          <w:rFonts w:hint="eastAsia" w:ascii="宋体" w:hAnsi="宋体" w:cs="宋体"/>
          <w:sz w:val="24"/>
          <w:szCs w:val="24"/>
          <w:lang w:val="en-US" w:eastAsia="zh-CN"/>
        </w:rPr>
        <w:t>2</w:t>
      </w:r>
      <w:r>
        <w:rPr>
          <w:rFonts w:hint="eastAsia" w:ascii="宋体" w:hAnsi="宋体" w:cs="宋体"/>
          <w:sz w:val="24"/>
          <w:szCs w:val="24"/>
        </w:rPr>
        <w:t>甲方要求乙方比合同规定时间提前交付编制文件时，需提前通知乙方，且征得乙方同意，不得严重背离合理编制周期。</w:t>
      </w:r>
    </w:p>
    <w:p>
      <w:pPr>
        <w:pStyle w:val="4"/>
        <w:keepNext w:val="0"/>
        <w:keepLines w:val="0"/>
        <w:spacing w:before="0" w:after="0" w:line="360" w:lineRule="auto"/>
        <w:ind w:firstLine="482" w:firstLineChars="200"/>
        <w:rPr>
          <w:rFonts w:ascii="宋体" w:hAnsi="宋体" w:cs="宋体"/>
          <w:bCs w:val="0"/>
          <w:sz w:val="24"/>
          <w:szCs w:val="24"/>
        </w:rPr>
      </w:pPr>
      <w:r>
        <w:rPr>
          <w:rFonts w:hint="eastAsia" w:ascii="宋体" w:hAnsi="宋体" w:cs="宋体"/>
          <w:bCs w:val="0"/>
          <w:sz w:val="24"/>
          <w:szCs w:val="24"/>
        </w:rPr>
        <w:t>8.2乙方责任</w:t>
      </w:r>
    </w:p>
    <w:p>
      <w:pPr>
        <w:spacing w:line="360" w:lineRule="auto"/>
        <w:ind w:firstLine="480" w:firstLineChars="200"/>
        <w:rPr>
          <w:rFonts w:ascii="宋体" w:hAnsi="宋体" w:cs="宋体"/>
          <w:sz w:val="24"/>
          <w:szCs w:val="24"/>
        </w:rPr>
      </w:pPr>
      <w:r>
        <w:rPr>
          <w:rFonts w:hint="eastAsia" w:ascii="宋体" w:hAnsi="宋体" w:cs="宋体"/>
          <w:sz w:val="24"/>
          <w:szCs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sz w:val="24"/>
          <w:szCs w:val="24"/>
        </w:rPr>
      </w:pPr>
      <w:r>
        <w:rPr>
          <w:rFonts w:hint="eastAsia" w:ascii="宋体" w:hAnsi="宋体" w:cs="宋体"/>
          <w:sz w:val="24"/>
          <w:szCs w:val="24"/>
        </w:rPr>
        <w:t>8.2.2因文件质量问题引起返工，除由乙方继续完善外，并视造成损失大小，减收直至免收编制费。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szCs w:val="24"/>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sz w:val="24"/>
          <w:szCs w:val="24"/>
        </w:rPr>
      </w:pPr>
      <w:r>
        <w:rPr>
          <w:rFonts w:hint="eastAsia" w:ascii="宋体" w:hAnsi="宋体" w:cs="宋体"/>
          <w:sz w:val="24"/>
          <w:szCs w:val="24"/>
        </w:rPr>
        <w:t>8.2.4由于乙方自身原因，延误了按本合同第五条规定的规划设计成果交付时间，每延误一天应减收该项目合同价的2‰，逾期超过30天，甲方有权解除合同。由此给甲方造成损失的，乙方应承担赔偿责任。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8.2.6若标准或计划变更，经甲方同意，乙方可顺延期限。</w:t>
      </w:r>
    </w:p>
    <w:p>
      <w:pPr>
        <w:spacing w:line="360" w:lineRule="auto"/>
        <w:ind w:firstLine="480" w:firstLineChars="200"/>
        <w:rPr>
          <w:rFonts w:ascii="宋体" w:hAnsi="宋体" w:cs="宋体"/>
          <w:sz w:val="24"/>
          <w:szCs w:val="24"/>
        </w:rPr>
      </w:pPr>
      <w:r>
        <w:rPr>
          <w:rFonts w:hint="eastAsia" w:ascii="宋体" w:hAnsi="宋体" w:cs="宋体"/>
          <w:sz w:val="24"/>
          <w:szCs w:val="24"/>
        </w:rPr>
        <w:t>8.2.7合同生效后，非甲方原因乙方要求解除合同的，应赔偿甲方的损失，并双倍退还定金。</w:t>
      </w:r>
    </w:p>
    <w:p>
      <w:pPr>
        <w:spacing w:line="360" w:lineRule="auto"/>
        <w:ind w:firstLine="480" w:firstLineChars="200"/>
        <w:rPr>
          <w:rFonts w:hint="eastAsia" w:ascii="宋体" w:hAnsi="宋体" w:cs="宋体"/>
          <w:sz w:val="24"/>
          <w:szCs w:val="24"/>
          <w:highlight w:val="none"/>
        </w:rPr>
      </w:pPr>
      <w:r>
        <w:rPr>
          <w:rFonts w:ascii="宋体" w:hAnsi="宋体" w:cs="宋体"/>
          <w:color w:val="000000" w:themeColor="text1"/>
          <w:sz w:val="24"/>
          <w:szCs w:val="24"/>
          <w:highlight w:val="none"/>
          <w14:textFill>
            <w14:solidFill>
              <w14:schemeClr w14:val="tx1"/>
            </w14:solidFill>
          </w14:textFill>
        </w:rPr>
        <w:t>8.2.8如甲方选择适用定金罚则，定金不足以弥补乙方违约造成的损失的，甲方可以</w:t>
      </w:r>
      <w:r>
        <w:rPr>
          <w:rFonts w:hint="eastAsia" w:ascii="宋体" w:hAnsi="宋体" w:cs="宋体"/>
          <w:sz w:val="24"/>
          <w:szCs w:val="24"/>
          <w:highlight w:val="none"/>
        </w:rPr>
        <w:t>请求赔偿超过定金数额的损失。</w:t>
      </w:r>
    </w:p>
    <w:p>
      <w:pPr>
        <w:pStyle w:val="19"/>
        <w:ind w:firstLine="0"/>
        <w:rPr>
          <w:rFonts w:hint="default" w:eastAsia="等线"/>
          <w:lang w:val="en-US" w:eastAsia="zh-CN"/>
        </w:rPr>
      </w:pPr>
      <w:r>
        <w:rPr>
          <w:rFonts w:hint="eastAsia" w:ascii="宋体" w:hAnsi="宋体" w:cs="宋体"/>
          <w:sz w:val="24"/>
          <w:szCs w:val="24"/>
          <w:highlight w:val="none"/>
          <w:lang w:val="en-US" w:eastAsia="zh-CN"/>
        </w:rPr>
        <w:t>8.2.9</w:t>
      </w:r>
      <w:r>
        <w:rPr>
          <w:rFonts w:hint="eastAsia" w:ascii="宋体" w:hAnsi="宋体" w:cs="宋体" w:eastAsiaTheme="minorEastAsia"/>
          <w:color w:val="auto"/>
          <w:sz w:val="24"/>
          <w:szCs w:val="24"/>
          <w:lang w:val="en-US" w:eastAsia="zh-CN"/>
        </w:rPr>
        <w:t>在合同有效期内，若乙方发生不诚信行为情形的，乙方自愿接受甲方按《广州市净水有限公司经营建设项目参建企业不诚信行为管理办法》处理，具体处理标准详见附件4。</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第九条  知识产权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第十条  争议解决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（一）提交广州仲裁委员会仲裁；</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（二）依法向甲方所在地的人民法院起诉。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第十一条  合同生效及其他</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11.1合同生效的条件：合同签订盖章。</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11.5本合同正本一式</w:t>
      </w:r>
      <w:r>
        <w:rPr>
          <w:rFonts w:hint="eastAsia" w:ascii="宋体" w:hAnsi="宋体" w:cs="宋体"/>
          <w:sz w:val="24"/>
          <w:szCs w:val="24"/>
          <w:u w:val="single"/>
        </w:rPr>
        <w:t xml:space="preserve"> 贰 </w:t>
      </w:r>
      <w:r>
        <w:rPr>
          <w:rFonts w:hint="eastAsia" w:ascii="宋体" w:hAnsi="宋体" w:cs="宋体"/>
          <w:sz w:val="24"/>
          <w:szCs w:val="24"/>
        </w:rPr>
        <w:t>份，甲方执</w:t>
      </w:r>
      <w:r>
        <w:rPr>
          <w:rFonts w:hint="eastAsia" w:ascii="宋体" w:hAnsi="宋体" w:cs="宋体"/>
          <w:sz w:val="24"/>
          <w:szCs w:val="24"/>
          <w:u w:val="single"/>
        </w:rPr>
        <w:t xml:space="preserve"> 壹 </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份；副本一式</w:t>
      </w:r>
      <w:r>
        <w:rPr>
          <w:rFonts w:hint="eastAsia" w:ascii="宋体" w:hAnsi="宋体" w:cs="宋体"/>
          <w:sz w:val="24"/>
          <w:szCs w:val="24"/>
          <w:u w:val="single"/>
        </w:rPr>
        <w:t>捌</w:t>
      </w:r>
      <w:r>
        <w:rPr>
          <w:rFonts w:hint="eastAsia" w:ascii="宋体" w:hAnsi="宋体" w:cs="宋体"/>
          <w:sz w:val="24"/>
          <w:szCs w:val="24"/>
        </w:rPr>
        <w:t>份，甲方执</w:t>
      </w:r>
      <w:r>
        <w:rPr>
          <w:rFonts w:hint="eastAsia" w:ascii="宋体" w:hAnsi="宋体" w:cs="宋体"/>
          <w:sz w:val="24"/>
          <w:szCs w:val="24"/>
          <w:u w:val="single"/>
        </w:rPr>
        <w:t>伍</w:t>
      </w:r>
      <w:r>
        <w:rPr>
          <w:rFonts w:hint="eastAsia" w:ascii="宋体" w:hAnsi="宋体" w:cs="宋体"/>
          <w:sz w:val="24"/>
          <w:szCs w:val="24"/>
        </w:rPr>
        <w:t>份，乙方执</w:t>
      </w:r>
      <w:r>
        <w:rPr>
          <w:rFonts w:hint="eastAsia" w:ascii="宋体" w:hAnsi="宋体" w:cs="宋体"/>
          <w:sz w:val="24"/>
          <w:szCs w:val="24"/>
          <w:u w:val="single"/>
        </w:rPr>
        <w:t>叁</w:t>
      </w:r>
      <w:r>
        <w:rPr>
          <w:rFonts w:hint="eastAsia" w:ascii="宋体" w:hAnsi="宋体" w:cs="宋体"/>
          <w:sz w:val="24"/>
          <w:szCs w:val="24"/>
        </w:rPr>
        <w:t>份，双方所执合同具同等法律效力。</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11.6双方履行完合同规定的义务后，本合同即行终止。</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11.7双方认可的来往传真、会议纪要等，均为合同的组成部分，与本合同具有同等法律效力。</w:t>
      </w:r>
    </w:p>
    <w:p>
      <w:pPr>
        <w:spacing w:line="360" w:lineRule="auto"/>
        <w:ind w:firstLine="480" w:firstLineChars="200"/>
        <w:outlineLvl w:val="0"/>
        <w:rPr>
          <w:rFonts w:ascii="宋体" w:hAnsi="宋体" w:cs="宋体"/>
          <w:color w:val="000000"/>
          <w:sz w:val="24"/>
          <w:szCs w:val="24"/>
        </w:rPr>
      </w:pPr>
      <w:r>
        <w:rPr>
          <w:rFonts w:hint="eastAsia" w:ascii="宋体" w:hAnsi="宋体" w:cs="宋体"/>
          <w:sz w:val="24"/>
          <w:szCs w:val="24"/>
        </w:rPr>
        <w:t>11.8未尽事宜，双方协商一致，</w:t>
      </w:r>
      <w:r>
        <w:rPr>
          <w:rFonts w:hint="eastAsia" w:ascii="宋体" w:hAnsi="宋体" w:cs="宋体"/>
          <w:color w:val="000000"/>
          <w:sz w:val="24"/>
          <w:szCs w:val="24"/>
        </w:rPr>
        <w:t>可签订补充协议，补充协议与本合同具有同等效力。</w:t>
      </w:r>
    </w:p>
    <w:p>
      <w:pPr>
        <w:pStyle w:val="10"/>
        <w:spacing w:line="360" w:lineRule="auto"/>
        <w:ind w:left="465" w:leftChars="50" w:hanging="360" w:hangingChars="150"/>
        <w:jc w:val="center"/>
        <w:rPr>
          <w:rFonts w:ascii="宋体" w:hAnsi="宋体" w:cs="宋体"/>
          <w:color w:val="000000"/>
          <w:sz w:val="24"/>
          <w:szCs w:val="24"/>
        </w:rPr>
      </w:pPr>
      <w:r>
        <w:rPr>
          <w:rFonts w:hint="eastAsia" w:ascii="宋体" w:hAnsi="宋体" w:cs="宋体"/>
          <w:color w:val="000000"/>
          <w:sz w:val="24"/>
          <w:szCs w:val="24"/>
        </w:rPr>
        <w:t>11.9本合同附件是合同不可分割的一部分，具有相同的法律效力，具体附件如下：</w:t>
      </w:r>
    </w:p>
    <w:p>
      <w:pPr>
        <w:pStyle w:val="10"/>
        <w:spacing w:line="360" w:lineRule="auto"/>
        <w:ind w:left="584" w:leftChars="278" w:firstLine="120" w:firstLineChars="50"/>
        <w:rPr>
          <w:rFonts w:ascii="宋体" w:hAnsi="宋体" w:cs="宋体"/>
          <w:color w:val="000000"/>
          <w:sz w:val="24"/>
          <w:szCs w:val="24"/>
        </w:rPr>
      </w:pPr>
      <w:r>
        <w:rPr>
          <w:rFonts w:hint="eastAsia" w:ascii="宋体" w:hAnsi="宋体" w:cs="宋体"/>
          <w:color w:val="000000"/>
          <w:sz w:val="24"/>
          <w:szCs w:val="24"/>
        </w:rPr>
        <w:t>附件</w:t>
      </w:r>
      <w:r>
        <w:rPr>
          <w:rFonts w:ascii="宋体" w:hAnsi="宋体" w:cs="宋体"/>
          <w:color w:val="000000"/>
          <w:sz w:val="24"/>
          <w:szCs w:val="24"/>
        </w:rPr>
        <w:t>1：</w:t>
      </w:r>
      <w:r>
        <w:rPr>
          <w:rFonts w:hint="eastAsia" w:ascii="宋体" w:hAnsi="宋体" w:cs="宋体"/>
          <w:b w:val="0"/>
          <w:bCs w:val="0"/>
          <w:color w:val="000000"/>
          <w:sz w:val="24"/>
          <w:szCs w:val="24"/>
        </w:rPr>
        <w:t>发包通知书</w:t>
      </w:r>
    </w:p>
    <w:p>
      <w:pPr>
        <w:pStyle w:val="10"/>
        <w:spacing w:line="360" w:lineRule="auto"/>
        <w:ind w:left="584" w:leftChars="278" w:firstLine="120" w:firstLineChars="50"/>
        <w:rPr>
          <w:rFonts w:ascii="宋体" w:hAnsi="宋体" w:cs="宋体"/>
          <w:color w:val="000000"/>
          <w:sz w:val="24"/>
          <w:szCs w:val="24"/>
        </w:rPr>
      </w:pPr>
      <w:r>
        <w:rPr>
          <w:rFonts w:hint="eastAsia" w:ascii="宋体" w:hAnsi="宋体" w:cs="宋体"/>
          <w:color w:val="000000"/>
          <w:sz w:val="24"/>
          <w:szCs w:val="24"/>
        </w:rPr>
        <w:t>附件</w:t>
      </w:r>
      <w:r>
        <w:rPr>
          <w:rFonts w:ascii="宋体" w:hAnsi="宋体" w:cs="宋体"/>
          <w:color w:val="000000"/>
          <w:sz w:val="24"/>
          <w:szCs w:val="24"/>
        </w:rPr>
        <w:t>2：</w:t>
      </w:r>
      <w:r>
        <w:rPr>
          <w:rFonts w:hint="eastAsia" w:ascii="宋体" w:hAnsi="宋体" w:cs="宋体"/>
          <w:b w:val="0"/>
          <w:bCs w:val="0"/>
          <w:color w:val="000000"/>
          <w:sz w:val="24"/>
          <w:szCs w:val="24"/>
        </w:rPr>
        <w:t>廉洁协议</w:t>
      </w:r>
    </w:p>
    <w:p>
      <w:pPr>
        <w:pStyle w:val="10"/>
        <w:spacing w:line="360" w:lineRule="auto"/>
        <w:ind w:left="584" w:leftChars="278" w:firstLine="120" w:firstLineChars="50"/>
        <w:rPr>
          <w:rFonts w:hint="eastAsia" w:ascii="宋体" w:hAnsi="宋体" w:cs="宋体"/>
          <w:color w:val="000000"/>
          <w:sz w:val="24"/>
          <w:szCs w:val="24"/>
        </w:rPr>
      </w:pPr>
      <w:r>
        <w:rPr>
          <w:rFonts w:hint="eastAsia" w:ascii="宋体" w:hAnsi="宋体" w:cs="宋体"/>
          <w:color w:val="000000"/>
          <w:sz w:val="24"/>
          <w:szCs w:val="24"/>
        </w:rPr>
        <w:t>附件3：安全协议书</w:t>
      </w:r>
    </w:p>
    <w:p>
      <w:pPr>
        <w:pStyle w:val="10"/>
        <w:spacing w:line="360" w:lineRule="auto"/>
        <w:ind w:left="584" w:leftChars="278" w:firstLine="120" w:firstLineChars="5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附件4：不诚信行为的情形及相应被暂停参与投标活动的处理标准</w:t>
      </w:r>
    </w:p>
    <w:p>
      <w:pPr>
        <w:pStyle w:val="10"/>
        <w:spacing w:line="360" w:lineRule="auto"/>
        <w:ind w:left="584" w:leftChars="278" w:firstLine="120" w:firstLineChars="50"/>
        <w:rPr>
          <w:rFonts w:hint="default" w:ascii="宋体" w:hAnsi="宋体" w:cs="宋体" w:eastAsiaTheme="minorEastAsia"/>
          <w:color w:val="000000"/>
          <w:sz w:val="24"/>
          <w:szCs w:val="24"/>
          <w:lang w:val="en-US" w:eastAsia="zh-CN"/>
        </w:rPr>
      </w:pPr>
    </w:p>
    <w:p>
      <w:pPr>
        <w:pStyle w:val="10"/>
        <w:spacing w:line="360" w:lineRule="auto"/>
        <w:ind w:left="465" w:leftChars="50" w:hanging="360" w:hangingChars="150"/>
        <w:rPr>
          <w:rFonts w:ascii="宋体" w:hAnsi="宋体" w:cs="宋体"/>
          <w:color w:val="000000"/>
          <w:sz w:val="24"/>
          <w:szCs w:val="24"/>
        </w:rPr>
      </w:pPr>
      <w:r>
        <w:rPr>
          <w:rFonts w:hint="eastAsia" w:ascii="宋体" w:hAnsi="宋体" w:cs="宋体"/>
          <w:color w:val="000000"/>
          <w:sz w:val="24"/>
          <w:szCs w:val="24"/>
        </w:rPr>
        <w:t>（以下无正文）</w:t>
      </w:r>
    </w:p>
    <w:tbl>
      <w:tblPr>
        <w:tblStyle w:val="20"/>
        <w:tblpPr w:leftFromText="180" w:rightFromText="180" w:vertAnchor="text" w:horzAnchor="page" w:tblpX="1656" w:tblpY="461"/>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szCs w:val="24"/>
              </w:rPr>
            </w:pPr>
            <w:r>
              <w:rPr>
                <w:rFonts w:hint="eastAsia" w:ascii="宋体" w:hAnsi="宋体" w:cs="宋体"/>
                <w:color w:val="000000"/>
                <w:sz w:val="24"/>
                <w:szCs w:val="24"/>
              </w:rPr>
              <w:t>甲方：广州市净水有限公司</w:t>
            </w:r>
          </w:p>
        </w:tc>
        <w:tc>
          <w:tcPr>
            <w:tcW w:w="562" w:type="dxa"/>
            <w:vAlign w:val="center"/>
          </w:tcPr>
          <w:p>
            <w:pPr>
              <w:spacing w:line="360" w:lineRule="auto"/>
              <w:rPr>
                <w:rFonts w:ascii="宋体" w:hAnsi="宋体" w:cs="宋体"/>
                <w:color w:val="000000"/>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color w:val="000000"/>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联系人：</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ind w:right="-19" w:rightChars="-9"/>
              <w:rPr>
                <w:rFonts w:ascii="宋体" w:hAnsi="宋体" w:cs="宋体"/>
                <w:color w:val="000000"/>
                <w:sz w:val="24"/>
                <w:szCs w:val="24"/>
              </w:rPr>
            </w:pPr>
            <w:r>
              <w:rPr>
                <w:rFonts w:hint="eastAsia" w:ascii="宋体" w:hAnsi="宋体" w:cs="宋体"/>
                <w:color w:val="000000"/>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color w:val="000000"/>
                <w:sz w:val="24"/>
                <w:szCs w:val="24"/>
              </w:rPr>
              <w:t>地址：广州市天河区临江大道501号</w:t>
            </w: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color w:val="000000"/>
                <w:sz w:val="24"/>
                <w:szCs w:val="24"/>
              </w:rPr>
              <w:t>邮政编码：510655</w:t>
            </w:r>
            <w:r>
              <w:rPr>
                <w:rFonts w:hint="eastAsia" w:ascii="宋体" w:hAnsi="宋体" w:cs="宋体"/>
                <w:sz w:val="24"/>
                <w:szCs w:val="24"/>
              </w:rPr>
              <w:tab/>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电话：</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传真：</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签约日期：2021年月日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pStyle w:val="10"/>
        <w:spacing w:line="360" w:lineRule="auto"/>
        <w:ind w:left="465" w:leftChars="50" w:hanging="360" w:hangingChars="150"/>
        <w:rPr>
          <w:rFonts w:ascii="宋体" w:hAnsi="宋体" w:cs="宋体"/>
          <w:color w:val="000000"/>
          <w:sz w:val="24"/>
          <w:szCs w:val="24"/>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附件2廉洁协议</w:t>
      </w:r>
    </w:p>
    <w:p>
      <w:pPr>
        <w:pStyle w:val="2"/>
      </w:pPr>
    </w:p>
    <w:p>
      <w:pPr>
        <w:spacing w:line="360" w:lineRule="auto"/>
        <w:jc w:val="center"/>
        <w:rPr>
          <w:rFonts w:ascii="宋体" w:hAnsi="宋体"/>
          <w:b/>
          <w:sz w:val="32"/>
          <w:szCs w:val="32"/>
        </w:rPr>
      </w:pPr>
      <w:bookmarkStart w:id="11" w:name="_Toc387080836"/>
      <w:bookmarkStart w:id="12" w:name="_Toc389815339"/>
      <w:bookmarkStart w:id="13" w:name="_Toc389815031"/>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rPr>
        <w:t>合同的附件，并具有同等的法律效力，本协议自双方签字盖章之日起生效，与主合同同时终止。</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3"/>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2021</w:t>
      </w:r>
      <w:r>
        <w:rPr>
          <w:rFonts w:ascii="宋体" w:hAnsi="宋体"/>
          <w:sz w:val="24"/>
        </w:rPr>
        <w:t>年月日</w:t>
      </w:r>
      <w:r>
        <w:rPr>
          <w:rFonts w:ascii="宋体" w:hAnsi="宋体"/>
          <w:sz w:val="24"/>
        </w:rPr>
        <w:tab/>
      </w:r>
      <w:r>
        <w:rPr>
          <w:rFonts w:hint="eastAsia" w:ascii="宋体" w:hAnsi="宋体"/>
          <w:sz w:val="24"/>
        </w:rPr>
        <w:t>日期：2021</w:t>
      </w:r>
      <w:r>
        <w:rPr>
          <w:rFonts w:ascii="宋体" w:hAnsi="宋体"/>
          <w:sz w:val="24"/>
        </w:rPr>
        <w:t>年月 日</w:t>
      </w: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both"/>
        <w:rPr>
          <w:rFonts w:ascii="黑体" w:hAnsi="Batang" w:eastAsia="黑体" w:cs="Batang"/>
          <w:bCs/>
          <w:kern w:val="0"/>
          <w:sz w:val="44"/>
          <w:szCs w:val="44"/>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ascii="黑体" w:hAnsi="Batang" w:eastAsia="黑体" w:cs="Batang"/>
          <w:bCs/>
          <w:kern w:val="0"/>
          <w:sz w:val="28"/>
          <w:szCs w:val="28"/>
        </w:rPr>
      </w:pPr>
      <w:r>
        <w:rPr>
          <w:rFonts w:hint="eastAsia" w:ascii="宋体" w:hAnsi="宋体" w:cs="宋体"/>
          <w:b/>
          <w:bCs/>
          <w:szCs w:val="21"/>
        </w:rPr>
        <w:t>附件3 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4"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3"/>
          <w:rFonts w:asciiTheme="minorEastAsia" w:hAnsiTheme="minorEastAsia" w:eastAsiaTheme="minorEastAsia"/>
          <w:b w:val="0"/>
          <w:u w:val="single"/>
        </w:rPr>
      </w:pPr>
    </w:p>
    <w:bookmarkEnd w:id="14"/>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sz w:val="24"/>
        </w:rPr>
      </w:pPr>
      <w:r>
        <w:rPr>
          <w:rFonts w:hint="eastAsia" w:asciiTheme="minorEastAsia" w:hAnsiTheme="minorEastAsia"/>
          <w:sz w:val="24"/>
        </w:rPr>
        <w:t>（七）委托的第三方运输单位或个人，违反本协议的，全部责任均由乙方承担。</w:t>
      </w:r>
    </w:p>
    <w:p>
      <w:pPr>
        <w:pStyle w:val="4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年月日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年月日</w:t>
            </w:r>
          </w:p>
        </w:tc>
      </w:tr>
    </w:tbl>
    <w:p>
      <w:pPr>
        <w:pStyle w:val="2"/>
      </w:pPr>
    </w:p>
    <w:p>
      <w:pPr>
        <w:spacing w:line="360" w:lineRule="auto"/>
        <w:jc w:val="center"/>
        <w:rPr>
          <w:rFonts w:ascii="宋体" w:hAnsi="宋体"/>
          <w:b/>
          <w:sz w:val="32"/>
          <w:szCs w:val="32"/>
          <w:highlight w:val="yellow"/>
        </w:rPr>
      </w:pPr>
    </w:p>
    <w:p>
      <w:pPr>
        <w:spacing w:line="360" w:lineRule="auto"/>
        <w:jc w:val="center"/>
        <w:rPr>
          <w:rFonts w:ascii="宋体" w:hAnsi="宋体"/>
          <w:b/>
          <w:sz w:val="32"/>
          <w:szCs w:val="32"/>
          <w:highlight w:val="yellow"/>
        </w:rPr>
      </w:pPr>
    </w:p>
    <w:p>
      <w:pPr>
        <w:tabs>
          <w:tab w:val="left" w:pos="4170"/>
        </w:tabs>
        <w:spacing w:line="360" w:lineRule="auto"/>
        <w:rPr>
          <w:rFonts w:ascii="宋体" w:hAnsi="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w:t>
      </w:r>
      <w:r>
        <w:rPr>
          <w:rFonts w:hint="eastAsia" w:hAnsi="宋体" w:cs="宋体"/>
          <w:b/>
          <w:bCs/>
          <w:color w:val="000000" w:themeColor="text1"/>
          <w:szCs w:val="21"/>
          <w:highlight w:val="none"/>
          <w:lang w:val="en-US" w:eastAsia="zh-CN"/>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w:t>
      </w:r>
    </w:p>
    <w:p>
      <w:pPr>
        <w:pStyle w:val="2"/>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bookmarkEnd w:id="11"/>
    <w:bookmarkEnd w:id="12"/>
    <w:bookmarkEnd w:id="13"/>
    <w:p>
      <w:pPr>
        <w:pStyle w:val="4"/>
        <w:spacing w:line="360" w:lineRule="auto"/>
        <w:jc w:val="both"/>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rPr>
          <w:rFonts w:hint="eastAsia" w:ascii="仿宋" w:hAnsi="仿宋" w:eastAsia="仿宋" w:cs="仿宋_GB2312"/>
          <w:color w:val="000000" w:themeColor="text1"/>
          <w14:textFill>
            <w14:solidFill>
              <w14:schemeClr w14:val="tx1"/>
            </w14:solidFill>
          </w14:textFill>
        </w:rPr>
      </w:pPr>
    </w:p>
    <w:p>
      <w:pPr>
        <w:pStyle w:val="19"/>
        <w:rPr>
          <w:rFonts w:hint="eastAsia" w:ascii="仿宋" w:hAnsi="仿宋" w:eastAsia="仿宋" w:cs="仿宋_GB2312"/>
          <w:color w:val="000000" w:themeColor="text1"/>
          <w14:textFill>
            <w14:solidFill>
              <w14:schemeClr w14:val="tx1"/>
            </w14:solidFill>
          </w14:textFill>
        </w:rPr>
      </w:pPr>
    </w:p>
    <w:p>
      <w:pPr>
        <w:pStyle w:val="19"/>
        <w:rPr>
          <w:rFonts w:hint="eastAsia" w:ascii="仿宋" w:hAnsi="仿宋" w:eastAsia="仿宋" w:cs="仿宋_GB2312"/>
          <w:color w:val="000000" w:themeColor="text1"/>
          <w14:textFill>
            <w14:solidFill>
              <w14:schemeClr w14:val="tx1"/>
            </w14:solidFill>
          </w14:textFill>
        </w:rPr>
      </w:pPr>
    </w:p>
    <w:p>
      <w:pPr>
        <w:pStyle w:val="19"/>
        <w:rPr>
          <w:rFonts w:hint="eastAsia" w:ascii="仿宋" w:hAnsi="仿宋" w:eastAsia="仿宋" w:cs="仿宋_GB2312"/>
          <w:color w:val="000000" w:themeColor="text1"/>
          <w14:textFill>
            <w14:solidFill>
              <w14:schemeClr w14:val="tx1"/>
            </w14:solidFill>
          </w14:textFill>
        </w:rPr>
      </w:pPr>
    </w:p>
    <w:p>
      <w:pPr>
        <w:pStyle w:val="19"/>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9"/>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8"/>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项目名称：广州市净水有限公司石井净水厂地块控制性详细规划阶段海绵城市（含防洪排涝风险评估）专篇编制</w:t>
      </w: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4"/>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spacing w:line="480" w:lineRule="exact"/>
        <w:jc w:val="both"/>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4"/>
        <w:ind w:firstLine="562"/>
        <w:jc w:val="center"/>
        <w:rPr>
          <w:rFonts w:hint="eastAsia" w:ascii="仿宋_GB2312" w:hAnsi="仿宋_GB2312" w:cs="仿宋_GB2312"/>
          <w:bCs w:val="0"/>
        </w:rPr>
      </w:pPr>
    </w:p>
    <w:p>
      <w:pPr>
        <w:pStyle w:val="4"/>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41"/>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40"/>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40"/>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40"/>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w:t>
      </w:r>
      <w:r>
        <w:rPr>
          <w:rFonts w:hint="eastAsia" w:ascii="仿宋_GB2312" w:hAnsi="仿宋" w:eastAsia="仿宋_GB2312" w:cs="仿宋_GB2312"/>
          <w:color w:val="000000" w:themeColor="text1"/>
          <w:lang w:val="en-US" w:eastAsia="zh-CN"/>
          <w14:textFill>
            <w14:solidFill>
              <w14:schemeClr w14:val="tx1"/>
            </w14:solidFill>
          </w14:textFill>
        </w:rPr>
        <w:t>私</w:t>
      </w:r>
      <w:r>
        <w:rPr>
          <w:rFonts w:hint="eastAsia" w:ascii="仿宋_GB2312" w:hAnsi="仿宋" w:eastAsia="仿宋_GB2312" w:cs="仿宋_GB2312"/>
          <w:color w:val="000000" w:themeColor="text1"/>
          <w14:textFill>
            <w14:solidFill>
              <w14:schemeClr w14:val="tx1"/>
            </w14:solidFill>
          </w14:textFill>
        </w:rPr>
        <w:t>章）：</w:t>
      </w:r>
    </w:p>
    <w:p>
      <w:pPr>
        <w:pStyle w:val="40"/>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40"/>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both"/>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pStyle w:val="2"/>
        <w:jc w:val="both"/>
        <w:rPr>
          <w:rFonts w:hint="eastAsia"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日</w:t>
      </w:r>
    </w:p>
    <w:p>
      <w:pPr>
        <w:pStyle w:val="2"/>
        <w:jc w:val="center"/>
        <w:rPr>
          <w:rFonts w:eastAsia="仿宋"/>
        </w:rPr>
      </w:pPr>
      <w:r>
        <w:rPr>
          <w:rFonts w:hint="eastAsia" w:ascii="仿宋" w:hAnsi="仿宋" w:eastAsia="仿宋" w:cs="仿宋_GB2312"/>
          <w:b/>
          <w:bCs/>
          <w:color w:val="000000" w:themeColor="text1"/>
          <w:sz w:val="28"/>
          <w:szCs w:val="28"/>
          <w14:textFill>
            <w14:solidFill>
              <w14:schemeClr w14:val="tx1"/>
            </w14:solidFill>
          </w14:textFill>
        </w:rPr>
        <w:t>5  项目单位、人员资格情况</w:t>
      </w: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23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revisionView w:markup="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17E3B"/>
    <w:rsid w:val="00026748"/>
    <w:rsid w:val="0002731E"/>
    <w:rsid w:val="00042526"/>
    <w:rsid w:val="00044267"/>
    <w:rsid w:val="00045679"/>
    <w:rsid w:val="000644E6"/>
    <w:rsid w:val="000657B9"/>
    <w:rsid w:val="00067A1B"/>
    <w:rsid w:val="0008071C"/>
    <w:rsid w:val="000A46D5"/>
    <w:rsid w:val="000A513D"/>
    <w:rsid w:val="000B2E59"/>
    <w:rsid w:val="000B5150"/>
    <w:rsid w:val="000B56D5"/>
    <w:rsid w:val="000B6E2A"/>
    <w:rsid w:val="000C269F"/>
    <w:rsid w:val="000E45BC"/>
    <w:rsid w:val="000F0E33"/>
    <w:rsid w:val="00112127"/>
    <w:rsid w:val="00113A79"/>
    <w:rsid w:val="001166BB"/>
    <w:rsid w:val="001467CA"/>
    <w:rsid w:val="0015464B"/>
    <w:rsid w:val="00163A61"/>
    <w:rsid w:val="00190153"/>
    <w:rsid w:val="00194425"/>
    <w:rsid w:val="00196351"/>
    <w:rsid w:val="001B229F"/>
    <w:rsid w:val="001C2A08"/>
    <w:rsid w:val="001C2A41"/>
    <w:rsid w:val="001F46A9"/>
    <w:rsid w:val="001F4B7D"/>
    <w:rsid w:val="001F5CC8"/>
    <w:rsid w:val="00203513"/>
    <w:rsid w:val="00204AB7"/>
    <w:rsid w:val="002144D7"/>
    <w:rsid w:val="00235700"/>
    <w:rsid w:val="00243240"/>
    <w:rsid w:val="00246613"/>
    <w:rsid w:val="00250256"/>
    <w:rsid w:val="002A21F8"/>
    <w:rsid w:val="002E23B2"/>
    <w:rsid w:val="002E2EA5"/>
    <w:rsid w:val="002F588A"/>
    <w:rsid w:val="00320FA9"/>
    <w:rsid w:val="00335D77"/>
    <w:rsid w:val="00352134"/>
    <w:rsid w:val="00356EFB"/>
    <w:rsid w:val="0035701B"/>
    <w:rsid w:val="00383CF0"/>
    <w:rsid w:val="003A0C70"/>
    <w:rsid w:val="003A30A6"/>
    <w:rsid w:val="003A6177"/>
    <w:rsid w:val="003C43FE"/>
    <w:rsid w:val="003D205C"/>
    <w:rsid w:val="003D3EB3"/>
    <w:rsid w:val="003D6308"/>
    <w:rsid w:val="003D66E3"/>
    <w:rsid w:val="003E1CBF"/>
    <w:rsid w:val="003E3A96"/>
    <w:rsid w:val="003F7185"/>
    <w:rsid w:val="00400CFA"/>
    <w:rsid w:val="00413436"/>
    <w:rsid w:val="00414334"/>
    <w:rsid w:val="004273C1"/>
    <w:rsid w:val="0046764A"/>
    <w:rsid w:val="00477301"/>
    <w:rsid w:val="00481194"/>
    <w:rsid w:val="004814F2"/>
    <w:rsid w:val="0048211B"/>
    <w:rsid w:val="00491F67"/>
    <w:rsid w:val="004B707F"/>
    <w:rsid w:val="004C5DB3"/>
    <w:rsid w:val="004E1354"/>
    <w:rsid w:val="004F3212"/>
    <w:rsid w:val="0050227A"/>
    <w:rsid w:val="00504917"/>
    <w:rsid w:val="00523FFA"/>
    <w:rsid w:val="00525D06"/>
    <w:rsid w:val="00527A1E"/>
    <w:rsid w:val="00532787"/>
    <w:rsid w:val="005328FE"/>
    <w:rsid w:val="00536854"/>
    <w:rsid w:val="00570096"/>
    <w:rsid w:val="00570D85"/>
    <w:rsid w:val="005840C1"/>
    <w:rsid w:val="0058445E"/>
    <w:rsid w:val="00592032"/>
    <w:rsid w:val="005A4EA8"/>
    <w:rsid w:val="005A6632"/>
    <w:rsid w:val="005F336B"/>
    <w:rsid w:val="006077E7"/>
    <w:rsid w:val="00613B10"/>
    <w:rsid w:val="00653163"/>
    <w:rsid w:val="00666D6D"/>
    <w:rsid w:val="0067290B"/>
    <w:rsid w:val="006840DB"/>
    <w:rsid w:val="0069107D"/>
    <w:rsid w:val="006C581B"/>
    <w:rsid w:val="006D78B3"/>
    <w:rsid w:val="006E0C83"/>
    <w:rsid w:val="006E59CC"/>
    <w:rsid w:val="00703691"/>
    <w:rsid w:val="00724C42"/>
    <w:rsid w:val="007263F2"/>
    <w:rsid w:val="007331F2"/>
    <w:rsid w:val="00747A49"/>
    <w:rsid w:val="007550D7"/>
    <w:rsid w:val="00786097"/>
    <w:rsid w:val="007957B4"/>
    <w:rsid w:val="0079655F"/>
    <w:rsid w:val="007A3FFF"/>
    <w:rsid w:val="007A6F35"/>
    <w:rsid w:val="007B6895"/>
    <w:rsid w:val="007C7208"/>
    <w:rsid w:val="007D172A"/>
    <w:rsid w:val="007F6D48"/>
    <w:rsid w:val="007F7F8F"/>
    <w:rsid w:val="008077D6"/>
    <w:rsid w:val="00817C82"/>
    <w:rsid w:val="008328A8"/>
    <w:rsid w:val="0083305F"/>
    <w:rsid w:val="00833F4E"/>
    <w:rsid w:val="00834211"/>
    <w:rsid w:val="008410FC"/>
    <w:rsid w:val="00850945"/>
    <w:rsid w:val="00854ED4"/>
    <w:rsid w:val="00862C6C"/>
    <w:rsid w:val="0086709D"/>
    <w:rsid w:val="00876F4F"/>
    <w:rsid w:val="008A3A31"/>
    <w:rsid w:val="008B03F8"/>
    <w:rsid w:val="008B0FD9"/>
    <w:rsid w:val="008E4F0E"/>
    <w:rsid w:val="00933EEF"/>
    <w:rsid w:val="00940686"/>
    <w:rsid w:val="00950382"/>
    <w:rsid w:val="009513CD"/>
    <w:rsid w:val="0095329C"/>
    <w:rsid w:val="00974494"/>
    <w:rsid w:val="0098076A"/>
    <w:rsid w:val="009B1F7B"/>
    <w:rsid w:val="009C7F95"/>
    <w:rsid w:val="00A042A5"/>
    <w:rsid w:val="00A07297"/>
    <w:rsid w:val="00A10754"/>
    <w:rsid w:val="00A10F87"/>
    <w:rsid w:val="00A26B96"/>
    <w:rsid w:val="00A3022D"/>
    <w:rsid w:val="00A37654"/>
    <w:rsid w:val="00A470EB"/>
    <w:rsid w:val="00A55510"/>
    <w:rsid w:val="00A66265"/>
    <w:rsid w:val="00A9730C"/>
    <w:rsid w:val="00AC68CE"/>
    <w:rsid w:val="00AC7CE3"/>
    <w:rsid w:val="00AD5870"/>
    <w:rsid w:val="00AE2741"/>
    <w:rsid w:val="00AF5C08"/>
    <w:rsid w:val="00B057D6"/>
    <w:rsid w:val="00B322B9"/>
    <w:rsid w:val="00B76342"/>
    <w:rsid w:val="00B842DF"/>
    <w:rsid w:val="00B908B9"/>
    <w:rsid w:val="00B936D7"/>
    <w:rsid w:val="00BA63CA"/>
    <w:rsid w:val="00BC5308"/>
    <w:rsid w:val="00BC63F4"/>
    <w:rsid w:val="00BD0A61"/>
    <w:rsid w:val="00BD2540"/>
    <w:rsid w:val="00BD6CB0"/>
    <w:rsid w:val="00BF29CD"/>
    <w:rsid w:val="00BF79FA"/>
    <w:rsid w:val="00C00DEE"/>
    <w:rsid w:val="00C2525F"/>
    <w:rsid w:val="00C351CD"/>
    <w:rsid w:val="00C40D7A"/>
    <w:rsid w:val="00C669FA"/>
    <w:rsid w:val="00C67000"/>
    <w:rsid w:val="00C95977"/>
    <w:rsid w:val="00CA316B"/>
    <w:rsid w:val="00CA61FE"/>
    <w:rsid w:val="00CC428A"/>
    <w:rsid w:val="00CC688F"/>
    <w:rsid w:val="00CF6BB9"/>
    <w:rsid w:val="00D0201F"/>
    <w:rsid w:val="00D141CE"/>
    <w:rsid w:val="00D23D4A"/>
    <w:rsid w:val="00D30450"/>
    <w:rsid w:val="00D32BCA"/>
    <w:rsid w:val="00D57EC1"/>
    <w:rsid w:val="00D61CC7"/>
    <w:rsid w:val="00D61E8F"/>
    <w:rsid w:val="00D64BDD"/>
    <w:rsid w:val="00D70B32"/>
    <w:rsid w:val="00DB0C60"/>
    <w:rsid w:val="00DC06EB"/>
    <w:rsid w:val="00E135A3"/>
    <w:rsid w:val="00ED2CAD"/>
    <w:rsid w:val="00EE09EB"/>
    <w:rsid w:val="00EE5DF6"/>
    <w:rsid w:val="00F056F1"/>
    <w:rsid w:val="00F222B0"/>
    <w:rsid w:val="00F35C04"/>
    <w:rsid w:val="00F44C25"/>
    <w:rsid w:val="00F81A4F"/>
    <w:rsid w:val="00FC38AC"/>
    <w:rsid w:val="00FC4531"/>
    <w:rsid w:val="00FD2A30"/>
    <w:rsid w:val="00FD67EF"/>
    <w:rsid w:val="01213C08"/>
    <w:rsid w:val="01825CB1"/>
    <w:rsid w:val="0215573E"/>
    <w:rsid w:val="024822B0"/>
    <w:rsid w:val="027951E6"/>
    <w:rsid w:val="02C45024"/>
    <w:rsid w:val="02CB58CB"/>
    <w:rsid w:val="03087985"/>
    <w:rsid w:val="03475D9E"/>
    <w:rsid w:val="035D56B7"/>
    <w:rsid w:val="03832948"/>
    <w:rsid w:val="03D06DBA"/>
    <w:rsid w:val="04965E27"/>
    <w:rsid w:val="055C1B6B"/>
    <w:rsid w:val="05F767B7"/>
    <w:rsid w:val="06DB216C"/>
    <w:rsid w:val="070D21A9"/>
    <w:rsid w:val="0738668D"/>
    <w:rsid w:val="07945DCD"/>
    <w:rsid w:val="07966214"/>
    <w:rsid w:val="079E1868"/>
    <w:rsid w:val="07BF48E5"/>
    <w:rsid w:val="08251C73"/>
    <w:rsid w:val="08AF64BB"/>
    <w:rsid w:val="0A4A2DA1"/>
    <w:rsid w:val="0A810BB7"/>
    <w:rsid w:val="0A851038"/>
    <w:rsid w:val="0BEE4AD8"/>
    <w:rsid w:val="0BF7794B"/>
    <w:rsid w:val="0C056B63"/>
    <w:rsid w:val="0C165C1F"/>
    <w:rsid w:val="0CA010C8"/>
    <w:rsid w:val="0CD71487"/>
    <w:rsid w:val="0D4A2254"/>
    <w:rsid w:val="0D917F28"/>
    <w:rsid w:val="0DD442A4"/>
    <w:rsid w:val="0E0F34CE"/>
    <w:rsid w:val="0E105F13"/>
    <w:rsid w:val="0E8B1A39"/>
    <w:rsid w:val="0F157AE7"/>
    <w:rsid w:val="0F390B28"/>
    <w:rsid w:val="0F437716"/>
    <w:rsid w:val="0F5027BF"/>
    <w:rsid w:val="0F595CE1"/>
    <w:rsid w:val="0F5D2C98"/>
    <w:rsid w:val="0FB15B6E"/>
    <w:rsid w:val="0FE9290F"/>
    <w:rsid w:val="100551E5"/>
    <w:rsid w:val="101B6A2A"/>
    <w:rsid w:val="10930A51"/>
    <w:rsid w:val="10A21193"/>
    <w:rsid w:val="10CC2CED"/>
    <w:rsid w:val="117C356D"/>
    <w:rsid w:val="117D701A"/>
    <w:rsid w:val="118C396D"/>
    <w:rsid w:val="11DD09DC"/>
    <w:rsid w:val="120339C7"/>
    <w:rsid w:val="122261D1"/>
    <w:rsid w:val="166677CD"/>
    <w:rsid w:val="16774A77"/>
    <w:rsid w:val="16AD7949"/>
    <w:rsid w:val="16CB57E7"/>
    <w:rsid w:val="16CE05E6"/>
    <w:rsid w:val="16EE30E7"/>
    <w:rsid w:val="171B257B"/>
    <w:rsid w:val="17374AFE"/>
    <w:rsid w:val="175975CB"/>
    <w:rsid w:val="17614C76"/>
    <w:rsid w:val="18341647"/>
    <w:rsid w:val="18576EA5"/>
    <w:rsid w:val="18832F1A"/>
    <w:rsid w:val="192D3736"/>
    <w:rsid w:val="195E787B"/>
    <w:rsid w:val="198533A4"/>
    <w:rsid w:val="19EE3322"/>
    <w:rsid w:val="1A3C59EA"/>
    <w:rsid w:val="1A5A050B"/>
    <w:rsid w:val="1B43354C"/>
    <w:rsid w:val="1B6C3A06"/>
    <w:rsid w:val="1BC51A48"/>
    <w:rsid w:val="1BE72C9D"/>
    <w:rsid w:val="1C440C1D"/>
    <w:rsid w:val="1CC63289"/>
    <w:rsid w:val="1D8D6C0F"/>
    <w:rsid w:val="1DDD2F7D"/>
    <w:rsid w:val="1DE87568"/>
    <w:rsid w:val="1DFA5B50"/>
    <w:rsid w:val="1DFD3E11"/>
    <w:rsid w:val="1E172573"/>
    <w:rsid w:val="1E75317E"/>
    <w:rsid w:val="1E8651E3"/>
    <w:rsid w:val="1EED6483"/>
    <w:rsid w:val="1F2F4F22"/>
    <w:rsid w:val="1F626CBE"/>
    <w:rsid w:val="1FDA5354"/>
    <w:rsid w:val="201607F8"/>
    <w:rsid w:val="201C0EBB"/>
    <w:rsid w:val="2094043D"/>
    <w:rsid w:val="20E1358A"/>
    <w:rsid w:val="21197576"/>
    <w:rsid w:val="214B6BF0"/>
    <w:rsid w:val="21734A3E"/>
    <w:rsid w:val="221F635B"/>
    <w:rsid w:val="229B7230"/>
    <w:rsid w:val="22B424EA"/>
    <w:rsid w:val="23285357"/>
    <w:rsid w:val="2344568D"/>
    <w:rsid w:val="23CB38A6"/>
    <w:rsid w:val="23E76396"/>
    <w:rsid w:val="2411337A"/>
    <w:rsid w:val="24254283"/>
    <w:rsid w:val="24844CE0"/>
    <w:rsid w:val="24AF79E0"/>
    <w:rsid w:val="251A021B"/>
    <w:rsid w:val="25351C96"/>
    <w:rsid w:val="25C507A2"/>
    <w:rsid w:val="26F56AC0"/>
    <w:rsid w:val="27B26870"/>
    <w:rsid w:val="27D50AB7"/>
    <w:rsid w:val="27EF76F4"/>
    <w:rsid w:val="28651E57"/>
    <w:rsid w:val="28B67AA9"/>
    <w:rsid w:val="28F033EC"/>
    <w:rsid w:val="291E1603"/>
    <w:rsid w:val="29221318"/>
    <w:rsid w:val="29A441D3"/>
    <w:rsid w:val="29B26E64"/>
    <w:rsid w:val="29E47B0A"/>
    <w:rsid w:val="2A940D1D"/>
    <w:rsid w:val="2AFA2A43"/>
    <w:rsid w:val="2B8F2CA4"/>
    <w:rsid w:val="2BF2732D"/>
    <w:rsid w:val="2C0F5B60"/>
    <w:rsid w:val="2C2E6EB5"/>
    <w:rsid w:val="2CD61190"/>
    <w:rsid w:val="2D19638F"/>
    <w:rsid w:val="2DAB1D7F"/>
    <w:rsid w:val="2DF2482E"/>
    <w:rsid w:val="2E234B22"/>
    <w:rsid w:val="2E9A7907"/>
    <w:rsid w:val="2EBA18AD"/>
    <w:rsid w:val="2F0B2C00"/>
    <w:rsid w:val="2FC067FF"/>
    <w:rsid w:val="2FCA12C3"/>
    <w:rsid w:val="31343EAE"/>
    <w:rsid w:val="31D806F6"/>
    <w:rsid w:val="31FE415B"/>
    <w:rsid w:val="32207E65"/>
    <w:rsid w:val="32D03ED3"/>
    <w:rsid w:val="33804F89"/>
    <w:rsid w:val="338D3FB9"/>
    <w:rsid w:val="33B204B9"/>
    <w:rsid w:val="3427114C"/>
    <w:rsid w:val="349E71E6"/>
    <w:rsid w:val="34E92F2E"/>
    <w:rsid w:val="357836E7"/>
    <w:rsid w:val="358B4E40"/>
    <w:rsid w:val="35971342"/>
    <w:rsid w:val="35C75BE6"/>
    <w:rsid w:val="368842E7"/>
    <w:rsid w:val="377E7997"/>
    <w:rsid w:val="37942F37"/>
    <w:rsid w:val="37CE07EF"/>
    <w:rsid w:val="381E2730"/>
    <w:rsid w:val="38F70FAB"/>
    <w:rsid w:val="394D21E7"/>
    <w:rsid w:val="395A5702"/>
    <w:rsid w:val="39C851DB"/>
    <w:rsid w:val="3A042CB3"/>
    <w:rsid w:val="3AB900A5"/>
    <w:rsid w:val="3B5E7FDD"/>
    <w:rsid w:val="3B6B6DD0"/>
    <w:rsid w:val="3BA305CB"/>
    <w:rsid w:val="3C370838"/>
    <w:rsid w:val="3C595F7D"/>
    <w:rsid w:val="3CE74F29"/>
    <w:rsid w:val="3D1F511B"/>
    <w:rsid w:val="3D5B310B"/>
    <w:rsid w:val="3E095BCA"/>
    <w:rsid w:val="3E0F351A"/>
    <w:rsid w:val="3EC8123A"/>
    <w:rsid w:val="3EEB1ACE"/>
    <w:rsid w:val="3F055128"/>
    <w:rsid w:val="3F54054D"/>
    <w:rsid w:val="3F7A5E74"/>
    <w:rsid w:val="401310ED"/>
    <w:rsid w:val="41AC5A97"/>
    <w:rsid w:val="41D14A55"/>
    <w:rsid w:val="41DF27B1"/>
    <w:rsid w:val="42093E84"/>
    <w:rsid w:val="42BF01C5"/>
    <w:rsid w:val="42C17449"/>
    <w:rsid w:val="4310494B"/>
    <w:rsid w:val="43415061"/>
    <w:rsid w:val="43A4461F"/>
    <w:rsid w:val="43BE13BF"/>
    <w:rsid w:val="441066A3"/>
    <w:rsid w:val="441A32F1"/>
    <w:rsid w:val="44600DBD"/>
    <w:rsid w:val="44FD12C2"/>
    <w:rsid w:val="454618D9"/>
    <w:rsid w:val="45D04201"/>
    <w:rsid w:val="45D12721"/>
    <w:rsid w:val="4611043A"/>
    <w:rsid w:val="46194FAB"/>
    <w:rsid w:val="461C0EF1"/>
    <w:rsid w:val="464B1280"/>
    <w:rsid w:val="4661697B"/>
    <w:rsid w:val="46B34996"/>
    <w:rsid w:val="475A2186"/>
    <w:rsid w:val="477F4975"/>
    <w:rsid w:val="478B465D"/>
    <w:rsid w:val="47977170"/>
    <w:rsid w:val="47C65815"/>
    <w:rsid w:val="480139C4"/>
    <w:rsid w:val="481F5DE7"/>
    <w:rsid w:val="48DB21ED"/>
    <w:rsid w:val="4A2851B5"/>
    <w:rsid w:val="4A2F4E2F"/>
    <w:rsid w:val="4AD262D7"/>
    <w:rsid w:val="4AD9788D"/>
    <w:rsid w:val="4BC82AC7"/>
    <w:rsid w:val="4C310D10"/>
    <w:rsid w:val="4CE82F0D"/>
    <w:rsid w:val="4D1F07CC"/>
    <w:rsid w:val="4D284C9B"/>
    <w:rsid w:val="4D3840BE"/>
    <w:rsid w:val="4D8305D8"/>
    <w:rsid w:val="4DF46039"/>
    <w:rsid w:val="4E725989"/>
    <w:rsid w:val="4E762343"/>
    <w:rsid w:val="4F2F4D0F"/>
    <w:rsid w:val="4FCB1D63"/>
    <w:rsid w:val="500D4543"/>
    <w:rsid w:val="502B2642"/>
    <w:rsid w:val="502E55DD"/>
    <w:rsid w:val="513E3034"/>
    <w:rsid w:val="515A6194"/>
    <w:rsid w:val="51722D1F"/>
    <w:rsid w:val="5172393A"/>
    <w:rsid w:val="51734708"/>
    <w:rsid w:val="51A926EA"/>
    <w:rsid w:val="51B65006"/>
    <w:rsid w:val="52090955"/>
    <w:rsid w:val="5210640D"/>
    <w:rsid w:val="52160B7C"/>
    <w:rsid w:val="52253E41"/>
    <w:rsid w:val="522971FC"/>
    <w:rsid w:val="523A3295"/>
    <w:rsid w:val="52755A5B"/>
    <w:rsid w:val="52A50864"/>
    <w:rsid w:val="52FC3E3A"/>
    <w:rsid w:val="5375002C"/>
    <w:rsid w:val="537F7BFD"/>
    <w:rsid w:val="54256235"/>
    <w:rsid w:val="5428437A"/>
    <w:rsid w:val="54606D16"/>
    <w:rsid w:val="5489728D"/>
    <w:rsid w:val="54B057B0"/>
    <w:rsid w:val="54B91869"/>
    <w:rsid w:val="54BF3C9C"/>
    <w:rsid w:val="54FB7AE0"/>
    <w:rsid w:val="55461FCB"/>
    <w:rsid w:val="55921860"/>
    <w:rsid w:val="562E6E42"/>
    <w:rsid w:val="56447F87"/>
    <w:rsid w:val="568508B6"/>
    <w:rsid w:val="56A0149E"/>
    <w:rsid w:val="56E25835"/>
    <w:rsid w:val="57435AA6"/>
    <w:rsid w:val="57E2260A"/>
    <w:rsid w:val="57FC0614"/>
    <w:rsid w:val="582E1436"/>
    <w:rsid w:val="584222D3"/>
    <w:rsid w:val="58C8034C"/>
    <w:rsid w:val="595A6DAA"/>
    <w:rsid w:val="5A36592C"/>
    <w:rsid w:val="5A6155C2"/>
    <w:rsid w:val="5A9D2DFB"/>
    <w:rsid w:val="5AFC4773"/>
    <w:rsid w:val="5B1E4FDA"/>
    <w:rsid w:val="5B3C1EDE"/>
    <w:rsid w:val="5B43063E"/>
    <w:rsid w:val="5B7758D0"/>
    <w:rsid w:val="5BBB1BFC"/>
    <w:rsid w:val="5C955D81"/>
    <w:rsid w:val="5CBF7366"/>
    <w:rsid w:val="5CEA6842"/>
    <w:rsid w:val="5CF93944"/>
    <w:rsid w:val="5D0C2841"/>
    <w:rsid w:val="5DD0123C"/>
    <w:rsid w:val="5E52450A"/>
    <w:rsid w:val="5E6C1EE2"/>
    <w:rsid w:val="5E784C84"/>
    <w:rsid w:val="5F2B4751"/>
    <w:rsid w:val="5F516386"/>
    <w:rsid w:val="5F6F647E"/>
    <w:rsid w:val="5F7B439F"/>
    <w:rsid w:val="600D03A1"/>
    <w:rsid w:val="612F265F"/>
    <w:rsid w:val="61317F51"/>
    <w:rsid w:val="616A4354"/>
    <w:rsid w:val="618C1BE2"/>
    <w:rsid w:val="61932D7D"/>
    <w:rsid w:val="628208BB"/>
    <w:rsid w:val="62CD5B89"/>
    <w:rsid w:val="6331176E"/>
    <w:rsid w:val="634D18EF"/>
    <w:rsid w:val="63526B3A"/>
    <w:rsid w:val="635D716A"/>
    <w:rsid w:val="63BE341B"/>
    <w:rsid w:val="64D4152E"/>
    <w:rsid w:val="65284570"/>
    <w:rsid w:val="655C3140"/>
    <w:rsid w:val="656D64FA"/>
    <w:rsid w:val="658052DD"/>
    <w:rsid w:val="659C18B1"/>
    <w:rsid w:val="65A25D59"/>
    <w:rsid w:val="65C47416"/>
    <w:rsid w:val="665C3C76"/>
    <w:rsid w:val="669D7E10"/>
    <w:rsid w:val="67057CC2"/>
    <w:rsid w:val="670D7173"/>
    <w:rsid w:val="673B2037"/>
    <w:rsid w:val="6785569E"/>
    <w:rsid w:val="67C72854"/>
    <w:rsid w:val="681869FD"/>
    <w:rsid w:val="68B32721"/>
    <w:rsid w:val="690B6D7C"/>
    <w:rsid w:val="693E2350"/>
    <w:rsid w:val="699C0231"/>
    <w:rsid w:val="69F6405B"/>
    <w:rsid w:val="6A091B6D"/>
    <w:rsid w:val="6A3320AF"/>
    <w:rsid w:val="6ABB5727"/>
    <w:rsid w:val="6B1A6F57"/>
    <w:rsid w:val="6B4026C8"/>
    <w:rsid w:val="6CD41863"/>
    <w:rsid w:val="6D5E7D64"/>
    <w:rsid w:val="6DA93AF7"/>
    <w:rsid w:val="6DFD1267"/>
    <w:rsid w:val="6F0A4BA7"/>
    <w:rsid w:val="6F1A7372"/>
    <w:rsid w:val="6F2155D1"/>
    <w:rsid w:val="6F2D4C56"/>
    <w:rsid w:val="6F3B08A0"/>
    <w:rsid w:val="6F4D1D02"/>
    <w:rsid w:val="6F93363A"/>
    <w:rsid w:val="702E3856"/>
    <w:rsid w:val="70624653"/>
    <w:rsid w:val="710B10C2"/>
    <w:rsid w:val="71950079"/>
    <w:rsid w:val="71EA5114"/>
    <w:rsid w:val="71F37EA0"/>
    <w:rsid w:val="72411309"/>
    <w:rsid w:val="726957A9"/>
    <w:rsid w:val="72903204"/>
    <w:rsid w:val="72962E22"/>
    <w:rsid w:val="72A30DB4"/>
    <w:rsid w:val="72AD7B2C"/>
    <w:rsid w:val="73AD6D3B"/>
    <w:rsid w:val="73B5332C"/>
    <w:rsid w:val="73F64AD6"/>
    <w:rsid w:val="745B0474"/>
    <w:rsid w:val="75664885"/>
    <w:rsid w:val="75FC5708"/>
    <w:rsid w:val="764515DD"/>
    <w:rsid w:val="76B414A3"/>
    <w:rsid w:val="76C057F2"/>
    <w:rsid w:val="77104A5B"/>
    <w:rsid w:val="774A16C1"/>
    <w:rsid w:val="78033B32"/>
    <w:rsid w:val="78624B9D"/>
    <w:rsid w:val="79816561"/>
    <w:rsid w:val="79BE5874"/>
    <w:rsid w:val="79FE6F5F"/>
    <w:rsid w:val="7A052862"/>
    <w:rsid w:val="7AA856BE"/>
    <w:rsid w:val="7ADA653A"/>
    <w:rsid w:val="7C57001E"/>
    <w:rsid w:val="7C8912DD"/>
    <w:rsid w:val="7C8F63C8"/>
    <w:rsid w:val="7DCB439A"/>
    <w:rsid w:val="7E862C85"/>
    <w:rsid w:val="7EC07050"/>
    <w:rsid w:val="7ECE0477"/>
    <w:rsid w:val="7F0B2A41"/>
    <w:rsid w:val="7F6053B4"/>
    <w:rsid w:val="7F8C2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30"/>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link w:val="37"/>
    <w:qFormat/>
    <w:uiPriority w:val="0"/>
    <w:pPr>
      <w:jc w:val="left"/>
    </w:pPr>
    <w:rPr>
      <w:rFonts w:ascii="Times New Roman" w:hAnsi="Times New Roman" w:eastAsia="宋体" w:cs="Times New Roman"/>
      <w:szCs w:val="24"/>
    </w:rPr>
  </w:style>
  <w:style w:type="paragraph" w:styleId="7">
    <w:name w:val="Body Text"/>
    <w:basedOn w:val="1"/>
    <w:unhideWhenUsed/>
    <w:qFormat/>
    <w:uiPriority w:val="99"/>
    <w:rPr>
      <w:sz w:val="28"/>
    </w:rPr>
  </w:style>
  <w:style w:type="paragraph" w:styleId="8">
    <w:name w:val="Body Text Indent"/>
    <w:basedOn w:val="1"/>
    <w:link w:val="39"/>
    <w:semiHidden/>
    <w:unhideWhenUsed/>
    <w:qFormat/>
    <w:uiPriority w:val="99"/>
    <w:pPr>
      <w:spacing w:after="120"/>
      <w:ind w:left="420" w:leftChars="200"/>
    </w:pPr>
  </w:style>
  <w:style w:type="paragraph" w:styleId="9">
    <w:name w:val="Plain Text"/>
    <w:basedOn w:val="1"/>
    <w:link w:val="34"/>
    <w:qFormat/>
    <w:uiPriority w:val="0"/>
    <w:rPr>
      <w:rFonts w:ascii="宋体" w:hAnsi="Courier New" w:eastAsia="宋体" w:cs="Courier New"/>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43"/>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cs="Times New Roman"/>
      <w:szCs w:val="24"/>
    </w:rPr>
  </w:style>
  <w:style w:type="paragraph" w:styleId="15">
    <w:name w:val="Body Text Indent 3"/>
    <w:basedOn w:val="1"/>
    <w:link w:val="32"/>
    <w:qFormat/>
    <w:uiPriority w:val="99"/>
    <w:pPr>
      <w:widowControl/>
      <w:spacing w:after="120" w:line="259" w:lineRule="auto"/>
      <w:ind w:left="420" w:leftChars="200"/>
      <w:jc w:val="left"/>
    </w:pPr>
    <w:rPr>
      <w:kern w:val="0"/>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7">
    <w:name w:val="Title"/>
    <w:basedOn w:val="1"/>
    <w:next w:val="1"/>
    <w:link w:val="36"/>
    <w:qFormat/>
    <w:uiPriority w:val="0"/>
    <w:pPr>
      <w:spacing w:before="240" w:after="60"/>
      <w:jc w:val="center"/>
      <w:outlineLvl w:val="0"/>
    </w:pPr>
    <w:rPr>
      <w:rFonts w:ascii="Cambria" w:hAnsi="Cambria" w:eastAsia="宋体" w:cs="Times New Roman"/>
      <w:b/>
      <w:bCs/>
      <w:sz w:val="32"/>
      <w:szCs w:val="32"/>
    </w:rPr>
  </w:style>
  <w:style w:type="paragraph" w:styleId="18">
    <w:name w:val="Body Text First Indent"/>
    <w:basedOn w:val="7"/>
    <w:unhideWhenUsed/>
    <w:qFormat/>
    <w:uiPriority w:val="99"/>
    <w:pPr>
      <w:spacing w:after="120"/>
      <w:ind w:firstLine="420"/>
    </w:pPr>
    <w:rPr>
      <w:sz w:val="21"/>
    </w:rPr>
  </w:style>
  <w:style w:type="paragraph" w:styleId="19">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rFonts w:eastAsia="宋体"/>
      <w:b/>
      <w:bCs/>
      <w:kern w:val="2"/>
      <w:sz w:val="24"/>
      <w:szCs w:val="24"/>
      <w:lang w:val="en-US" w:eastAsia="zh-CN" w:bidi="ar-SA"/>
    </w:rPr>
  </w:style>
  <w:style w:type="character" w:styleId="24">
    <w:name w:val="page number"/>
    <w:basedOn w:val="22"/>
    <w:qFormat/>
    <w:uiPriority w:val="0"/>
  </w:style>
  <w:style w:type="character" w:styleId="25">
    <w:name w:val="annotation reference"/>
    <w:basedOn w:val="22"/>
    <w:qFormat/>
    <w:uiPriority w:val="0"/>
    <w:rPr>
      <w:sz w:val="21"/>
      <w:szCs w:val="21"/>
    </w:rPr>
  </w:style>
  <w:style w:type="character" w:customStyle="1" w:styleId="26">
    <w:name w:val="页眉 Char"/>
    <w:basedOn w:val="22"/>
    <w:link w:val="13"/>
    <w:qFormat/>
    <w:uiPriority w:val="99"/>
    <w:rPr>
      <w:sz w:val="18"/>
      <w:szCs w:val="18"/>
    </w:rPr>
  </w:style>
  <w:style w:type="character" w:customStyle="1" w:styleId="27">
    <w:name w:val="页脚 Char"/>
    <w:basedOn w:val="22"/>
    <w:link w:val="12"/>
    <w:qFormat/>
    <w:uiPriority w:val="99"/>
    <w:rPr>
      <w:sz w:val="18"/>
      <w:szCs w:val="18"/>
    </w:rPr>
  </w:style>
  <w:style w:type="paragraph" w:customStyle="1" w:styleId="28">
    <w:name w:val="列出段落1"/>
    <w:basedOn w:val="1"/>
    <w:qFormat/>
    <w:uiPriority w:val="34"/>
    <w:pPr>
      <w:ind w:firstLine="420" w:firstLineChars="200"/>
    </w:pPr>
    <w:rPr>
      <w:rFonts w:ascii="Calibri" w:hAnsi="Calibri" w:eastAsia="宋体" w:cs="Times New Roman"/>
    </w:rPr>
  </w:style>
  <w:style w:type="character" w:customStyle="1" w:styleId="29">
    <w:name w:val="标题 5 Char"/>
    <w:basedOn w:val="22"/>
    <w:link w:val="5"/>
    <w:semiHidden/>
    <w:qFormat/>
    <w:uiPriority w:val="9"/>
    <w:rPr>
      <w:b/>
      <w:bCs/>
      <w:sz w:val="28"/>
      <w:szCs w:val="28"/>
    </w:rPr>
  </w:style>
  <w:style w:type="character" w:customStyle="1" w:styleId="30">
    <w:name w:val="标题 5 Char1"/>
    <w:basedOn w:val="22"/>
    <w:link w:val="5"/>
    <w:qFormat/>
    <w:uiPriority w:val="9"/>
    <w:rPr>
      <w:rFonts w:asciiTheme="majorHAnsi" w:hAnsiTheme="majorHAnsi" w:eastAsiaTheme="majorEastAsia" w:cstheme="majorBidi"/>
      <w:color w:val="376092" w:themeColor="accent1" w:themeShade="BF"/>
      <w:kern w:val="0"/>
      <w:sz w:val="22"/>
    </w:rPr>
  </w:style>
  <w:style w:type="character" w:customStyle="1" w:styleId="31">
    <w:name w:val="正文文本缩进 3 Char"/>
    <w:basedOn w:val="22"/>
    <w:link w:val="15"/>
    <w:semiHidden/>
    <w:qFormat/>
    <w:uiPriority w:val="99"/>
    <w:rPr>
      <w:sz w:val="16"/>
      <w:szCs w:val="16"/>
    </w:rPr>
  </w:style>
  <w:style w:type="character" w:customStyle="1" w:styleId="32">
    <w:name w:val="正文文本缩进 3 Char1"/>
    <w:basedOn w:val="22"/>
    <w:link w:val="15"/>
    <w:qFormat/>
    <w:uiPriority w:val="99"/>
    <w:rPr>
      <w:kern w:val="0"/>
      <w:sz w:val="16"/>
      <w:szCs w:val="16"/>
    </w:rPr>
  </w:style>
  <w:style w:type="paragraph" w:styleId="33">
    <w:name w:val="List Paragraph"/>
    <w:basedOn w:val="1"/>
    <w:qFormat/>
    <w:uiPriority w:val="34"/>
    <w:pPr>
      <w:ind w:firstLine="420" w:firstLineChars="200"/>
    </w:pPr>
  </w:style>
  <w:style w:type="character" w:customStyle="1" w:styleId="34">
    <w:name w:val="纯文本 Char"/>
    <w:basedOn w:val="22"/>
    <w:link w:val="9"/>
    <w:qFormat/>
    <w:uiPriority w:val="0"/>
    <w:rPr>
      <w:rFonts w:ascii="宋体" w:hAnsi="Courier New" w:eastAsia="宋体" w:cs="Courier New"/>
      <w:szCs w:val="21"/>
    </w:rPr>
  </w:style>
  <w:style w:type="character" w:customStyle="1" w:styleId="35">
    <w:name w:val="标题 2 Char"/>
    <w:basedOn w:val="22"/>
    <w:link w:val="3"/>
    <w:semiHidden/>
    <w:qFormat/>
    <w:uiPriority w:val="9"/>
    <w:rPr>
      <w:rFonts w:asciiTheme="majorHAnsi" w:hAnsiTheme="majorHAnsi" w:eastAsiaTheme="majorEastAsia" w:cstheme="majorBidi"/>
      <w:b/>
      <w:bCs/>
      <w:sz w:val="32"/>
      <w:szCs w:val="32"/>
    </w:rPr>
  </w:style>
  <w:style w:type="character" w:customStyle="1" w:styleId="36">
    <w:name w:val="标题 Char"/>
    <w:basedOn w:val="22"/>
    <w:link w:val="17"/>
    <w:qFormat/>
    <w:uiPriority w:val="0"/>
    <w:rPr>
      <w:rFonts w:ascii="Cambria" w:hAnsi="Cambria" w:eastAsia="宋体" w:cs="Times New Roman"/>
      <w:b/>
      <w:bCs/>
      <w:sz w:val="32"/>
      <w:szCs w:val="32"/>
    </w:rPr>
  </w:style>
  <w:style w:type="character" w:customStyle="1" w:styleId="37">
    <w:name w:val="批注文字 Char"/>
    <w:basedOn w:val="22"/>
    <w:link w:val="6"/>
    <w:qFormat/>
    <w:uiPriority w:val="0"/>
    <w:rPr>
      <w:rFonts w:ascii="Times New Roman" w:hAnsi="Times New Roman" w:eastAsia="宋体" w:cs="Times New Roman"/>
      <w:szCs w:val="24"/>
    </w:rPr>
  </w:style>
  <w:style w:type="character" w:customStyle="1" w:styleId="38">
    <w:name w:val="标题 3 Char"/>
    <w:basedOn w:val="22"/>
    <w:link w:val="4"/>
    <w:semiHidden/>
    <w:qFormat/>
    <w:uiPriority w:val="9"/>
    <w:rPr>
      <w:b/>
      <w:bCs/>
      <w:sz w:val="32"/>
      <w:szCs w:val="32"/>
    </w:rPr>
  </w:style>
  <w:style w:type="character" w:customStyle="1" w:styleId="39">
    <w:name w:val="正文文本缩进 Char"/>
    <w:basedOn w:val="22"/>
    <w:link w:val="8"/>
    <w:semiHidden/>
    <w:qFormat/>
    <w:uiPriority w:val="99"/>
  </w:style>
  <w:style w:type="paragraph" w:customStyle="1" w:styleId="40">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2">
    <w:name w:val="apple-converted-space"/>
    <w:basedOn w:val="22"/>
    <w:qFormat/>
    <w:uiPriority w:val="0"/>
  </w:style>
  <w:style w:type="character" w:customStyle="1" w:styleId="43">
    <w:name w:val="批注框文本 Char"/>
    <w:basedOn w:val="22"/>
    <w:link w:val="11"/>
    <w:semiHidden/>
    <w:qFormat/>
    <w:uiPriority w:val="99"/>
    <w:rPr>
      <w:kern w:val="2"/>
      <w:sz w:val="18"/>
      <w:szCs w:val="18"/>
    </w:rPr>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Char Char Char Char"/>
    <w:basedOn w:val="1"/>
    <w:next w:val="1"/>
    <w:qFormat/>
    <w:uiPriority w:val="0"/>
    <w:pPr>
      <w:spacing w:line="360" w:lineRule="auto"/>
      <w:ind w:firstLine="20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14D70-2D37-492B-849D-1B5330ED1F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2714</Words>
  <Characters>15472</Characters>
  <Lines>128</Lines>
  <Paragraphs>36</Paragraphs>
  <TotalTime>16</TotalTime>
  <ScaleCrop>false</ScaleCrop>
  <LinksUpToDate>false</LinksUpToDate>
  <CharactersWithSpaces>18150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2021-08-02T01:30:00Z</dcterms:created>
  <dc:creator>李嘉雯</dc:creator>
  <cp:lastModifiedBy>林煜韩</cp:lastModifiedBy>
  <cp:lastPrinted>2021-08-12T08:43:00Z</cp:lastPrinted>
  <dcterms:modified xsi:type="dcterms:W3CDTF">2021-08-27T07:47:37Z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7C244FD32A1D4197B3AE461C1BE44218</vt:lpwstr>
  </property>
</Properties>
</file>