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hint="default" w:ascii="仿宋" w:hAnsi="仿宋" w:eastAsia="仿宋" w:cs="仿宋_GB2312"/>
          <w:b/>
          <w:bCs/>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项目编号：</w:t>
      </w:r>
      <w:r>
        <w:rPr>
          <w:rFonts w:hint="eastAsia" w:ascii="仿宋" w:hAnsi="仿宋" w:eastAsia="仿宋" w:cs="仿宋_GB2312"/>
          <w:b/>
          <w:bCs/>
          <w:color w:val="000000" w:themeColor="text1"/>
          <w:sz w:val="32"/>
          <w:szCs w:val="32"/>
          <w:lang w:val="en-US" w:eastAsia="zh-CN"/>
          <w14:textFill>
            <w14:solidFill>
              <w14:schemeClr w14:val="tx1"/>
            </w14:solidFill>
          </w14:textFill>
        </w:rPr>
        <w:t>XJ-20210824-3</w:t>
      </w:r>
    </w:p>
    <w:p>
      <w:pPr>
        <w:spacing w:line="500" w:lineRule="exact"/>
        <w:ind w:left="1546" w:hanging="1711" w:hangingChars="550"/>
        <w:jc w:val="left"/>
        <w:rPr>
          <w:rFonts w:hint="eastAsia"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项目名称：广州市净水有限公司大坦沙分公司2</w:t>
      </w:r>
      <w:r>
        <w:rPr>
          <w:rFonts w:ascii="仿宋" w:hAnsi="仿宋" w:eastAsia="仿宋" w:cs="仿宋_GB2312"/>
          <w:b/>
          <w:bCs/>
          <w:color w:val="000000" w:themeColor="text1"/>
          <w:sz w:val="32"/>
          <w:szCs w:val="32"/>
          <w14:textFill>
            <w14:solidFill>
              <w14:schemeClr w14:val="tx1"/>
            </w14:solidFill>
          </w14:textFill>
        </w:rPr>
        <w:t>021</w:t>
      </w:r>
      <w:r>
        <w:rPr>
          <w:rFonts w:hint="eastAsia" w:ascii="仿宋" w:hAnsi="仿宋" w:eastAsia="仿宋" w:cs="仿宋_GB2312"/>
          <w:b/>
          <w:bCs/>
          <w:color w:val="000000" w:themeColor="text1"/>
          <w:sz w:val="32"/>
          <w:szCs w:val="32"/>
          <w14:textFill>
            <w14:solidFill>
              <w14:schemeClr w14:val="tx1"/>
            </w14:solidFill>
          </w14:textFill>
        </w:rPr>
        <w:t>年天车采购</w:t>
      </w:r>
    </w:p>
    <w:p>
      <w:pPr>
        <w:spacing w:line="500" w:lineRule="exact"/>
        <w:ind w:left="1653" w:leftChars="745" w:hanging="156" w:hangingChars="50"/>
        <w:jc w:val="left"/>
        <w:rPr>
          <w:rFonts w:hint="eastAsia" w:ascii="仿宋" w:hAnsi="仿宋" w:eastAsia="仿宋" w:cs="仿宋_GB2312"/>
          <w:b/>
          <w:bCs/>
          <w:color w:val="000000" w:themeColor="text1"/>
          <w:sz w:val="28"/>
          <w:szCs w:val="28"/>
          <w:lang w:eastAsia="zh-CN"/>
          <w14:textFill>
            <w14:solidFill>
              <w14:schemeClr w14:val="tx1"/>
            </w14:solidFill>
          </w14:textFill>
        </w:rPr>
      </w:pPr>
      <w:r>
        <w:rPr>
          <w:rFonts w:hint="eastAsia" w:ascii="仿宋" w:hAnsi="仿宋" w:eastAsia="仿宋" w:cs="仿宋_GB2312"/>
          <w:b/>
          <w:bCs/>
          <w:color w:val="000000" w:themeColor="text1"/>
          <w:sz w:val="32"/>
          <w:szCs w:val="32"/>
          <w:lang w:eastAsia="zh-CN"/>
          <w14:textFill>
            <w14:solidFill>
              <w14:schemeClr w14:val="tx1"/>
            </w14:solidFill>
          </w14:textFill>
        </w:rPr>
        <w:t>（</w:t>
      </w:r>
      <w:r>
        <w:rPr>
          <w:rFonts w:hint="eastAsia" w:ascii="仿宋" w:hAnsi="仿宋" w:eastAsia="仿宋" w:cs="仿宋_GB2312"/>
          <w:b/>
          <w:bCs/>
          <w:color w:val="000000" w:themeColor="text1"/>
          <w:sz w:val="32"/>
          <w:szCs w:val="32"/>
          <w:lang w:val="en-US" w:eastAsia="zh-CN"/>
          <w14:textFill>
            <w14:solidFill>
              <w14:schemeClr w14:val="tx1"/>
            </w14:solidFill>
          </w14:textFill>
        </w:rPr>
        <w:t>第二次</w:t>
      </w:r>
      <w:r>
        <w:rPr>
          <w:rFonts w:hint="eastAsia" w:ascii="仿宋" w:hAnsi="仿宋" w:eastAsia="仿宋" w:cs="仿宋_GB2312"/>
          <w:b/>
          <w:bCs/>
          <w:color w:val="000000" w:themeColor="text1"/>
          <w:sz w:val="32"/>
          <w:szCs w:val="32"/>
          <w:lang w:eastAsia="zh-CN"/>
          <w14:textFill>
            <w14:solidFill>
              <w14:schemeClr w14:val="tx1"/>
            </w14:solidFill>
          </w14:textFill>
        </w:rPr>
        <w:t>）</w:t>
      </w:r>
    </w:p>
    <w:p>
      <w:pPr>
        <w:spacing w:line="500" w:lineRule="exact"/>
        <w:ind w:left="1160" w:hanging="1106" w:hangingChars="550"/>
        <w:jc w:val="left"/>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pStyle w:val="18"/>
        <w:rPr>
          <w:rFonts w:ascii="仿宋" w:hAnsi="仿宋" w:eastAsia="仿宋" w:cs="仿宋_GB2312"/>
          <w:b/>
          <w:bCs/>
          <w:color w:val="000000" w:themeColor="text1"/>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pStyle w:val="18"/>
        <w:rPr>
          <w:rFonts w:ascii="仿宋" w:hAnsi="仿宋" w:eastAsia="仿宋" w:cs="仿宋_GB2312"/>
          <w:b/>
          <w:bCs/>
          <w:color w:val="000000" w:themeColor="text1"/>
          <w:sz w:val="28"/>
          <w14:textFill>
            <w14:solidFill>
              <w14:schemeClr w14:val="tx1"/>
            </w14:solidFill>
          </w14:textFill>
        </w:rPr>
      </w:pPr>
    </w:p>
    <w:p>
      <w:pPr>
        <w:pStyle w:val="18"/>
        <w:rPr>
          <w:rFonts w:ascii="仿宋" w:hAnsi="仿宋" w:eastAsia="仿宋" w:cs="仿宋_GB2312"/>
          <w:b/>
          <w:bCs/>
          <w:color w:val="000000" w:themeColor="text1"/>
          <w:sz w:val="28"/>
          <w14:textFill>
            <w14:solidFill>
              <w14:schemeClr w14:val="tx1"/>
            </w14:solidFill>
          </w14:textFill>
        </w:rPr>
      </w:pPr>
    </w:p>
    <w:p>
      <w:pPr>
        <w:pStyle w:val="18"/>
        <w:ind w:left="0" w:leftChars="0" w:firstLine="0" w:firstLineChars="0"/>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2021年</w:t>
      </w:r>
      <w:r>
        <w:rPr>
          <w:rFonts w:hint="eastAsia" w:ascii="仿宋" w:hAnsi="仿宋" w:eastAsia="仿宋" w:cs="仿宋_GB2312"/>
          <w:b/>
          <w:bCs/>
          <w:color w:val="000000" w:themeColor="text1"/>
          <w:sz w:val="28"/>
          <w:lang w:val="en-US" w:eastAsia="zh-CN"/>
          <w14:textFill>
            <w14:solidFill>
              <w14:schemeClr w14:val="tx1"/>
            </w14:solidFill>
          </w14:textFill>
        </w:rPr>
        <w:t>8</w:t>
      </w:r>
      <w:r>
        <w:rPr>
          <w:rFonts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24</w:t>
      </w:r>
      <w:r>
        <w:rPr>
          <w:rFonts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第五部分响应文件格式</w:t>
      </w:r>
    </w:p>
    <w:p>
      <w:pPr>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大坦沙分公司2021年天车采购</w:t>
      </w:r>
      <w:r>
        <w:rPr>
          <w:rFonts w:hint="eastAsia" w:ascii="仿宋" w:hAnsi="仿宋" w:eastAsia="仿宋" w:cs="仿宋_GB2312"/>
          <w:bCs/>
          <w:color w:val="000000" w:themeColor="text1"/>
          <w:sz w:val="28"/>
          <w:szCs w:val="28"/>
          <w:u w:val="single"/>
          <w:lang w:eastAsia="zh-CN"/>
          <w14:textFill>
            <w14:solidFill>
              <w14:schemeClr w14:val="tx1"/>
            </w14:solidFill>
          </w14:textFill>
        </w:rPr>
        <w:t>（</w:t>
      </w:r>
      <w:r>
        <w:rPr>
          <w:rFonts w:hint="eastAsia" w:ascii="仿宋" w:hAnsi="仿宋" w:eastAsia="仿宋" w:cs="仿宋_GB2312"/>
          <w:bCs/>
          <w:color w:val="000000" w:themeColor="text1"/>
          <w:sz w:val="28"/>
          <w:szCs w:val="28"/>
          <w:u w:val="single"/>
          <w:lang w:val="en-US" w:eastAsia="zh-CN"/>
          <w14:textFill>
            <w14:solidFill>
              <w14:schemeClr w14:val="tx1"/>
            </w14:solidFill>
          </w14:textFill>
        </w:rPr>
        <w:t>第二次</w:t>
      </w:r>
      <w:r>
        <w:rPr>
          <w:rFonts w:hint="eastAsia" w:ascii="仿宋" w:hAnsi="仿宋" w:eastAsia="仿宋" w:cs="仿宋_GB2312"/>
          <w:bCs/>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42" w:firstLineChars="200"/>
        <w:rPr>
          <w:rFonts w:hint="eastAsia" w:ascii="仿宋" w:hAnsi="仿宋" w:eastAsia="仿宋" w:cs="仿宋_GB2312"/>
          <w:color w:val="000000" w:themeColor="text1"/>
          <w:sz w:val="28"/>
          <w:szCs w:val="28"/>
          <w:u w:val="single"/>
          <w:lang w:val="zh-CN" w:eastAsia="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none"/>
          <w14:textFill>
            <w14:solidFill>
              <w14:schemeClr w14:val="tx1"/>
            </w14:solidFill>
          </w14:textFill>
        </w:rPr>
        <w:t>自筹资金</w:t>
      </w:r>
    </w:p>
    <w:p>
      <w:pPr>
        <w:autoSpaceDE w:val="0"/>
        <w:autoSpaceDN w:val="0"/>
        <w:ind w:firstLine="542" w:firstLineChars="200"/>
        <w:rPr>
          <w:rFonts w:hint="default" w:ascii="仿宋" w:hAnsi="仿宋" w:eastAsia="仿宋" w:cs="仿宋_GB2312"/>
          <w:color w:val="000000" w:themeColor="text1"/>
          <w:sz w:val="28"/>
          <w:szCs w:val="28"/>
          <w:u w:val="single"/>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en-US" w:eastAsia="zh-CN"/>
          <w14:textFill>
            <w14:solidFill>
              <w14:schemeClr w14:val="tx1"/>
            </w14:solidFill>
          </w14:textFill>
        </w:rPr>
        <w:t>XJ-20210824-3</w:t>
      </w:r>
    </w:p>
    <w:p>
      <w:pPr>
        <w:autoSpaceDE w:val="0"/>
        <w:autoSpaceDN w:val="0"/>
        <w:ind w:firstLine="542"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广州市净水有限公司大坦沙分公司2021年天车采购</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第二次</w:t>
      </w:r>
      <w:r>
        <w:rPr>
          <w:rFonts w:hint="eastAsia" w:ascii="仿宋" w:hAnsi="仿宋" w:eastAsia="仿宋" w:cs="仿宋_GB2312"/>
          <w:color w:val="000000" w:themeColor="text1"/>
          <w:sz w:val="28"/>
          <w:szCs w:val="28"/>
          <w:u w:val="single"/>
          <w:lang w:eastAsia="zh-CN"/>
          <w14:textFill>
            <w14:solidFill>
              <w14:schemeClr w14:val="tx1"/>
            </w14:solidFill>
          </w14:textFill>
        </w:rPr>
        <w:t>）</w:t>
      </w:r>
    </w:p>
    <w:p>
      <w:pPr>
        <w:autoSpaceDE w:val="0"/>
        <w:autoSpaceDN w:val="0"/>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hint="eastAsia" w:ascii="仿宋" w:hAnsi="仿宋" w:eastAsia="仿宋" w:cs="仿宋_GB2312"/>
          <w:color w:val="000000" w:themeColor="text1"/>
          <w:sz w:val="28"/>
          <w:szCs w:val="28"/>
          <w:u w:val="single"/>
          <w:lang w:val="zh-CN"/>
          <w14:textFill>
            <w14:solidFill>
              <w14:schemeClr w14:val="tx1"/>
            </w14:solidFill>
          </w14:textFill>
        </w:rPr>
        <w:t>48.411万元</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大坦沙分公司5</w:t>
      </w:r>
      <w:r>
        <w:rPr>
          <w:rFonts w:ascii="仿宋" w:hAnsi="仿宋" w:eastAsia="仿宋" w:cs="仿宋_GB2312"/>
          <w:color w:val="000000" w:themeColor="text1"/>
          <w:sz w:val="28"/>
          <w:szCs w:val="28"/>
          <w14:textFill>
            <w14:solidFill>
              <w14:schemeClr w14:val="tx1"/>
            </w14:solidFill>
          </w14:textFill>
        </w:rPr>
        <w:t>台起重机，现计划更换5台起重机</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本项目需求如下：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1、型号及性能参数见附表；</w:t>
      </w:r>
    </w:p>
    <w:tbl>
      <w:tblPr>
        <w:tblStyle w:val="1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880"/>
        <w:gridCol w:w="1381"/>
        <w:gridCol w:w="1845"/>
        <w:gridCol w:w="117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88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货物名称</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性能参数</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3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bl>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2、单梁起重机整车含</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3、技术规格如下：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.1.1单梁起重机</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③起重机大车及小车运行速度：大车</w:t>
      </w:r>
      <w:r>
        <w:rPr>
          <w:rFonts w:ascii="仿宋" w:hAnsi="仿宋" w:eastAsia="仿宋" w:cs="仿宋_GB2312"/>
          <w:color w:val="000000" w:themeColor="text1"/>
          <w:sz w:val="28"/>
          <w:szCs w:val="28"/>
          <w14:textFill>
            <w14:solidFill>
              <w14:schemeClr w14:val="tx1"/>
            </w14:solidFill>
          </w14:textFill>
        </w:rPr>
        <w:t>30m/min；小车20m/min。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⑤材质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主梁桥架：</w:t>
      </w:r>
      <w:r>
        <w:rPr>
          <w:rFonts w:ascii="仿宋" w:hAnsi="仿宋" w:eastAsia="仿宋" w:cs="仿宋_GB2312"/>
          <w:color w:val="000000" w:themeColor="text1"/>
          <w:sz w:val="28"/>
          <w:szCs w:val="28"/>
          <w14:textFill>
            <w14:solidFill>
              <w14:schemeClr w14:val="tx1"/>
            </w14:solidFill>
          </w14:textFill>
        </w:rPr>
        <w:t>Q235钢；车轮：铸钢；车轮轴：铸钢、合金钢</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密封圈：橡胶；缓冲器：橡胶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.1.2电动葫芦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pStyle w:val="7"/>
        <w:rPr>
          <w:color w:val="000000" w:themeColor="text1"/>
          <w:sz w:val="24"/>
          <w14:textFill>
            <w14:solidFill>
              <w14:schemeClr w14:val="tx1"/>
            </w14:solidFill>
          </w14:textFill>
        </w:rPr>
      </w:pPr>
      <w:r>
        <w:rPr>
          <w:rFonts w:hint="eastAsia" w:ascii="仿宋" w:hAnsi="仿宋" w:eastAsia="仿宋" w:cs="仿宋_GB2312"/>
          <w:color w:val="000000" w:themeColor="text1"/>
          <w:szCs w:val="28"/>
          <w14:textFill>
            <w14:solidFill>
              <w14:schemeClr w14:val="tx1"/>
            </w14:solidFill>
          </w14:textFill>
        </w:rPr>
        <w:t>③</w:t>
      </w:r>
      <w:r>
        <w:rPr>
          <w:rFonts w:hint="eastAsia" w:ascii="仿宋" w:hAnsi="仿宋" w:eastAsia="仿宋" w:cs="仿宋_GB2312"/>
          <w:color w:val="000000" w:themeColor="text1"/>
          <w:kern w:val="2"/>
          <w:szCs w:val="28"/>
          <w14:textFill>
            <w14:solidFill>
              <w14:schemeClr w14:val="tx1"/>
            </w14:solidFill>
          </w14:textFill>
        </w:rPr>
        <w:t>电动葫芦常速</w:t>
      </w:r>
      <w:r>
        <w:rPr>
          <w:rFonts w:ascii="仿宋" w:hAnsi="仿宋" w:eastAsia="仿宋" w:cs="仿宋_GB2312"/>
          <w:color w:val="000000" w:themeColor="text1"/>
          <w:kern w:val="2"/>
          <w:szCs w:val="28"/>
          <w14:textFill>
            <w14:solidFill>
              <w14:schemeClr w14:val="tx1"/>
            </w14:solidFill>
          </w14:textFill>
        </w:rPr>
        <w:t>8m/min升降，大车、小车运行速度20m/min。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⑤工作级别：</w:t>
      </w:r>
      <w:r>
        <w:rPr>
          <w:rFonts w:ascii="仿宋" w:hAnsi="仿宋" w:eastAsia="仿宋" w:cs="仿宋_GB2312"/>
          <w:color w:val="000000" w:themeColor="text1"/>
          <w:sz w:val="28"/>
          <w:szCs w:val="28"/>
          <w14:textFill>
            <w14:solidFill>
              <w14:schemeClr w14:val="tx1"/>
            </w14:solidFill>
          </w14:textFill>
        </w:rPr>
        <w:t>A4</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.1.3</w:t>
      </w:r>
      <w:r>
        <w:rPr>
          <w:rFonts w:hint="eastAsia" w:ascii="仿宋" w:hAnsi="仿宋" w:eastAsia="仿宋" w:cs="仿宋"/>
          <w:b w:val="0"/>
          <w:bCs/>
          <w:color w:val="000000" w:themeColor="text1"/>
          <w:sz w:val="28"/>
          <w:szCs w:val="28"/>
          <w14:textFill>
            <w14:solidFill>
              <w14:schemeClr w14:val="tx1"/>
            </w14:solidFill>
          </w14:textFill>
        </w:rPr>
        <w:t>电动装置电源</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380V、50Hz、3相</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.1.4</w:t>
      </w:r>
      <w:r>
        <w:rPr>
          <w:rFonts w:hint="eastAsia" w:ascii="仿宋" w:hAnsi="仿宋" w:eastAsia="仿宋" w:cs="仿宋"/>
          <w:b w:val="0"/>
          <w:bCs/>
          <w:color w:val="000000" w:themeColor="text1"/>
          <w:sz w:val="28"/>
          <w:szCs w:val="28"/>
          <w14:textFill>
            <w14:solidFill>
              <w14:schemeClr w14:val="tx1"/>
            </w14:solidFill>
          </w14:textFill>
        </w:rPr>
        <w:t>电动设备防护等级</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电动设备的防护等级为</w:t>
      </w:r>
      <w:r>
        <w:rPr>
          <w:rFonts w:ascii="仿宋" w:hAnsi="仿宋" w:eastAsia="仿宋" w:cs="仿宋"/>
          <w:bCs/>
          <w:color w:val="000000" w:themeColor="text1"/>
          <w:sz w:val="28"/>
          <w:szCs w:val="28"/>
          <w14:textFill>
            <w14:solidFill>
              <w14:schemeClr w14:val="tx1"/>
            </w14:solidFill>
          </w14:textFill>
        </w:rPr>
        <w:t>P54，电机绝缘等级为F级。</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.1.5</w:t>
      </w:r>
      <w:r>
        <w:rPr>
          <w:rFonts w:hint="eastAsia" w:ascii="仿宋" w:hAnsi="仿宋" w:eastAsia="仿宋" w:cs="仿宋"/>
          <w:b w:val="0"/>
          <w:bCs/>
          <w:color w:val="000000" w:themeColor="text1"/>
          <w:sz w:val="28"/>
          <w:szCs w:val="28"/>
          <w14:textFill>
            <w14:solidFill>
              <w14:schemeClr w14:val="tx1"/>
            </w14:solidFill>
          </w14:textFill>
        </w:rPr>
        <w:t>工作温度</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介于</w:t>
      </w:r>
      <w:r>
        <w:rPr>
          <w:rFonts w:ascii="仿宋" w:hAnsi="仿宋" w:eastAsia="仿宋" w:cs="仿宋"/>
          <w:bCs/>
          <w:color w:val="000000" w:themeColor="text1"/>
          <w:sz w:val="28"/>
          <w:szCs w:val="28"/>
          <w14:textFill>
            <w14:solidFill>
              <w14:schemeClr w14:val="tx1"/>
            </w14:solidFill>
          </w14:textFill>
        </w:rPr>
        <w:t>-2.5℃～+40℃范围。</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材质</w:t>
      </w:r>
    </w:p>
    <w:p>
      <w:pPr>
        <w:snapToGrid w:val="0"/>
        <w:spacing w:line="360" w:lineRule="auto"/>
        <w:ind w:firstLine="57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除技术文件中明文规定外，承包人应根据设备的使用环境，合理确定设备各部件的材质、工作温度，以保证整机正常使用，并在承包书中标明各部件材质、工作温度。</w:t>
      </w:r>
    </w:p>
    <w:p>
      <w:pPr>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70" w:firstLineChars="21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、报价单位须是在中华人民共和国境内注册的独立法人或其他组织，</w:t>
      </w:r>
      <w:r>
        <w:rPr>
          <w:rFonts w:hint="eastAsia" w:ascii="仿宋" w:hAnsi="仿宋" w:eastAsia="仿宋" w:cs="仿宋_GB2312"/>
          <w:color w:val="000000" w:themeColor="text1"/>
          <w:sz w:val="28"/>
          <w:szCs w:val="28"/>
          <w:u w:val="single"/>
          <w:lang w:val="en-US" w:eastAsia="zh-CN"/>
          <w14:textFill>
            <w14:solidFill>
              <w14:schemeClr w14:val="tx1"/>
            </w14:solidFill>
          </w14:textFill>
        </w:rPr>
        <w:t>具有独立法人资格，</w:t>
      </w:r>
      <w:r>
        <w:rPr>
          <w:rFonts w:hint="eastAsia" w:ascii="仿宋" w:hAnsi="仿宋" w:eastAsia="仿宋" w:cs="仿宋_GB2312"/>
          <w:color w:val="000000" w:themeColor="text1"/>
          <w:sz w:val="28"/>
          <w:szCs w:val="28"/>
          <w:u w:val="single"/>
          <w14:textFill>
            <w14:solidFill>
              <w14:schemeClr w14:val="tx1"/>
            </w14:solidFill>
          </w14:textFill>
        </w:rPr>
        <w:t>持有工商行政管理部门核发的营业执照，且能开具增值税专用发票</w:t>
      </w:r>
      <w:r>
        <w:rPr>
          <w:rFonts w:ascii="仿宋" w:hAnsi="仿宋" w:eastAsia="仿宋" w:cs="仿宋_GB2312"/>
          <w:color w:val="000000" w:themeColor="text1"/>
          <w:sz w:val="28"/>
          <w:szCs w:val="28"/>
          <w:u w:val="single"/>
          <w14:textFill>
            <w14:solidFill>
              <w14:schemeClr w14:val="tx1"/>
            </w14:solidFill>
          </w14:textFill>
        </w:rPr>
        <w:t>。</w:t>
      </w:r>
    </w:p>
    <w:p>
      <w:pPr>
        <w:autoSpaceDE w:val="0"/>
        <w:autoSpaceDN w:val="0"/>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报价单位必须具有特种设备生产许可证范围内的起重机械制造资质</w:t>
      </w:r>
      <w:r>
        <w:rPr>
          <w:rFonts w:ascii="仿宋" w:hAnsi="仿宋" w:eastAsia="仿宋" w:cs="仿宋_GB2312"/>
          <w:color w:val="000000" w:themeColor="text1"/>
          <w:sz w:val="28"/>
          <w:szCs w:val="28"/>
          <w:u w:val="single"/>
          <w14:textFill>
            <w14:solidFill>
              <w14:schemeClr w14:val="tx1"/>
            </w14:solidFill>
          </w14:textFill>
        </w:rPr>
        <w:t>C</w:t>
      </w:r>
      <w:r>
        <w:rPr>
          <w:rFonts w:hint="eastAsia" w:ascii="仿宋" w:hAnsi="仿宋" w:eastAsia="仿宋" w:cs="仿宋_GB2312"/>
          <w:color w:val="000000" w:themeColor="text1"/>
          <w:sz w:val="28"/>
          <w:szCs w:val="28"/>
          <w:u w:val="single"/>
          <w14:textFill>
            <w14:solidFill>
              <w14:schemeClr w14:val="tx1"/>
            </w14:solidFill>
          </w14:textFill>
        </w:rPr>
        <w:t>级</w:t>
      </w:r>
      <w:r>
        <w:rPr>
          <w:rFonts w:hint="eastAsia" w:ascii="仿宋" w:hAnsi="仿宋" w:eastAsia="仿宋" w:cs="仿宋_GB2312"/>
          <w:color w:val="000000" w:themeColor="text1"/>
          <w:sz w:val="28"/>
          <w:szCs w:val="28"/>
          <w:u w:val="single"/>
          <w:lang w:val="en-US" w:eastAsia="zh-CN"/>
          <w14:textFill>
            <w14:solidFill>
              <w14:schemeClr w14:val="tx1"/>
            </w14:solidFill>
          </w14:textFill>
        </w:rPr>
        <w:t>或</w:t>
      </w:r>
      <w:r>
        <w:rPr>
          <w:rFonts w:hint="eastAsia" w:ascii="仿宋" w:hAnsi="仿宋" w:eastAsia="仿宋" w:cs="仿宋_GB2312"/>
          <w:color w:val="000000" w:themeColor="text1"/>
          <w:sz w:val="28"/>
          <w:szCs w:val="28"/>
          <w:u w:val="single"/>
          <w14:textFill>
            <w14:solidFill>
              <w14:schemeClr w14:val="tx1"/>
            </w14:solidFill>
          </w14:textFill>
        </w:rPr>
        <w:t>以上。</w:t>
      </w:r>
    </w:p>
    <w:p>
      <w:pPr>
        <w:widowControl w:val="0"/>
        <w:numPr>
          <w:ilvl w:val="0"/>
          <w:numId w:val="0"/>
        </w:numPr>
        <w:spacing w:line="360" w:lineRule="auto"/>
        <w:ind w:firstLine="542" w:firstLineChars="200"/>
        <w:jc w:val="left"/>
        <w:rPr>
          <w:rFonts w:hint="eastAsia" w:ascii="仿宋" w:hAnsi="仿宋" w:eastAsia="仿宋" w:cs="仿宋_GB2312"/>
          <w:color w:val="000000" w:themeColor="text1"/>
          <w:sz w:val="28"/>
          <w:szCs w:val="28"/>
          <w:lang w:eastAsia="zh-CN"/>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3、</w:t>
      </w:r>
      <w:r>
        <w:rPr>
          <w:rFonts w:hint="eastAsia" w:ascii="仿宋" w:hAnsi="仿宋" w:eastAsia="仿宋" w:cs="仿宋_GB2312"/>
          <w:color w:val="000000" w:themeColor="text1"/>
          <w:sz w:val="28"/>
          <w:szCs w:val="28"/>
          <w:u w:val="single"/>
          <w14:textFill>
            <w14:solidFill>
              <w14:schemeClr w14:val="tx1"/>
            </w14:solidFill>
          </w14:textFill>
        </w:rPr>
        <w:t>2018年1月1日至今，最少提供一项起重设备的销售</w:t>
      </w:r>
      <w:r>
        <w:rPr>
          <w:rFonts w:hint="eastAsia" w:ascii="仿宋" w:hAnsi="仿宋" w:eastAsia="仿宋" w:cs="仿宋_GB2312"/>
          <w:color w:val="000000" w:themeColor="text1"/>
          <w:sz w:val="28"/>
          <w:szCs w:val="28"/>
          <w:u w:val="single"/>
          <w:lang w:val="en-US" w:eastAsia="zh-CN"/>
          <w14:textFill>
            <w14:solidFill>
              <w14:schemeClr w14:val="tx1"/>
            </w14:solidFill>
          </w14:textFill>
        </w:rPr>
        <w:t>和</w:t>
      </w:r>
      <w:r>
        <w:rPr>
          <w:rFonts w:hint="eastAsia" w:ascii="仿宋" w:hAnsi="仿宋" w:eastAsia="仿宋" w:cs="仿宋_GB2312"/>
          <w:color w:val="000000" w:themeColor="text1"/>
          <w:sz w:val="28"/>
          <w:szCs w:val="28"/>
          <w:u w:val="single"/>
          <w14:textFill>
            <w14:solidFill>
              <w14:schemeClr w14:val="tx1"/>
            </w14:solidFill>
          </w14:textFill>
        </w:rPr>
        <w:t>安装</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或维修</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4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bookmarkStart w:id="42" w:name="_GoBack"/>
      <w:bookmarkEnd w:id="42"/>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1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1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1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6369" w:firstLineChars="23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widowControl w:val="0"/>
        <w:numPr>
          <w:ilvl w:val="0"/>
          <w:numId w:val="0"/>
        </w:numPr>
        <w:spacing w:line="360" w:lineRule="auto"/>
        <w:ind w:firstLine="542" w:firstLineChars="200"/>
        <w:jc w:val="right"/>
        <w:rPr>
          <w:rFonts w:ascii="仿宋_GB2312" w:hAnsi="仿宋" w:eastAsia="仿宋_GB2312" w:cs="仿宋_GB2312"/>
          <w:sz w:val="28"/>
          <w:szCs w:val="28"/>
          <w:highlight w:val="none"/>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日</w:t>
      </w:r>
    </w:p>
    <w:p>
      <w:pPr>
        <w:pStyle w:val="10"/>
        <w:adjustRightInd w:val="0"/>
        <w:snapToGrid w:val="0"/>
        <w:jc w:val="left"/>
        <w:rPr>
          <w:rFonts w:hint="eastAsia" w:ascii="仿宋_GB2312" w:hAnsi="仿宋" w:eastAsia="仿宋_GB2312" w:cs="仿宋_GB2312"/>
          <w:sz w:val="28"/>
          <w:szCs w:val="28"/>
          <w:highlight w:val="none"/>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both"/>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第二部分项目内容</w:t>
      </w:r>
    </w:p>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pStyle w:val="10"/>
        <w:adjustRightInd w:val="0"/>
        <w:snapToGrid w:val="0"/>
        <w:spacing w:line="300" w:lineRule="auto"/>
        <w:ind w:left="600" w:firstLine="544"/>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更换大坦沙分公司5</w:t>
      </w:r>
      <w:r>
        <w:rPr>
          <w:rFonts w:ascii="仿宋" w:hAnsi="仿宋" w:eastAsia="仿宋" w:cs="仿宋_GB2312"/>
          <w:color w:val="000000" w:themeColor="text1"/>
          <w:sz w:val="28"/>
          <w:szCs w:val="28"/>
          <w14:textFill>
            <w14:solidFill>
              <w14:schemeClr w14:val="tx1"/>
            </w14:solidFill>
          </w14:textFill>
        </w:rPr>
        <w:t>台起重机，</w:t>
      </w:r>
      <w:r>
        <w:rPr>
          <w:rFonts w:hint="eastAsia" w:ascii="仿宋" w:hAnsi="仿宋" w:eastAsia="仿宋" w:cs="仿宋_GB2312"/>
          <w:color w:val="000000" w:themeColor="text1"/>
          <w:sz w:val="28"/>
          <w:szCs w:val="28"/>
          <w14:textFill>
            <w14:solidFill>
              <w14:schemeClr w14:val="tx1"/>
            </w14:solidFill>
          </w14:textFill>
        </w:rPr>
        <w:t>起重机</w:t>
      </w:r>
      <w:r>
        <w:rPr>
          <w:rFonts w:ascii="仿宋" w:hAnsi="仿宋" w:eastAsia="仿宋" w:cs="仿宋_GB2312"/>
          <w:color w:val="000000" w:themeColor="text1"/>
          <w:sz w:val="28"/>
          <w:szCs w:val="28"/>
          <w14:textFill>
            <w14:solidFill>
              <w14:schemeClr w14:val="tx1"/>
            </w14:solidFill>
          </w14:textFill>
        </w:rPr>
        <w:t>整车含</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项目需求如下：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1、型号及性能参数见附表；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、单梁起重机整车含安装、调试、运输、旧机报停、拆卸、旧机运至报废点、初次检验、办证；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r>
        <w:rPr>
          <w:rFonts w:hint="eastAsia" w:ascii="仿宋" w:hAnsi="仿宋" w:eastAsia="仿宋" w:cs="仿宋_GB2312"/>
          <w:color w:val="000000" w:themeColor="text1"/>
          <w:sz w:val="28"/>
          <w:szCs w:val="28"/>
          <w14:textFill>
            <w14:solidFill>
              <w14:schemeClr w14:val="tx1"/>
            </w14:solidFill>
          </w14:textFill>
        </w:rPr>
        <w:t>、技术规格如下：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.1.1单梁起重机</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③起重机大车及小车运行速度：大车</w:t>
      </w:r>
      <w:r>
        <w:rPr>
          <w:rFonts w:ascii="仿宋" w:hAnsi="仿宋" w:eastAsia="仿宋" w:cs="仿宋_GB2312"/>
          <w:color w:val="000000" w:themeColor="text1"/>
          <w:sz w:val="28"/>
          <w:szCs w:val="28"/>
          <w14:textFill>
            <w14:solidFill>
              <w14:schemeClr w14:val="tx1"/>
            </w14:solidFill>
          </w14:textFill>
        </w:rPr>
        <w:t>30m/min；小车20m/min。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⑤材质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主梁桥架：</w:t>
      </w:r>
      <w:r>
        <w:rPr>
          <w:rFonts w:ascii="仿宋" w:hAnsi="仿宋" w:eastAsia="仿宋" w:cs="仿宋_GB2312"/>
          <w:color w:val="000000" w:themeColor="text1"/>
          <w:sz w:val="28"/>
          <w:szCs w:val="28"/>
          <w14:textFill>
            <w14:solidFill>
              <w14:schemeClr w14:val="tx1"/>
            </w14:solidFill>
          </w14:textFill>
        </w:rPr>
        <w:t>Q235钢；车轮：铸钢；车轮轴：铸钢、合金钢</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密封圈：橡胶；缓冲器：橡胶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.1.2电动葫芦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pStyle w:val="7"/>
        <w:rPr>
          <w:color w:val="000000" w:themeColor="text1"/>
          <w:sz w:val="24"/>
          <w14:textFill>
            <w14:solidFill>
              <w14:schemeClr w14:val="tx1"/>
            </w14:solidFill>
          </w14:textFill>
        </w:rPr>
      </w:pPr>
      <w:r>
        <w:rPr>
          <w:rFonts w:hint="eastAsia" w:ascii="仿宋" w:hAnsi="仿宋" w:eastAsia="仿宋" w:cs="仿宋_GB2312"/>
          <w:color w:val="000000" w:themeColor="text1"/>
          <w:szCs w:val="28"/>
          <w14:textFill>
            <w14:solidFill>
              <w14:schemeClr w14:val="tx1"/>
            </w14:solidFill>
          </w14:textFill>
        </w:rPr>
        <w:t>③</w:t>
      </w:r>
      <w:r>
        <w:rPr>
          <w:rFonts w:hint="eastAsia" w:ascii="仿宋" w:hAnsi="仿宋" w:eastAsia="仿宋" w:cs="仿宋_GB2312"/>
          <w:color w:val="000000" w:themeColor="text1"/>
          <w:kern w:val="2"/>
          <w:szCs w:val="28"/>
          <w14:textFill>
            <w14:solidFill>
              <w14:schemeClr w14:val="tx1"/>
            </w14:solidFill>
          </w14:textFill>
        </w:rPr>
        <w:t>电动葫芦常速</w:t>
      </w:r>
      <w:r>
        <w:rPr>
          <w:rFonts w:ascii="仿宋" w:hAnsi="仿宋" w:eastAsia="仿宋" w:cs="仿宋_GB2312"/>
          <w:color w:val="000000" w:themeColor="text1"/>
          <w:kern w:val="2"/>
          <w:szCs w:val="28"/>
          <w14:textFill>
            <w14:solidFill>
              <w14:schemeClr w14:val="tx1"/>
            </w14:solidFill>
          </w14:textFill>
        </w:rPr>
        <w:t>8m/min升降，大车、小车运行速度20m/min。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⑤工作级别：</w:t>
      </w:r>
      <w:r>
        <w:rPr>
          <w:rFonts w:ascii="仿宋" w:hAnsi="仿宋" w:eastAsia="仿宋" w:cs="仿宋_GB2312"/>
          <w:color w:val="000000" w:themeColor="text1"/>
          <w:sz w:val="28"/>
          <w:szCs w:val="28"/>
          <w14:textFill>
            <w14:solidFill>
              <w14:schemeClr w14:val="tx1"/>
            </w14:solidFill>
          </w14:textFill>
        </w:rPr>
        <w:t>A4</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.1.3</w:t>
      </w:r>
      <w:r>
        <w:rPr>
          <w:rFonts w:hint="eastAsia" w:ascii="仿宋" w:hAnsi="仿宋" w:eastAsia="仿宋" w:cs="仿宋"/>
          <w:b w:val="0"/>
          <w:bCs/>
          <w:color w:val="000000" w:themeColor="text1"/>
          <w:sz w:val="28"/>
          <w:szCs w:val="28"/>
          <w14:textFill>
            <w14:solidFill>
              <w14:schemeClr w14:val="tx1"/>
            </w14:solidFill>
          </w14:textFill>
        </w:rPr>
        <w:t>电动装置电源</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380V、50Hz、3相</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.1.4</w:t>
      </w:r>
      <w:r>
        <w:rPr>
          <w:rFonts w:hint="eastAsia" w:ascii="仿宋" w:hAnsi="仿宋" w:eastAsia="仿宋" w:cs="仿宋"/>
          <w:b w:val="0"/>
          <w:bCs/>
          <w:color w:val="000000" w:themeColor="text1"/>
          <w:sz w:val="28"/>
          <w:szCs w:val="28"/>
          <w14:textFill>
            <w14:solidFill>
              <w14:schemeClr w14:val="tx1"/>
            </w14:solidFill>
          </w14:textFill>
        </w:rPr>
        <w:t>电动设备防护等级</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电动设备的防护等级为</w:t>
      </w:r>
      <w:r>
        <w:rPr>
          <w:rFonts w:ascii="仿宋" w:hAnsi="仿宋" w:eastAsia="仿宋" w:cs="仿宋"/>
          <w:bCs/>
          <w:color w:val="000000" w:themeColor="text1"/>
          <w:sz w:val="28"/>
          <w:szCs w:val="28"/>
          <w14:textFill>
            <w14:solidFill>
              <w14:schemeClr w14:val="tx1"/>
            </w14:solidFill>
          </w14:textFill>
        </w:rPr>
        <w:t>P54，电机绝缘等级为F级。</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.1.5</w:t>
      </w:r>
      <w:r>
        <w:rPr>
          <w:rFonts w:hint="eastAsia" w:ascii="仿宋" w:hAnsi="仿宋" w:eastAsia="仿宋" w:cs="仿宋"/>
          <w:b w:val="0"/>
          <w:bCs/>
          <w:color w:val="000000" w:themeColor="text1"/>
          <w:sz w:val="28"/>
          <w:szCs w:val="28"/>
          <w14:textFill>
            <w14:solidFill>
              <w14:schemeClr w14:val="tx1"/>
            </w14:solidFill>
          </w14:textFill>
        </w:rPr>
        <w:t>工作温度</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介于</w:t>
      </w:r>
      <w:r>
        <w:rPr>
          <w:rFonts w:ascii="仿宋" w:hAnsi="仿宋" w:eastAsia="仿宋" w:cs="仿宋"/>
          <w:bCs/>
          <w:color w:val="000000" w:themeColor="text1"/>
          <w:sz w:val="28"/>
          <w:szCs w:val="28"/>
          <w14:textFill>
            <w14:solidFill>
              <w14:schemeClr w14:val="tx1"/>
            </w14:solidFill>
          </w14:textFill>
        </w:rPr>
        <w:t>-2.5℃～+40℃范围。</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材质</w:t>
      </w:r>
    </w:p>
    <w:p>
      <w:pPr>
        <w:snapToGrid w:val="0"/>
        <w:spacing w:line="360" w:lineRule="auto"/>
        <w:ind w:firstLine="57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除技术文件中明文规定外，承包人应根据设备的使用环境，合理确定设备各部件的材质、工作温度，以保证整机正常使用，并在承包书中标明各部件材质、工作温度。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p>
    <w:p>
      <w:pPr>
        <w:pStyle w:val="10"/>
        <w:numPr>
          <w:ilvl w:val="0"/>
          <w:numId w:val="2"/>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tbl>
      <w:tblPr>
        <w:tblStyle w:val="1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950"/>
        <w:gridCol w:w="2055"/>
        <w:gridCol w:w="1993"/>
        <w:gridCol w:w="85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货物名称</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型号</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性能参数</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bl>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numPr>
          <w:ilvl w:val="0"/>
          <w:numId w:val="2"/>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合同签订后</w:t>
      </w:r>
      <w:r>
        <w:rPr>
          <w:rFonts w:hint="eastAsia" w:ascii="仿宋_GB2312" w:hAnsi="仿宋_GB2312" w:eastAsia="仿宋_GB2312" w:cs="仿宋_GB2312"/>
          <w:color w:val="000000"/>
          <w:sz w:val="28"/>
          <w:szCs w:val="28"/>
          <w:u w:val="single"/>
          <w:lang w:val="en-US" w:eastAsia="zh-CN"/>
        </w:rPr>
        <w:t>3个月</w:t>
      </w:r>
      <w:r>
        <w:rPr>
          <w:rFonts w:hint="eastAsia" w:ascii="仿宋_GB2312" w:hAnsi="仿宋_GB2312" w:eastAsia="仿宋_GB2312" w:cs="仿宋_GB2312"/>
          <w:color w:val="000000"/>
          <w:sz w:val="28"/>
          <w:szCs w:val="28"/>
          <w:lang w:val="en-US" w:eastAsia="zh-CN"/>
        </w:rPr>
        <w:t>内到货</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eastAsia="zh-CN"/>
        </w:rPr>
        <w:t>大坦沙</w:t>
      </w:r>
      <w:r>
        <w:rPr>
          <w:rFonts w:hint="eastAsia" w:ascii="仿宋_GB2312" w:hAnsi="仿宋_GB2312" w:eastAsia="仿宋_GB2312" w:cs="仿宋_GB2312"/>
          <w:color w:val="000000"/>
          <w:sz w:val="28"/>
          <w:szCs w:val="28"/>
          <w:lang w:val="en-US" w:eastAsia="zh-CN"/>
        </w:rPr>
        <w:t>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（2）乙方需保证新装设备检验合格并提供广州特种机电设备检测研究院出具的首次检验合格报告</w:t>
      </w:r>
    </w:p>
    <w:p>
      <w:pPr>
        <w:autoSpaceDE w:val="0"/>
        <w:autoSpaceDN w:val="0"/>
        <w:ind w:left="56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val="0"/>
          <w:color w:val="000000"/>
          <w:sz w:val="28"/>
          <w:szCs w:val="28"/>
        </w:rPr>
        <w:t>货物在质保期为自供货验收合格之日起1年内</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质保期内免费提供维保服务</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4次季度维保</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，维保服务内容包含：功能性检查，更换润滑油和易损件等，特种设备代办年检及其他法律规定的维保需提供的服务；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质保期</w:t>
      </w:r>
      <w:r>
        <w:rPr>
          <w:rFonts w:hint="eastAsia" w:ascii="仿宋_GB2312" w:hAnsi="仿宋_GB2312" w:eastAsia="仿宋_GB2312" w:cs="仿宋_GB2312"/>
          <w:color w:val="000000"/>
          <w:sz w:val="28"/>
          <w:szCs w:val="28"/>
          <w:lang w:val="en-US" w:eastAsia="zh-CN"/>
        </w:rPr>
        <w:t>内</w:t>
      </w:r>
      <w:r>
        <w:rPr>
          <w:rFonts w:hint="eastAsia" w:ascii="仿宋_GB2312" w:hAnsi="仿宋_GB2312" w:eastAsia="仿宋_GB2312" w:cs="仿宋_GB2312"/>
          <w:color w:val="000000"/>
          <w:sz w:val="28"/>
          <w:szCs w:val="28"/>
        </w:rPr>
        <w:t>如有质量问题，报价人必须</w:t>
      </w:r>
      <w:r>
        <w:rPr>
          <w:rFonts w:hint="eastAsia" w:ascii="仿宋_GB2312" w:hAnsi="仿宋_GB2312" w:eastAsia="仿宋_GB2312" w:cs="仿宋_GB2312"/>
          <w:color w:val="000000"/>
          <w:sz w:val="28"/>
          <w:szCs w:val="28"/>
          <w:lang w:val="en-US" w:eastAsia="zh-CN"/>
        </w:rPr>
        <w:t>24小时内派技术人员免费到现场进行维修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 w:hAnsi="仿宋" w:eastAsia="仿宋"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3、乙方设备交货时，</w:t>
      </w:r>
      <w:r>
        <w:rPr>
          <w:rFonts w:hint="eastAsia" w:ascii="仿宋" w:hAnsi="仿宋" w:eastAsia="仿宋" w:cs="仿宋_GB2312"/>
          <w:color w:val="000000"/>
          <w:sz w:val="28"/>
          <w:szCs w:val="28"/>
          <w:lang w:val="en-US" w:eastAsia="zh-CN"/>
        </w:rPr>
        <w:t>需向甲方提供每台设备的随机使用说明书2套。</w:t>
      </w:r>
    </w:p>
    <w:p>
      <w:pPr>
        <w:rPr>
          <w:rFonts w:ascii="仿宋_GB2312" w:hAnsi="仿宋_GB2312" w:eastAsia="仿宋_GB2312" w:cs="仿宋_GB2312"/>
          <w:b/>
          <w:color w:val="000000" w:themeColor="text1"/>
          <w:sz w:val="28"/>
          <w:szCs w:val="28"/>
          <w:lang w:val="zh-CN"/>
          <w14:textFill>
            <w14:solidFill>
              <w14:schemeClr w14:val="tx1"/>
            </w14:solidFill>
          </w14:textFill>
        </w:rPr>
      </w:pPr>
      <w:r>
        <w:rPr>
          <w:rFonts w:ascii="仿宋_GB2312" w:hAnsi="仿宋_GB2312" w:eastAsia="仿宋_GB2312" w:cs="仿宋_GB2312"/>
          <w:b/>
          <w:color w:val="000000" w:themeColor="text1"/>
          <w:sz w:val="28"/>
          <w:szCs w:val="28"/>
          <w:lang w:val="zh-CN"/>
          <w14:textFill>
            <w14:solidFill>
              <w14:schemeClr w14:val="tx1"/>
            </w14:solidFill>
          </w14:textFill>
        </w:rPr>
        <w:br w:type="page"/>
      </w:r>
    </w:p>
    <w:p>
      <w:pPr>
        <w:pStyle w:val="10"/>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ascii="仿宋_GB2312" w:hAnsi="仿宋_GB2312" w:eastAsia="仿宋_GB2312" w:cs="仿宋_GB2312"/>
          <w:b/>
          <w:color w:val="000000" w:themeColor="text1"/>
          <w:sz w:val="28"/>
          <w:szCs w:val="28"/>
          <w14:textFill>
            <w14:solidFill>
              <w14:schemeClr w14:val="tx1"/>
            </w14:solidFill>
          </w14:textFill>
        </w:rPr>
        <w:t>报价须知</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一、概念释义</w:t>
      </w:r>
    </w:p>
    <w:p>
      <w:pPr>
        <w:pStyle w:val="10"/>
        <w:adjustRightInd w:val="0"/>
        <w:snapToGrid w:val="0"/>
        <w:spacing w:line="300" w:lineRule="auto"/>
        <w:ind w:left="560"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人”是指：</w:t>
      </w:r>
      <w:r>
        <w:rPr>
          <w:rFonts w:hint="eastAsia" w:ascii="仿宋_GB2312" w:eastAsia="仿宋_GB2312" w:cs="仿宋_GB2312"/>
          <w:color w:val="000000"/>
          <w:sz w:val="28"/>
          <w:szCs w:val="28"/>
          <w:highlight w:val="none"/>
          <w:u w:val="single"/>
          <w:lang w:val="en-US" w:eastAsia="zh-CN" w:bidi="ar-SA"/>
        </w:rPr>
        <w:t>广州市净水有限公司</w:t>
      </w:r>
      <w:r>
        <w:rPr>
          <w:rFonts w:hint="eastAsia" w:ascii="仿宋_GB2312" w:eastAsia="仿宋_GB2312" w:cs="仿宋_GB2312"/>
          <w:color w:val="000000"/>
          <w:sz w:val="28"/>
          <w:szCs w:val="28"/>
          <w:highlight w:val="none"/>
          <w:lang w:bidi="ar-SA"/>
        </w:rPr>
        <w:t>。</w:t>
      </w:r>
    </w:p>
    <w:p>
      <w:pPr>
        <w:pStyle w:val="10"/>
        <w:tabs>
          <w:tab w:val="left" w:pos="360"/>
        </w:tabs>
        <w:adjustRightInd w:val="0"/>
        <w:snapToGrid w:val="0"/>
        <w:spacing w:line="300" w:lineRule="auto"/>
        <w:ind w:left="560" w:hanging="542" w:hangingChars="20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2.合格的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w:t>
      </w:r>
      <w:r>
        <w:rPr>
          <w:rFonts w:hint="eastAsia" w:ascii="仿宋_GB2312" w:eastAsia="仿宋_GB2312" w:cs="仿宋_GB2312"/>
          <w:color w:val="000000"/>
          <w:kern w:val="0"/>
          <w:sz w:val="28"/>
          <w:szCs w:val="28"/>
          <w:highlight w:val="none"/>
          <w:lang w:bidi="ar-SA"/>
        </w:rPr>
        <w:t>符合询价文件规定资格</w:t>
      </w:r>
      <w:r>
        <w:rPr>
          <w:rFonts w:hint="eastAsia" w:ascii="仿宋_GB2312" w:eastAsia="仿宋_GB2312" w:cs="仿宋_GB2312"/>
          <w:color w:val="000000"/>
          <w:sz w:val="28"/>
          <w:szCs w:val="28"/>
          <w:highlight w:val="none"/>
          <w:lang w:val="zh-CN" w:eastAsia="zh-CN" w:bidi="ar-SA"/>
        </w:rPr>
        <w:t>要求</w:t>
      </w:r>
      <w:r>
        <w:rPr>
          <w:rFonts w:hint="eastAsia" w:ascii="仿宋_GB2312" w:eastAsia="仿宋_GB2312" w:cs="仿宋_GB2312"/>
          <w:color w:val="000000"/>
          <w:kern w:val="0"/>
          <w:sz w:val="28"/>
          <w:szCs w:val="28"/>
          <w:highlight w:val="none"/>
          <w:lang w:bidi="ar-SA"/>
        </w:rPr>
        <w:t>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3.“承包人”是指经法定程序确认并授以合同的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二、询价文件</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5．适用范围:本询价文件适用于本报价邀请中所述项目的询价。</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 询价文件的构成</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6.1询价文件包括但不限于下列文件:</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1）报价邀请函</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2) 项目内容</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3)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单位须知</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4) 合同书格式</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5) 询价响应文件格式</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 在询价过程中由</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人发出的修正和补充文件等</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6.2</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单位应认真阅读、并充分理解询价文件的全部内容（包括所有的补充、修改内容、重要事项、格式、条款等）。</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单位没有按照询价文件要求提交全部资料，或者没有对询价文件在各方面都做出实质性响应是</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单位的风险，有可能导致其询价响应被拒绝，或被认定为无效询价响应。</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 询价文件的澄清或修改</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7.1询价文件的澄清是指</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人对询价文件中的遗漏、错误、词义表达不清或对比较复杂的事项进行说明，回答</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单位提出的各种问题。询价文件的修改是指</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人对询价文件中出现的错误进行修订。</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eastAsia="zh-CN" w:bidi="ar-SA"/>
        </w:rPr>
      </w:pPr>
      <w:r>
        <w:rPr>
          <w:rFonts w:hint="eastAsia" w:ascii="仿宋_GB2312" w:eastAsia="仿宋_GB2312" w:cs="仿宋_GB2312"/>
          <w:color w:val="000000"/>
          <w:sz w:val="28"/>
          <w:szCs w:val="28"/>
          <w:highlight w:val="none"/>
          <w:lang w:bidi="ar-SA"/>
        </w:rPr>
        <w:t>7.2任何要求对询价文件进行澄清的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单位，均应以书面形式通知</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人对其收到的书面的对询价文件的澄清要求均以书面形式</w:t>
      </w:r>
      <w:r>
        <w:rPr>
          <w:rFonts w:hint="eastAsia" w:ascii="仿宋" w:eastAsia="仿宋" w:cs="仿宋_GB2312"/>
          <w:color w:val="000000"/>
          <w:sz w:val="28"/>
          <w:szCs w:val="28"/>
          <w:highlight w:val="none"/>
          <w:lang w:bidi="ar-SA"/>
        </w:rPr>
        <w:t>予以答复</w:t>
      </w:r>
      <w:r>
        <w:rPr>
          <w:rFonts w:hint="eastAsia" w:ascii="仿宋_GB2312" w:eastAsia="仿宋_GB2312" w:cs="仿宋_GB2312"/>
          <w:color w:val="000000"/>
          <w:sz w:val="28"/>
          <w:szCs w:val="28"/>
          <w:highlight w:val="none"/>
          <w:lang w:val="en-US" w:eastAsia="zh-CN" w:bidi="ar-SA"/>
        </w:rPr>
        <w:t>或</w:t>
      </w:r>
      <w:r>
        <w:rPr>
          <w:rFonts w:hint="eastAsia" w:ascii="仿宋_GB2312" w:eastAsia="仿宋_GB2312" w:cs="仿宋_GB2312"/>
          <w:color w:val="000000"/>
          <w:sz w:val="28"/>
          <w:szCs w:val="28"/>
          <w:highlight w:val="none"/>
          <w:lang w:bidi="ar-SA"/>
        </w:rPr>
        <w:t>以</w:t>
      </w:r>
      <w:r>
        <w:rPr>
          <w:rFonts w:hint="eastAsia" w:ascii="仿宋_GB2312" w:eastAsia="仿宋_GB2312" w:cs="仿宋_GB2312"/>
          <w:color w:val="000000"/>
          <w:sz w:val="28"/>
          <w:szCs w:val="28"/>
          <w:highlight w:val="none"/>
          <w:lang w:val="en-US" w:eastAsia="zh-CN" w:bidi="ar-SA"/>
        </w:rPr>
        <w:t>净水公司门户网站公告的形式发布</w:t>
      </w:r>
      <w:r>
        <w:rPr>
          <w:rFonts w:hint="eastAsia" w:ascii="仿宋_GB2312" w:eastAsia="仿宋_GB2312" w:cs="仿宋_GB2312"/>
          <w:color w:val="000000"/>
          <w:sz w:val="28"/>
          <w:szCs w:val="28"/>
          <w:highlight w:val="none"/>
          <w:lang w:bidi="ar-SA"/>
        </w:rPr>
        <w:t>，（答复中不包括问题的来源）。</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单位在收到上述答复后，应立即向</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人回函确认</w:t>
      </w:r>
      <w:r>
        <w:rPr>
          <w:rFonts w:hint="eastAsia" w:ascii="仿宋_GB2312" w:eastAsia="仿宋_GB2312" w:cs="仿宋_GB2312"/>
          <w:color w:val="000000"/>
          <w:sz w:val="28"/>
          <w:szCs w:val="28"/>
          <w:highlight w:val="none"/>
          <w:lang w:eastAsia="zh-CN" w:bidi="ar-SA"/>
        </w:rPr>
        <w:t>，</w:t>
      </w:r>
      <w:r>
        <w:rPr>
          <w:rFonts w:hint="eastAsia" w:ascii="仿宋_GB2312" w:eastAsia="仿宋_GB2312" w:cs="仿宋_GB2312"/>
          <w:color w:val="000000"/>
          <w:sz w:val="28"/>
          <w:szCs w:val="28"/>
          <w:highlight w:val="none"/>
          <w:lang w:bidi="ar-SA"/>
        </w:rPr>
        <w:t>该答复作为询价文件的一部分，对</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单位有约束力</w:t>
      </w:r>
      <w:r>
        <w:rPr>
          <w:rFonts w:hint="eastAsia" w:ascii="仿宋_GB2312" w:eastAsia="仿宋_GB2312" w:cs="仿宋_GB2312"/>
          <w:color w:val="000000"/>
          <w:sz w:val="28"/>
          <w:szCs w:val="28"/>
          <w:highlight w:val="none"/>
          <w:lang w:eastAsia="zh-CN" w:bidi="ar-SA"/>
        </w:rPr>
        <w:t>。</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７.3询价文件的修改</w:t>
      </w:r>
      <w:r>
        <w:rPr>
          <w:rFonts w:hint="eastAsia" w:ascii="仿宋_GB2312" w:eastAsia="仿宋_GB2312" w:cs="仿宋_GB2312"/>
          <w:color w:val="000000"/>
          <w:sz w:val="28"/>
          <w:szCs w:val="28"/>
          <w:highlight w:val="none"/>
          <w:lang w:val="en-US" w:eastAsia="zh-CN" w:bidi="ar-SA"/>
        </w:rPr>
        <w:t>或澄清</w:t>
      </w:r>
      <w:r>
        <w:rPr>
          <w:rFonts w:hint="eastAsia" w:ascii="仿宋_GB2312" w:eastAsia="仿宋_GB2312" w:cs="仿宋_GB2312"/>
          <w:color w:val="000000"/>
          <w:sz w:val="28"/>
          <w:szCs w:val="28"/>
          <w:highlight w:val="none"/>
          <w:lang w:bidi="ar-SA"/>
        </w:rPr>
        <w:t>将以书面形式通知所有购买询价文件的报价单位</w:t>
      </w:r>
      <w:r>
        <w:rPr>
          <w:rFonts w:hint="eastAsia" w:ascii="仿宋_GB2312" w:eastAsia="仿宋_GB2312" w:cs="仿宋_GB2312"/>
          <w:color w:val="000000"/>
          <w:sz w:val="28"/>
          <w:szCs w:val="28"/>
          <w:highlight w:val="none"/>
          <w:lang w:val="en-US" w:eastAsia="zh-CN" w:bidi="ar-SA"/>
        </w:rPr>
        <w:t>或以净水公司门户网站公告的形式发布</w:t>
      </w:r>
      <w:r>
        <w:rPr>
          <w:rFonts w:hint="eastAsia" w:ascii="仿宋_GB2312" w:eastAsia="仿宋_GB2312" w:cs="仿宋_GB2312"/>
          <w:color w:val="000000"/>
          <w:sz w:val="28"/>
          <w:szCs w:val="28"/>
          <w:highlight w:val="none"/>
          <w:lang w:bidi="ar-SA"/>
        </w:rPr>
        <w:t>，并对其具有约束力。报价单位在收到上述通知后，应立即向询价人回函确认。</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7.4</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人可以视询价具体情况，延长递交询价响应文件截止时间，并将变更时间以书面形式通知所有询价文件收受人</w:t>
      </w:r>
      <w:r>
        <w:rPr>
          <w:rFonts w:hint="eastAsia" w:ascii="仿宋_GB2312" w:eastAsia="仿宋_GB2312" w:cs="仿宋_GB2312"/>
          <w:color w:val="000000"/>
          <w:sz w:val="28"/>
          <w:szCs w:val="28"/>
          <w:highlight w:val="none"/>
          <w:lang w:val="en-US" w:eastAsia="zh-CN" w:bidi="ar-SA"/>
        </w:rPr>
        <w:t>或以净水公司门户网站公告的形式发布</w:t>
      </w:r>
      <w:r>
        <w:rPr>
          <w:rFonts w:hint="eastAsia" w:ascii="仿宋_GB2312" w:eastAsia="仿宋_GB2312" w:cs="仿宋_GB2312"/>
          <w:color w:val="000000"/>
          <w:sz w:val="28"/>
          <w:szCs w:val="28"/>
          <w:highlight w:val="none"/>
          <w:lang w:bidi="ar-SA"/>
        </w:rPr>
        <w:t>。</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val="en-US" w:eastAsia="zh-CN" w:bidi="ar-SA"/>
        </w:rPr>
        <w:t>7.5 书面形式包括但不限于以纸质、电子邮件、门户网站信息公告等形式。</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三、询价响应文件的编制和数量</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8．询价响应费用</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8.1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单位应承担所有与准备和参加询价响应有关的费用。不论询价的结果如何，</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人均无义务和责任承担这些费用。</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9．报价的语言及计量</w:t>
      </w:r>
    </w:p>
    <w:p>
      <w:pPr>
        <w:pStyle w:val="10"/>
        <w:adjustRightInd w:val="0"/>
        <w:snapToGrid w:val="0"/>
        <w:spacing w:line="300" w:lineRule="auto"/>
        <w:ind w:left="360" w:hanging="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单位提交的询价响应文件以及</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单位与</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人就有关询价的所有来往函电均应使用中文。</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9.2除非询价文件中另有规定，报价单位在询价响应文件中及其与</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人的所有往来文件中的计量单位均应采用中华人民共和国法定计量单位。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10．询价响应文件的构成</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10.1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单位编制的询价响应文件应包括但不少于本询价文件第四章《询价响应文件格式》的所有内容。</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 询价响应文件编制</w:t>
      </w:r>
    </w:p>
    <w:p>
      <w:pPr>
        <w:spacing w:line="300" w:lineRule="auto"/>
        <w:ind w:left="630" w:hanging="610" w:hangingChars="225"/>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单位应按响应文件格式编制询价响应文件。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11.2</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单位必须对询价响应文件所提供的全部资料的真实性承担法律责任，并无条件接受（</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人）等对其中任何资料进行核实的要求。</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单位必须对询价响应文件所提供的全部资料的真实性承担法律责任。</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11.3如果因为</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单位询价响应文件填报的内容不详，或没有提供询价文件中所要求的全部资料及数据，由此造成的后果，其责任由</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单位承担。</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 报价</w:t>
      </w:r>
    </w:p>
    <w:p>
      <w:pPr>
        <w:autoSpaceDE w:val="0"/>
        <w:autoSpaceDN w:val="0"/>
        <w:adjustRightInd w:val="0"/>
        <w:snapToGrid w:val="0"/>
        <w:spacing w:line="300" w:lineRule="auto"/>
        <w:ind w:left="560" w:right="-148"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12.3任何有选择性报价的报价，将被视为无效报价。</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12.4报价人不得存在以下情形之一：</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（1）与询价人存在利害关系且可能影响询价公正性；</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（2）法定代表人或单位负责人为同一个人或者存在控股、管理关系的不同单位,同时参加同一项目或同一子项目；</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（3）为本询价项目提供过设计、编制技术规范和其他文件的咨询服务；</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（4）被依法暂停或者取消投标资格；</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（5）被责令停产停业、暂扣或者吊销许可证、暂扣或者吊销执照；</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（6）进入清算程序，或被宣告破产，或其他丧失履约能力的情形；</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（7）在参加本项目前3年内在存在重大违法记录；</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（8）被“全国企业信用信息公示系统”（网址：http://www.gsxt.gov.cn/）列入经营异常名录和严重违法企业名单；</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（9）被《信用中国》网站（www.creditchina.gov.cn）公示存在不良信用记录；</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 w:eastAsia="仿宋" w:cs="仿宋_GB2312"/>
          <w:color w:val="auto"/>
          <w:sz w:val="28"/>
          <w:szCs w:val="28"/>
          <w:highlight w:val="none"/>
          <w:lang w:bidi="ar-SA"/>
        </w:rPr>
        <w:t xml:space="preserve">（10）本项目截止时间前的半年中，在询价人组织的招标、询价活动中有被查实提供虚假材料的。 </w:t>
      </w:r>
    </w:p>
    <w:p>
      <w:pPr>
        <w:pStyle w:val="10"/>
        <w:adjustRightInd w:val="0"/>
        <w:snapToGrid w:val="0"/>
        <w:spacing w:line="300" w:lineRule="auto"/>
        <w:ind w:left="544" w:leftChars="1" w:hanging="542" w:hangingChars="200"/>
        <w:rPr>
          <w:rFonts w:hint="eastAsia" w:ascii="仿宋_GB2312" w:eastAsia="仿宋_GB2312" w:cs="仿宋_GB2312"/>
          <w:color w:val="000000"/>
          <w:kern w:val="0"/>
          <w:sz w:val="28"/>
          <w:szCs w:val="28"/>
          <w:highlight w:val="none"/>
          <w:lang w:eastAsia="zh-CN" w:bidi="ar-SA"/>
        </w:rPr>
      </w:pPr>
      <w:r>
        <w:rPr>
          <w:rFonts w:hint="eastAsia" w:ascii="仿宋_GB2312" w:eastAsia="仿宋_GB2312" w:cs="仿宋_GB2312"/>
          <w:color w:val="000000"/>
          <w:kern w:val="0"/>
          <w:sz w:val="28"/>
          <w:szCs w:val="28"/>
          <w:highlight w:val="none"/>
          <w:lang w:bidi="ar-SA"/>
        </w:rPr>
        <w:t xml:space="preserve">13. </w:t>
      </w:r>
      <w:r>
        <w:rPr>
          <w:rFonts w:hint="eastAsia" w:ascii="仿宋_GB2312" w:eastAsia="仿宋_GB2312" w:cs="仿宋_GB2312"/>
          <w:color w:val="000000"/>
          <w:kern w:val="0"/>
          <w:sz w:val="28"/>
          <w:szCs w:val="28"/>
          <w:highlight w:val="none"/>
          <w:lang w:val="en-US" w:eastAsia="zh-CN" w:bidi="ar-SA"/>
        </w:rPr>
        <w:t>不接受</w:t>
      </w:r>
      <w:r>
        <w:rPr>
          <w:rFonts w:hint="eastAsia" w:ascii="仿宋_GB2312" w:eastAsia="仿宋_GB2312" w:cs="仿宋_GB2312"/>
          <w:color w:val="000000"/>
          <w:kern w:val="0"/>
          <w:sz w:val="28"/>
          <w:szCs w:val="28"/>
          <w:highlight w:val="none"/>
          <w:lang w:bidi="ar-SA"/>
        </w:rPr>
        <w:t>联合体报价</w:t>
      </w:r>
      <w:r>
        <w:rPr>
          <w:rFonts w:hint="eastAsia" w:ascii="仿宋_GB2312" w:eastAsia="仿宋_GB2312" w:cs="仿宋_GB2312"/>
          <w:color w:val="000000"/>
          <w:kern w:val="0"/>
          <w:sz w:val="28"/>
          <w:szCs w:val="28"/>
          <w:highlight w:val="none"/>
          <w:lang w:eastAsia="zh-CN" w:bidi="ar-SA"/>
        </w:rPr>
        <w:t>。</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14.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单位资格证明文件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14.1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14.2资格证明文件必须真实有效，复印件必须加盖单位印章。</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 报价有效期</w:t>
      </w:r>
    </w:p>
    <w:p>
      <w:pPr>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15.1询价响应文件应在</w:t>
      </w:r>
      <w:r>
        <w:rPr>
          <w:rFonts w:hint="eastAsia" w:ascii="仿宋" w:eastAsia="仿宋" w:cs="仿宋_GB2312"/>
          <w:color w:val="000000"/>
          <w:sz w:val="28"/>
          <w:szCs w:val="28"/>
          <w:highlight w:val="none"/>
          <w:lang w:val="en-US" w:eastAsia="zh-CN" w:bidi="ar-SA"/>
        </w:rPr>
        <w:t>递交</w:t>
      </w:r>
      <w:r>
        <w:rPr>
          <w:rFonts w:hint="eastAsia" w:ascii="仿宋" w:eastAsia="仿宋" w:cs="仿宋_GB2312"/>
          <w:color w:val="000000"/>
          <w:sz w:val="28"/>
          <w:szCs w:val="28"/>
          <w:highlight w:val="none"/>
          <w:lang w:bidi="ar-SA"/>
        </w:rPr>
        <w:t>响应文件截止时间</w:t>
      </w:r>
      <w:r>
        <w:rPr>
          <w:rFonts w:hint="eastAsia" w:ascii="仿宋_GB2312" w:eastAsia="仿宋_GB2312" w:cs="仿宋_GB2312"/>
          <w:color w:val="000000"/>
          <w:sz w:val="28"/>
          <w:szCs w:val="28"/>
          <w:highlight w:val="none"/>
          <w:lang w:bidi="ar-SA"/>
        </w:rPr>
        <w:t>起</w:t>
      </w:r>
      <w:r>
        <w:rPr>
          <w:rFonts w:hint="eastAsia" w:ascii="仿宋_GB2312" w:eastAsia="仿宋_GB2312" w:cs="仿宋_GB2312"/>
          <w:color w:val="000000"/>
          <w:sz w:val="28"/>
          <w:szCs w:val="28"/>
          <w:highlight w:val="none"/>
          <w:u w:val="single"/>
          <w:lang w:bidi="ar-SA"/>
        </w:rPr>
        <w:t>90</w:t>
      </w:r>
      <w:r>
        <w:rPr>
          <w:rFonts w:hint="eastAsia" w:ascii="仿宋_GB2312" w:eastAsia="仿宋_GB2312" w:cs="仿宋_GB2312"/>
          <w:color w:val="000000"/>
          <w:sz w:val="28"/>
          <w:szCs w:val="28"/>
          <w:highlight w:val="none"/>
          <w:lang w:bidi="ar-SA"/>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15.2特殊情况下，</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人可于报价有效期期满之前，要求</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16. 询价响应文件的数量和签署</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 xml:space="preserve">16.1 </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单位应编制询价响应文件一式</w:t>
      </w:r>
      <w:r>
        <w:rPr>
          <w:rFonts w:hint="eastAsia" w:ascii="仿宋_GB2312" w:eastAsia="仿宋_GB2312" w:cs="仿宋_GB2312"/>
          <w:color w:val="000000"/>
          <w:kern w:val="0"/>
          <w:sz w:val="28"/>
          <w:szCs w:val="28"/>
          <w:highlight w:val="none"/>
          <w:u w:val="single"/>
          <w:lang w:val="en-US" w:eastAsia="zh-CN" w:bidi="ar-SA"/>
        </w:rPr>
        <w:t>2</w:t>
      </w:r>
      <w:r>
        <w:rPr>
          <w:rFonts w:hint="eastAsia" w:ascii="仿宋_GB2312" w:eastAsia="仿宋_GB2312" w:cs="仿宋_GB2312"/>
          <w:color w:val="000000"/>
          <w:kern w:val="0"/>
          <w:sz w:val="28"/>
          <w:szCs w:val="28"/>
          <w:highlight w:val="none"/>
          <w:lang w:bidi="ar-SA"/>
        </w:rPr>
        <w:t>份，其中正本一份和副本</w:t>
      </w:r>
      <w:r>
        <w:rPr>
          <w:rFonts w:hint="eastAsia" w:ascii="仿宋_GB2312" w:eastAsia="仿宋_GB2312" w:cs="仿宋_GB2312"/>
          <w:color w:val="000000"/>
          <w:kern w:val="0"/>
          <w:sz w:val="28"/>
          <w:szCs w:val="28"/>
          <w:highlight w:val="none"/>
          <w:u w:val="single"/>
          <w:lang w:val="en-US" w:eastAsia="zh-CN" w:bidi="ar-SA"/>
        </w:rPr>
        <w:t>各一</w:t>
      </w:r>
      <w:r>
        <w:rPr>
          <w:rFonts w:hint="eastAsia" w:ascii="仿宋_GB2312" w:eastAsia="仿宋_GB2312" w:cs="仿宋_GB2312"/>
          <w:color w:val="000000"/>
          <w:kern w:val="0"/>
          <w:sz w:val="28"/>
          <w:szCs w:val="28"/>
          <w:highlight w:val="none"/>
          <w:lang w:bidi="ar-SA"/>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四、询价响应文件的递交</w:t>
      </w:r>
    </w:p>
    <w:p>
      <w:pPr>
        <w:autoSpaceDE w:val="0"/>
        <w:autoSpaceDN w:val="0"/>
        <w:adjustRightInd w:val="0"/>
        <w:snapToGrid w:val="0"/>
        <w:spacing w:line="300" w:lineRule="auto"/>
        <w:ind w:left="560" w:right="32" w:hanging="542" w:hangingChars="20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 询价响应文件的密封和标记</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17.1</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单位应将询价响应文件正本和副本用单独的信封密封，注明“正本”或“副本”字样。</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17.2每一密封信封均应：</w:t>
      </w:r>
    </w:p>
    <w:p>
      <w:pPr>
        <w:pStyle w:val="10"/>
        <w:adjustRightInd w:val="0"/>
        <w:snapToGrid w:val="0"/>
        <w:spacing w:line="300" w:lineRule="auto"/>
        <w:ind w:left="1385" w:leftChars="343" w:hanging="696" w:hangingChars="257"/>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（1）标明项目编号、项目名称，并注明“正本”或“副本”字样；</w:t>
      </w:r>
    </w:p>
    <w:p>
      <w:pPr>
        <w:pStyle w:val="10"/>
        <w:adjustRightInd w:val="0"/>
        <w:snapToGrid w:val="0"/>
        <w:spacing w:line="300" w:lineRule="auto"/>
        <w:ind w:left="1385" w:leftChars="343" w:hanging="696" w:hangingChars="257"/>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（2）注明“于（递交询价响应文件截止时间）之前不准启封”的字样。</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17.3如果信封未按本须知第17.1条和第17.2条要求密封的，</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人对误投或过早启封概不负责。</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17.4询价响应文件未密封的或在递交截止时间后递交的，</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18.1</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18.2</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人可以通过修改询价文件自行决定酌情延长询价响应文件递交截止时间。在此情况下，</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人和</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19.1</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单位在递交询价响应文件截止时间前，可以对所递交的询价响应文件进行补充、修改或者撤回，并书面通知</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 xml:space="preserve">19.2 </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单位在递交询价响应文件后，可以撤回其报价，但</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单位必须在规定的询价响应文件递交截止时间前以书面形式告知</w:t>
      </w:r>
      <w:r>
        <w:rPr>
          <w:rFonts w:hint="eastAsia" w:ascii="仿宋_GB2312" w:eastAsia="仿宋_GB2312" w:cs="仿宋_GB2312"/>
          <w:color w:val="000000"/>
          <w:sz w:val="28"/>
          <w:szCs w:val="28"/>
          <w:highlight w:val="none"/>
          <w:u w:val="single"/>
          <w:lang w:bidi="ar-SA"/>
        </w:rPr>
        <w:t>（</w:t>
      </w:r>
      <w:r>
        <w:rPr>
          <w:rFonts w:hint="eastAsia" w:ascii="仿宋_GB2312" w:eastAsia="仿宋_GB2312" w:cs="仿宋_GB2312"/>
          <w:color w:val="000000"/>
          <w:sz w:val="28"/>
          <w:szCs w:val="28"/>
          <w:highlight w:val="none"/>
          <w:u w:val="single"/>
          <w:lang w:val="en-US" w:eastAsia="zh-CN" w:bidi="ar-SA"/>
        </w:rPr>
        <w:t>询价</w:t>
      </w:r>
      <w:r>
        <w:rPr>
          <w:rFonts w:hint="eastAsia" w:ascii="仿宋_GB2312" w:eastAsia="仿宋_GB2312" w:cs="仿宋_GB2312"/>
          <w:color w:val="000000"/>
          <w:sz w:val="28"/>
          <w:szCs w:val="28"/>
          <w:highlight w:val="none"/>
          <w:u w:val="single"/>
          <w:lang w:bidi="ar-SA"/>
        </w:rPr>
        <w:t>人）</w:t>
      </w:r>
      <w:r>
        <w:rPr>
          <w:rFonts w:hint="eastAsia" w:ascii="仿宋_GB2312" w:eastAsia="仿宋_GB2312" w:cs="仿宋_GB2312"/>
          <w:color w:val="000000"/>
          <w:kern w:val="0"/>
          <w:sz w:val="28"/>
          <w:szCs w:val="28"/>
          <w:highlight w:val="none"/>
          <w:lang w:bidi="ar-SA"/>
        </w:rPr>
        <w:t>。从询价响应文件递交截止时间至</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单位承诺的报价有效期内，</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19.3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 xml:space="preserve">20.1 </w:t>
      </w:r>
      <w:r>
        <w:rPr>
          <w:rFonts w:hint="eastAsia" w:ascii="仿宋_GB2312" w:eastAsia="仿宋_GB2312" w:cs="仿宋_GB2312"/>
          <w:color w:val="000000"/>
          <w:kern w:val="0"/>
          <w:sz w:val="28"/>
          <w:szCs w:val="28"/>
          <w:highlight w:val="none"/>
          <w:lang w:bidi="ar-SA"/>
        </w:rPr>
        <w:t>评审由</w:t>
      </w:r>
      <w:r>
        <w:rPr>
          <w:rFonts w:hint="eastAsia" w:ascii="仿宋_GB2312" w:eastAsia="仿宋_GB2312" w:cs="仿宋_GB2312"/>
          <w:color w:val="000000"/>
          <w:sz w:val="28"/>
          <w:szCs w:val="28"/>
          <w:highlight w:val="none"/>
          <w:u w:val="single"/>
          <w:lang w:eastAsia="zh-CN" w:bidi="ar-SA"/>
        </w:rPr>
        <w:t>询价</w:t>
      </w:r>
      <w:r>
        <w:rPr>
          <w:rFonts w:hint="eastAsia" w:ascii="仿宋_GB2312" w:eastAsia="仿宋_GB2312" w:cs="仿宋_GB2312"/>
          <w:color w:val="000000"/>
          <w:sz w:val="28"/>
          <w:szCs w:val="28"/>
          <w:highlight w:val="none"/>
          <w:u w:val="single"/>
          <w:lang w:bidi="ar-SA"/>
        </w:rPr>
        <w:t>人</w:t>
      </w:r>
      <w:r>
        <w:rPr>
          <w:rFonts w:hint="eastAsia" w:ascii="仿宋_GB2312" w:eastAsia="仿宋_GB2312" w:cs="仿宋_GB2312"/>
          <w:color w:val="000000"/>
          <w:kern w:val="0"/>
          <w:sz w:val="28"/>
          <w:szCs w:val="28"/>
          <w:highlight w:val="none"/>
          <w:lang w:bidi="ar-SA"/>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Times New Roman"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20.3询价小组依法根据询价文件的规定对询价响应文件进行评审,并据此推</w:t>
      </w:r>
      <w:r>
        <w:rPr>
          <w:rFonts w:hint="eastAsia" w:ascii="仿宋_GB2312" w:hAnsi="Times New Roman" w:eastAsia="仿宋_GB2312" w:cs="仿宋_GB2312"/>
          <w:color w:val="000000"/>
          <w:kern w:val="0"/>
          <w:sz w:val="28"/>
          <w:szCs w:val="28"/>
          <w:highlight w:val="none"/>
          <w:lang w:bidi="ar-SA"/>
        </w:rPr>
        <w:t>荐成交候选人。</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20.4拆封询价响应文件时，出现下列情形之一的，不参与评审：</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（1）响应文件没密封完整的，或封面未注明报价单位名称、项目名称、日期等项目信息的；</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（2）响应文件中的法定代表人或授权代理人与报价响应文件登记表的信息不一致的。</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21.1参加询价的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w:t>
      </w:r>
      <w:r>
        <w:rPr>
          <w:rFonts w:hint="eastAsia" w:ascii="仿宋_GB2312" w:eastAsia="仿宋_GB2312" w:cs="仿宋_GB2312"/>
          <w:color w:val="000000"/>
          <w:kern w:val="0"/>
          <w:sz w:val="28"/>
          <w:szCs w:val="28"/>
          <w:highlight w:val="none"/>
          <w:lang w:val="en-US" w:eastAsia="zh-CN" w:bidi="ar-SA"/>
        </w:rPr>
        <w:t>经自行报名</w:t>
      </w:r>
      <w:r>
        <w:rPr>
          <w:rFonts w:hint="eastAsia" w:ascii="仿宋_GB2312" w:eastAsia="仿宋_GB2312" w:cs="仿宋_GB2312"/>
          <w:color w:val="000000"/>
          <w:kern w:val="0"/>
          <w:sz w:val="28"/>
          <w:szCs w:val="28"/>
          <w:highlight w:val="none"/>
          <w:lang w:bidi="ar-SA"/>
        </w:rPr>
        <w:t>产生。由询价小组对参加询价的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21.2在询价过程中对询价文件未能实质响应的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单位不足三家时，询价小组可以从其他符合相应资格条件的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单位名单中补充；补充后仍不足三家或者没有可供补充的合格</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人可以从已选出的候选</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21.3 在询价过程中，响应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单位提交的澄清文件由响应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单位法人代表或授权代表签署后生效，响应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单位应受其约束。</w:t>
      </w:r>
    </w:p>
    <w:p>
      <w:pPr>
        <w:keepNext w:val="0"/>
        <w:keepLines w:val="0"/>
        <w:pageBreakBefore w:val="0"/>
        <w:widowControl w:val="0"/>
        <w:kinsoku/>
        <w:wordWrap/>
        <w:overflowPunct/>
        <w:topLinePunct w:val="0"/>
        <w:autoSpaceDE w:val="0"/>
        <w:autoSpaceDN w:val="0"/>
        <w:adjustRightInd w:val="0"/>
        <w:snapToGrid w:val="0"/>
        <w:spacing w:line="264" w:lineRule="auto"/>
        <w:ind w:left="630" w:right="32" w:hanging="610" w:hangingChars="225"/>
        <w:rPr>
          <w:rFonts w:hint="eastAsia" w:ascii="仿宋" w:eastAsia="仿宋" w:cs="仿宋_GB2312"/>
          <w:b w:val="0"/>
          <w:bCs/>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21.4 询</w:t>
      </w:r>
      <w:r>
        <w:rPr>
          <w:rFonts w:hint="eastAsia" w:ascii="仿宋_GB2312" w:eastAsia="仿宋_GB2312" w:cs="仿宋_GB2312"/>
          <w:bCs/>
          <w:color w:val="000000"/>
          <w:kern w:val="0"/>
          <w:sz w:val="28"/>
          <w:szCs w:val="28"/>
          <w:highlight w:val="none"/>
          <w:lang w:bidi="ar-SA"/>
        </w:rPr>
        <w:t>价小组进行综合评议。对提供工程质量、服务均能满足询价文件规定最低要求的</w:t>
      </w:r>
      <w:r>
        <w:rPr>
          <w:rFonts w:hint="eastAsia" w:ascii="仿宋_GB2312" w:eastAsia="仿宋_GB2312" w:cs="仿宋_GB2312"/>
          <w:bCs/>
          <w:color w:val="000000"/>
          <w:kern w:val="0"/>
          <w:sz w:val="28"/>
          <w:szCs w:val="28"/>
          <w:highlight w:val="none"/>
          <w:lang w:eastAsia="zh-CN" w:bidi="ar-SA"/>
        </w:rPr>
        <w:t>报价</w:t>
      </w:r>
      <w:r>
        <w:rPr>
          <w:rFonts w:hint="eastAsia" w:ascii="仿宋_GB2312" w:eastAsia="仿宋_GB2312" w:cs="仿宋_GB2312"/>
          <w:bCs/>
          <w:color w:val="000000"/>
          <w:kern w:val="0"/>
          <w:sz w:val="28"/>
          <w:szCs w:val="28"/>
          <w:highlight w:val="none"/>
          <w:lang w:bidi="ar-SA"/>
        </w:rPr>
        <w:t>单位归列为推荐成交的候选对象，</w:t>
      </w:r>
      <w:r>
        <w:rPr>
          <w:rFonts w:hint="eastAsia" w:ascii="仿宋_GB2312" w:eastAsia="仿宋_GB2312" w:cs="仿宋_GB2312"/>
          <w:bCs/>
          <w:color w:val="000000"/>
          <w:kern w:val="0"/>
          <w:sz w:val="28"/>
          <w:szCs w:val="28"/>
          <w:highlight w:val="none"/>
          <w:lang w:eastAsia="zh-CN" w:bidi="ar-SA"/>
        </w:rPr>
        <w:t>询价</w:t>
      </w:r>
      <w:r>
        <w:rPr>
          <w:rFonts w:hint="eastAsia" w:ascii="仿宋_GB2312" w:eastAsia="仿宋_GB2312" w:cs="仿宋_GB2312"/>
          <w:bCs/>
          <w:color w:val="000000"/>
          <w:kern w:val="0"/>
          <w:sz w:val="28"/>
          <w:szCs w:val="28"/>
          <w:highlight w:val="none"/>
          <w:lang w:bidi="ar-SA"/>
        </w:rPr>
        <w:t>人依照候选</w:t>
      </w:r>
      <w:r>
        <w:rPr>
          <w:rFonts w:hint="eastAsia" w:ascii="仿宋_GB2312" w:eastAsia="仿宋_GB2312" w:cs="仿宋_GB2312"/>
          <w:bCs/>
          <w:color w:val="000000"/>
          <w:kern w:val="0"/>
          <w:sz w:val="28"/>
          <w:szCs w:val="28"/>
          <w:highlight w:val="none"/>
          <w:lang w:eastAsia="zh-CN" w:bidi="ar-SA"/>
        </w:rPr>
        <w:t>报价</w:t>
      </w:r>
      <w:r>
        <w:rPr>
          <w:rFonts w:hint="eastAsia" w:ascii="仿宋_GB2312" w:eastAsia="仿宋_GB2312" w:cs="仿宋_GB2312"/>
          <w:bCs/>
          <w:color w:val="000000"/>
          <w:kern w:val="0"/>
          <w:sz w:val="28"/>
          <w:szCs w:val="28"/>
          <w:highlight w:val="none"/>
          <w:lang w:bidi="ar-SA"/>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22.3超过最高限价的报价将被拒绝。</w:t>
      </w:r>
    </w:p>
    <w:p>
      <w:pPr>
        <w:spacing w:line="36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六、确定承包人</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23.确定承包人原则</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23.1根据符合</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23.2承包人确定后，</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w:t>
      </w:r>
      <w:r>
        <w:rPr>
          <w:rFonts w:hint="eastAsia" w:ascii="仿宋_GB2312" w:eastAsia="仿宋_GB2312" w:cs="仿宋_GB2312"/>
          <w:color w:val="000000"/>
          <w:kern w:val="0"/>
          <w:sz w:val="28"/>
          <w:szCs w:val="28"/>
          <w:highlight w:val="none"/>
          <w:lang w:bidi="ar-SA"/>
        </w:rPr>
        <w:t>向承包人发出《发包通知书》，</w:t>
      </w:r>
      <w:r>
        <w:rPr>
          <w:rFonts w:hint="eastAsia" w:ascii="仿宋_GB2312" w:eastAsia="仿宋_GB2312" w:cs="仿宋_GB2312"/>
          <w:color w:val="000000"/>
          <w:sz w:val="28"/>
          <w:szCs w:val="28"/>
          <w:highlight w:val="none"/>
          <w:lang w:bidi="ar-SA"/>
        </w:rPr>
        <w:t>对承包人和</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人具有同等法律效力</w:t>
      </w:r>
      <w:r>
        <w:rPr>
          <w:rFonts w:hint="eastAsia" w:ascii="仿宋_GB2312" w:eastAsia="仿宋_GB2312" w:cs="仿宋_GB2312"/>
          <w:color w:val="000000"/>
          <w:kern w:val="0"/>
          <w:sz w:val="28"/>
          <w:szCs w:val="28"/>
          <w:highlight w:val="none"/>
          <w:lang w:bidi="ar-SA"/>
        </w:rPr>
        <w:t>。</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七、 合同的订立和履行</w:t>
      </w:r>
    </w:p>
    <w:p>
      <w:pPr>
        <w:autoSpaceDE w:val="0"/>
        <w:autoSpaceDN w:val="0"/>
        <w:adjustRightInd w:val="0"/>
        <w:snapToGrid w:val="0"/>
        <w:spacing w:line="300" w:lineRule="auto"/>
        <w:ind w:right="32"/>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24. 合同的订立</w:t>
      </w:r>
    </w:p>
    <w:p>
      <w:pPr>
        <w:autoSpaceDE w:val="0"/>
        <w:autoSpaceDN w:val="0"/>
        <w:adjustRightInd w:val="0"/>
        <w:snapToGrid w:val="0"/>
        <w:spacing w:line="300" w:lineRule="auto"/>
        <w:ind w:left="0" w:right="32" w:firstLine="542" w:firstLineChars="200"/>
        <w:rPr>
          <w:rFonts w:hint="eastAsia" w:ascii="仿宋" w:eastAsia="仿宋" w:cs="仿宋_GB2312"/>
          <w:color w:val="000000"/>
          <w:sz w:val="28"/>
          <w:szCs w:val="28"/>
          <w:highlight w:val="none"/>
          <w:lang w:bidi="ar-SA"/>
        </w:rPr>
      </w:pPr>
      <w:r>
        <w:rPr>
          <w:rFonts w:hint="eastAsia" w:ascii="仿宋_GB2312" w:eastAsia="仿宋_GB2312" w:cs="仿宋_GB2312"/>
          <w:color w:val="000000"/>
          <w:kern w:val="0"/>
          <w:sz w:val="28"/>
          <w:szCs w:val="28"/>
          <w:highlight w:val="none"/>
          <w:lang w:bidi="ar-SA"/>
        </w:rPr>
        <w:t xml:space="preserve">24.1 </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highlight w:val="none"/>
          <w:lang w:bidi="ar-SA"/>
        </w:rPr>
        <w:t>不得超出询价文件和承包人询价响应文件的范围、也不得再行订立背离合同实质性内容的其他协议。</w:t>
      </w:r>
      <w:r>
        <w:rPr>
          <w:rFonts w:hint="eastAsia" w:ascii="仿宋" w:eastAsia="仿宋" w:cs="仿宋_GB2312"/>
          <w:color w:val="000000"/>
          <w:kern w:val="0"/>
          <w:sz w:val="28"/>
          <w:szCs w:val="28"/>
          <w:highlight w:val="none"/>
          <w:lang w:bidi="ar-SA"/>
        </w:rPr>
        <w:t>因承包人原因导致未按规定时限签订合同的，发包人有权视为其自动放弃该项目</w:t>
      </w:r>
      <w:r>
        <w:rPr>
          <w:rFonts w:hint="eastAsia" w:ascii="仿宋" w:eastAsia="仿宋" w:cs="仿宋_GB2312"/>
          <w:color w:val="000000"/>
          <w:kern w:val="0"/>
          <w:sz w:val="28"/>
          <w:szCs w:val="28"/>
          <w:highlight w:val="none"/>
          <w:lang w:val="en-US" w:eastAsia="zh-CN" w:bidi="ar-SA"/>
        </w:rPr>
        <w:t>承包资格</w:t>
      </w:r>
      <w:r>
        <w:rPr>
          <w:rFonts w:hint="eastAsia" w:ascii="仿宋" w:eastAsia="仿宋" w:cs="仿宋_GB2312"/>
          <w:color w:val="000000"/>
          <w:kern w:val="0"/>
          <w:sz w:val="28"/>
          <w:szCs w:val="28"/>
          <w:highlight w:val="none"/>
          <w:lang w:bidi="ar-SA"/>
        </w:rPr>
        <w:t>。</w:t>
      </w:r>
    </w:p>
    <w:p>
      <w:pPr>
        <w:adjustRightInd w:val="0"/>
        <w:snapToGrid w:val="0"/>
        <w:spacing w:line="300" w:lineRule="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 合同的履行</w:t>
      </w:r>
    </w:p>
    <w:p>
      <w:pPr>
        <w:autoSpaceDE w:val="0"/>
        <w:autoSpaceDN w:val="0"/>
        <w:adjustRightInd w:val="0"/>
        <w:snapToGrid w:val="0"/>
        <w:spacing w:line="300" w:lineRule="auto"/>
        <w:ind w:left="700" w:right="32" w:hanging="678" w:hangingChars="25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25.1承包合同订立后，合同各方不得擅自变更、中止或者终止合同。承包合同需要变更的，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人应将有关合同变更内容，以书面形式报公司</w:t>
      </w:r>
      <w:r>
        <w:rPr>
          <w:rFonts w:hint="eastAsia" w:ascii="仿宋_GB2312" w:eastAsia="仿宋_GB2312" w:cs="仿宋_GB2312"/>
          <w:color w:val="000000"/>
          <w:kern w:val="0"/>
          <w:sz w:val="28"/>
          <w:szCs w:val="28"/>
          <w:highlight w:val="none"/>
          <w:lang w:eastAsia="zh-CN" w:bidi="ar-SA"/>
        </w:rPr>
        <w:t>招标办</w:t>
      </w:r>
      <w:r>
        <w:rPr>
          <w:rFonts w:hint="eastAsia" w:ascii="仿宋_GB2312" w:eastAsia="仿宋_GB2312" w:cs="仿宋_GB2312"/>
          <w:color w:val="000000"/>
          <w:kern w:val="0"/>
          <w:sz w:val="28"/>
          <w:szCs w:val="28"/>
          <w:highlight w:val="none"/>
          <w:lang w:bidi="ar-SA"/>
        </w:rPr>
        <w:t>备案；因特殊情况需要中止或终止合同的，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人应将中止或终止合同的理由以及相应措施，以书面形式报公司</w:t>
      </w:r>
      <w:r>
        <w:rPr>
          <w:rFonts w:hint="eastAsia" w:ascii="仿宋_GB2312" w:eastAsia="仿宋_GB2312" w:cs="仿宋_GB2312"/>
          <w:color w:val="000000"/>
          <w:kern w:val="0"/>
          <w:sz w:val="28"/>
          <w:szCs w:val="28"/>
          <w:highlight w:val="none"/>
          <w:lang w:eastAsia="zh-CN" w:bidi="ar-SA"/>
        </w:rPr>
        <w:t>招标办</w:t>
      </w:r>
      <w:r>
        <w:rPr>
          <w:rFonts w:hint="eastAsia" w:ascii="仿宋_GB2312" w:eastAsia="仿宋_GB2312" w:cs="仿宋_GB2312"/>
          <w:color w:val="000000"/>
          <w:kern w:val="0"/>
          <w:sz w:val="28"/>
          <w:szCs w:val="28"/>
          <w:highlight w:val="none"/>
          <w:lang w:bidi="ar-SA"/>
        </w:rPr>
        <w:t>。</w:t>
      </w:r>
    </w:p>
    <w:p>
      <w:pPr>
        <w:autoSpaceDE w:val="0"/>
        <w:autoSpaceDN w:val="0"/>
        <w:adjustRightInd w:val="0"/>
        <w:snapToGrid w:val="0"/>
        <w:spacing w:line="300" w:lineRule="auto"/>
        <w:ind w:left="700" w:right="32" w:hanging="678" w:hangingChars="25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25.2 承包人因不可抗力或者自身原因不能履行承包合同的，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w:t>
      </w:r>
      <w:r>
        <w:rPr>
          <w:rFonts w:hint="eastAsia" w:ascii="仿宋_GB2312" w:eastAsia="仿宋_GB2312" w:cs="仿宋_GB2312"/>
          <w:color w:val="000000"/>
          <w:sz w:val="28"/>
          <w:szCs w:val="28"/>
          <w:highlight w:val="none"/>
          <w:lang w:bidi="ar-SA"/>
        </w:rPr>
        <w:t>可以与排位在承包人之后第一位的成交候选</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单位签订承包</w:t>
      </w:r>
      <w:r>
        <w:rPr>
          <w:rFonts w:hint="eastAsia" w:ascii="仿宋_GB2312" w:eastAsia="仿宋_GB2312" w:cs="仿宋_GB2312"/>
          <w:color w:val="000000"/>
          <w:kern w:val="0"/>
          <w:sz w:val="28"/>
          <w:szCs w:val="28"/>
          <w:highlight w:val="none"/>
          <w:lang w:bidi="ar-SA"/>
        </w:rPr>
        <w:t>合同，以此类推。</w:t>
      </w:r>
    </w:p>
    <w:p>
      <w:pPr>
        <w:autoSpaceDE w:val="0"/>
        <w:autoSpaceDN w:val="0"/>
        <w:adjustRightInd w:val="0"/>
        <w:snapToGrid w:val="0"/>
        <w:spacing w:line="300" w:lineRule="auto"/>
        <w:ind w:left="420" w:right="32" w:hanging="420"/>
        <w:rPr>
          <w:rFonts w:hint="eastAsia" w:ascii="仿宋_GB2312" w:eastAsia="仿宋_GB2312" w:cs="仿宋_GB2312"/>
          <w:b/>
          <w:color w:val="000000"/>
          <w:kern w:val="0"/>
          <w:sz w:val="28"/>
          <w:szCs w:val="28"/>
          <w:highlight w:val="none"/>
          <w:lang w:bidi="ar-SA"/>
        </w:rPr>
      </w:pPr>
      <w:r>
        <w:rPr>
          <w:rFonts w:hint="eastAsia" w:ascii="仿宋_GB2312" w:eastAsia="仿宋_GB2312" w:cs="仿宋_GB2312"/>
          <w:b/>
          <w:color w:val="000000"/>
          <w:kern w:val="0"/>
          <w:sz w:val="28"/>
          <w:szCs w:val="28"/>
          <w:highlight w:val="none"/>
          <w:lang w:bidi="ar-SA"/>
        </w:rPr>
        <w:t>八、质疑</w:t>
      </w:r>
    </w:p>
    <w:p>
      <w:pPr>
        <w:autoSpaceDE w:val="0"/>
        <w:autoSpaceDN w:val="0"/>
        <w:adjustRightInd w:val="0"/>
        <w:snapToGrid w:val="0"/>
        <w:spacing w:line="300" w:lineRule="auto"/>
        <w:ind w:left="420" w:right="32" w:hanging="420"/>
        <w:rPr>
          <w:rFonts w:hint="eastAsia" w:ascii="仿宋" w:eastAsia="仿宋" w:cs="仿宋"/>
          <w:color w:val="000000"/>
          <w:sz w:val="36"/>
          <w:szCs w:val="36"/>
          <w:highlight w:val="none"/>
          <w:lang w:bidi="ar-SA"/>
        </w:rPr>
      </w:pPr>
      <w:r>
        <w:rPr>
          <w:rFonts w:hint="eastAsia" w:ascii="仿宋_GB2312" w:eastAsia="仿宋_GB2312" w:cs="仿宋_GB2312"/>
          <w:color w:val="000000"/>
          <w:sz w:val="28"/>
          <w:szCs w:val="28"/>
          <w:highlight w:val="none"/>
          <w:lang w:bidi="ar-SA"/>
        </w:rPr>
        <w:t>26. 如果</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人认为询价文件或询价过程或询价结果使其权益受到损害的，可向</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人提出书面质疑。</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4"/>
        <w:rPr>
          <w:rFonts w:ascii="仿宋" w:hAnsi="仿宋" w:eastAsia="仿宋" w:cs="仿宋_GB2312"/>
          <w:color w:val="000000"/>
        </w:rPr>
      </w:pPr>
      <w:bookmarkStart w:id="0" w:name="_Toc152042358"/>
      <w:bookmarkStart w:id="1" w:name="_Toc144974548"/>
      <w:bookmarkStart w:id="2" w:name="_Toc179632599"/>
      <w:bookmarkStart w:id="3" w:name="_Toc152045581"/>
      <w:bookmarkStart w:id="4" w:name="_Toc247085739"/>
      <w:bookmarkStart w:id="5" w:name="_Toc371433002"/>
      <w:r>
        <w:rPr>
          <w:rFonts w:hint="eastAsia" w:ascii="仿宋" w:hAnsi="仿宋" w:eastAsia="仿宋" w:cs="仿宋_GB2312"/>
          <w:color w:val="000000"/>
        </w:rPr>
        <w:t>附件一报价记录表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广州市净水有限公司大坦沙分公司2021年天车采购</w:t>
      </w:r>
      <w:r>
        <w:rPr>
          <w:rFonts w:hint="eastAsia" w:ascii="仿宋" w:hAnsi="仿宋" w:eastAsia="仿宋" w:cs="仿宋_GB2312"/>
          <w:color w:val="000000"/>
          <w:sz w:val="28"/>
          <w:szCs w:val="28"/>
          <w:lang w:eastAsia="zh-CN"/>
        </w:rPr>
        <w:t>（</w:t>
      </w:r>
      <w:r>
        <w:rPr>
          <w:rFonts w:hint="eastAsia" w:ascii="仿宋" w:hAnsi="仿宋" w:eastAsia="仿宋" w:cs="仿宋_GB2312"/>
          <w:color w:val="000000"/>
          <w:sz w:val="28"/>
          <w:szCs w:val="28"/>
          <w:lang w:val="en-US" w:eastAsia="zh-CN"/>
        </w:rPr>
        <w:t>第二次</w:t>
      </w:r>
      <w:r>
        <w:rPr>
          <w:rFonts w:hint="eastAsia" w:ascii="仿宋" w:hAnsi="仿宋" w:eastAsia="仿宋" w:cs="仿宋_GB2312"/>
          <w:color w:val="000000"/>
          <w:sz w:val="28"/>
          <w:szCs w:val="28"/>
          <w:lang w:eastAsia="zh-CN"/>
        </w:rPr>
        <w:t>）</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hint="eastAsia" w:ascii="仿宋" w:hAnsi="仿宋" w:eastAsia="仿宋" w:cs="仿宋_GB2312"/>
          <w:color w:val="000000"/>
          <w:u w:val="single"/>
          <w:lang w:eastAsia="zh-CN"/>
        </w:rPr>
      </w:pPr>
      <w:r>
        <w:rPr>
          <w:rFonts w:hint="eastAsia" w:ascii="仿宋" w:hAnsi="仿宋" w:eastAsia="仿宋" w:cs="仿宋_GB2312"/>
          <w:color w:val="000000"/>
        </w:rPr>
        <w:t>经办人：记录人：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广州市净水有限公司大坦沙分公司2021年天车采购</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第二次</w:t>
      </w:r>
      <w:r>
        <w:rPr>
          <w:rFonts w:hint="eastAsia" w:ascii="仿宋" w:hAnsi="仿宋" w:eastAsia="仿宋"/>
          <w:color w:val="000000" w:themeColor="text1"/>
          <w:sz w:val="24"/>
          <w:lang w:eastAsia="zh-CN"/>
          <w14:textFill>
            <w14:solidFill>
              <w14:schemeClr w14:val="tx1"/>
            </w14:solidFill>
          </w14:textFill>
        </w:rPr>
        <w:t>）</w:t>
      </w:r>
    </w:p>
    <w:tbl>
      <w:tblPr>
        <w:tblStyle w:val="19"/>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原</w:t>
            </w:r>
            <w:r>
              <w:rPr>
                <w:rFonts w:hint="eastAsia" w:ascii="仿宋" w:hAnsi="仿宋" w:eastAsia="仿宋" w:cs="仿宋"/>
                <w:color w:val="000000"/>
                <w:sz w:val="28"/>
                <w:szCs w:val="28"/>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r>
        <w:rPr>
          <w:rFonts w:ascii="仿宋" w:hAnsi="仿宋" w:eastAsia="仿宋"/>
          <w:color w:val="000000" w:themeColor="text1"/>
          <w14:textFill>
            <w14:solidFill>
              <w14:schemeClr w14:val="tx1"/>
            </w14:solidFill>
          </w14:textFill>
        </w:rPr>
        <w:t>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3" w:type="default"/>
          <w:footerReference r:id="rId5" w:type="default"/>
          <w:headerReference r:id="rId4"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第四部分合同书格式</w:t>
      </w:r>
    </w:p>
    <w:p>
      <w:pPr>
        <w:spacing w:after="0" w:line="240" w:lineRule="auto"/>
        <w:jc w:val="right"/>
        <w:rPr>
          <w:rFonts w:ascii="宋体" w:hAnsi="宋体" w:cs="Times New Roman"/>
          <w:b/>
          <w:color w:val="auto"/>
          <w:sz w:val="4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color w:val="auto"/>
          <w:sz w:val="30"/>
        </w:rPr>
      </w:pPr>
      <w:r>
        <w:rPr>
          <w:rFonts w:hint="eastAsia"/>
          <w:color w:val="auto"/>
          <w:sz w:val="30"/>
        </w:rPr>
        <w:t>项目名称：</w:t>
      </w:r>
      <w:r>
        <w:rPr>
          <w:rFonts w:hint="eastAsia" w:ascii="宋体" w:hAnsi="宋体" w:cs="宋体"/>
          <w:b/>
          <w:bCs/>
          <w:color w:val="auto"/>
          <w:sz w:val="30"/>
          <w:lang w:eastAsia="zh-CN"/>
        </w:rPr>
        <w:t>广州市净水有限公司大坦沙分公司</w:t>
      </w:r>
      <w:r>
        <w:rPr>
          <w:rFonts w:hint="eastAsia" w:ascii="宋体" w:hAnsi="宋体" w:cs="宋体"/>
          <w:b/>
          <w:bCs/>
          <w:color w:val="auto"/>
          <w:sz w:val="30"/>
          <w:lang w:val="en-US" w:eastAsia="zh-CN"/>
        </w:rPr>
        <w:t>2021年天车采购</w:t>
      </w:r>
    </w:p>
    <w:p>
      <w:pPr>
        <w:rPr>
          <w:color w:val="auto"/>
          <w:sz w:val="30"/>
        </w:rPr>
      </w:pPr>
    </w:p>
    <w:p>
      <w:pPr>
        <w:rPr>
          <w:color w:val="auto"/>
          <w:sz w:val="30"/>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jc w:val="center"/>
        <w:rPr>
          <w:color w:val="auto"/>
          <w:sz w:val="30"/>
          <w:szCs w:val="30"/>
        </w:rPr>
      </w:pP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39"/>
        <w:spacing w:line="500" w:lineRule="exact"/>
        <w:jc w:val="center"/>
        <w:rPr>
          <w:rFonts w:ascii="宋体" w:hAnsi="宋体" w:eastAsia="宋体" w:cs="宋体"/>
          <w:b/>
          <w:bCs/>
          <w:sz w:val="36"/>
          <w:szCs w:val="36"/>
          <w:lang w:val="zh-CN" w:eastAsia="zh-CN"/>
        </w:rPr>
      </w:pPr>
    </w:p>
    <w:p>
      <w:pPr>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r>
        <w:rPr>
          <w:rFonts w:hint="eastAsia" w:ascii="宋体" w:hAnsi="宋体" w:eastAsia="宋体" w:cs="宋体"/>
          <w:b/>
          <w:bCs/>
          <w:sz w:val="21"/>
          <w:szCs w:val="21"/>
          <w:lang w:val="zh-CN" w:eastAsia="zh-CN"/>
        </w:rPr>
        <w:br w:type="page"/>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根据《中华人民共和国合同法》及其他有关法律、行政法规，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9"/>
        <w:tblpPr w:leftFromText="180" w:rightFromText="180" w:vertAnchor="text" w:horzAnchor="page" w:tblpX="1053" w:tblpY="381"/>
        <w:tblOverlap w:val="never"/>
        <w:tblW w:w="10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2"/>
        <w:gridCol w:w="690"/>
        <w:gridCol w:w="834"/>
        <w:gridCol w:w="2643"/>
        <w:gridCol w:w="1500"/>
        <w:gridCol w:w="764"/>
        <w:gridCol w:w="1154"/>
        <w:gridCol w:w="1428"/>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12"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6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单价（元/台）</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总价（元）</w:t>
            </w: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3</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4</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7"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5</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799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   %）</w:t>
            </w:r>
          </w:p>
        </w:tc>
        <w:tc>
          <w:tcPr>
            <w:tcW w:w="2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p>
        </w:tc>
      </w:tr>
    </w:tbl>
    <w:p>
      <w:pPr>
        <w:spacing w:after="120" w:line="460" w:lineRule="exact"/>
        <w:rPr>
          <w:rFonts w:hint="eastAsia" w:ascii="宋体" w:hAnsi="宋体" w:cs="宋体"/>
          <w:color w:val="auto"/>
          <w:kern w:val="0"/>
          <w:sz w:val="24"/>
          <w:szCs w:val="24"/>
          <w:lang w:val="zh-CN"/>
        </w:rPr>
      </w:pPr>
      <w:bookmarkStart w:id="6" w:name="_Toc183666514"/>
      <w:bookmarkStart w:id="7" w:name="_Toc107446842"/>
      <w:bookmarkStart w:id="8" w:name="_Toc26357"/>
      <w:bookmarkStart w:id="9" w:name="_Toc518992987"/>
      <w:bookmarkStart w:id="10" w:name="_Toc107447235"/>
      <w:bookmarkStart w:id="11" w:name="_Toc520190027"/>
      <w:bookmarkStart w:id="12" w:name="_Toc474245211"/>
      <w:r>
        <w:rPr>
          <w:rFonts w:hint="eastAsia" w:ascii="宋体" w:hAnsi="宋体"/>
          <w:color w:val="000000"/>
          <w:sz w:val="24"/>
          <w:szCs w:val="24"/>
        </w:rPr>
        <w:t>供货范围必须符合</w:t>
      </w:r>
      <w:r>
        <w:rPr>
          <w:rFonts w:hint="eastAsia" w:ascii="宋体" w:hAnsi="宋体"/>
          <w:color w:val="000000"/>
          <w:sz w:val="24"/>
          <w:szCs w:val="24"/>
          <w:lang w:val="en-US" w:eastAsia="zh-CN"/>
        </w:rPr>
        <w:t>询价</w:t>
      </w:r>
      <w:r>
        <w:rPr>
          <w:rFonts w:hint="eastAsia" w:ascii="宋体" w:hAnsi="宋体"/>
          <w:color w:val="000000"/>
          <w:sz w:val="24"/>
          <w:szCs w:val="24"/>
        </w:rPr>
        <w:t>文件的要求，货物的具体交货时间以买方书面通知为准</w:t>
      </w: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：合同签订后</w:t>
      </w:r>
      <w:r>
        <w:rPr>
          <w:rFonts w:hint="eastAsia" w:ascii="宋体" w:hAnsi="宋体" w:cs="宋体"/>
          <w:color w:val="auto"/>
          <w:sz w:val="24"/>
          <w:szCs w:val="24"/>
          <w:u w:val="single"/>
          <w:lang w:val="en-US" w:eastAsia="zh-CN"/>
        </w:rPr>
        <w:t>90</w:t>
      </w:r>
      <w:r>
        <w:rPr>
          <w:rFonts w:hint="eastAsia" w:ascii="宋体" w:hAnsi="宋体" w:cs="宋体"/>
          <w:color w:val="auto"/>
          <w:sz w:val="24"/>
          <w:szCs w:val="24"/>
        </w:rPr>
        <w:t>日内，即</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eastAsia="宋体" w:cs="宋体"/>
          <w:color w:val="000000"/>
          <w:sz w:val="24"/>
          <w:szCs w:val="24"/>
          <w:u w:val="single"/>
        </w:rPr>
        <w:t>广州市净水有限公司</w:t>
      </w:r>
      <w:r>
        <w:rPr>
          <w:rFonts w:hint="eastAsia" w:ascii="宋体" w:hAnsi="宋体" w:eastAsia="宋体" w:cs="宋体"/>
          <w:color w:val="000000"/>
          <w:sz w:val="24"/>
          <w:szCs w:val="24"/>
          <w:u w:val="single"/>
          <w:lang w:val="en-US" w:eastAsia="zh-CN"/>
        </w:rPr>
        <w:t>大坦沙分公司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）、装卸、安装调试、验收、培训（如需）、旧设备报停、</w:t>
      </w:r>
      <w:r>
        <w:rPr>
          <w:rFonts w:hint="eastAsia" w:ascii="宋体" w:hAnsi="宋体" w:eastAsia="宋体" w:cs="宋体"/>
          <w:color w:val="auto"/>
          <w:kern w:val="0"/>
          <w:sz w:val="24"/>
          <w:szCs w:val="24"/>
          <w:u w:val="single"/>
          <w:lang w:val="zh-CN"/>
        </w:rPr>
        <w:t>初次检验、办证、技</w:t>
      </w:r>
      <w:r>
        <w:rPr>
          <w:rFonts w:hint="eastAsia" w:ascii="宋体" w:hAnsi="宋体" w:cs="宋体"/>
          <w:color w:val="auto"/>
          <w:kern w:val="0"/>
          <w:sz w:val="24"/>
          <w:szCs w:val="24"/>
          <w:u w:val="single"/>
          <w:lang w:val="zh-CN"/>
        </w:rPr>
        <w:t>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tabs>
          <w:tab w:val="left" w:pos="851"/>
        </w:tabs>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hint="eastAsia" w:ascii="宋体" w:hAnsi="宋体" w:cs="宋体"/>
          <w:color w:val="auto"/>
          <w:szCs w:val="21"/>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0"/>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名称：广州市净水有限公司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auto"/>
          <w:sz w:val="24"/>
          <w:szCs w:val="24"/>
          <w:u w:val="single"/>
        </w:rPr>
        <w:t xml:space="preserve"> </w:t>
      </w:r>
      <w:r>
        <w:rPr>
          <w:rFonts w:ascii="宋体" w:hAnsi="宋体" w:cs="宋体"/>
          <w:color w:val="000000"/>
          <w:sz w:val="24"/>
          <w:szCs w:val="24"/>
          <w:u w:val="single"/>
        </w:rPr>
        <w:t>91440101755584729Q</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w:t>
      </w:r>
      <w:r>
        <w:rPr>
          <w:rFonts w:ascii="宋体" w:hAnsi="宋体" w:cs="宋体"/>
          <w:color w:val="auto"/>
          <w:sz w:val="24"/>
          <w:szCs w:val="24"/>
          <w:u w:val="single"/>
        </w:rPr>
        <w:t xml:space="preserve">  </w:t>
      </w:r>
      <w:r>
        <w:rPr>
          <w:rFonts w:hint="eastAsia" w:ascii="宋体" w:hAnsi="宋体" w:cs="宋体"/>
          <w:color w:val="000000"/>
          <w:sz w:val="24"/>
          <w:szCs w:val="24"/>
          <w:u w:val="single"/>
        </w:rPr>
        <w:t>广州市天河区临江大道5</w:t>
      </w:r>
      <w:r>
        <w:rPr>
          <w:rFonts w:ascii="宋体" w:hAnsi="宋体" w:cs="宋体"/>
          <w:color w:val="000000"/>
          <w:sz w:val="24"/>
          <w:szCs w:val="24"/>
          <w:u w:val="single"/>
        </w:rPr>
        <w:t>01</w:t>
      </w:r>
      <w:r>
        <w:rPr>
          <w:rFonts w:hint="eastAsia" w:ascii="宋体" w:hAnsi="宋体" w:cs="宋体"/>
          <w:color w:val="000000"/>
          <w:sz w:val="24"/>
          <w:szCs w:val="24"/>
          <w:u w:val="single"/>
        </w:rPr>
        <w:t>号</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0"/>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rPr>
        <w:t xml:space="preserve">    </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7"/>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7"/>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7"/>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7"/>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w:t>
      </w:r>
      <w:r>
        <w:rPr>
          <w:rFonts w:hint="eastAsia" w:ascii="宋体" w:hAnsi="宋体" w:eastAsia="宋体" w:cs="宋体"/>
          <w:bCs/>
          <w:color w:val="auto"/>
          <w:sz w:val="24"/>
          <w:szCs w:val="24"/>
        </w:rPr>
        <w:t>、型式试验报告</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设计图纸</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操</w:t>
      </w:r>
      <w:r>
        <w:rPr>
          <w:rFonts w:hint="eastAsia" w:ascii="宋体" w:hAnsi="宋体" w:cs="宋体"/>
          <w:bCs/>
          <w:color w:val="auto"/>
          <w:sz w:val="24"/>
          <w:szCs w:val="24"/>
        </w:rPr>
        <w:t>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6"/>
    <w:bookmarkEnd w:id="7"/>
    <w:bookmarkEnd w:id="8"/>
    <w:bookmarkEnd w:id="9"/>
    <w:bookmarkEnd w:id="10"/>
    <w:bookmarkEnd w:id="11"/>
    <w:bookmarkEnd w:id="12"/>
    <w:p>
      <w:pPr>
        <w:spacing w:before="120" w:after="120" w:line="360" w:lineRule="auto"/>
        <w:ind w:firstLine="482" w:firstLineChars="200"/>
        <w:rPr>
          <w:rFonts w:ascii="宋体" w:hAnsi="宋体" w:cs="宋体"/>
          <w:b/>
          <w:color w:val="auto"/>
          <w:sz w:val="24"/>
          <w:szCs w:val="24"/>
        </w:rPr>
      </w:pPr>
      <w:bookmarkStart w:id="13" w:name="_Toc474245215"/>
      <w:bookmarkStart w:id="14" w:name="_Toc518992990"/>
      <w:bookmarkStart w:id="15" w:name="_Toc520190030"/>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3"/>
      <w:bookmarkEnd w:id="14"/>
      <w:bookmarkEnd w:id="15"/>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6" w:name="_Toc107446851"/>
      <w:bookmarkStart w:id="17" w:name="_Toc107447244"/>
      <w:r>
        <w:rPr>
          <w:rFonts w:hint="eastAsia" w:ascii="宋体" w:hAnsi="宋体" w:cs="宋体"/>
          <w:bCs/>
          <w:color w:val="auto"/>
          <w:sz w:val="24"/>
          <w:szCs w:val="24"/>
        </w:rPr>
        <w:t>标志</w:t>
      </w:r>
    </w:p>
    <w:bookmarkEnd w:id="16"/>
    <w:bookmarkEnd w:id="17"/>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8" w:name="_Toc9269"/>
      <w:bookmarkStart w:id="19" w:name="_Toc474245218"/>
      <w:bookmarkStart w:id="20" w:name="_Toc183666521"/>
      <w:bookmarkStart w:id="21" w:name="_Toc306350457"/>
      <w:bookmarkStart w:id="22" w:name="_Toc520190032"/>
      <w:bookmarkStart w:id="23"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8"/>
    <w:bookmarkEnd w:id="19"/>
    <w:bookmarkEnd w:id="20"/>
    <w:bookmarkEnd w:id="21"/>
    <w:bookmarkEnd w:id="22"/>
    <w:bookmarkEnd w:id="23"/>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24" w:name="_Toc183666522"/>
      <w:bookmarkStart w:id="25" w:name="_Toc306350458"/>
      <w:bookmarkStart w:id="26"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24"/>
    <w:bookmarkEnd w:id="25"/>
    <w:bookmarkEnd w:id="26"/>
    <w:p>
      <w:pPr>
        <w:autoSpaceDE w:val="0"/>
        <w:autoSpaceDN w:val="0"/>
        <w:adjustRightInd w:val="0"/>
        <w:spacing w:line="360" w:lineRule="auto"/>
        <w:ind w:firstLine="482" w:firstLineChars="200"/>
        <w:rPr>
          <w:rFonts w:ascii="宋体" w:hAnsi="宋体" w:cs="宋体"/>
          <w:b/>
          <w:color w:val="auto"/>
          <w:sz w:val="24"/>
          <w:szCs w:val="24"/>
        </w:rPr>
      </w:pPr>
      <w:bookmarkStart w:id="27" w:name="_Toc518992994"/>
      <w:bookmarkStart w:id="28" w:name="_Toc474245220"/>
      <w:bookmarkStart w:id="29" w:name="_Toc520190034"/>
      <w:bookmarkStart w:id="30" w:name="_Toc4682"/>
      <w:bookmarkStart w:id="31" w:name="_Toc306350459"/>
      <w:bookmarkStart w:id="32"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27"/>
      <w:bookmarkEnd w:id="28"/>
      <w:bookmarkEnd w:id="29"/>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小时内派专业技术人员到场负责解决及维修故障。</w:t>
      </w:r>
      <w:bookmarkEnd w:id="30"/>
      <w:bookmarkEnd w:id="31"/>
      <w:bookmarkEnd w:id="32"/>
      <w:bookmarkStart w:id="33" w:name="_Toc107447250"/>
      <w:bookmarkStart w:id="34" w:name="_Toc27734"/>
      <w:bookmarkStart w:id="35" w:name="_Toc306350464"/>
      <w:bookmarkStart w:id="36" w:name="_Toc518992997"/>
      <w:bookmarkStart w:id="37" w:name="_Toc474245223"/>
      <w:bookmarkStart w:id="38" w:name="_Toc107446857"/>
      <w:bookmarkStart w:id="39" w:name="_Toc183666528"/>
      <w:bookmarkStart w:id="40" w:name="_Toc52019003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33"/>
      <w:bookmarkEnd w:id="34"/>
      <w:bookmarkEnd w:id="35"/>
      <w:bookmarkEnd w:id="36"/>
      <w:bookmarkEnd w:id="37"/>
      <w:bookmarkEnd w:id="38"/>
      <w:bookmarkEnd w:id="39"/>
      <w:bookmarkEnd w:id="40"/>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10</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w:t>
      </w:r>
    </w:p>
    <w:p>
      <w:pPr>
        <w:spacing w:line="360" w:lineRule="auto"/>
        <w:ind w:firstLine="482"/>
        <w:rPr>
          <w:rFonts w:ascii="宋体" w:hAnsi="宋体" w:cs="宋体"/>
          <w:bCs/>
          <w:color w:val="auto"/>
          <w:sz w:val="24"/>
          <w:szCs w:val="24"/>
        </w:rPr>
      </w:pPr>
      <w:r>
        <w:rPr>
          <w:rFonts w:hint="eastAsia" w:ascii="宋体" w:hAnsi="宋体" w:cs="宋体"/>
          <w:sz w:val="24"/>
          <w:lang w:val="en-US" w:eastAsia="zh-CN"/>
        </w:rPr>
        <w:t>11.6</w:t>
      </w:r>
      <w:r>
        <w:rPr>
          <w:rFonts w:hint="eastAsia" w:ascii="宋体" w:hAnsi="宋体" w:eastAsia="宋体" w:cs="宋体"/>
          <w:sz w:val="24"/>
          <w:lang w:val="en-US" w:eastAsia="zh-CN"/>
        </w:rPr>
        <w:t>在合同有效期内，若乙方发生不诚信行为情形的，乙方自愿接受甲方按《广州市净水有限公司经营建设项目参建企业不诚信行为管理办法》处理，具体处理标准详见附件</w:t>
      </w:r>
      <w:r>
        <w:rPr>
          <w:rFonts w:hint="eastAsia" w:ascii="宋体" w:hAnsi="宋体" w:cs="宋体"/>
          <w:sz w:val="24"/>
          <w:lang w:val="en-US" w:eastAsia="zh-CN"/>
        </w:rPr>
        <w:t>5</w:t>
      </w:r>
      <w:r>
        <w:rPr>
          <w:rFonts w:hint="eastAsia" w:ascii="宋体" w:hAnsi="宋体" w:eastAsia="宋体" w:cs="Times New Roman"/>
          <w:color w:val="auto"/>
          <w:sz w:val="24"/>
          <w:szCs w:val="20"/>
          <w:lang w:val="en-US" w:eastAsia="zh-CN"/>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p>
    <w:p>
      <w:pPr>
        <w:spacing w:line="460" w:lineRule="exact"/>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1.发包通知书</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2.廉洁协议</w:t>
      </w:r>
    </w:p>
    <w:p>
      <w:pPr>
        <w:spacing w:line="460" w:lineRule="exact"/>
        <w:ind w:firstLine="1262" w:firstLineChars="5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物品采购安全</w:t>
      </w:r>
      <w:r>
        <w:rPr>
          <w:rFonts w:hint="eastAsia" w:ascii="宋体" w:hAnsi="宋体" w:eastAsia="宋体" w:cs="宋体"/>
          <w:color w:val="auto"/>
          <w:sz w:val="24"/>
          <w:szCs w:val="24"/>
        </w:rPr>
        <w:t>协议书</w:t>
      </w:r>
    </w:p>
    <w:p>
      <w:pPr>
        <w:spacing w:line="460" w:lineRule="exact"/>
        <w:ind w:firstLine="1262" w:firstLineChars="52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4.营运场所施工安全协议书</w:t>
      </w:r>
    </w:p>
    <w:p>
      <w:pPr>
        <w:pStyle w:val="18"/>
        <w:rPr>
          <w:rFonts w:hint="default"/>
          <w:lang w:val="en-US"/>
        </w:rPr>
      </w:pPr>
      <w:r>
        <w:rPr>
          <w:rFonts w:hint="eastAsia" w:ascii="宋体" w:hAnsi="宋体" w:cs="宋体"/>
          <w:color w:val="auto"/>
          <w:sz w:val="24"/>
          <w:szCs w:val="24"/>
          <w:lang w:val="en-US" w:eastAsia="zh-CN"/>
        </w:rPr>
        <w:t xml:space="preserve">         5.不诚信行为的情形及相应被暂停参与投标活动的处理标准</w:t>
      </w:r>
    </w:p>
    <w:p>
      <w:pPr>
        <w:spacing w:line="360" w:lineRule="auto"/>
        <w:ind w:firstLine="1200" w:firstLineChars="500"/>
        <w:rPr>
          <w:rFonts w:ascii="宋体" w:hAnsi="宋体" w:cs="宋体"/>
          <w:color w:val="auto"/>
          <w:kern w:val="0"/>
          <w:sz w:val="24"/>
          <w:szCs w:val="24"/>
        </w:rPr>
      </w:pPr>
    </w:p>
    <w:tbl>
      <w:tblPr>
        <w:tblStyle w:val="19"/>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hint="default" w:ascii="宋体" w:hAnsi="宋体" w:eastAsia="宋体"/>
          <w:b/>
          <w:bCs/>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附件1 发包通知书</w:t>
      </w:r>
    </w:p>
    <w:p>
      <w:pP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附件</w:t>
      </w:r>
      <w:r>
        <w:rPr>
          <w:rFonts w:ascii="宋体" w:hAnsi="宋体"/>
          <w:b/>
          <w:bCs/>
          <w:color w:val="000000" w:themeColor="text1"/>
          <w:sz w:val="21"/>
          <w:szCs w:val="21"/>
          <w14:textFill>
            <w14:solidFill>
              <w14:schemeClr w14:val="tx1"/>
            </w14:solidFill>
          </w14:textFill>
        </w:rPr>
        <w:t>2</w:t>
      </w:r>
    </w:p>
    <w:p>
      <w:pPr>
        <w:spacing w:line="360" w:lineRule="auto"/>
        <w:jc w:val="center"/>
        <w:rPr>
          <w:rFonts w:ascii="宋体" w:hAnsi="宋体"/>
          <w:b/>
          <w:color w:val="000000" w:themeColor="text1"/>
          <w:sz w:val="32"/>
          <w:szCs w:val="28"/>
          <w14:textFill>
            <w14:solidFill>
              <w14:schemeClr w14:val="tx1"/>
            </w14:solidFill>
          </w14:textFill>
        </w:rPr>
      </w:pPr>
      <w:r>
        <w:rPr>
          <w:rFonts w:hint="eastAsia" w:ascii="宋体" w:hAnsi="宋体"/>
          <w:b/>
          <w:color w:val="000000" w:themeColor="text1"/>
          <w:sz w:val="32"/>
          <w:szCs w:val="28"/>
          <w14:textFill>
            <w14:solidFill>
              <w14:schemeClr w14:val="tx1"/>
            </w14:solidFill>
          </w14:textFill>
        </w:rPr>
        <w:t>廉洁协议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(以下称甲方)与____________(以下称乙方)，特此订立本协议共同遵照执行。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（一）甲乙双方严格遵守国家关于市场准入、项目询价及项目承包、市场经营活动等有关法律、法规相关政策及廉政建设的各项规定。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pStyle w:val="16"/>
        <w:ind w:left="0"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（四）建立健全廉政制度，开展廉政教育，公布举报电话，监督并认真查处违法违纪行为。</w:t>
      </w:r>
    </w:p>
    <w:p>
      <w:pPr>
        <w:spacing w:line="360" w:lineRule="auto"/>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1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监察室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020-38890265</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14:textFill>
            <w14:solidFill>
              <w14:schemeClr w14:val="tx1"/>
            </w14:solidFill>
          </w14:textFill>
        </w:rPr>
        <w:t>纪检监察室</w:t>
      </w:r>
      <w:r>
        <w:rPr>
          <w:rFonts w:hint="eastAsia" w:ascii="宋体" w:hAnsi="宋体"/>
          <w:color w:val="000000" w:themeColor="text1"/>
          <w:sz w:val="24"/>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FF0000"/>
          <w:sz w:val="24"/>
          <w:u w:val="single"/>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r>
        <w:rPr>
          <w:rFonts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甲方（盖章）：乙方（盖章）：</w:t>
      </w:r>
    </w:p>
    <w:p>
      <w:pPr>
        <w:pStyle w:val="38"/>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签约代表：签约代表：</w:t>
      </w:r>
    </w:p>
    <w:p>
      <w:pPr>
        <w:tabs>
          <w:tab w:val="left" w:pos="4170"/>
        </w:tabs>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签字日期：年月日</w:t>
      </w: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spacing w:line="540" w:lineRule="exact"/>
        <w:rPr>
          <w:rFonts w:ascii="仿宋" w:hAnsi="仿宋" w:eastAsia="仿宋"/>
          <w:color w:val="000000" w:themeColor="text1"/>
          <w:sz w:val="32"/>
          <w:szCs w:val="32"/>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pPr>
        <w:spacing w:line="560" w:lineRule="exact"/>
        <w:rPr>
          <w:rFonts w:hint="eastAsia" w:asci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hint="eastAsia" w:ascii="宋体" w:hAnsi="宋体"/>
          <w:b/>
          <w:color w:val="000000" w:themeColor="text1"/>
          <w:sz w:val="24"/>
          <w:lang w:val="en-US" w:eastAsia="zh-CN"/>
          <w14:textFill>
            <w14:solidFill>
              <w14:schemeClr w14:val="tx1"/>
            </w14:solidFill>
          </w14:textFill>
        </w:rPr>
        <w:t>3</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eastAsia="宋体" w:cs="Arial"/>
          <w:kern w:val="0"/>
          <w:sz w:val="24"/>
          <w:lang w:eastAsia="zh-CN"/>
        </w:rPr>
      </w:pPr>
      <w:r>
        <w:rPr>
          <w:rFonts w:hint="eastAsia" w:ascii="宋体" w:hAnsi="宋体" w:cs="Arial"/>
          <w:kern w:val="0"/>
          <w:sz w:val="24"/>
        </w:rPr>
        <w:t>乙方：</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年月日</w:t>
            </w:r>
          </w:p>
        </w:tc>
      </w:tr>
    </w:tbl>
    <w:p>
      <w:pPr>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p>
    <w:p>
      <w:pPr>
        <w:adjustRightInd w:val="0"/>
        <w:snapToGrid w:val="0"/>
        <w:spacing w:line="360" w:lineRule="auto"/>
        <w:rPr>
          <w:rFonts w:hint="eastAsia" w:ascii="仿宋_GB2312" w:eastAsia="仿宋_GB2312"/>
          <w:b/>
          <w:color w:val="000000" w:themeColor="text1"/>
          <w:sz w:val="28"/>
          <w:szCs w:val="28"/>
          <w:lang w:val="en-US" w:eastAsia="zh-CN"/>
          <w14:textFill>
            <w14:solidFill>
              <w14:schemeClr w14:val="tx1"/>
            </w14:solidFill>
          </w14:textFill>
        </w:rPr>
      </w:pPr>
      <w:r>
        <w:rPr>
          <w:rFonts w:hint="eastAsia" w:ascii="仿宋_GB2312" w:eastAsia="仿宋_GB2312"/>
          <w:b/>
          <w:color w:val="000000" w:themeColor="text1"/>
          <w:sz w:val="28"/>
          <w:szCs w:val="28"/>
          <w:lang w:eastAsia="zh-CN"/>
          <w14:textFill>
            <w14:solidFill>
              <w14:schemeClr w14:val="tx1"/>
            </w14:solidFill>
          </w14:textFill>
        </w:rPr>
        <w:t>附件</w:t>
      </w:r>
      <w:r>
        <w:rPr>
          <w:rFonts w:hint="eastAsia" w:ascii="仿宋_GB2312" w:eastAsia="仿宋_GB2312"/>
          <w:b/>
          <w:color w:val="000000" w:themeColor="text1"/>
          <w:sz w:val="28"/>
          <w:szCs w:val="28"/>
          <w:lang w:val="en-US" w:eastAsia="zh-CN"/>
          <w14:textFill>
            <w14:solidFill>
              <w14:schemeClr w14:val="tx1"/>
            </w14:solidFill>
          </w14:textFill>
        </w:rPr>
        <w:t>4</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41" w:name="_Toc21391"/>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eastAsia="宋体" w:cs="Arial"/>
          <w:kern w:val="0"/>
          <w:sz w:val="24"/>
          <w:lang w:eastAsia="zh-CN"/>
        </w:rPr>
      </w:pPr>
      <w:r>
        <w:rPr>
          <w:rFonts w:hint="eastAsia" w:ascii="宋体" w:hAnsi="宋体" w:cs="Arial"/>
          <w:kern w:val="0"/>
          <w:sz w:val="24"/>
        </w:rPr>
        <w:t>乙方：</w:t>
      </w:r>
    </w:p>
    <w:p>
      <w:pPr>
        <w:adjustRightInd w:val="0"/>
        <w:snapToGrid w:val="0"/>
        <w:spacing w:line="560" w:lineRule="exact"/>
        <w:jc w:val="left"/>
        <w:rPr>
          <w:rStyle w:val="22"/>
          <w:rFonts w:asciiTheme="minorEastAsia" w:hAnsiTheme="minorEastAsia" w:eastAsiaTheme="minorEastAsia"/>
          <w:b w:val="0"/>
          <w:u w:val="single"/>
        </w:rPr>
      </w:pPr>
    </w:p>
    <w:bookmarkEnd w:id="4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年月日</w:t>
            </w:r>
          </w:p>
        </w:tc>
      </w:tr>
    </w:tbl>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default" w:hAnsi="宋体" w:eastAsia="宋体" w:cs="宋体"/>
          <w:sz w:val="22"/>
          <w:szCs w:val="22"/>
          <w:lang w:val="en-US" w:eastAsia="zh-CN"/>
        </w:rPr>
      </w:pPr>
      <w:r>
        <w:rPr>
          <w:rFonts w:hint="eastAsia" w:hAnsi="宋体" w:eastAsia="宋体" w:cs="宋体"/>
          <w:b/>
          <w:bCs/>
          <w:sz w:val="22"/>
          <w:szCs w:val="22"/>
          <w:lang w:val="en-US" w:eastAsia="zh-CN"/>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rPr>
          <w:rFonts w:hint="eastAsia"/>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line="360" w:lineRule="auto"/>
        <w:rPr>
          <w:rFonts w:hint="eastAsia" w:ascii="仿宋_GB2312" w:eastAsia="仿宋_GB2312"/>
          <w:color w:val="000000" w:themeColor="text1"/>
          <w:sz w:val="24"/>
          <w:lang w:eastAsia="zh-CN"/>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p>
    <w:p>
      <w:pPr>
        <w:pStyle w:val="5"/>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0"/>
        <w:jc w:val="center"/>
        <w:rPr>
          <w:rFonts w:hint="eastAsia" w:ascii="仿宋_GB2312" w:hAnsi="仿宋_GB2312" w:eastAsia="仿宋_GB2312" w:cs="仿宋_GB2312"/>
          <w:b/>
          <w:color w:val="000000"/>
          <w:sz w:val="28"/>
          <w:szCs w:val="28"/>
        </w:rPr>
      </w:pPr>
    </w:p>
    <w:p>
      <w:pPr>
        <w:pStyle w:val="10"/>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0"/>
        <w:jc w:val="center"/>
        <w:rPr>
          <w:rFonts w:hint="eastAsia" w:ascii="仿宋_GB2312" w:hAnsi="仿宋_GB2312" w:eastAsia="仿宋_GB2312" w:cs="仿宋_GB2312"/>
          <w:b/>
          <w:color w:val="000000"/>
          <w:sz w:val="28"/>
          <w:szCs w:val="28"/>
        </w:rPr>
      </w:pPr>
    </w:p>
    <w:p>
      <w:pPr>
        <w:pStyle w:val="10"/>
        <w:jc w:val="center"/>
        <w:rPr>
          <w:rFonts w:hint="eastAsia" w:ascii="仿宋_GB2312" w:hAnsi="仿宋_GB2312" w:eastAsia="仿宋_GB2312" w:cs="仿宋_GB2312"/>
          <w:b/>
          <w:color w:val="000000"/>
          <w:sz w:val="28"/>
          <w:szCs w:val="28"/>
        </w:rPr>
      </w:pPr>
    </w:p>
    <w:p>
      <w:pPr>
        <w:pStyle w:val="10"/>
        <w:spacing w:line="360" w:lineRule="auto"/>
        <w:ind w:firstLine="1120" w:firstLineChars="400"/>
        <w:rPr>
          <w:rFonts w:hint="eastAsia" w:ascii="仿宋_GB2312" w:hAnsi="仿宋_GB2312" w:eastAsia="仿宋_GB2312" w:cs="仿宋_GB2312"/>
          <w:color w:val="000000"/>
          <w:sz w:val="28"/>
          <w:szCs w:val="28"/>
          <w:u w:val="single"/>
          <w:lang w:eastAsia="zh-CN"/>
        </w:rPr>
      </w:pPr>
      <w:r>
        <w:rPr>
          <w:rFonts w:hint="eastAsia" w:ascii="仿宋_GB2312" w:hAnsi="仿宋_GB2312" w:eastAsia="仿宋_GB2312" w:cs="仿宋_GB2312"/>
          <w:color w:val="000000"/>
          <w:sz w:val="28"/>
          <w:szCs w:val="28"/>
        </w:rPr>
        <w:t>项目编号（包、组号）：</w:t>
      </w:r>
    </w:p>
    <w:p>
      <w:pPr>
        <w:pStyle w:val="9"/>
        <w:spacing w:line="360" w:lineRule="auto"/>
        <w:ind w:left="2657" w:leftChars="532" w:hanging="1540" w:hangingChars="550"/>
        <w:jc w:val="both"/>
        <w:rPr>
          <w:rFonts w:hint="eastAsia" w:hAnsi="仿宋_GB2312" w:eastAsia="仿宋_GB2312" w:cs="仿宋_GB2312"/>
          <w:b/>
          <w:color w:val="000000"/>
          <w:sz w:val="28"/>
          <w:szCs w:val="28"/>
          <w:u w:val="single"/>
          <w:lang w:eastAsia="zh-CN"/>
        </w:rPr>
      </w:pPr>
      <w:r>
        <w:rPr>
          <w:rFonts w:hint="eastAsia" w:hAnsi="仿宋_GB2312" w:cs="仿宋_GB2312"/>
          <w:color w:val="000000"/>
          <w:sz w:val="28"/>
          <w:szCs w:val="28"/>
        </w:rPr>
        <w:t>项目名称：广州市净水有限公司大坦沙分公司2021年天车采购</w:t>
      </w:r>
      <w:r>
        <w:rPr>
          <w:rFonts w:hint="eastAsia" w:hAnsi="仿宋_GB2312" w:cs="仿宋_GB2312"/>
          <w:color w:val="000000"/>
          <w:sz w:val="28"/>
          <w:szCs w:val="28"/>
          <w:lang w:eastAsia="zh-CN"/>
        </w:rPr>
        <w:t>（</w:t>
      </w:r>
      <w:r>
        <w:rPr>
          <w:rFonts w:hint="eastAsia" w:hAnsi="仿宋_GB2312" w:cs="仿宋_GB2312"/>
          <w:color w:val="000000"/>
          <w:sz w:val="28"/>
          <w:szCs w:val="28"/>
          <w:lang w:val="en-US" w:eastAsia="zh-CN"/>
        </w:rPr>
        <w:t>第二次</w:t>
      </w:r>
      <w:r>
        <w:rPr>
          <w:rFonts w:hint="eastAsia" w:hAnsi="仿宋_GB2312" w:cs="仿宋_GB2312"/>
          <w:color w:val="000000"/>
          <w:sz w:val="28"/>
          <w:szCs w:val="28"/>
          <w:lang w:eastAsia="zh-CN"/>
        </w:rPr>
        <w:t>）</w:t>
      </w: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spacing w:line="360" w:lineRule="auto"/>
        <w:ind w:firstLine="2249" w:firstLineChars="800"/>
        <w:jc w:val="both"/>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w:t>
      </w:r>
      <w:r>
        <w:rPr>
          <w:rFonts w:hint="eastAsia" w:ascii="仿宋_GB2312" w:hAnsi="仿宋_GB2312" w:eastAsia="仿宋_GB2312" w:cs="仿宋_GB2312"/>
          <w:b/>
          <w:color w:val="000000"/>
          <w:sz w:val="28"/>
          <w:szCs w:val="28"/>
          <w:lang w:eastAsia="zh-CN"/>
        </w:rPr>
        <w:t>报价</w:t>
      </w:r>
      <w:r>
        <w:rPr>
          <w:rFonts w:hint="eastAsia" w:ascii="仿宋_GB2312" w:hAnsi="仿宋_GB2312" w:eastAsia="仿宋_GB2312" w:cs="仿宋_GB2312"/>
          <w:b/>
          <w:color w:val="000000"/>
          <w:sz w:val="28"/>
          <w:szCs w:val="28"/>
        </w:rPr>
        <w:t>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9"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000000"/>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000000"/>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
        <w:rPr>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0"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000000"/>
          <w:sz w:val="24"/>
          <w:szCs w:val="24"/>
          <w:highlight w:val="none"/>
          <w:lang w:val="en-US" w:eastAsia="zh-CN"/>
        </w:rPr>
        <w:t>授权代理人</w:t>
      </w:r>
      <w:r>
        <w:rPr>
          <w:rFonts w:hint="eastAsia" w:ascii="宋体" w:hAnsi="宋体"/>
          <w:sz w:val="24"/>
          <w:szCs w:val="24"/>
          <w:highlight w:val="none"/>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0"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jc w:val="center"/>
        <w:rPr>
          <w:rFonts w:ascii="仿宋_GB2312" w:hAnsi="仿宋_GB2312" w:eastAsia="仿宋_GB2312" w:cs="仿宋_GB2312"/>
          <w:color w:val="000000"/>
          <w:sz w:val="28"/>
          <w:szCs w:val="28"/>
          <w:highlight w:val="none"/>
        </w:rPr>
      </w:pPr>
    </w:p>
    <w:p>
      <w:pPr>
        <w:spacing w:line="480" w:lineRule="exact"/>
        <w:rPr>
          <w:rFonts w:ascii="仿宋_GB2312" w:hAnsi="仿宋_GB2312" w:eastAsia="仿宋_GB2312" w:cs="仿宋_GB2312"/>
          <w:b/>
          <w:bCs/>
          <w:color w:val="000000"/>
          <w:sz w:val="28"/>
          <w:szCs w:val="28"/>
          <w:highlight w:val="none"/>
        </w:rPr>
      </w:pPr>
    </w:p>
    <w:p>
      <w:pPr>
        <w:spacing w:line="480" w:lineRule="exact"/>
        <w:rPr>
          <w:rFonts w:ascii="仿宋_GB2312" w:hAnsi="仿宋_GB2312" w:eastAsia="仿宋_GB2312" w:cs="仿宋_GB2312"/>
          <w:b/>
          <w:bCs/>
          <w:color w:val="000000"/>
          <w:sz w:val="28"/>
          <w:szCs w:val="28"/>
          <w:highlight w:val="none"/>
        </w:rPr>
      </w:pPr>
    </w:p>
    <w:p>
      <w:pPr>
        <w:spacing w:line="300" w:lineRule="auto"/>
        <w:jc w:val="center"/>
        <w:rPr>
          <w:rFonts w:hint="eastAsia" w:ascii="仿宋_GB2312" w:hAnsi="仿宋_GB2312" w:eastAsia="仿宋_GB2312" w:cs="仿宋_GB2312"/>
          <w:b/>
          <w:color w:val="000000"/>
          <w:sz w:val="28"/>
          <w:szCs w:val="28"/>
          <w:highlight w:val="none"/>
        </w:rPr>
      </w:pP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spacing w:line="300" w:lineRule="auto"/>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2资格证明文件</w:t>
      </w:r>
    </w:p>
    <w:p>
      <w:pPr>
        <w:spacing w:line="300" w:lineRule="auto"/>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关于资格的声明函</w:t>
      </w:r>
    </w:p>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致：（项目实施单位）</w:t>
      </w:r>
    </w:p>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2. </w:t>
      </w:r>
    </w:p>
    <w:p>
      <w:pPr>
        <w:spacing w:line="480" w:lineRule="exac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highlight w:val="none"/>
        </w:rPr>
      </w:pPr>
    </w:p>
    <w:p>
      <w:pPr>
        <w:adjustRightInd w:val="0"/>
        <w:snapToGrid w:val="0"/>
        <w:spacing w:line="300" w:lineRule="auto"/>
        <w:rPr>
          <w:rFonts w:ascii="仿宋_GB2312" w:hAnsi="仿宋_GB2312" w:eastAsia="仿宋_GB2312" w:cs="仿宋_GB2312"/>
          <w:color w:val="000000"/>
          <w:sz w:val="28"/>
          <w:szCs w:val="28"/>
          <w:highlight w:val="none"/>
        </w:rPr>
      </w:pPr>
    </w:p>
    <w:p>
      <w:pPr>
        <w:adjustRightInd w:val="0"/>
        <w:snapToGrid w:val="0"/>
        <w:spacing w:line="300" w:lineRule="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报价单位代表（签名或盖私章）：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报价单位名称（盖单位公章）：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日期：</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3 报价意向承诺及声明函</w:t>
      </w:r>
    </w:p>
    <w:p>
      <w:pPr>
        <w:spacing w:line="360" w:lineRule="auto"/>
        <w:jc w:val="center"/>
        <w:rPr>
          <w:rFonts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报 价 意 向 承 诺 及 声 明 函</w:t>
      </w:r>
    </w:p>
    <w:p>
      <w:pPr>
        <w:pStyle w:val="27"/>
        <w:adjustRightInd w:val="0"/>
        <w:snapToGrid w:val="0"/>
        <w:spacing w:line="200" w:lineRule="atLeast"/>
        <w:ind w:right="-1" w:firstLine="0"/>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1.根据询价人发出的的项目编号为           的                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2.现我方承诺：愿以人民币             元（小写：￥       元）的报价，承包本次交易所包含的所有工作，并承担任何质量缺陷责任。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⑷ 本公司及其有隶属关系的机构没有参加本项目的前期工作编写工作。</w:t>
      </w:r>
    </w:p>
    <w:p>
      <w:pPr>
        <w:pStyle w:val="25"/>
        <w:spacing w:line="200" w:lineRule="atLeast"/>
        <w:ind w:left="-539" w:leftChars="-257" w:firstLine="496"/>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本公司违反上述承诺，或本声明陈述与事实不符，经查实，本公司愿意接受公开通报，承担由此带来的法律后果。</w:t>
      </w:r>
    </w:p>
    <w:p>
      <w:pPr>
        <w:pStyle w:val="25"/>
        <w:ind w:firstLine="0" w:firstLineChars="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承包意向人：(盖公章)         法定代表人（签名或盖私章）：               </w:t>
      </w:r>
    </w:p>
    <w:p>
      <w:pPr>
        <w:autoSpaceDE w:val="0"/>
        <w:autoSpaceDN w:val="0"/>
        <w:adjustRightInd w:val="0"/>
        <w:spacing w:line="360" w:lineRule="auto"/>
        <w:ind w:left="-539" w:leftChars="-257" w:firstLine="4771" w:firstLineChars="1704"/>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日    期：        年   月    日    </w:t>
      </w:r>
    </w:p>
    <w:p>
      <w:pPr>
        <w:pStyle w:val="25"/>
        <w:ind w:firstLine="496"/>
        <w:rPr>
          <w:rFonts w:ascii="仿宋_GB2312" w:hAnsi="仿宋_GB2312" w:eastAsia="仿宋_GB2312" w:cs="仿宋_GB2312"/>
          <w:color w:val="000000"/>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姓名</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742"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出生年月</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学历</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注册证书等级</w:t>
            </w:r>
          </w:p>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项目名称</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合同金额</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担任职务</w:t>
            </w:r>
          </w:p>
        </w:tc>
        <w:tc>
          <w:tcPr>
            <w:tcW w:w="2095"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bl>
    <w:p>
      <w:pPr>
        <w:adjustRightInd w:val="0"/>
        <w:snapToGrid w:val="0"/>
        <w:spacing w:line="300" w:lineRule="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报价单位代表（签名或盖私章）：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报价单位名称（盖单位公章）：</w:t>
      </w:r>
      <w:r>
        <w:rPr>
          <w:rFonts w:hint="eastAsia" w:ascii="仿宋_GB2312" w:hAnsi="仿宋_GB2312" w:eastAsia="仿宋_GB2312" w:cs="仿宋_GB2312"/>
          <w:color w:val="000000"/>
          <w:sz w:val="28"/>
          <w:szCs w:val="28"/>
          <w:highlight w:val="none"/>
          <w:u w:val="single"/>
        </w:rPr>
        <w:t xml:space="preserve">   </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5备品备件采购清单</w:t>
      </w:r>
    </w:p>
    <w:tbl>
      <w:tblPr>
        <w:tblStyle w:val="19"/>
        <w:tblpPr w:leftFromText="180" w:rightFromText="180" w:vertAnchor="text" w:horzAnchor="page" w:tblpX="1053" w:tblpY="381"/>
        <w:tblOverlap w:val="never"/>
        <w:tblW w:w="10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619"/>
        <w:gridCol w:w="52"/>
        <w:gridCol w:w="811"/>
        <w:gridCol w:w="2570"/>
        <w:gridCol w:w="1459"/>
        <w:gridCol w:w="743"/>
        <w:gridCol w:w="1122"/>
        <w:gridCol w:w="984"/>
        <w:gridCol w:w="405"/>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0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3</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4</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7"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5</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77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tc>
        <w:tc>
          <w:tcPr>
            <w:tcW w:w="2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1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7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sz w:val="24"/>
                <w:szCs w:val="24"/>
                <w:u w:val="none"/>
              </w:rPr>
              <w:t>▲报价单位递交响应文件时需提供拟供货设备型号的产品技术文件（内容应包括但不限于产品生产厂家、基本信息、技术性能参数、产品实物外观图片等），产品技术文件需盖报价单位公章，</w:t>
            </w:r>
            <w:r>
              <w:rPr>
                <w:rFonts w:hint="eastAsia" w:ascii="仿宋" w:hAnsi="仿宋" w:eastAsia="仿宋" w:cs="仿宋"/>
                <w:i w:val="0"/>
                <w:color w:val="000000"/>
                <w:sz w:val="24"/>
                <w:szCs w:val="24"/>
                <w:u w:val="none"/>
                <w:lang w:val="en-US" w:eastAsia="zh-CN"/>
              </w:rPr>
              <w:t>未</w:t>
            </w:r>
            <w:r>
              <w:rPr>
                <w:rFonts w:hint="eastAsia" w:ascii="仿宋" w:hAnsi="仿宋" w:eastAsia="仿宋" w:cs="仿宋"/>
                <w:i w:val="0"/>
                <w:color w:val="000000"/>
                <w:sz w:val="24"/>
                <w:szCs w:val="24"/>
                <w:u w:val="none"/>
              </w:rPr>
              <w:t>提供产品技术文件的报价无效。</w:t>
            </w:r>
          </w:p>
        </w:tc>
        <w:tc>
          <w:tcPr>
            <w:tcW w:w="17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pStyle w:val="18"/>
        <w:ind w:left="0" w:leftChars="0" w:firstLine="0" w:firstLineChars="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6拟供货设备型号的产品技术文件（内容应包括但不限于产品基本信息、技术性能参数、产品实物外观图片等，可另附）</w:t>
      </w:r>
    </w:p>
    <w:p>
      <w:pPr>
        <w:jc w:val="both"/>
        <w:rPr>
          <w:rFonts w:hint="eastAsia" w:ascii="仿宋_GB2312" w:hAnsi="仿宋_GB2312" w:eastAsia="仿宋_GB2312" w:cs="仿宋_GB2312"/>
          <w:b/>
          <w:color w:val="000000"/>
          <w:sz w:val="28"/>
          <w:szCs w:val="28"/>
          <w:lang w:val="en-US" w:eastAsia="zh-CN"/>
        </w:rPr>
      </w:pPr>
    </w:p>
    <w:p>
      <w:pPr>
        <w:pStyle w:val="2"/>
        <w:rPr>
          <w:rFonts w:hint="eastAsia" w:ascii="仿宋_GB2312" w:hAnsi="仿宋_GB2312" w:eastAsia="仿宋_GB2312" w:cs="仿宋_GB2312"/>
          <w:b/>
          <w:color w:val="000000"/>
          <w:sz w:val="28"/>
          <w:szCs w:val="28"/>
          <w:lang w:val="en-US" w:eastAsia="zh-CN"/>
        </w:rPr>
      </w:pPr>
    </w:p>
    <w:p>
      <w:pPr>
        <w:pStyle w:val="2"/>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7承诺函</w:t>
      </w:r>
    </w:p>
    <w:p>
      <w:pPr>
        <w:jc w:val="center"/>
        <w:rPr>
          <w:rFonts w:hint="eastAsia" w:ascii="仿宋_GB2312" w:hAnsi="仿宋_GB2312" w:eastAsia="仿宋_GB2312" w:cs="仿宋_GB2312"/>
          <w:b/>
          <w:color w:val="000000"/>
          <w:sz w:val="28"/>
          <w:szCs w:val="28"/>
          <w:lang w:val="en-US" w:eastAsia="zh-CN"/>
        </w:rPr>
      </w:pPr>
    </w:p>
    <w:p>
      <w:pPr>
        <w:pStyle w:val="2"/>
        <w:ind w:firstLine="560" w:firstLineChars="20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autoSpaceDE w:val="0"/>
        <w:autoSpaceDN w:val="0"/>
        <w:ind w:left="560"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并承诺货物在质保期（为自供货验收合格之日起1年内）免费提供维保服务（4次季度维保）。维保服务内容包含但不限于：功能性检查，更换润滑油和易损件等，特种设备代办年检及其他法律规定的维保需提供的服务。质保期如有质量问题，我司24小时内派技术人员免费到现场进行维修。</w:t>
      </w:r>
    </w:p>
    <w:p>
      <w:pPr>
        <w:pStyle w:val="2"/>
        <w:ind w:firstLine="0" w:firstLineChars="0"/>
        <w:rPr>
          <w:rFonts w:hint="eastAsia" w:ascii="仿宋_GB2312" w:hAnsi="仿宋_GB2312" w:eastAsia="仿宋_GB2312" w:cs="仿宋_GB2312"/>
          <w:color w:val="000000"/>
          <w:sz w:val="28"/>
          <w:szCs w:val="28"/>
          <w:u w:val="none"/>
          <w:lang w:val="en-US" w:eastAsia="zh-CN"/>
        </w:rPr>
      </w:pPr>
    </w:p>
    <w:p>
      <w:pPr>
        <w:pStyle w:val="2"/>
        <w:ind w:firstLine="5040" w:firstLineChars="1800"/>
        <w:rPr>
          <w:rFonts w:hint="eastAsia" w:hAnsi="宋体" w:cs="宋体"/>
          <w:bCs/>
          <w:sz w:val="28"/>
          <w:szCs w:val="28"/>
          <w:lang w:val="en-US" w:eastAsia="zh-CN"/>
        </w:rPr>
      </w:pPr>
      <w:r>
        <w:rPr>
          <w:rFonts w:hint="eastAsia" w:hAnsi="宋体" w:cs="宋体"/>
          <w:bCs/>
          <w:sz w:val="28"/>
          <w:szCs w:val="28"/>
          <w:u w:val="single"/>
          <w:lang w:val="en-US" w:eastAsia="zh-CN"/>
        </w:rPr>
        <w:t>（报价单位）</w:t>
      </w:r>
      <w:r>
        <w:rPr>
          <w:rFonts w:hint="eastAsia" w:hAnsi="宋体" w:cs="宋体"/>
          <w:bCs/>
          <w:sz w:val="28"/>
          <w:szCs w:val="28"/>
          <w:lang w:val="en-US" w:eastAsia="zh-CN"/>
        </w:rPr>
        <w:t>公司</w:t>
      </w:r>
      <w:r>
        <w:rPr>
          <w:rFonts w:hint="eastAsia" w:hAnsi="宋体" w:cs="宋体"/>
          <w:bCs/>
          <w:sz w:val="24"/>
          <w:szCs w:val="24"/>
          <w:lang w:val="en-US" w:eastAsia="zh-CN"/>
        </w:rPr>
        <w:t>（盖单位公章）</w:t>
      </w:r>
    </w:p>
    <w:p>
      <w:pPr>
        <w:pStyle w:val="2"/>
        <w:ind w:firstLine="6440" w:firstLineChars="2300"/>
        <w:rPr>
          <w:rFonts w:hint="eastAsia" w:hAnsi="宋体" w:cs="宋体"/>
          <w:bCs/>
          <w:sz w:val="28"/>
          <w:szCs w:val="28"/>
          <w:lang w:val="en-US" w:eastAsia="zh-CN"/>
        </w:rPr>
      </w:pPr>
      <w:r>
        <w:rPr>
          <w:rFonts w:hint="eastAsia" w:hAnsi="宋体" w:cs="宋体"/>
          <w:bCs/>
          <w:sz w:val="28"/>
          <w:szCs w:val="28"/>
          <w:lang w:val="en-US" w:eastAsia="zh-CN"/>
        </w:rPr>
        <w:t>年   月   日</w:t>
      </w: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8  项目单位、人员资格情况</w:t>
      </w:r>
    </w:p>
    <w:sectPr>
      <w:headerReference r:id="rId10" w:type="default"/>
      <w:footerReference r:id="rId11"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3"/>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24</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3"/>
          <w:ind w:left="2250" w:hanging="1200"/>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84"/>
    <w:rsid w:val="00041B68"/>
    <w:rsid w:val="0004252A"/>
    <w:rsid w:val="00052162"/>
    <w:rsid w:val="000E18AB"/>
    <w:rsid w:val="000F0763"/>
    <w:rsid w:val="001033F4"/>
    <w:rsid w:val="001044CE"/>
    <w:rsid w:val="00113C90"/>
    <w:rsid w:val="001573AC"/>
    <w:rsid w:val="00170F56"/>
    <w:rsid w:val="00172A27"/>
    <w:rsid w:val="00213AE2"/>
    <w:rsid w:val="00226167"/>
    <w:rsid w:val="00283D77"/>
    <w:rsid w:val="002B098E"/>
    <w:rsid w:val="002B5A58"/>
    <w:rsid w:val="002D112B"/>
    <w:rsid w:val="0033207F"/>
    <w:rsid w:val="003434F2"/>
    <w:rsid w:val="003641AF"/>
    <w:rsid w:val="00366353"/>
    <w:rsid w:val="00371D56"/>
    <w:rsid w:val="003747B6"/>
    <w:rsid w:val="003767EA"/>
    <w:rsid w:val="00391EE2"/>
    <w:rsid w:val="003A005D"/>
    <w:rsid w:val="003A12D5"/>
    <w:rsid w:val="003E2BE8"/>
    <w:rsid w:val="004059DD"/>
    <w:rsid w:val="00410FFE"/>
    <w:rsid w:val="00414C19"/>
    <w:rsid w:val="004B64F4"/>
    <w:rsid w:val="004E7CF2"/>
    <w:rsid w:val="00520A3B"/>
    <w:rsid w:val="005255BD"/>
    <w:rsid w:val="00527E41"/>
    <w:rsid w:val="005608C7"/>
    <w:rsid w:val="00592274"/>
    <w:rsid w:val="005B127B"/>
    <w:rsid w:val="005C0D4B"/>
    <w:rsid w:val="005F3B1A"/>
    <w:rsid w:val="00611396"/>
    <w:rsid w:val="00621CAD"/>
    <w:rsid w:val="00663714"/>
    <w:rsid w:val="006A4BAF"/>
    <w:rsid w:val="006B062A"/>
    <w:rsid w:val="006B5BEE"/>
    <w:rsid w:val="00755775"/>
    <w:rsid w:val="00760BA5"/>
    <w:rsid w:val="007929DA"/>
    <w:rsid w:val="007A691D"/>
    <w:rsid w:val="007B4EC7"/>
    <w:rsid w:val="007E0B95"/>
    <w:rsid w:val="007F2022"/>
    <w:rsid w:val="007F6D27"/>
    <w:rsid w:val="00803F50"/>
    <w:rsid w:val="00855717"/>
    <w:rsid w:val="00870CE2"/>
    <w:rsid w:val="0087285C"/>
    <w:rsid w:val="00877E3D"/>
    <w:rsid w:val="008B642B"/>
    <w:rsid w:val="008D0175"/>
    <w:rsid w:val="008F55E6"/>
    <w:rsid w:val="008F6C65"/>
    <w:rsid w:val="008F7374"/>
    <w:rsid w:val="0090201C"/>
    <w:rsid w:val="009529B1"/>
    <w:rsid w:val="00964E4F"/>
    <w:rsid w:val="009772E7"/>
    <w:rsid w:val="00982CDA"/>
    <w:rsid w:val="009E7E94"/>
    <w:rsid w:val="00A51E44"/>
    <w:rsid w:val="00A6486B"/>
    <w:rsid w:val="00A83E98"/>
    <w:rsid w:val="00A8461C"/>
    <w:rsid w:val="00A86E2D"/>
    <w:rsid w:val="00A96D3D"/>
    <w:rsid w:val="00AE0316"/>
    <w:rsid w:val="00B52256"/>
    <w:rsid w:val="00B857E9"/>
    <w:rsid w:val="00BD3A21"/>
    <w:rsid w:val="00BF7E39"/>
    <w:rsid w:val="00CF4C91"/>
    <w:rsid w:val="00CF7EFD"/>
    <w:rsid w:val="00D23F05"/>
    <w:rsid w:val="00D4562B"/>
    <w:rsid w:val="00D62E29"/>
    <w:rsid w:val="00D94999"/>
    <w:rsid w:val="00DC41EC"/>
    <w:rsid w:val="00DE1E3F"/>
    <w:rsid w:val="00DE3D1B"/>
    <w:rsid w:val="00E11164"/>
    <w:rsid w:val="00E25222"/>
    <w:rsid w:val="00E253BE"/>
    <w:rsid w:val="00E31ED0"/>
    <w:rsid w:val="00E62F88"/>
    <w:rsid w:val="00E67BF0"/>
    <w:rsid w:val="00E8657E"/>
    <w:rsid w:val="00E97087"/>
    <w:rsid w:val="00EB3419"/>
    <w:rsid w:val="00EC1117"/>
    <w:rsid w:val="00F20540"/>
    <w:rsid w:val="00F3648A"/>
    <w:rsid w:val="00F368B2"/>
    <w:rsid w:val="00F44B81"/>
    <w:rsid w:val="00F52DE0"/>
    <w:rsid w:val="00FB4623"/>
    <w:rsid w:val="027A5F7E"/>
    <w:rsid w:val="03ED5FE3"/>
    <w:rsid w:val="03F97C93"/>
    <w:rsid w:val="04883664"/>
    <w:rsid w:val="05087E50"/>
    <w:rsid w:val="05800EC9"/>
    <w:rsid w:val="06F253F2"/>
    <w:rsid w:val="07DF75F9"/>
    <w:rsid w:val="09036FEC"/>
    <w:rsid w:val="091E4365"/>
    <w:rsid w:val="09B207F9"/>
    <w:rsid w:val="0ACE75B7"/>
    <w:rsid w:val="0B021542"/>
    <w:rsid w:val="0B3B65E9"/>
    <w:rsid w:val="0B856175"/>
    <w:rsid w:val="0CE508E9"/>
    <w:rsid w:val="0E871FE6"/>
    <w:rsid w:val="0F8D020F"/>
    <w:rsid w:val="0FBE1EF8"/>
    <w:rsid w:val="10485E1F"/>
    <w:rsid w:val="118E52F9"/>
    <w:rsid w:val="11A021F8"/>
    <w:rsid w:val="12B56410"/>
    <w:rsid w:val="130F472B"/>
    <w:rsid w:val="137F5165"/>
    <w:rsid w:val="1457366A"/>
    <w:rsid w:val="14E57AA8"/>
    <w:rsid w:val="15250597"/>
    <w:rsid w:val="156E33B1"/>
    <w:rsid w:val="16732FEB"/>
    <w:rsid w:val="169C0ACB"/>
    <w:rsid w:val="169E6AE5"/>
    <w:rsid w:val="176E7480"/>
    <w:rsid w:val="17D417FD"/>
    <w:rsid w:val="187F72BD"/>
    <w:rsid w:val="18A93985"/>
    <w:rsid w:val="194C5F03"/>
    <w:rsid w:val="1A5A5455"/>
    <w:rsid w:val="1A8429BC"/>
    <w:rsid w:val="1AA35DF0"/>
    <w:rsid w:val="1AAA278A"/>
    <w:rsid w:val="1B250A30"/>
    <w:rsid w:val="1B464E01"/>
    <w:rsid w:val="1C1012BE"/>
    <w:rsid w:val="1CFC4EE9"/>
    <w:rsid w:val="1D49506D"/>
    <w:rsid w:val="1D7302EE"/>
    <w:rsid w:val="1E5828D6"/>
    <w:rsid w:val="1E8A1A2E"/>
    <w:rsid w:val="1F516372"/>
    <w:rsid w:val="1F5266A7"/>
    <w:rsid w:val="1FD430C8"/>
    <w:rsid w:val="20C72D22"/>
    <w:rsid w:val="20E33285"/>
    <w:rsid w:val="216B2406"/>
    <w:rsid w:val="22551E62"/>
    <w:rsid w:val="22A541E6"/>
    <w:rsid w:val="22DC579D"/>
    <w:rsid w:val="22FB4647"/>
    <w:rsid w:val="230D1610"/>
    <w:rsid w:val="23353775"/>
    <w:rsid w:val="2397451E"/>
    <w:rsid w:val="23A52A88"/>
    <w:rsid w:val="24121125"/>
    <w:rsid w:val="2413595B"/>
    <w:rsid w:val="248E67DB"/>
    <w:rsid w:val="250B3654"/>
    <w:rsid w:val="255F4206"/>
    <w:rsid w:val="2655613D"/>
    <w:rsid w:val="2672567B"/>
    <w:rsid w:val="269221D6"/>
    <w:rsid w:val="269C0568"/>
    <w:rsid w:val="27563635"/>
    <w:rsid w:val="27567996"/>
    <w:rsid w:val="27B45138"/>
    <w:rsid w:val="281B4349"/>
    <w:rsid w:val="288F3E24"/>
    <w:rsid w:val="2995136F"/>
    <w:rsid w:val="2A2E2F3B"/>
    <w:rsid w:val="2B52084C"/>
    <w:rsid w:val="2BB36041"/>
    <w:rsid w:val="2BCA23E3"/>
    <w:rsid w:val="2D6119E0"/>
    <w:rsid w:val="2E4A66FC"/>
    <w:rsid w:val="2EC64439"/>
    <w:rsid w:val="2FDA6411"/>
    <w:rsid w:val="308974AE"/>
    <w:rsid w:val="31961F6A"/>
    <w:rsid w:val="31E663E7"/>
    <w:rsid w:val="321F4092"/>
    <w:rsid w:val="325B51AB"/>
    <w:rsid w:val="32CA700D"/>
    <w:rsid w:val="331C1883"/>
    <w:rsid w:val="33766BFC"/>
    <w:rsid w:val="35030189"/>
    <w:rsid w:val="352765C3"/>
    <w:rsid w:val="355143CF"/>
    <w:rsid w:val="37103DDA"/>
    <w:rsid w:val="37152C21"/>
    <w:rsid w:val="38C24ADE"/>
    <w:rsid w:val="392F3EDF"/>
    <w:rsid w:val="39704948"/>
    <w:rsid w:val="39BB1B7C"/>
    <w:rsid w:val="39DD52FC"/>
    <w:rsid w:val="39EA757C"/>
    <w:rsid w:val="3B4C08AC"/>
    <w:rsid w:val="3B8E0546"/>
    <w:rsid w:val="3BE022D4"/>
    <w:rsid w:val="3C3F6017"/>
    <w:rsid w:val="3DC7000C"/>
    <w:rsid w:val="3E264AFC"/>
    <w:rsid w:val="3E3402C7"/>
    <w:rsid w:val="3E9F2AEA"/>
    <w:rsid w:val="3F34383F"/>
    <w:rsid w:val="3F670FDF"/>
    <w:rsid w:val="40433C2D"/>
    <w:rsid w:val="411A4C62"/>
    <w:rsid w:val="415E1BCB"/>
    <w:rsid w:val="42014B78"/>
    <w:rsid w:val="424457FA"/>
    <w:rsid w:val="4258240B"/>
    <w:rsid w:val="426279CD"/>
    <w:rsid w:val="43714570"/>
    <w:rsid w:val="44C2005E"/>
    <w:rsid w:val="44DB1E42"/>
    <w:rsid w:val="44F3240C"/>
    <w:rsid w:val="45185D57"/>
    <w:rsid w:val="456550A0"/>
    <w:rsid w:val="45A73CFD"/>
    <w:rsid w:val="46B70BEF"/>
    <w:rsid w:val="46DF6973"/>
    <w:rsid w:val="46F6477A"/>
    <w:rsid w:val="4796372E"/>
    <w:rsid w:val="47CE4E2C"/>
    <w:rsid w:val="48106B22"/>
    <w:rsid w:val="48147310"/>
    <w:rsid w:val="48606222"/>
    <w:rsid w:val="489C4E86"/>
    <w:rsid w:val="48C01D0B"/>
    <w:rsid w:val="48DF209C"/>
    <w:rsid w:val="48DF3E73"/>
    <w:rsid w:val="4A0465FC"/>
    <w:rsid w:val="4B8A000B"/>
    <w:rsid w:val="4CCB26B9"/>
    <w:rsid w:val="4DB53509"/>
    <w:rsid w:val="4DF57B76"/>
    <w:rsid w:val="4E0C3F18"/>
    <w:rsid w:val="4E1E56F1"/>
    <w:rsid w:val="4E281166"/>
    <w:rsid w:val="4E3605DF"/>
    <w:rsid w:val="4E3E3625"/>
    <w:rsid w:val="4F105D44"/>
    <w:rsid w:val="4F6001A6"/>
    <w:rsid w:val="5141148B"/>
    <w:rsid w:val="51A32C5C"/>
    <w:rsid w:val="51A61200"/>
    <w:rsid w:val="52663A16"/>
    <w:rsid w:val="526F50FE"/>
    <w:rsid w:val="52AC675F"/>
    <w:rsid w:val="52C20ECF"/>
    <w:rsid w:val="5317593D"/>
    <w:rsid w:val="53211D72"/>
    <w:rsid w:val="546C44FA"/>
    <w:rsid w:val="54C93027"/>
    <w:rsid w:val="560F58BD"/>
    <w:rsid w:val="56250546"/>
    <w:rsid w:val="56694EF0"/>
    <w:rsid w:val="58664977"/>
    <w:rsid w:val="587F3019"/>
    <w:rsid w:val="5AD07020"/>
    <w:rsid w:val="5B5821A5"/>
    <w:rsid w:val="5BB167FD"/>
    <w:rsid w:val="5BB921AA"/>
    <w:rsid w:val="5BE80ED6"/>
    <w:rsid w:val="5E0633A8"/>
    <w:rsid w:val="5EA54841"/>
    <w:rsid w:val="5F7970B7"/>
    <w:rsid w:val="5F8D7DD2"/>
    <w:rsid w:val="5F900CB2"/>
    <w:rsid w:val="5FDA25A1"/>
    <w:rsid w:val="601524A6"/>
    <w:rsid w:val="60EB69F2"/>
    <w:rsid w:val="60F87505"/>
    <w:rsid w:val="63DF3E07"/>
    <w:rsid w:val="63E06D17"/>
    <w:rsid w:val="65803B1C"/>
    <w:rsid w:val="66007D67"/>
    <w:rsid w:val="663F0B50"/>
    <w:rsid w:val="6727445E"/>
    <w:rsid w:val="67A86A7D"/>
    <w:rsid w:val="682C0A6B"/>
    <w:rsid w:val="688329E1"/>
    <w:rsid w:val="6977180A"/>
    <w:rsid w:val="69C61397"/>
    <w:rsid w:val="6AD6172F"/>
    <w:rsid w:val="6BE03D7A"/>
    <w:rsid w:val="6C105A58"/>
    <w:rsid w:val="6CA94AEA"/>
    <w:rsid w:val="6CDA4B61"/>
    <w:rsid w:val="6D095C70"/>
    <w:rsid w:val="6D4B1F5D"/>
    <w:rsid w:val="6D8238A7"/>
    <w:rsid w:val="6E8F7310"/>
    <w:rsid w:val="6F483FA1"/>
    <w:rsid w:val="6FC35B2F"/>
    <w:rsid w:val="70D3159F"/>
    <w:rsid w:val="71C1357C"/>
    <w:rsid w:val="727B4CD6"/>
    <w:rsid w:val="72DC3AFD"/>
    <w:rsid w:val="732E3907"/>
    <w:rsid w:val="73D16993"/>
    <w:rsid w:val="74BE3C6D"/>
    <w:rsid w:val="74D53E3C"/>
    <w:rsid w:val="75011284"/>
    <w:rsid w:val="75200B56"/>
    <w:rsid w:val="752343D4"/>
    <w:rsid w:val="75435570"/>
    <w:rsid w:val="76237609"/>
    <w:rsid w:val="76470B76"/>
    <w:rsid w:val="764B1CB4"/>
    <w:rsid w:val="767E477C"/>
    <w:rsid w:val="77167663"/>
    <w:rsid w:val="77334674"/>
    <w:rsid w:val="781A002A"/>
    <w:rsid w:val="78392777"/>
    <w:rsid w:val="790B5C85"/>
    <w:rsid w:val="796075AF"/>
    <w:rsid w:val="7A026DB8"/>
    <w:rsid w:val="7A7017A5"/>
    <w:rsid w:val="7AA01A03"/>
    <w:rsid w:val="7ABB3F56"/>
    <w:rsid w:val="7B1227F8"/>
    <w:rsid w:val="7B2F0CFE"/>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link w:val="35"/>
    <w:semiHidden/>
    <w:unhideWhenUsed/>
    <w:qFormat/>
    <w:uiPriority w:val="0"/>
    <w:pPr>
      <w:adjustRightInd w:val="0"/>
      <w:spacing w:line="360" w:lineRule="auto"/>
      <w:ind w:firstLine="561"/>
    </w:pPr>
    <w:rPr>
      <w:kern w:val="0"/>
      <w:sz w:val="28"/>
    </w:rPr>
  </w:style>
  <w:style w:type="paragraph" w:styleId="8">
    <w:name w:val="Body Text"/>
    <w:basedOn w:val="1"/>
    <w:link w:val="33"/>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0"/>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7"/>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rPr>
  </w:style>
  <w:style w:type="paragraph" w:styleId="14">
    <w:name w:val="header"/>
    <w:basedOn w:val="1"/>
    <w:link w:val="29"/>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Body Text Indent 3"/>
    <w:basedOn w:val="1"/>
    <w:qFormat/>
    <w:uiPriority w:val="0"/>
    <w:pPr>
      <w:adjustRightInd w:val="0"/>
      <w:spacing w:after="120" w:line="312" w:lineRule="atLeast"/>
      <w:ind w:left="420"/>
      <w:textAlignment w:val="baseline"/>
    </w:pPr>
    <w:rPr>
      <w:kern w:val="0"/>
      <w:sz w:val="16"/>
      <w:szCs w:val="16"/>
    </w:rPr>
  </w:style>
  <w:style w:type="paragraph" w:styleId="17">
    <w:name w:val="Normal (Web)"/>
    <w:basedOn w:val="1"/>
    <w:qFormat/>
    <w:uiPriority w:val="99"/>
    <w:pPr>
      <w:spacing w:before="100" w:beforeAutospacing="1" w:after="100" w:afterAutospacing="1"/>
    </w:pPr>
    <w:rPr>
      <w:rFonts w:ascii="宋体" w:hAnsi="宋体"/>
      <w:kern w:val="0"/>
      <w:sz w:val="24"/>
      <w:szCs w:val="24"/>
    </w:rPr>
  </w:style>
  <w:style w:type="paragraph" w:styleId="18">
    <w:name w:val="Body Text First Indent"/>
    <w:basedOn w:val="8"/>
    <w:link w:val="34"/>
    <w:semiHidden/>
    <w:unhideWhenUsed/>
    <w:qFormat/>
    <w:uiPriority w:val="99"/>
    <w:pPr>
      <w:spacing w:after="120"/>
      <w:ind w:firstLine="420" w:firstLineChars="1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paragraph" w:customStyle="1" w:styleId="25">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6">
    <w:name w:val="Char"/>
    <w:basedOn w:val="1"/>
    <w:qFormat/>
    <w:uiPriority w:val="0"/>
    <w:pPr>
      <w:spacing w:line="480" w:lineRule="exact"/>
    </w:pPr>
    <w:rPr>
      <w:sz w:val="24"/>
      <w:szCs w:val="24"/>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8">
    <w:name w:val="页脚 字符"/>
    <w:basedOn w:val="21"/>
    <w:link w:val="13"/>
    <w:qFormat/>
    <w:uiPriority w:val="99"/>
    <w:rPr>
      <w:sz w:val="18"/>
    </w:rPr>
  </w:style>
  <w:style w:type="character" w:customStyle="1" w:styleId="29">
    <w:name w:val="页眉 字符"/>
    <w:link w:val="14"/>
    <w:qFormat/>
    <w:uiPriority w:val="0"/>
    <w:rPr>
      <w:kern w:val="2"/>
      <w:sz w:val="18"/>
    </w:rPr>
  </w:style>
  <w:style w:type="character" w:customStyle="1" w:styleId="30">
    <w:name w:val="纯文本 字符"/>
    <w:basedOn w:val="21"/>
    <w:link w:val="10"/>
    <w:qFormat/>
    <w:uiPriority w:val="0"/>
    <w:rPr>
      <w:rFonts w:ascii="宋体" w:hAnsi="Courier New" w:cs="Courier New"/>
      <w:sz w:val="21"/>
      <w:szCs w:val="21"/>
    </w:rPr>
  </w:style>
  <w:style w:type="paragraph" w:customStyle="1" w:styleId="31">
    <w:name w:val="标书标题!"/>
    <w:basedOn w:val="1"/>
    <w:qFormat/>
    <w:uiPriority w:val="0"/>
    <w:pPr>
      <w:tabs>
        <w:tab w:val="left" w:pos="7380"/>
      </w:tabs>
      <w:spacing w:beforeLines="100" w:afterLines="100"/>
      <w:jc w:val="center"/>
      <w:outlineLvl w:val="0"/>
    </w:pPr>
    <w:rPr>
      <w:rFonts w:ascii="黑体" w:hAnsi="黑体" w:eastAsia="黑体"/>
      <w:b/>
      <w:kern w:val="0"/>
      <w:sz w:val="36"/>
      <w:szCs w:val="36"/>
    </w:rPr>
  </w:style>
  <w:style w:type="paragraph" w:styleId="32">
    <w:name w:val="No Spacing"/>
    <w:qFormat/>
    <w:uiPriority w:val="1"/>
    <w:rPr>
      <w:rFonts w:ascii="Calibri" w:hAnsi="Calibri" w:eastAsia="宋体" w:cs="Times New Roman"/>
      <w:sz w:val="22"/>
      <w:szCs w:val="22"/>
      <w:lang w:val="en-US" w:eastAsia="zh-CN" w:bidi="ar-SA"/>
    </w:rPr>
  </w:style>
  <w:style w:type="character" w:customStyle="1" w:styleId="33">
    <w:name w:val="正文文本 字符"/>
    <w:basedOn w:val="21"/>
    <w:link w:val="8"/>
    <w:qFormat/>
    <w:uiPriority w:val="99"/>
    <w:rPr>
      <w:kern w:val="2"/>
      <w:sz w:val="28"/>
    </w:rPr>
  </w:style>
  <w:style w:type="character" w:customStyle="1" w:styleId="34">
    <w:name w:val="正文文本首行缩进 字符"/>
    <w:basedOn w:val="33"/>
    <w:link w:val="18"/>
    <w:qFormat/>
    <w:uiPriority w:val="0"/>
    <w:rPr>
      <w:kern w:val="2"/>
      <w:sz w:val="28"/>
    </w:rPr>
  </w:style>
  <w:style w:type="character" w:customStyle="1" w:styleId="35">
    <w:name w:val="正文缩进 字符"/>
    <w:link w:val="7"/>
    <w:semiHidden/>
    <w:qFormat/>
    <w:locked/>
    <w:uiPriority w:val="0"/>
    <w:rPr>
      <w:sz w:val="28"/>
    </w:rPr>
  </w:style>
  <w:style w:type="paragraph" w:customStyle="1" w:styleId="36">
    <w:name w:val="1.1"/>
    <w:basedOn w:val="1"/>
    <w:qFormat/>
    <w:uiPriority w:val="0"/>
    <w:pPr>
      <w:keepNext/>
      <w:overflowPunct w:val="0"/>
      <w:autoSpaceDE w:val="0"/>
      <w:autoSpaceDN w:val="0"/>
      <w:adjustRightInd w:val="0"/>
      <w:spacing w:before="240"/>
      <w:jc w:val="left"/>
    </w:pPr>
    <w:rPr>
      <w:rFonts w:ascii="宋体"/>
      <w:b/>
      <w:kern w:val="0"/>
      <w:sz w:val="24"/>
    </w:rPr>
  </w:style>
  <w:style w:type="character" w:customStyle="1" w:styleId="37">
    <w:name w:val="批注框文本 字符"/>
    <w:basedOn w:val="21"/>
    <w:link w:val="12"/>
    <w:semiHidden/>
    <w:qFormat/>
    <w:uiPriority w:val="99"/>
    <w:rPr>
      <w:kern w:val="2"/>
      <w:sz w:val="18"/>
      <w:szCs w:val="18"/>
    </w:rPr>
  </w:style>
  <w:style w:type="paragraph" w:styleId="38">
    <w:name w:val="List Paragraph"/>
    <w:basedOn w:val="1"/>
    <w:qFormat/>
    <w:uiPriority w:val="99"/>
    <w:pPr>
      <w:ind w:firstLine="420" w:firstLineChars="200"/>
    </w:pPr>
  </w:style>
  <w:style w:type="paragraph" w:customStyle="1" w:styleId="3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21204</Words>
  <Characters>22808</Characters>
  <Lines>159</Lines>
  <Paragraphs>44</Paragraphs>
  <TotalTime>1</TotalTime>
  <ScaleCrop>false</ScaleCrop>
  <LinksUpToDate>false</LinksUpToDate>
  <CharactersWithSpaces>22824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2020-06-22T01:43:00Z</dcterms:created>
  <dc:creator>WT</dc:creator>
  <cp:lastModifiedBy>林煜韩</cp:lastModifiedBy>
  <cp:lastPrinted>2021-06-16T05:59:00Z</cp:lastPrinted>
  <dcterms:modified xsi:type="dcterms:W3CDTF">2021-08-24T02:33:54Z</dcterms:modified>
  <dc:title>询价文件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