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color w:val="auto"/>
        </w:rPr>
      </w:pPr>
    </w:p>
    <w:p>
      <w:pPr>
        <w:spacing w:line="360" w:lineRule="auto"/>
        <w:rPr>
          <w:rFonts w:ascii="仿宋_GB2312" w:hAnsi="仿宋_GB2312" w:eastAsia="仿宋_GB2312" w:cs="仿宋_GB2312"/>
          <w:b/>
          <w:color w:val="auto"/>
          <w:kern w:val="0"/>
        </w:rPr>
      </w:pPr>
    </w:p>
    <w:p>
      <w:pPr>
        <w:spacing w:line="360" w:lineRule="auto"/>
        <w:rPr>
          <w:rFonts w:ascii="仿宋_GB2312" w:hAnsi="仿宋_GB2312" w:eastAsia="仿宋_GB2312" w:cs="仿宋_GB2312"/>
          <w:b/>
          <w:color w:val="auto"/>
          <w:kern w:val="0"/>
        </w:rPr>
      </w:pPr>
    </w:p>
    <w:p>
      <w:pPr>
        <w:tabs>
          <w:tab w:val="left" w:pos="420"/>
          <w:tab w:val="left" w:pos="6660"/>
        </w:tabs>
        <w:spacing w:line="360" w:lineRule="auto"/>
        <w:jc w:val="center"/>
        <w:rPr>
          <w:rFonts w:ascii="仿宋_GB2312" w:hAnsi="仿宋_GB2312" w:eastAsia="仿宋_GB2312" w:cs="仿宋_GB2312"/>
          <w:color w:val="auto"/>
          <w:sz w:val="72"/>
        </w:rPr>
      </w:pPr>
      <w:r>
        <w:rPr>
          <w:rFonts w:hint="eastAsia" w:ascii="仿宋_GB2312" w:hAnsi="仿宋_GB2312" w:eastAsia="仿宋_GB2312" w:cs="仿宋_GB2312"/>
          <w:color w:val="auto"/>
          <w:sz w:val="72"/>
        </w:rPr>
        <w:t>询价文件</w:t>
      </w:r>
    </w:p>
    <w:p>
      <w:pPr>
        <w:spacing w:line="360" w:lineRule="auto"/>
        <w:jc w:val="center"/>
        <w:rPr>
          <w:rFonts w:ascii="仿宋_GB2312" w:hAnsi="仿宋_GB2312" w:eastAsia="仿宋_GB2312" w:cs="仿宋_GB2312"/>
          <w:bCs/>
          <w:color w:val="auto"/>
        </w:rPr>
      </w:pPr>
    </w:p>
    <w:p>
      <w:pPr>
        <w:spacing w:line="360" w:lineRule="auto"/>
        <w:jc w:val="left"/>
        <w:rPr>
          <w:rFonts w:ascii="仿宋_GB2312" w:hAnsi="仿宋_GB2312" w:cs="仿宋_GB2312"/>
          <w:b/>
          <w:bCs/>
          <w:color w:val="auto"/>
          <w:sz w:val="28"/>
          <w:szCs w:val="36"/>
        </w:rPr>
      </w:pPr>
      <w:r>
        <w:rPr>
          <w:rFonts w:ascii="仿宋_GB2312" w:hAnsi="仿宋_GB2312" w:eastAsia="仿宋_GB2312" w:cs="仿宋_GB2312"/>
          <w:b/>
          <w:bCs/>
          <w:color w:val="auto"/>
          <w:sz w:val="28"/>
          <w:szCs w:val="36"/>
        </w:rPr>
        <w:t xml:space="preserve">      </w:t>
      </w:r>
      <w:r>
        <w:rPr>
          <w:rFonts w:hint="eastAsia" w:ascii="仿宋_GB2312" w:hAnsi="仿宋_GB2312" w:eastAsia="仿宋_GB2312" w:cs="仿宋_GB2312"/>
          <w:b/>
          <w:bCs/>
          <w:color w:val="auto"/>
          <w:sz w:val="28"/>
          <w:szCs w:val="36"/>
        </w:rPr>
        <w:t>项目编号：</w:t>
      </w:r>
      <w:r>
        <w:rPr>
          <w:rFonts w:ascii="仿宋_GB2312" w:hAnsi="仿宋_GB2312" w:eastAsia="仿宋_GB2312" w:cs="仿宋_GB2312"/>
          <w:b/>
          <w:bCs/>
          <w:color w:val="auto"/>
          <w:sz w:val="28"/>
          <w:szCs w:val="36"/>
        </w:rPr>
        <w:t xml:space="preserve"> SWHB-XJ-2021</w:t>
      </w:r>
      <w:r>
        <w:rPr>
          <w:rFonts w:hint="eastAsia" w:ascii="仿宋_GB2312" w:hAnsi="仿宋_GB2312" w:eastAsia="仿宋_GB2312" w:cs="仿宋_GB2312"/>
          <w:b/>
          <w:bCs/>
          <w:color w:val="auto"/>
          <w:sz w:val="28"/>
          <w:szCs w:val="36"/>
        </w:rPr>
        <w:t>-</w:t>
      </w:r>
      <w:r>
        <w:rPr>
          <w:rFonts w:hint="eastAsia" w:ascii="仿宋_GB2312" w:hAnsi="仿宋_GB2312" w:eastAsia="仿宋_GB2312" w:cs="仿宋_GB2312"/>
          <w:b/>
          <w:bCs/>
          <w:color w:val="auto"/>
          <w:sz w:val="28"/>
          <w:szCs w:val="36"/>
        </w:rPr>
        <w:fldChar w:fldCharType="begin"/>
      </w:r>
      <w:r>
        <w:rPr>
          <w:rFonts w:ascii="仿宋_GB2312" w:hAnsi="仿宋_GB2312" w:eastAsia="仿宋_GB2312" w:cs="仿宋_GB2312"/>
          <w:b/>
          <w:bCs/>
          <w:color w:val="auto"/>
          <w:sz w:val="28"/>
          <w:szCs w:val="36"/>
        </w:rPr>
        <w:instrText xml:space="preserve"> DOCVARIABLE  采购编号  \* MERGEFORMAT </w:instrText>
      </w:r>
      <w:r>
        <w:rPr>
          <w:rFonts w:hint="eastAsia" w:ascii="仿宋_GB2312" w:hAnsi="仿宋_GB2312" w:eastAsia="仿宋_GB2312" w:cs="仿宋_GB2312"/>
          <w:b/>
          <w:bCs/>
          <w:color w:val="auto"/>
          <w:sz w:val="28"/>
          <w:szCs w:val="36"/>
        </w:rPr>
        <w:fldChar w:fldCharType="end"/>
      </w:r>
      <w:r>
        <w:rPr>
          <w:rFonts w:ascii="仿宋_GB2312" w:hAnsi="仿宋_GB2312" w:eastAsia="仿宋_GB2312" w:cs="仿宋_GB2312"/>
          <w:b/>
          <w:bCs/>
          <w:color w:val="auto"/>
          <w:sz w:val="28"/>
          <w:szCs w:val="36"/>
        </w:rPr>
        <w:t>0</w:t>
      </w:r>
      <w:r>
        <w:rPr>
          <w:rFonts w:hint="eastAsia" w:ascii="仿宋_GB2312" w:hAnsi="仿宋_GB2312" w:eastAsia="仿宋_GB2312" w:cs="仿宋_GB2312"/>
          <w:b/>
          <w:bCs/>
          <w:color w:val="auto"/>
          <w:sz w:val="28"/>
          <w:szCs w:val="36"/>
        </w:rPr>
        <w:t>10</w:t>
      </w:r>
    </w:p>
    <w:p>
      <w:pPr>
        <w:spacing w:line="360" w:lineRule="auto"/>
        <w:jc w:val="left"/>
        <w:rPr>
          <w:rFonts w:ascii="仿宋_GB2312" w:hAnsi="仿宋_GB2312" w:eastAsia="仿宋_GB2312" w:cs="仿宋_GB2312"/>
          <w:b/>
          <w:bCs/>
          <w:color w:val="auto"/>
          <w:sz w:val="28"/>
          <w:szCs w:val="36"/>
        </w:rPr>
      </w:pPr>
      <w:r>
        <w:rPr>
          <w:rFonts w:ascii="仿宋_GB2312" w:hAnsi="仿宋_GB2312" w:eastAsia="仿宋_GB2312" w:cs="仿宋_GB2312"/>
          <w:b/>
          <w:bCs/>
          <w:color w:val="auto"/>
          <w:sz w:val="28"/>
          <w:szCs w:val="36"/>
        </w:rPr>
        <w:t xml:space="preserve">      项目名称： </w:t>
      </w:r>
      <w:r>
        <w:rPr>
          <w:rFonts w:hint="eastAsia" w:ascii="仿宋_GB2312" w:hAnsi="仿宋_GB2312" w:eastAsia="仿宋_GB2312" w:cs="仿宋_GB2312"/>
          <w:b/>
          <w:bCs/>
          <w:color w:val="auto"/>
          <w:sz w:val="28"/>
          <w:szCs w:val="36"/>
        </w:rPr>
        <w:t>广州水务环保技术有限公司自卸货车轮胎采购项目</w:t>
      </w:r>
    </w:p>
    <w:p>
      <w:pPr>
        <w:spacing w:line="360" w:lineRule="auto"/>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广州水务环保技术有限公司编制</w:t>
      </w:r>
    </w:p>
    <w:p>
      <w:pPr>
        <w:spacing w:line="360" w:lineRule="auto"/>
        <w:jc w:val="center"/>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 xml:space="preserve">  </w:t>
      </w: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　2021年7月</w:t>
      </w:r>
      <w:r>
        <w:rPr>
          <w:rFonts w:hint="eastAsia" w:ascii="仿宋_GB2312" w:hAnsi="仿宋_GB2312" w:eastAsia="仿宋_GB2312" w:cs="仿宋_GB2312"/>
          <w:b/>
          <w:bCs/>
          <w:color w:val="auto"/>
          <w:sz w:val="28"/>
          <w:lang w:val="en-US" w:eastAsia="zh-CN"/>
        </w:rPr>
        <w:t>20</w:t>
      </w:r>
      <w:r>
        <w:rPr>
          <w:rFonts w:hint="eastAsia" w:ascii="仿宋_GB2312" w:hAnsi="仿宋_GB2312" w:eastAsia="仿宋_GB2312" w:cs="仿宋_GB2312"/>
          <w:b/>
          <w:bCs/>
          <w:color w:val="auto"/>
          <w:sz w:val="28"/>
        </w:rPr>
        <w:t>日</w:t>
      </w:r>
    </w:p>
    <w:p>
      <w:pPr>
        <w:spacing w:line="360" w:lineRule="auto"/>
        <w:rPr>
          <w:rFonts w:ascii="仿宋_GB2312" w:hAnsi="仿宋_GB2312" w:eastAsia="仿宋_GB2312" w:cs="仿宋_GB2312"/>
          <w:color w:val="auto"/>
        </w:rPr>
      </w:pPr>
    </w:p>
    <w:p>
      <w:pPr>
        <w:spacing w:line="360" w:lineRule="auto"/>
        <w:rPr>
          <w:rFonts w:ascii="仿宋_GB2312" w:hAnsi="仿宋_GB2312" w:eastAsia="仿宋_GB2312" w:cs="仿宋_GB2312"/>
          <w:b/>
          <w:color w:val="auto"/>
          <w:sz w:val="28"/>
          <w:szCs w:val="28"/>
        </w:rPr>
      </w:pPr>
    </w:p>
    <w:p>
      <w:pPr>
        <w:spacing w:line="360" w:lineRule="auto"/>
        <w:rPr>
          <w:rFonts w:ascii="仿宋_GB2312" w:hAnsi="仿宋_GB2312" w:eastAsia="仿宋_GB2312" w:cs="仿宋_GB2312"/>
          <w:b/>
          <w:color w:val="auto"/>
          <w:sz w:val="28"/>
          <w:szCs w:val="28"/>
        </w:rPr>
      </w:pPr>
    </w:p>
    <w:p>
      <w:pPr>
        <w:pageBreakBefore/>
        <w:spacing w:line="360" w:lineRule="auto"/>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18"/>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  报价邀请函</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spacing w:line="360" w:lineRule="auto"/>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color w:val="auto"/>
          <w:sz w:val="28"/>
          <w:szCs w:val="28"/>
        </w:rPr>
      </w:pPr>
    </w:p>
    <w:p>
      <w:pPr>
        <w:spacing w:line="360" w:lineRule="auto"/>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60" w:lineRule="auto"/>
        <w:ind w:right="32"/>
        <w:rPr>
          <w:rFonts w:ascii="仿宋_GB2312" w:hAnsi="仿宋_GB2312" w:eastAsia="仿宋_GB2312" w:cs="仿宋_GB2312"/>
          <w:color w:val="auto"/>
          <w:kern w:val="0"/>
          <w:sz w:val="28"/>
          <w:szCs w:val="28"/>
        </w:rPr>
      </w:pPr>
    </w:p>
    <w:p>
      <w:pPr>
        <w:spacing w:line="360" w:lineRule="auto"/>
        <w:rPr>
          <w:rFonts w:ascii="仿宋_GB2312" w:hAnsi="仿宋_GB2312" w:eastAsia="仿宋_GB2312" w:cs="仿宋_GB2312"/>
          <w:b/>
          <w:color w:val="auto"/>
          <w:sz w:val="28"/>
          <w:szCs w:val="28"/>
        </w:rPr>
      </w:pPr>
    </w:p>
    <w:p>
      <w:pPr>
        <w:spacing w:line="360" w:lineRule="auto"/>
        <w:rPr>
          <w:rFonts w:ascii="仿宋_GB2312" w:hAnsi="仿宋_GB2312" w:eastAsia="仿宋_GB2312" w:cs="仿宋_GB2312"/>
          <w:b/>
          <w:color w:val="auto"/>
          <w:sz w:val="28"/>
          <w:szCs w:val="28"/>
        </w:rPr>
      </w:pPr>
    </w:p>
    <w:p>
      <w:pPr>
        <w:spacing w:line="360" w:lineRule="auto"/>
        <w:rPr>
          <w:rFonts w:ascii="仿宋_GB2312" w:hAnsi="仿宋_GB2312" w:eastAsia="仿宋_GB2312" w:cs="仿宋_GB2312"/>
          <w:b/>
          <w:color w:val="auto"/>
          <w:sz w:val="28"/>
          <w:szCs w:val="28"/>
        </w:rPr>
      </w:pPr>
    </w:p>
    <w:p>
      <w:pPr>
        <w:spacing w:line="360" w:lineRule="auto"/>
        <w:rPr>
          <w:rFonts w:ascii="仿宋_GB2312" w:hAnsi="仿宋_GB2312" w:eastAsia="仿宋_GB2312" w:cs="仿宋_GB2312"/>
          <w:b/>
          <w:color w:val="auto"/>
          <w:sz w:val="28"/>
          <w:szCs w:val="28"/>
        </w:rPr>
      </w:pPr>
    </w:p>
    <w:p>
      <w:pPr>
        <w:spacing w:line="360" w:lineRule="auto"/>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第一部分 报价邀请函</w:t>
      </w:r>
    </w:p>
    <w:p>
      <w:pPr>
        <w:spacing w:line="360" w:lineRule="auto"/>
        <w:ind w:firstLine="478" w:firstLineChars="171"/>
        <w:rPr>
          <w:rFonts w:ascii="仿宋_GB2312" w:hAnsi="仿宋_GB2312" w:eastAsia="仿宋_GB2312" w:cs="仿宋_GB2312"/>
          <w:color w:val="auto"/>
          <w:kern w:val="0"/>
          <w:sz w:val="28"/>
          <w:szCs w:val="28"/>
        </w:rPr>
      </w:pPr>
    </w:p>
    <w:p>
      <w:pPr>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各报价单位:</w:t>
      </w:r>
    </w:p>
    <w:p>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现我公司对</w:t>
      </w:r>
      <w:r>
        <w:rPr>
          <w:rFonts w:hint="eastAsia" w:ascii="仿宋_GB2312" w:hAnsi="仿宋_GB2312" w:eastAsia="仿宋_GB2312" w:cs="仿宋_GB2312"/>
          <w:color w:val="auto"/>
          <w:sz w:val="28"/>
          <w:szCs w:val="36"/>
          <w:u w:val="single"/>
        </w:rPr>
        <w:t>自卸</w:t>
      </w:r>
      <w:r>
        <w:rPr>
          <w:rFonts w:hint="eastAsia" w:ascii="仿宋_GB2312" w:hAnsi="仿宋_GB2312" w:eastAsia="仿宋_GB2312" w:cs="仿宋_GB2312"/>
          <w:color w:val="auto"/>
          <w:sz w:val="28"/>
          <w:szCs w:val="36"/>
          <w:u w:val="single"/>
          <w:lang w:val="en-US" w:eastAsia="zh-CN"/>
        </w:rPr>
        <w:t>货车</w:t>
      </w:r>
      <w:r>
        <w:rPr>
          <w:rFonts w:hint="eastAsia" w:ascii="仿宋_GB2312" w:hAnsi="仿宋_GB2312" w:eastAsia="仿宋_GB2312" w:cs="仿宋_GB2312"/>
          <w:color w:val="auto"/>
          <w:sz w:val="28"/>
          <w:szCs w:val="36"/>
          <w:u w:val="single"/>
        </w:rPr>
        <w:t>轮胎采购</w:t>
      </w:r>
      <w:r>
        <w:rPr>
          <w:rFonts w:hint="eastAsia" w:ascii="仿宋" w:hAnsi="仿宋" w:eastAsia="仿宋" w:cs="仿宋"/>
          <w:color w:val="auto"/>
          <w:sz w:val="28"/>
          <w:szCs w:val="28"/>
          <w:u w:val="single"/>
        </w:rPr>
        <w:t>项目</w:t>
      </w:r>
      <w:r>
        <w:rPr>
          <w:rFonts w:hint="eastAsia" w:ascii="仿宋" w:hAnsi="仿宋" w:eastAsia="仿宋" w:cs="仿宋"/>
          <w:color w:val="auto"/>
          <w:sz w:val="28"/>
          <w:szCs w:val="28"/>
        </w:rPr>
        <w:t>进行询价，</w:t>
      </w:r>
      <w:r>
        <w:rPr>
          <w:rFonts w:hint="eastAsia" w:ascii="仿宋" w:hAnsi="仿宋" w:eastAsia="仿宋" w:cs="仿宋"/>
          <w:color w:val="auto"/>
          <w:sz w:val="28"/>
          <w:szCs w:val="28"/>
          <w:lang w:val="zh-CN"/>
        </w:rPr>
        <w:t>欢迎符合资格条件</w:t>
      </w:r>
      <w:r>
        <w:rPr>
          <w:rFonts w:hint="eastAsia" w:ascii="仿宋" w:hAnsi="仿宋" w:eastAsia="仿宋" w:cs="仿宋"/>
          <w:color w:val="auto"/>
          <w:sz w:val="28"/>
          <w:szCs w:val="28"/>
        </w:rPr>
        <w:t>的承包单位参加。</w:t>
      </w:r>
    </w:p>
    <w:p>
      <w:pPr>
        <w:autoSpaceDE w:val="0"/>
        <w:autoSpaceDN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一、资金计划：</w:t>
      </w:r>
      <w:r>
        <w:rPr>
          <w:rFonts w:hint="eastAsia" w:ascii="仿宋_GB2312" w:hAnsi="仿宋_GB2312" w:eastAsia="仿宋_GB2312" w:cs="仿宋_GB2312"/>
          <w:color w:val="auto"/>
          <w:sz w:val="28"/>
          <w:szCs w:val="28"/>
        </w:rPr>
        <w:t>自筹资金</w:t>
      </w:r>
    </w:p>
    <w:p>
      <w:pPr>
        <w:autoSpaceDE w:val="0"/>
        <w:autoSpaceDN w:val="0"/>
        <w:spacing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zh-CN"/>
        </w:rPr>
        <w:t>、项目编号：</w:t>
      </w:r>
      <w:r>
        <w:rPr>
          <w:rFonts w:hint="eastAsia" w:ascii="仿宋_GB2312" w:hAnsi="仿宋_GB2312" w:eastAsia="仿宋_GB2312" w:cs="仿宋_GB2312"/>
          <w:color w:val="auto"/>
          <w:sz w:val="28"/>
          <w:szCs w:val="28"/>
          <w:u w:val="single"/>
        </w:rPr>
        <w:t>SWHB-XJ</w:t>
      </w:r>
      <w:r>
        <w:rPr>
          <w:rFonts w:hint="eastAsia" w:ascii="仿宋_GB2312" w:hAnsi="仿宋_GB2312" w:eastAsia="仿宋_GB2312" w:cs="仿宋_GB2312"/>
          <w:color w:val="auto"/>
          <w:sz w:val="28"/>
          <w:szCs w:val="28"/>
          <w:u w:val="single"/>
          <w:lang w:val="zh-CN"/>
        </w:rPr>
        <w:t>-20</w:t>
      </w:r>
      <w:r>
        <w:rPr>
          <w:rFonts w:hint="eastAsia" w:ascii="仿宋_GB2312" w:hAnsi="仿宋_GB2312" w:eastAsia="仿宋_GB2312" w:cs="仿宋_GB2312"/>
          <w:color w:val="auto"/>
          <w:sz w:val="28"/>
          <w:szCs w:val="28"/>
          <w:u w:val="single"/>
        </w:rPr>
        <w:t>21</w:t>
      </w:r>
      <w:r>
        <w:rPr>
          <w:rFonts w:hint="eastAsia" w:ascii="仿宋_GB2312" w:hAnsi="仿宋_GB2312" w:eastAsia="仿宋_GB2312" w:cs="仿宋_GB2312"/>
          <w:color w:val="auto"/>
          <w:sz w:val="28"/>
          <w:szCs w:val="28"/>
          <w:u w:val="single"/>
          <w:lang w:val="en-US" w:eastAsia="zh-CN"/>
        </w:rPr>
        <w:t>-</w:t>
      </w:r>
      <w:r>
        <w:rPr>
          <w:rFonts w:hint="eastAsia" w:ascii="仿宋_GB2312" w:hAnsi="仿宋_GB2312" w:eastAsia="仿宋_GB2312" w:cs="仿宋_GB2312"/>
          <w:color w:val="auto"/>
          <w:sz w:val="28"/>
          <w:szCs w:val="28"/>
          <w:u w:val="single"/>
        </w:rPr>
        <w:t>010</w:t>
      </w:r>
    </w:p>
    <w:p>
      <w:pPr>
        <w:autoSpaceDE w:val="0"/>
        <w:autoSpaceDN w:val="0"/>
        <w:spacing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 w:hAnsi="仿宋" w:eastAsia="仿宋" w:cs="仿宋"/>
          <w:color w:val="auto"/>
          <w:sz w:val="28"/>
          <w:szCs w:val="28"/>
        </w:rPr>
        <w:t>广州水务环保技术有限公司</w:t>
      </w:r>
      <w:r>
        <w:rPr>
          <w:rFonts w:hint="eastAsia" w:ascii="仿宋_GB2312" w:hAnsi="仿宋_GB2312" w:eastAsia="仿宋_GB2312" w:cs="仿宋_GB2312"/>
          <w:color w:val="auto"/>
          <w:sz w:val="28"/>
          <w:szCs w:val="36"/>
        </w:rPr>
        <w:t>自卸</w:t>
      </w:r>
      <w:r>
        <w:rPr>
          <w:rFonts w:hint="eastAsia" w:ascii="仿宋_GB2312" w:hAnsi="仿宋_GB2312" w:eastAsia="仿宋_GB2312" w:cs="仿宋_GB2312"/>
          <w:color w:val="auto"/>
          <w:sz w:val="28"/>
          <w:szCs w:val="36"/>
          <w:lang w:val="en-US" w:eastAsia="zh-CN"/>
        </w:rPr>
        <w:t>货车</w:t>
      </w:r>
      <w:r>
        <w:rPr>
          <w:rFonts w:hint="eastAsia" w:ascii="仿宋_GB2312" w:hAnsi="仿宋_GB2312" w:eastAsia="仿宋_GB2312" w:cs="仿宋_GB2312"/>
          <w:color w:val="auto"/>
          <w:sz w:val="28"/>
          <w:szCs w:val="36"/>
        </w:rPr>
        <w:t>轮胎采购项目</w:t>
      </w:r>
    </w:p>
    <w:p>
      <w:pPr>
        <w:autoSpaceDE w:val="0"/>
        <w:autoSpaceDN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200000.00元</w:t>
      </w:r>
    </w:p>
    <w:p>
      <w:pPr>
        <w:autoSpaceDE w:val="0"/>
        <w:autoSpaceDN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w:t>
      </w:r>
    </w:p>
    <w:p>
      <w:pPr>
        <w:widowControl/>
        <w:spacing w:line="360" w:lineRule="auto"/>
        <w:ind w:firstLine="560" w:firstLineChars="200"/>
        <w:jc w:val="left"/>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为询价人所管理2</w:t>
      </w:r>
      <w:r>
        <w:rPr>
          <w:rFonts w:ascii="仿宋_GB2312" w:hAnsi="仿宋_GB2312" w:eastAsia="仿宋_GB2312" w:cs="仿宋_GB2312"/>
          <w:color w:val="auto"/>
          <w:sz w:val="28"/>
          <w:szCs w:val="28"/>
          <w:lang w:bidi="ar"/>
        </w:rPr>
        <w:t>6</w:t>
      </w:r>
      <w:r>
        <w:rPr>
          <w:rFonts w:hint="eastAsia" w:ascii="仿宋_GB2312" w:hAnsi="仿宋_GB2312" w:eastAsia="仿宋_GB2312" w:cs="仿宋_GB2312"/>
          <w:color w:val="auto"/>
          <w:sz w:val="28"/>
          <w:szCs w:val="28"/>
          <w:lang w:bidi="ar"/>
        </w:rPr>
        <w:t xml:space="preserve">辆自卸货车提供轮胎供应、轮胎更换等服务。服务对象的车辆数仅作参考，服务过程中以实有车辆数为准。询价人因机构调整、车辆更新等其它原因导致车辆数和车型有所调整的，承包人应无条件的接受。 </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六</w:t>
      </w:r>
      <w:r>
        <w:rPr>
          <w:rFonts w:hint="eastAsia" w:ascii="仿宋_GB2312" w:hAnsi="仿宋_GB2312" w:eastAsia="仿宋_GB2312" w:cs="仿宋_GB2312"/>
          <w:color w:val="auto"/>
          <w:sz w:val="28"/>
          <w:szCs w:val="28"/>
        </w:rPr>
        <w:t>、报价单位资格要求：</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u w:val="single"/>
        </w:rPr>
        <w:t>报价单位须是中华人民共和国境内的法人或者其他组织，具有独立法人资格，且能开具增值税专用发票</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具有</w:t>
      </w:r>
      <w:r>
        <w:rPr>
          <w:rFonts w:hint="eastAsia" w:ascii="仿宋_GB2312" w:hAnsi="仿宋_GB2312" w:eastAsia="仿宋_GB2312" w:cs="仿宋_GB2312"/>
          <w:color w:val="auto"/>
          <w:sz w:val="28"/>
          <w:szCs w:val="28"/>
        </w:rPr>
        <w:t>车辆</w:t>
      </w:r>
      <w:r>
        <w:rPr>
          <w:rFonts w:hint="eastAsia" w:ascii="仿宋_GB2312" w:hAnsi="仿宋_GB2312" w:eastAsia="仿宋_GB2312" w:cs="仿宋_GB2312"/>
          <w:color w:val="auto"/>
          <w:sz w:val="28"/>
          <w:szCs w:val="28"/>
          <w:lang w:val="en-US" w:eastAsia="zh-CN"/>
        </w:rPr>
        <w:t>轮胎</w:t>
      </w:r>
      <w:r>
        <w:rPr>
          <w:rFonts w:hint="eastAsia" w:ascii="仿宋_GB2312" w:hAnsi="仿宋_GB2312" w:eastAsia="仿宋_GB2312" w:cs="仿宋_GB2312"/>
          <w:color w:val="auto"/>
          <w:sz w:val="28"/>
          <w:szCs w:val="28"/>
        </w:rPr>
        <w:t>销售资格。</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.在“信用中国”网站（</w:t>
      </w:r>
      <w:r>
        <w:rPr>
          <w:rFonts w:ascii="仿宋_GB2312" w:hAnsi="仿宋_GB2312" w:eastAsia="仿宋_GB2312" w:cs="仿宋_GB2312"/>
          <w:color w:val="auto"/>
          <w:sz w:val="28"/>
          <w:szCs w:val="28"/>
        </w:rPr>
        <w:fldChar w:fldCharType="begin"/>
      </w:r>
      <w:r>
        <w:rPr>
          <w:rFonts w:ascii="仿宋_GB2312" w:hAnsi="仿宋_GB2312" w:eastAsia="仿宋_GB2312" w:cs="仿宋_GB2312"/>
          <w:color w:val="auto"/>
          <w:sz w:val="28"/>
          <w:szCs w:val="28"/>
        </w:rPr>
        <w:instrText xml:space="preserve"> HYPERLINK "http://www.creditchina.gov.cn/)中被列入失信被执行人名单的报价人，在国家企业信用信息公示系统（www.gsxt.gov.cn）中被列入严重违法失信企业名单的报价人，均按否决其报价处理" </w:instrText>
      </w:r>
      <w:r>
        <w:rPr>
          <w:rFonts w:ascii="仿宋_GB2312" w:hAnsi="仿宋_GB2312" w:eastAsia="仿宋_GB2312" w:cs="仿宋_GB2312"/>
          <w:color w:val="auto"/>
          <w:sz w:val="28"/>
          <w:szCs w:val="28"/>
        </w:rPr>
        <w:fldChar w:fldCharType="separate"/>
      </w:r>
      <w:r>
        <w:rPr>
          <w:rStyle w:val="29"/>
          <w:rFonts w:hint="eastAsia" w:ascii="仿宋_GB2312" w:hAnsi="仿宋_GB2312" w:eastAsia="仿宋_GB2312" w:cs="仿宋_GB2312"/>
          <w:color w:val="auto"/>
          <w:sz w:val="28"/>
          <w:szCs w:val="28"/>
          <w:u w:val="none"/>
        </w:rPr>
        <w:t>http://www.creditchina.gov.cn/)中被列入失信被执行人名单的报价人，在国家企业信用信息公示系统（www.gsxt.gov.cn）中被列入严重违法失信企业名单的报价人，均按否决其报价处理</w:t>
      </w:r>
      <w:r>
        <w:rPr>
          <w:rFonts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在前三年内的经营活动中没有重大违法记录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（需提供证明）</w:t>
      </w:r>
    </w:p>
    <w:p>
      <w:pPr>
        <w:pStyle w:val="2"/>
        <w:rPr>
          <w:rFonts w:hint="eastAsia" w:ascii="仿宋_GB2312" w:hAnsi="仿宋_GB2312" w:eastAsia="仿宋_GB2312" w:cs="仿宋_GB2312"/>
          <w:color w:val="auto"/>
          <w:sz w:val="28"/>
          <w:szCs w:val="28"/>
          <w:u w:val="single"/>
          <w:lang w:eastAsia="zh-CN"/>
        </w:rPr>
      </w:pPr>
      <w:r>
        <w:rPr>
          <w:rFonts w:hint="eastAsia" w:ascii="仿宋_GB2312" w:hAnsi="仿宋_GB2312" w:cs="仿宋_GB2312"/>
          <w:color w:val="auto"/>
          <w:sz w:val="28"/>
          <w:szCs w:val="28"/>
          <w:lang w:val="en-US" w:eastAsia="zh-CN"/>
        </w:rPr>
        <w:t xml:space="preserve">   3</w:t>
      </w:r>
      <w:r>
        <w:rPr>
          <w:rFonts w:hint="eastAsia" w:ascii="仿宋_GB2312" w:hAnsi="仿宋_GB2312" w:eastAsia="仿宋_GB2312" w:cs="仿宋_GB2312"/>
          <w:color w:val="auto"/>
          <w:sz w:val="28"/>
          <w:szCs w:val="28"/>
          <w:u w:val="single"/>
        </w:rPr>
        <w:t>.销售业绩要求：201</w:t>
      </w:r>
      <w:r>
        <w:rPr>
          <w:rFonts w:hint="eastAsia" w:ascii="仿宋_GB2312" w:hAnsi="仿宋_GB2312" w:eastAsia="仿宋_GB2312" w:cs="仿宋_GB2312"/>
          <w:color w:val="auto"/>
          <w:sz w:val="28"/>
          <w:szCs w:val="28"/>
          <w:u w:val="single"/>
          <w:lang w:val="en-US" w:eastAsia="zh-CN"/>
        </w:rPr>
        <w:t>8</w:t>
      </w:r>
      <w:r>
        <w:rPr>
          <w:rFonts w:hint="eastAsia" w:ascii="仿宋_GB2312" w:hAnsi="仿宋_GB2312" w:eastAsia="仿宋_GB2312" w:cs="仿宋_GB2312"/>
          <w:color w:val="auto"/>
          <w:sz w:val="28"/>
          <w:szCs w:val="28"/>
          <w:u w:val="single"/>
        </w:rPr>
        <w:t>年1月1日至今，最少具有一项</w:t>
      </w:r>
      <w:r>
        <w:rPr>
          <w:rFonts w:hint="eastAsia" w:ascii="仿宋_GB2312" w:hAnsi="仿宋_GB2312" w:cs="仿宋_GB2312"/>
          <w:color w:val="auto"/>
          <w:sz w:val="28"/>
          <w:szCs w:val="28"/>
          <w:u w:val="single"/>
          <w:lang w:val="en-US" w:eastAsia="zh-CN"/>
        </w:rPr>
        <w:t>车辆轮胎销售业绩</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提供合同复印件证明，包括但不限于项目名称、金额及实施内容、合同双方签字盖章、签订日期，并加盖单位公章</w:t>
      </w:r>
      <w:r>
        <w:rPr>
          <w:rFonts w:hint="eastAsia" w:ascii="仿宋_GB2312" w:hAnsi="仿宋_GB2312" w:eastAsia="仿宋_GB2312" w:cs="仿宋_GB2312"/>
          <w:color w:val="auto"/>
          <w:sz w:val="28"/>
          <w:szCs w:val="28"/>
          <w:u w:val="single"/>
          <w:lang w:eastAsia="zh-CN"/>
        </w:rPr>
        <w:t>）。</w:t>
      </w:r>
    </w:p>
    <w:p>
      <w:pPr>
        <w:pStyle w:val="2"/>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4.</w:t>
      </w:r>
      <w:r>
        <w:rPr>
          <w:rFonts w:hint="eastAsia" w:ascii="仿宋_GB2312" w:hAnsi="仿宋_GB2312" w:eastAsia="仿宋_GB2312" w:cs="仿宋_GB2312"/>
          <w:color w:val="auto"/>
          <w:sz w:val="28"/>
          <w:szCs w:val="28"/>
          <w:u w:val="single"/>
        </w:rPr>
        <w:t>报价单位需出具承诺函，承诺中选后提供</w:t>
      </w:r>
      <w:r>
        <w:rPr>
          <w:rFonts w:hint="eastAsia" w:ascii="仿宋_GB2312" w:hAnsi="仿宋_GB2312" w:cs="仿宋_GB2312"/>
          <w:color w:val="auto"/>
          <w:sz w:val="28"/>
          <w:szCs w:val="28"/>
          <w:u w:val="single"/>
          <w:lang w:val="en-US" w:eastAsia="zh-CN"/>
        </w:rPr>
        <w:t>报价轮胎生产商</w:t>
      </w:r>
      <w:r>
        <w:rPr>
          <w:rFonts w:hint="eastAsia" w:ascii="仿宋_GB2312" w:hAnsi="仿宋_GB2312" w:eastAsia="仿宋_GB2312" w:cs="仿宋_GB2312"/>
          <w:color w:val="auto"/>
          <w:sz w:val="28"/>
          <w:szCs w:val="28"/>
          <w:u w:val="single"/>
        </w:rPr>
        <w:t>原装全新产品（加盖单位公章）。</w:t>
      </w:r>
    </w:p>
    <w:p>
      <w:pPr>
        <w:widowControl w:val="0"/>
        <w:numPr>
          <w:ilvl w:val="0"/>
          <w:numId w:val="0"/>
        </w:numPr>
        <w:spacing w:line="360" w:lineRule="auto"/>
        <w:ind w:firstLine="560" w:firstLineChars="200"/>
        <w:jc w:val="left"/>
        <w:rPr>
          <w:rFonts w:hint="eastAsia" w:ascii="仿宋_GB2312" w:hAnsi="仿宋_GB2312" w:eastAsia="仿宋_GB2312" w:cs="仿宋_GB2312"/>
          <w:color w:val="auto"/>
          <w:sz w:val="28"/>
          <w:szCs w:val="28"/>
          <w:u w:val="single"/>
          <w:lang w:val="zh-CN" w:eastAsia="zh-CN"/>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val="zh-CN"/>
        </w:rPr>
        <w:t>、现场踏勘(答疑会)时间、地点：</w:t>
      </w:r>
      <w:r>
        <w:rPr>
          <w:rFonts w:hint="eastAsia" w:ascii="仿宋_GB2312" w:hAnsi="仿宋" w:eastAsia="仿宋_GB2312" w:cs="仿宋_GB2312"/>
          <w:color w:val="auto"/>
          <w:sz w:val="28"/>
          <w:szCs w:val="28"/>
          <w:u w:val="none"/>
          <w:lang w:val="en-US" w:eastAsia="zh-CN"/>
        </w:rPr>
        <w:t>/</w:t>
      </w:r>
    </w:p>
    <w:p>
      <w:pPr>
        <w:autoSpaceDE w:val="0"/>
        <w:autoSpaceDN w:val="0"/>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rPr>
        <w:t>1. 现场踏勘(答疑会)集合时间：</w:t>
      </w:r>
      <w:r>
        <w:rPr>
          <w:rFonts w:hint="eastAsia" w:ascii="仿宋_GB2312" w:hAnsi="仿宋_GB2312" w:eastAsia="仿宋_GB2312" w:cs="仿宋_GB2312"/>
          <w:color w:val="auto"/>
          <w:sz w:val="28"/>
          <w:szCs w:val="28"/>
          <w:lang w:val="en-US" w:eastAsia="zh-CN"/>
        </w:rPr>
        <w:t xml:space="preserve">/   </w:t>
      </w:r>
    </w:p>
    <w:p>
      <w:pPr>
        <w:autoSpaceDE w:val="0"/>
        <w:autoSpaceDN w:val="0"/>
        <w:spacing w:line="24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2. 现场踏勘(答疑会)集合地点：</w:t>
      </w:r>
      <w:r>
        <w:rPr>
          <w:rFonts w:hint="eastAsia" w:ascii="仿宋_GB2312" w:hAnsi="仿宋" w:eastAsia="仿宋_GB2312" w:cs="仿宋_GB2312"/>
          <w:color w:val="auto"/>
          <w:sz w:val="28"/>
          <w:szCs w:val="28"/>
          <w:lang w:val="en-US" w:eastAsia="zh-CN"/>
        </w:rPr>
        <w:t>/</w:t>
      </w:r>
    </w:p>
    <w:p>
      <w:pPr>
        <w:spacing w:line="360" w:lineRule="auto"/>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八、询价文件的获取：在</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7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29 日9</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分前，在广州市净水有限公司门户网站免费下载。</w:t>
      </w:r>
    </w:p>
    <w:p>
      <w:pPr>
        <w:spacing w:line="360" w:lineRule="auto"/>
        <w:ind w:left="279" w:leftChars="133" w:firstLine="305" w:firstLineChars="10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九、询价响应文件递交截止时间：询价响应文件递交时间：202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7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分至202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7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30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w:t>
      </w:r>
      <w:bookmarkStart w:id="41" w:name="_GoBack"/>
      <w:bookmarkEnd w:id="41"/>
      <w:r>
        <w:rPr>
          <w:rFonts w:hint="eastAsia" w:ascii="仿宋_GB2312" w:hAnsi="仿宋_GB2312" w:eastAsia="仿宋_GB2312" w:cs="仿宋_GB2312"/>
          <w:color w:val="auto"/>
          <w:sz w:val="28"/>
          <w:szCs w:val="28"/>
        </w:rPr>
        <w:t>；询价响应文件递交截止时间：202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7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30</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分。递交响应文件时须提供授权委托人身份证原件备查。</w:t>
      </w:r>
    </w:p>
    <w:p>
      <w:pPr>
        <w:spacing w:line="360" w:lineRule="auto"/>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十、询价响应文件送达地点：广州市荔湾区桥中南路7号</w:t>
      </w:r>
    </w:p>
    <w:p>
      <w:pPr>
        <w:spacing w:line="360" w:lineRule="auto"/>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十一、评审时间： 2021年</w:t>
      </w:r>
      <w:r>
        <w:rPr>
          <w:rFonts w:hint="eastAsia" w:ascii="仿宋_GB2312" w:hAnsi="仿宋_GB2312" w:eastAsia="仿宋_GB2312" w:cs="仿宋_GB2312"/>
          <w:color w:val="auto"/>
          <w:sz w:val="28"/>
          <w:szCs w:val="28"/>
          <w:lang w:val="en-US" w:eastAsia="zh-CN"/>
        </w:rPr>
        <w:t xml:space="preserve"> 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30 </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w:t>
      </w:r>
    </w:p>
    <w:p>
      <w:pPr>
        <w:spacing w:line="360" w:lineRule="auto"/>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十二、评审地点：广州市荔湾区桥中南路7号</w:t>
      </w:r>
    </w:p>
    <w:p>
      <w:pPr>
        <w:spacing w:line="360" w:lineRule="auto"/>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十三、询价人的联系方式</w:t>
      </w:r>
    </w:p>
    <w:p>
      <w:pPr>
        <w:snapToGrid w:val="0"/>
        <w:spacing w:line="360" w:lineRule="auto"/>
        <w:ind w:firstLine="630" w:firstLineChars="225"/>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询价人：</w:t>
      </w:r>
      <w:r>
        <w:rPr>
          <w:rFonts w:hint="eastAsia" w:ascii="仿宋_GB2312" w:hAnsi="仿宋_GB2312" w:eastAsia="仿宋_GB2312" w:cs="仿宋_GB2312"/>
          <w:color w:val="auto"/>
          <w:sz w:val="28"/>
          <w:szCs w:val="28"/>
        </w:rPr>
        <w:t>广州水务环保技术有限公司</w:t>
      </w:r>
    </w:p>
    <w:p>
      <w:pPr>
        <w:snapToGrid w:val="0"/>
        <w:spacing w:line="360" w:lineRule="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联系地址：</w:t>
      </w:r>
      <w:bookmarkStart w:id="0" w:name="_Hlk535253517"/>
      <w:r>
        <w:rPr>
          <w:rFonts w:hint="eastAsia" w:ascii="仿宋_GB2312" w:hAnsi="仿宋_GB2312" w:eastAsia="仿宋_GB2312" w:cs="仿宋_GB2312"/>
          <w:color w:val="auto"/>
          <w:sz w:val="28"/>
          <w:szCs w:val="28"/>
        </w:rPr>
        <w:t>广州市荔湾区桥中南路7号</w:t>
      </w:r>
      <w:r>
        <w:rPr>
          <w:rFonts w:hint="eastAsia" w:ascii="仿宋_GB2312" w:hAnsi="仿宋_GB2312" w:eastAsia="仿宋_GB2312" w:cs="仿宋_GB2312"/>
          <w:color w:val="auto"/>
          <w:kern w:val="0"/>
          <w:sz w:val="28"/>
          <w:szCs w:val="28"/>
        </w:rPr>
        <w:t xml:space="preserve"> </w:t>
      </w:r>
      <w:bookmarkEnd w:id="0"/>
    </w:p>
    <w:p>
      <w:pPr>
        <w:snapToGrid w:val="0"/>
        <w:spacing w:line="360" w:lineRule="auto"/>
        <w:ind w:firstLine="980" w:firstLineChars="35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联系人：吴旸             联系方式：18620190969    </w:t>
      </w:r>
    </w:p>
    <w:p>
      <w:pPr>
        <w:spacing w:line="360" w:lineRule="auto"/>
        <w:ind w:right="140" w:firstLine="5320" w:firstLineChars="19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广州水务环保技术有限公司</w:t>
      </w:r>
    </w:p>
    <w:p>
      <w:pPr>
        <w:spacing w:line="360" w:lineRule="auto"/>
        <w:ind w:firstLine="5880" w:firstLineChars="2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20</w:t>
      </w:r>
      <w:r>
        <w:rPr>
          <w:rFonts w:hint="eastAsia" w:ascii="仿宋_GB2312" w:hAnsi="仿宋_GB2312" w:eastAsia="仿宋_GB2312" w:cs="仿宋_GB2312"/>
          <w:color w:val="auto"/>
          <w:sz w:val="28"/>
          <w:szCs w:val="28"/>
        </w:rPr>
        <w:t>日</w:t>
      </w:r>
    </w:p>
    <w:p>
      <w:pPr>
        <w:spacing w:line="360" w:lineRule="auto"/>
        <w:rPr>
          <w:rFonts w:ascii="仿宋_GB2312" w:hAnsi="仿宋_GB2312" w:eastAsia="仿宋_GB2312" w:cs="仿宋_GB2312"/>
          <w:color w:val="auto"/>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3"/>
        <w:adjustRightInd w:val="0"/>
        <w:snapToGrid w:val="0"/>
        <w:spacing w:line="360" w:lineRule="auto"/>
        <w:jc w:val="center"/>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第二部分 项目内容</w:t>
      </w:r>
    </w:p>
    <w:p>
      <w:pPr>
        <w:pStyle w:val="51"/>
        <w:spacing w:after="0" w:line="360" w:lineRule="auto"/>
        <w:ind w:firstLine="648" w:firstLineChars="270"/>
        <w:jc w:val="left"/>
        <w:rPr>
          <w:rFonts w:ascii="宋体" w:hAnsi="宋体"/>
          <w:color w:val="auto"/>
        </w:rPr>
      </w:pPr>
      <w:r>
        <w:rPr>
          <w:rFonts w:hint="eastAsia" w:ascii="宋体" w:hAnsi="宋体"/>
          <w:color w:val="auto"/>
        </w:rPr>
        <w:t>广州水务环保技术有限公司对车辆轮胎进行采购，具体如下：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2976"/>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11" w:type="dxa"/>
            <w:tcBorders>
              <w:top w:val="single" w:color="auto" w:sz="4" w:space="0"/>
              <w:left w:val="single" w:color="auto" w:sz="4" w:space="0"/>
              <w:bottom w:val="single" w:color="auto" w:sz="4" w:space="0"/>
              <w:right w:val="single" w:color="auto" w:sz="4" w:space="0"/>
            </w:tcBorders>
            <w:noWrap/>
            <w:vAlign w:val="center"/>
          </w:tcPr>
          <w:p>
            <w:pPr>
              <w:pStyle w:val="51"/>
              <w:spacing w:line="360" w:lineRule="auto"/>
              <w:jc w:val="left"/>
              <w:rPr>
                <w:rFonts w:ascii="宋体" w:hAnsi="宋体"/>
                <w:color w:val="auto"/>
              </w:rPr>
            </w:pPr>
            <w:r>
              <w:rPr>
                <w:rFonts w:hint="eastAsia" w:ascii="宋体" w:hAnsi="宋体"/>
                <w:color w:val="auto"/>
              </w:rPr>
              <w:t>采购内容</w:t>
            </w:r>
          </w:p>
        </w:tc>
        <w:tc>
          <w:tcPr>
            <w:tcW w:w="2976" w:type="dxa"/>
            <w:tcBorders>
              <w:top w:val="single" w:color="auto" w:sz="4" w:space="0"/>
              <w:left w:val="nil"/>
              <w:bottom w:val="single" w:color="auto" w:sz="4" w:space="0"/>
              <w:right w:val="single" w:color="auto" w:sz="4" w:space="0"/>
            </w:tcBorders>
            <w:noWrap/>
            <w:vAlign w:val="center"/>
          </w:tcPr>
          <w:p>
            <w:pPr>
              <w:pStyle w:val="51"/>
              <w:spacing w:line="360" w:lineRule="auto"/>
              <w:jc w:val="left"/>
              <w:rPr>
                <w:rFonts w:ascii="宋体" w:hAnsi="宋体"/>
                <w:color w:val="auto"/>
              </w:rPr>
            </w:pPr>
            <w:r>
              <w:rPr>
                <w:rFonts w:hint="eastAsia" w:ascii="宋体" w:hAnsi="宋体"/>
                <w:color w:val="auto"/>
              </w:rPr>
              <w:t>采购数量及派驻人员服务</w:t>
            </w:r>
          </w:p>
        </w:tc>
        <w:tc>
          <w:tcPr>
            <w:tcW w:w="2441" w:type="dxa"/>
            <w:tcBorders>
              <w:top w:val="single" w:color="auto" w:sz="4" w:space="0"/>
              <w:left w:val="nil"/>
              <w:bottom w:val="single" w:color="auto" w:sz="4" w:space="0"/>
              <w:right w:val="single" w:color="auto" w:sz="4" w:space="0"/>
            </w:tcBorders>
            <w:noWrap/>
            <w:vAlign w:val="center"/>
          </w:tcPr>
          <w:p>
            <w:pPr>
              <w:pStyle w:val="51"/>
              <w:spacing w:line="360" w:lineRule="auto"/>
              <w:jc w:val="left"/>
              <w:rPr>
                <w:rFonts w:ascii="宋体" w:hAnsi="宋体"/>
                <w:color w:val="auto"/>
              </w:rPr>
            </w:pPr>
            <w:r>
              <w:rPr>
                <w:rFonts w:hint="eastAsia" w:ascii="宋体" w:hAnsi="宋体"/>
                <w:color w:val="auto"/>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11" w:type="dxa"/>
            <w:tcBorders>
              <w:top w:val="single" w:color="auto" w:sz="4" w:space="0"/>
              <w:left w:val="single" w:color="auto" w:sz="4" w:space="0"/>
              <w:bottom w:val="single" w:color="auto" w:sz="4" w:space="0"/>
              <w:right w:val="single" w:color="auto" w:sz="4" w:space="0"/>
            </w:tcBorders>
            <w:noWrap/>
            <w:vAlign w:val="center"/>
          </w:tcPr>
          <w:p>
            <w:pPr>
              <w:pStyle w:val="51"/>
              <w:spacing w:line="360" w:lineRule="auto"/>
              <w:jc w:val="left"/>
              <w:rPr>
                <w:rFonts w:ascii="宋体" w:hAnsi="宋体"/>
                <w:color w:val="auto"/>
              </w:rPr>
            </w:pPr>
            <w:r>
              <w:rPr>
                <w:rFonts w:hint="eastAsia" w:ascii="宋体" w:hAnsi="宋体"/>
                <w:color w:val="auto"/>
              </w:rPr>
              <w:t>轮胎</w:t>
            </w:r>
          </w:p>
        </w:tc>
        <w:tc>
          <w:tcPr>
            <w:tcW w:w="2976" w:type="dxa"/>
            <w:tcBorders>
              <w:top w:val="single" w:color="auto" w:sz="4" w:space="0"/>
              <w:left w:val="nil"/>
              <w:bottom w:val="single" w:color="auto" w:sz="4" w:space="0"/>
              <w:right w:val="single" w:color="auto" w:sz="4" w:space="0"/>
            </w:tcBorders>
            <w:noWrap/>
            <w:vAlign w:val="center"/>
          </w:tcPr>
          <w:p>
            <w:pPr>
              <w:pStyle w:val="51"/>
              <w:spacing w:line="360" w:lineRule="auto"/>
              <w:jc w:val="left"/>
              <w:rPr>
                <w:rFonts w:ascii="宋体" w:hAnsi="宋体"/>
                <w:color w:val="auto"/>
              </w:rPr>
            </w:pPr>
            <w:r>
              <w:rPr>
                <w:rFonts w:hint="eastAsia" w:ascii="宋体" w:hAnsi="宋体"/>
                <w:color w:val="auto"/>
              </w:rPr>
              <w:t>一批及相应服务</w:t>
            </w:r>
          </w:p>
        </w:tc>
        <w:tc>
          <w:tcPr>
            <w:tcW w:w="2441" w:type="dxa"/>
            <w:tcBorders>
              <w:top w:val="single" w:color="auto" w:sz="4" w:space="0"/>
              <w:left w:val="nil"/>
              <w:bottom w:val="single" w:color="auto" w:sz="4" w:space="0"/>
              <w:right w:val="single" w:color="auto" w:sz="4" w:space="0"/>
            </w:tcBorders>
            <w:noWrap/>
            <w:vAlign w:val="center"/>
          </w:tcPr>
          <w:p>
            <w:pPr>
              <w:pStyle w:val="51"/>
              <w:spacing w:line="360" w:lineRule="auto"/>
              <w:jc w:val="left"/>
              <w:rPr>
                <w:rFonts w:ascii="宋体" w:hAnsi="宋体"/>
                <w:color w:val="auto"/>
              </w:rPr>
            </w:pPr>
            <w:r>
              <w:rPr>
                <w:rFonts w:hint="eastAsia" w:ascii="宋体" w:hAnsi="宋体"/>
                <w:color w:val="auto"/>
              </w:rPr>
              <w:t>20万元</w:t>
            </w:r>
          </w:p>
        </w:tc>
      </w:tr>
    </w:tbl>
    <w:p>
      <w:pPr>
        <w:pStyle w:val="51"/>
        <w:spacing w:after="0" w:line="360" w:lineRule="auto"/>
        <w:ind w:firstLine="480" w:firstLineChars="200"/>
        <w:jc w:val="left"/>
        <w:rPr>
          <w:rFonts w:ascii="宋体" w:hAnsi="宋体" w:cs="宋体"/>
          <w:color w:val="auto"/>
        </w:rPr>
      </w:pPr>
      <w:r>
        <w:rPr>
          <w:rFonts w:hint="eastAsia" w:ascii="宋体" w:hAnsi="宋体" w:cs="宋体"/>
          <w:color w:val="auto"/>
        </w:rPr>
        <w:t>★本次采购产品为非进口产品（进口产品指通过中国海关报关验放进入中国境内且产自关境外的产品）。</w:t>
      </w:r>
    </w:p>
    <w:p>
      <w:pPr>
        <w:pStyle w:val="51"/>
        <w:spacing w:after="0" w:line="360" w:lineRule="auto"/>
        <w:ind w:firstLine="480" w:firstLineChars="200"/>
        <w:jc w:val="left"/>
        <w:rPr>
          <w:rFonts w:cs="Times New Roman"/>
          <w:color w:val="auto"/>
        </w:rPr>
      </w:pPr>
      <w:r>
        <w:rPr>
          <w:rFonts w:hint="eastAsia" w:ascii="宋体" w:hAnsi="宋体" w:cs="Times New Roman"/>
          <w:color w:val="auto"/>
        </w:rPr>
        <w:t>本项目核心产品为：真空胎（规格：</w:t>
      </w:r>
      <w:r>
        <w:rPr>
          <w:rFonts w:hint="default" w:ascii="Tahoma" w:hAnsi="Tahoma" w:cs="Times New Roman"/>
          <w:color w:val="auto"/>
          <w:lang w:val="en-US" w:eastAsia="zh-CN"/>
        </w:rPr>
        <w:t>11R22.5、</w:t>
      </w:r>
      <w:r>
        <w:rPr>
          <w:rFonts w:cs="Times New Roman"/>
          <w:color w:val="auto"/>
        </w:rPr>
        <w:t>12R22.5）</w:t>
      </w:r>
    </w:p>
    <w:p>
      <w:pPr>
        <w:pStyle w:val="51"/>
        <w:spacing w:after="0" w:line="360" w:lineRule="auto"/>
        <w:ind w:firstLine="2640" w:firstLineChars="1100"/>
        <w:jc w:val="left"/>
        <w:rPr>
          <w:rFonts w:ascii="宋体" w:hAnsi="宋体" w:cs="Times New Roman"/>
          <w:color w:val="auto"/>
        </w:rPr>
      </w:pPr>
      <w:r>
        <w:rPr>
          <w:rFonts w:cs="Times New Roman"/>
          <w:color w:val="auto"/>
        </w:rPr>
        <w:t>全钢胎（</w:t>
      </w:r>
      <w:r>
        <w:rPr>
          <w:rFonts w:hint="eastAsia" w:ascii="宋体" w:hAnsi="宋体" w:cs="Times New Roman"/>
          <w:color w:val="auto"/>
        </w:rPr>
        <w:t>规格：</w:t>
      </w:r>
      <w:r>
        <w:rPr>
          <w:rFonts w:cs="Times New Roman"/>
          <w:color w:val="auto"/>
        </w:rPr>
        <w:t>1100R20</w:t>
      </w:r>
      <w:r>
        <w:rPr>
          <w:rFonts w:hint="eastAsia" w:ascii="宋体" w:hAnsi="宋体" w:cs="Times New Roman"/>
          <w:color w:val="auto"/>
        </w:rPr>
        <w:t>）</w:t>
      </w:r>
    </w:p>
    <w:p>
      <w:pPr>
        <w:pStyle w:val="51"/>
        <w:spacing w:after="0" w:line="360" w:lineRule="auto"/>
        <w:ind w:firstLine="482" w:firstLineChars="200"/>
        <w:jc w:val="left"/>
        <w:rPr>
          <w:rFonts w:ascii="宋体" w:hAnsi="宋体"/>
          <w:b/>
          <w:bCs/>
          <w:color w:val="auto"/>
        </w:rPr>
      </w:pPr>
      <w:r>
        <w:rPr>
          <w:rFonts w:hint="eastAsia" w:ascii="宋体" w:hAnsi="宋体"/>
          <w:b/>
          <w:bCs/>
          <w:color w:val="auto"/>
        </w:rPr>
        <w:t>一、总体要求</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1、轮胎（含</w:t>
      </w:r>
      <w:r>
        <w:rPr>
          <w:rFonts w:hint="eastAsia" w:ascii="宋体" w:hAnsi="宋体"/>
          <w:color w:val="auto"/>
          <w:lang w:val="en-US" w:eastAsia="zh-CN"/>
        </w:rPr>
        <w:t>安装</w:t>
      </w:r>
      <w:r>
        <w:rPr>
          <w:rFonts w:hint="eastAsia" w:ascii="宋体" w:hAnsi="宋体"/>
          <w:color w:val="auto"/>
        </w:rPr>
        <w:t>调位服务）采购预算为人民币20万元，投标报价超出单价最高限价的将被视为无效投标。</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2、投标报价应包含货物及配套货物的设计、制造、检验、包装、运输、保险、税费以及安装调试、验收、培训、技术服务（包括技术资料、图纸的提供）、</w:t>
      </w:r>
      <w:r>
        <w:rPr>
          <w:rFonts w:hint="eastAsia" w:ascii="宋体" w:hAnsi="宋体"/>
          <w:color w:val="auto"/>
          <w:lang w:val="en-US" w:eastAsia="zh-CN"/>
        </w:rPr>
        <w:t>安装</w:t>
      </w:r>
      <w:r>
        <w:rPr>
          <w:rFonts w:hint="eastAsia" w:ascii="宋体" w:hAnsi="宋体"/>
          <w:color w:val="auto"/>
        </w:rPr>
        <w:t>调位服务、质保期服务及备品备件发生的全部费用，采购人不再额外支付任何费用。</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3、中标人不得以任何方式转包或分包本项目。</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4、为保证采购人车辆正常运作，确保采购人有充足的货物供应，并能够及时送货到采购人指定地址，各项要求如下：</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投标人须提供相应的产地证明文件、质量保证书、使用说明、产品性能指标等文件；</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投标人须按要求提供相应的报价文件，并说明产品价格差异；</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 xml:space="preserve">投标人须提供相应的售后服务方案，保证有质量问题包退包换，保质时间由采购人验收日期计算，而不是采购入库时间，同时承诺如因产品质量问题造成事故，经相关部门鉴定确立，由中标人承担责任，赔偿损失； </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投标人如中标后须保证供货、送货时间，保证电话畅通、接报后15分钟内要作出回应，2小时内送货到达现场，急件1小时内送货到达现场，如因特殊配件一般不易损坏的，需订制或远程调货的，保证3天内送货到指定地点；</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投标人须承诺，如中标将保证能及时供给各类产品，不影响采购人车辆的正常运作，不得以任何理由拒绝供货；</w:t>
      </w:r>
    </w:p>
    <w:p>
      <w:pPr>
        <w:pStyle w:val="51"/>
        <w:adjustRightInd w:val="0"/>
        <w:snapToGrid w:val="0"/>
        <w:spacing w:after="0" w:line="360" w:lineRule="auto"/>
        <w:ind w:left="10" w:leftChars="5" w:firstLine="468" w:firstLineChars="195"/>
        <w:jc w:val="left"/>
        <w:rPr>
          <w:rFonts w:ascii="宋体" w:hAnsi="宋体"/>
          <w:color w:val="auto"/>
        </w:rPr>
      </w:pPr>
      <w:r>
        <w:rPr>
          <w:rFonts w:hint="eastAsia" w:ascii="宋体" w:hAnsi="宋体"/>
          <w:color w:val="auto"/>
        </w:rPr>
        <w:t>投标人必须承诺提供厂商原装、全新的、符合采购人提出的相关质量标准的货物。</w:t>
      </w:r>
    </w:p>
    <w:p>
      <w:pPr>
        <w:pStyle w:val="51"/>
        <w:adjustRightInd w:val="0"/>
        <w:snapToGrid w:val="0"/>
        <w:spacing w:after="0" w:line="360" w:lineRule="auto"/>
        <w:ind w:left="10" w:leftChars="5" w:firstLine="468" w:firstLineChars="195"/>
        <w:jc w:val="left"/>
        <w:rPr>
          <w:rFonts w:ascii="宋体" w:hAnsi="宋体"/>
          <w:color w:val="auto"/>
        </w:rPr>
      </w:pPr>
      <w:r>
        <w:rPr>
          <w:rFonts w:hint="eastAsia" w:ascii="宋体" w:hAnsi="宋体"/>
          <w:color w:val="auto"/>
        </w:rPr>
        <w:t>所有货物在开箱检验时必须完好，无破损，配置与装箱单相符。货物外观清洁、标识清晰明确。</w:t>
      </w:r>
    </w:p>
    <w:p>
      <w:pPr>
        <w:pStyle w:val="51"/>
        <w:adjustRightInd w:val="0"/>
        <w:snapToGrid w:val="0"/>
        <w:spacing w:after="0" w:line="360" w:lineRule="auto"/>
        <w:ind w:left="10" w:leftChars="5" w:firstLine="468" w:firstLineChars="195"/>
        <w:jc w:val="left"/>
        <w:rPr>
          <w:rFonts w:ascii="宋体" w:hAnsi="宋体"/>
          <w:color w:val="auto"/>
        </w:rPr>
      </w:pPr>
      <w:r>
        <w:rPr>
          <w:rFonts w:hint="eastAsia" w:ascii="宋体" w:hAnsi="宋体"/>
          <w:color w:val="auto"/>
        </w:rPr>
        <w:t>对于影响货物正常工作的必要组成部分，无论在技术规范中指出与否，投标人都应提供并在投标文件中明确列出。</w:t>
      </w:r>
    </w:p>
    <w:p>
      <w:pPr>
        <w:pStyle w:val="51"/>
        <w:adjustRightInd w:val="0"/>
        <w:snapToGrid w:val="0"/>
        <w:spacing w:after="0" w:line="360" w:lineRule="auto"/>
        <w:ind w:left="10" w:leftChars="5" w:firstLine="468" w:firstLineChars="195"/>
        <w:jc w:val="left"/>
        <w:rPr>
          <w:rFonts w:ascii="宋体" w:hAnsi="宋体"/>
          <w:color w:val="auto"/>
        </w:rPr>
      </w:pPr>
      <w:r>
        <w:rPr>
          <w:rFonts w:hint="eastAsia" w:ascii="宋体" w:hAnsi="宋体"/>
          <w:color w:val="auto"/>
        </w:rPr>
        <w:t xml:space="preserve">投标人投标时所提供的货物如在实际供货时已经停产（不列入该厂家当时的产品系统），如果未能按原价提供同等或更优质的货物，则按违约处理。 </w:t>
      </w:r>
    </w:p>
    <w:p>
      <w:pPr>
        <w:pStyle w:val="51"/>
        <w:adjustRightInd w:val="0"/>
        <w:snapToGrid w:val="0"/>
        <w:spacing w:after="0" w:line="360" w:lineRule="auto"/>
        <w:ind w:left="10" w:leftChars="5" w:firstLine="468" w:firstLineChars="195"/>
        <w:jc w:val="left"/>
        <w:rPr>
          <w:rFonts w:ascii="宋体" w:hAnsi="宋体"/>
          <w:color w:val="auto"/>
        </w:rPr>
      </w:pPr>
      <w:r>
        <w:rPr>
          <w:rFonts w:hint="eastAsia" w:ascii="宋体" w:hAnsi="宋体"/>
          <w:color w:val="auto"/>
        </w:rPr>
        <w:t>中标人在实际供货时，若被发现提供的货物未能达到投标文件中的有关产地和要求，采购人有权上报监管部门并追究中标人的违约责任。</w:t>
      </w:r>
    </w:p>
    <w:p>
      <w:pPr>
        <w:pStyle w:val="51"/>
        <w:adjustRightInd w:val="0"/>
        <w:snapToGrid w:val="0"/>
        <w:spacing w:after="0" w:line="360" w:lineRule="auto"/>
        <w:ind w:left="10" w:leftChars="5" w:firstLine="468" w:firstLineChars="195"/>
        <w:jc w:val="left"/>
        <w:rPr>
          <w:rFonts w:ascii="宋体" w:hAnsi="宋体"/>
          <w:color w:val="auto"/>
        </w:rPr>
      </w:pPr>
      <w:r>
        <w:rPr>
          <w:rFonts w:hint="eastAsia" w:ascii="宋体" w:hAnsi="宋体"/>
          <w:color w:val="auto"/>
        </w:rPr>
        <w:t>由中标人按国家相关标准负责进行货物包装，货物的包装均应有良好的防锈、防潮、防雨、防腐及防碰撞的措施，并适宜广州的气候条件。凡由于包装不良造成的损失和由此产生的费用均由中标人承担。</w:t>
      </w:r>
    </w:p>
    <w:p>
      <w:pPr>
        <w:pStyle w:val="51"/>
        <w:spacing w:after="0" w:line="360" w:lineRule="auto"/>
        <w:ind w:left="10" w:leftChars="5" w:firstLine="468" w:firstLineChars="195"/>
        <w:jc w:val="left"/>
        <w:rPr>
          <w:rFonts w:ascii="宋体" w:hAnsi="宋体"/>
          <w:color w:val="auto"/>
        </w:rPr>
      </w:pPr>
      <w:r>
        <w:rPr>
          <w:rFonts w:hint="eastAsia" w:ascii="宋体" w:hAnsi="宋体"/>
          <w:color w:val="auto"/>
        </w:rPr>
        <w:t>5、根据采购人的实际工作，招标的轮胎及各类物资的数量有可能与实际采购货物数量存在差异。在不超过中标总价的情况下，采购人可以对货物的数量、规格进行调整。</w:t>
      </w:r>
    </w:p>
    <w:p>
      <w:pPr>
        <w:pStyle w:val="51"/>
        <w:spacing w:after="0" w:line="360" w:lineRule="auto"/>
        <w:ind w:firstLine="482" w:firstLineChars="200"/>
        <w:jc w:val="left"/>
        <w:rPr>
          <w:rFonts w:ascii="宋体" w:hAnsi="宋体"/>
          <w:b/>
          <w:bCs/>
          <w:color w:val="auto"/>
        </w:rPr>
      </w:pPr>
      <w:r>
        <w:rPr>
          <w:rFonts w:hint="eastAsia" w:ascii="宋体" w:hAnsi="宋体"/>
          <w:b/>
          <w:bCs/>
          <w:color w:val="auto"/>
        </w:rPr>
        <w:t>二、采购概况及技术要求</w:t>
      </w:r>
    </w:p>
    <w:p>
      <w:pPr>
        <w:pStyle w:val="51"/>
        <w:spacing w:after="0" w:line="360" w:lineRule="auto"/>
        <w:ind w:firstLine="482" w:firstLineChars="200"/>
        <w:jc w:val="left"/>
        <w:rPr>
          <w:rFonts w:ascii="宋体" w:hAnsi="宋体"/>
          <w:b/>
          <w:bCs/>
          <w:color w:val="auto"/>
        </w:rPr>
      </w:pPr>
      <w:r>
        <w:rPr>
          <w:rFonts w:hint="eastAsia" w:ascii="宋体" w:hAnsi="宋体"/>
          <w:b/>
          <w:bCs/>
          <w:color w:val="auto"/>
        </w:rPr>
        <w:t>1.采购概况</w:t>
      </w:r>
    </w:p>
    <w:p>
      <w:pPr>
        <w:pStyle w:val="51"/>
        <w:spacing w:after="0" w:line="360" w:lineRule="auto"/>
        <w:ind w:firstLine="480" w:firstLineChars="200"/>
        <w:jc w:val="left"/>
        <w:rPr>
          <w:rFonts w:ascii="宋体" w:hAnsi="宋体"/>
          <w:color w:val="auto"/>
        </w:rPr>
      </w:pPr>
      <w:r>
        <w:rPr>
          <w:rFonts w:hint="eastAsia" w:ascii="宋体" w:hAnsi="宋体"/>
          <w:color w:val="auto"/>
        </w:rPr>
        <w:t>为确保运输业务的正常开展，结合采购人工作的实际需求，采购人拟对轮胎（包括但不限于上述总体要求第2点约定的费用及</w:t>
      </w:r>
      <w:r>
        <w:rPr>
          <w:rFonts w:hint="eastAsia" w:ascii="宋体" w:hAnsi="宋体"/>
          <w:color w:val="auto"/>
          <w:lang w:val="en-US" w:eastAsia="zh-CN"/>
        </w:rPr>
        <w:t>安装</w:t>
      </w:r>
      <w:r>
        <w:rPr>
          <w:rFonts w:hint="eastAsia" w:ascii="宋体" w:hAnsi="宋体"/>
          <w:color w:val="auto"/>
        </w:rPr>
        <w:t>调位一切费用）进行招投标采购，服务期限为合同签订日至202</w:t>
      </w:r>
      <w:r>
        <w:rPr>
          <w:rFonts w:hint="eastAsia" w:ascii="宋体" w:hAnsi="宋体"/>
          <w:color w:val="auto"/>
          <w:lang w:val="en-US" w:eastAsia="zh-CN"/>
        </w:rPr>
        <w:t>2</w:t>
      </w:r>
      <w:r>
        <w:rPr>
          <w:rFonts w:hint="eastAsia" w:ascii="宋体" w:hAnsi="宋体"/>
          <w:color w:val="auto"/>
        </w:rPr>
        <w:t>年</w:t>
      </w:r>
      <w:r>
        <w:rPr>
          <w:rFonts w:hint="eastAsia" w:ascii="宋体" w:hAnsi="宋体"/>
          <w:color w:val="auto"/>
          <w:lang w:val="en-US" w:eastAsia="zh-CN"/>
        </w:rPr>
        <w:t>1</w:t>
      </w:r>
      <w:r>
        <w:rPr>
          <w:rFonts w:hint="eastAsia" w:ascii="宋体" w:hAnsi="宋体"/>
          <w:color w:val="auto"/>
        </w:rPr>
        <w:t>月31日。从合同签订之日起（中标人必须在合同约定的时间内进场服务）。</w:t>
      </w:r>
    </w:p>
    <w:p>
      <w:pPr>
        <w:pStyle w:val="51"/>
        <w:spacing w:after="0" w:line="360" w:lineRule="auto"/>
        <w:ind w:firstLine="480" w:firstLineChars="200"/>
        <w:jc w:val="left"/>
        <w:rPr>
          <w:rFonts w:ascii="宋体" w:hAnsi="宋体"/>
          <w:b/>
          <w:bCs/>
          <w:color w:val="auto"/>
        </w:rPr>
      </w:pPr>
      <w:r>
        <w:rPr>
          <w:rFonts w:hint="eastAsia" w:ascii="宋体" w:hAnsi="宋体"/>
          <w:color w:val="auto"/>
        </w:rPr>
        <w:t>目前采购人现有运输设备26辆，主要车型为一汽青岛解放自卸货车、东风乘龙自卸货车两种。</w:t>
      </w:r>
    </w:p>
    <w:p>
      <w:pPr>
        <w:pStyle w:val="51"/>
        <w:widowControl/>
        <w:spacing w:after="0" w:line="360" w:lineRule="auto"/>
        <w:ind w:firstLine="241" w:firstLineChars="100"/>
        <w:jc w:val="left"/>
        <w:rPr>
          <w:rFonts w:ascii="宋体" w:hAnsi="宋体"/>
          <w:b/>
          <w:bCs/>
          <w:color w:val="auto"/>
        </w:rPr>
      </w:pPr>
      <w:r>
        <w:rPr>
          <w:rFonts w:hint="eastAsia" w:ascii="宋体" w:hAnsi="宋体"/>
          <w:b/>
          <w:bCs/>
          <w:color w:val="auto"/>
        </w:rPr>
        <w:t>2.技术要求</w:t>
      </w:r>
    </w:p>
    <w:p>
      <w:pPr>
        <w:pStyle w:val="51"/>
        <w:spacing w:after="0" w:line="360" w:lineRule="auto"/>
        <w:ind w:left="426"/>
        <w:jc w:val="left"/>
        <w:rPr>
          <w:rFonts w:ascii="宋体" w:hAnsi="宋体"/>
          <w:color w:val="auto"/>
        </w:rPr>
      </w:pPr>
      <w:r>
        <w:rPr>
          <w:rFonts w:hint="eastAsia" w:ascii="宋体" w:hAnsi="宋体"/>
          <w:color w:val="auto"/>
        </w:rPr>
        <w:t>轮胎技术参数</w:t>
      </w:r>
    </w:p>
    <w:tbl>
      <w:tblPr>
        <w:tblStyle w:val="23"/>
        <w:tblW w:w="0" w:type="auto"/>
        <w:jc w:val="center"/>
        <w:tblLayout w:type="fixed"/>
        <w:tblCellMar>
          <w:top w:w="0" w:type="dxa"/>
          <w:left w:w="108" w:type="dxa"/>
          <w:bottom w:w="0" w:type="dxa"/>
          <w:right w:w="108" w:type="dxa"/>
        </w:tblCellMar>
      </w:tblPr>
      <w:tblGrid>
        <w:gridCol w:w="9579"/>
      </w:tblGrid>
      <w:tr>
        <w:tblPrEx>
          <w:tblCellMar>
            <w:top w:w="0" w:type="dxa"/>
            <w:left w:w="108" w:type="dxa"/>
            <w:bottom w:w="0" w:type="dxa"/>
            <w:right w:w="108" w:type="dxa"/>
          </w:tblCellMar>
        </w:tblPrEx>
        <w:trPr>
          <w:trHeight w:val="387" w:hRule="atLeast"/>
          <w:jc w:val="center"/>
        </w:trPr>
        <w:tc>
          <w:tcPr>
            <w:tcW w:w="9579" w:type="dxa"/>
            <w:tcBorders>
              <w:top w:val="nil"/>
              <w:bottom w:val="nil"/>
            </w:tcBorders>
            <w:noWrap/>
            <w:vAlign w:val="center"/>
          </w:tcPr>
          <w:tbl>
            <w:tblPr>
              <w:tblStyle w:val="2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69"/>
              <w:gridCol w:w="591"/>
              <w:gridCol w:w="1574"/>
              <w:gridCol w:w="1712"/>
              <w:gridCol w:w="1805"/>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90" w:type="dxa"/>
                  <w:noWrap/>
                  <w:vAlign w:val="center"/>
                </w:tcPr>
                <w:p>
                  <w:pPr>
                    <w:pStyle w:val="53"/>
                    <w:widowControl/>
                    <w:spacing w:before="210" w:line="360" w:lineRule="auto"/>
                    <w:jc w:val="center"/>
                    <w:rPr>
                      <w:rFonts w:hint="eastAsia" w:ascii="宋体" w:hAnsi="宋体" w:cs="Tahoma"/>
                      <w:color w:val="auto"/>
                      <w:kern w:val="0"/>
                      <w:sz w:val="20"/>
                      <w:szCs w:val="20"/>
                      <w:lang w:val="en-US" w:eastAsia="zh-CN"/>
                    </w:rPr>
                  </w:pPr>
                  <w:r>
                    <w:rPr>
                      <w:rFonts w:hint="eastAsia" w:ascii="宋体" w:hAnsi="宋体" w:cs="Tahoma"/>
                      <w:color w:val="auto"/>
                      <w:kern w:val="0"/>
                      <w:sz w:val="20"/>
                      <w:szCs w:val="20"/>
                      <w:lang w:val="en-US" w:eastAsia="zh-CN"/>
                    </w:rPr>
                    <w:t>品牌</w:t>
                  </w:r>
                </w:p>
              </w:tc>
              <w:tc>
                <w:tcPr>
                  <w:tcW w:w="1269"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规格</w:t>
                  </w:r>
                </w:p>
              </w:tc>
              <w:tc>
                <w:tcPr>
                  <w:tcW w:w="591"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层级</w:t>
                  </w:r>
                </w:p>
              </w:tc>
              <w:tc>
                <w:tcPr>
                  <w:tcW w:w="1574"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最大单胎负荷(kg)</w:t>
                  </w:r>
                </w:p>
              </w:tc>
              <w:tc>
                <w:tcPr>
                  <w:tcW w:w="1712"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最大双胎负荷(kg)</w:t>
                  </w:r>
                </w:p>
              </w:tc>
              <w:tc>
                <w:tcPr>
                  <w:tcW w:w="1805"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最小充气压力(kpa)</w:t>
                  </w:r>
                </w:p>
              </w:tc>
              <w:tc>
                <w:tcPr>
                  <w:tcW w:w="1712"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设计花纹深度(mm)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0" w:type="dxa"/>
                  <w:vMerge w:val="restart"/>
                  <w:noWrap/>
                  <w:vAlign w:val="center"/>
                </w:tcPr>
                <w:p>
                  <w:pPr>
                    <w:pStyle w:val="53"/>
                    <w:widowControl/>
                    <w:spacing w:before="210" w:line="360" w:lineRule="auto"/>
                    <w:jc w:val="center"/>
                    <w:rPr>
                      <w:rFonts w:hint="default" w:ascii="宋体" w:hAnsi="宋体" w:cs="Tahoma"/>
                      <w:color w:val="auto"/>
                      <w:kern w:val="0"/>
                      <w:sz w:val="20"/>
                      <w:szCs w:val="20"/>
                      <w:lang w:val="en-US" w:eastAsia="zh-CN"/>
                    </w:rPr>
                  </w:pPr>
                  <w:r>
                    <w:rPr>
                      <w:rFonts w:hint="eastAsia" w:ascii="宋体" w:hAnsi="宋体" w:cs="Tahoma"/>
                      <w:color w:val="auto"/>
                      <w:kern w:val="0"/>
                      <w:sz w:val="20"/>
                      <w:szCs w:val="20"/>
                      <w:lang w:val="en-US" w:eastAsia="zh-CN"/>
                    </w:rPr>
                    <w:t>玲珑轮胎</w:t>
                  </w:r>
                </w:p>
              </w:tc>
              <w:tc>
                <w:tcPr>
                  <w:tcW w:w="1269" w:type="dxa"/>
                  <w:noWrap/>
                  <w:vAlign w:val="center"/>
                </w:tcPr>
                <w:p>
                  <w:pPr>
                    <w:pStyle w:val="53"/>
                    <w:widowControl/>
                    <w:spacing w:before="210" w:line="360" w:lineRule="auto"/>
                    <w:jc w:val="center"/>
                    <w:rPr>
                      <w:rFonts w:hint="default" w:ascii="宋体" w:hAnsi="宋体" w:eastAsia="宋体" w:cs="Tahoma"/>
                      <w:color w:val="auto"/>
                      <w:kern w:val="0"/>
                      <w:sz w:val="20"/>
                      <w:szCs w:val="20"/>
                      <w:lang w:val="en-US" w:eastAsia="zh-CN"/>
                    </w:rPr>
                  </w:pPr>
                  <w:r>
                    <w:rPr>
                      <w:rFonts w:hint="eastAsia" w:ascii="宋体" w:hAnsi="宋体" w:cs="Tahoma"/>
                      <w:color w:val="auto"/>
                      <w:kern w:val="0"/>
                      <w:sz w:val="20"/>
                      <w:szCs w:val="20"/>
                      <w:lang w:val="en-US" w:eastAsia="zh-CN"/>
                    </w:rPr>
                    <w:t>11R22.5</w:t>
                  </w:r>
                </w:p>
              </w:tc>
              <w:tc>
                <w:tcPr>
                  <w:tcW w:w="591" w:type="dxa"/>
                  <w:noWrap/>
                  <w:vAlign w:val="center"/>
                </w:tcPr>
                <w:p>
                  <w:pPr>
                    <w:pStyle w:val="53"/>
                    <w:widowControl/>
                    <w:spacing w:before="210" w:line="360" w:lineRule="auto"/>
                    <w:jc w:val="center"/>
                    <w:rPr>
                      <w:rFonts w:hint="default" w:ascii="宋体" w:hAnsi="宋体" w:eastAsia="宋体" w:cs="Tahoma"/>
                      <w:color w:val="auto"/>
                      <w:kern w:val="0"/>
                      <w:sz w:val="20"/>
                      <w:szCs w:val="20"/>
                      <w:lang w:val="en-US" w:eastAsia="zh-CN"/>
                    </w:rPr>
                  </w:pPr>
                  <w:r>
                    <w:rPr>
                      <w:rFonts w:hint="eastAsia" w:ascii="宋体" w:hAnsi="宋体" w:cs="Tahoma"/>
                      <w:color w:val="auto"/>
                      <w:kern w:val="0"/>
                      <w:sz w:val="20"/>
                      <w:szCs w:val="20"/>
                      <w:lang w:val="en-US" w:eastAsia="zh-CN"/>
                    </w:rPr>
                    <w:t>18</w:t>
                  </w:r>
                </w:p>
              </w:tc>
              <w:tc>
                <w:tcPr>
                  <w:tcW w:w="1574" w:type="dxa"/>
                  <w:noWrap/>
                  <w:vAlign w:val="center"/>
                </w:tcPr>
                <w:p>
                  <w:pPr>
                    <w:pStyle w:val="53"/>
                    <w:widowControl/>
                    <w:spacing w:before="210" w:line="360" w:lineRule="auto"/>
                    <w:jc w:val="center"/>
                    <w:rPr>
                      <w:rFonts w:hint="default" w:ascii="宋体" w:hAnsi="宋体" w:cs="Tahoma"/>
                      <w:color w:val="auto"/>
                      <w:kern w:val="0"/>
                      <w:sz w:val="20"/>
                      <w:szCs w:val="20"/>
                    </w:rPr>
                  </w:pPr>
                  <w:r>
                    <w:rPr>
                      <w:rFonts w:hint="eastAsia" w:ascii="宋体" w:hAnsi="宋体" w:cs="Tahoma"/>
                      <w:color w:val="auto"/>
                      <w:kern w:val="0"/>
                      <w:sz w:val="20"/>
                      <w:szCs w:val="20"/>
                      <w:lang w:val="en-US" w:eastAsia="zh-CN"/>
                    </w:rPr>
                    <w:t>3000</w:t>
                  </w:r>
                </w:p>
              </w:tc>
              <w:tc>
                <w:tcPr>
                  <w:tcW w:w="1712" w:type="dxa"/>
                  <w:noWrap/>
                  <w:vAlign w:val="center"/>
                </w:tcPr>
                <w:p>
                  <w:pPr>
                    <w:pStyle w:val="53"/>
                    <w:widowControl/>
                    <w:spacing w:before="210" w:line="360" w:lineRule="auto"/>
                    <w:jc w:val="center"/>
                    <w:rPr>
                      <w:rFonts w:hint="default" w:ascii="宋体" w:hAnsi="宋体" w:cs="Tahoma"/>
                      <w:color w:val="auto"/>
                      <w:kern w:val="0"/>
                      <w:sz w:val="20"/>
                      <w:szCs w:val="20"/>
                    </w:rPr>
                  </w:pPr>
                  <w:r>
                    <w:rPr>
                      <w:rFonts w:hint="eastAsia" w:ascii="宋体" w:hAnsi="宋体" w:cs="Tahoma"/>
                      <w:color w:val="auto"/>
                      <w:kern w:val="0"/>
                      <w:sz w:val="20"/>
                      <w:szCs w:val="20"/>
                      <w:lang w:val="en-US" w:eastAsia="zh-CN"/>
                    </w:rPr>
                    <w:t>2725</w:t>
                  </w:r>
                </w:p>
              </w:tc>
              <w:tc>
                <w:tcPr>
                  <w:tcW w:w="1805" w:type="dxa"/>
                  <w:noWrap/>
                  <w:vAlign w:val="center"/>
                </w:tcPr>
                <w:p>
                  <w:pPr>
                    <w:pStyle w:val="53"/>
                    <w:widowControl/>
                    <w:spacing w:before="210" w:line="360" w:lineRule="auto"/>
                    <w:jc w:val="center"/>
                    <w:rPr>
                      <w:rFonts w:hint="default" w:ascii="宋体" w:hAnsi="宋体" w:cs="Tahoma"/>
                      <w:color w:val="auto"/>
                      <w:kern w:val="0"/>
                      <w:sz w:val="20"/>
                      <w:szCs w:val="20"/>
                    </w:rPr>
                  </w:pPr>
                  <w:r>
                    <w:rPr>
                      <w:rFonts w:hint="eastAsia" w:ascii="宋体" w:hAnsi="宋体" w:cs="Tahoma"/>
                      <w:color w:val="auto"/>
                      <w:kern w:val="0"/>
                      <w:sz w:val="20"/>
                      <w:szCs w:val="20"/>
                      <w:lang w:val="en-US" w:eastAsia="zh-CN"/>
                    </w:rPr>
                    <w:t>830</w:t>
                  </w:r>
                </w:p>
              </w:tc>
              <w:tc>
                <w:tcPr>
                  <w:tcW w:w="1712" w:type="dxa"/>
                  <w:noWrap/>
                  <w:vAlign w:val="center"/>
                </w:tcPr>
                <w:p>
                  <w:pPr>
                    <w:pStyle w:val="53"/>
                    <w:widowControl/>
                    <w:spacing w:before="210" w:line="360" w:lineRule="auto"/>
                    <w:jc w:val="center"/>
                    <w:rPr>
                      <w:rFonts w:hint="default" w:ascii="宋体" w:hAnsi="宋体" w:cs="Tahoma"/>
                      <w:color w:val="auto"/>
                      <w:kern w:val="0"/>
                      <w:sz w:val="20"/>
                      <w:szCs w:val="20"/>
                    </w:rPr>
                  </w:pPr>
                  <w:r>
                    <w:rPr>
                      <w:rFonts w:hint="eastAsia" w:ascii="宋体" w:hAnsi="宋体" w:cs="Tahoma"/>
                      <w:color w:val="auto"/>
                      <w:kern w:val="0"/>
                      <w:sz w:val="20"/>
                      <w:szCs w:val="20"/>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0" w:type="dxa"/>
                  <w:vMerge w:val="continue"/>
                  <w:noWrap/>
                  <w:vAlign w:val="center"/>
                </w:tcPr>
                <w:p>
                  <w:pPr>
                    <w:pStyle w:val="53"/>
                    <w:widowControl/>
                    <w:spacing w:before="210" w:line="360" w:lineRule="auto"/>
                    <w:jc w:val="center"/>
                    <w:rPr>
                      <w:rFonts w:hint="eastAsia" w:ascii="宋体" w:hAnsi="宋体" w:cs="Tahoma"/>
                      <w:color w:val="auto"/>
                      <w:kern w:val="0"/>
                      <w:sz w:val="20"/>
                      <w:szCs w:val="20"/>
                    </w:rPr>
                  </w:pPr>
                </w:p>
              </w:tc>
              <w:tc>
                <w:tcPr>
                  <w:tcW w:w="1269"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12R22.5</w:t>
                  </w:r>
                </w:p>
              </w:tc>
              <w:tc>
                <w:tcPr>
                  <w:tcW w:w="591"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18</w:t>
                  </w:r>
                </w:p>
              </w:tc>
              <w:tc>
                <w:tcPr>
                  <w:tcW w:w="1574"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3550</w:t>
                  </w:r>
                </w:p>
              </w:tc>
              <w:tc>
                <w:tcPr>
                  <w:tcW w:w="1712"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3250</w:t>
                  </w:r>
                </w:p>
              </w:tc>
              <w:tc>
                <w:tcPr>
                  <w:tcW w:w="1805"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930</w:t>
                  </w:r>
                </w:p>
              </w:tc>
              <w:tc>
                <w:tcPr>
                  <w:tcW w:w="1712"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0" w:type="dxa"/>
                  <w:vMerge w:val="continue"/>
                  <w:noWrap/>
                  <w:vAlign w:val="center"/>
                </w:tcPr>
                <w:p>
                  <w:pPr>
                    <w:pStyle w:val="53"/>
                    <w:widowControl/>
                    <w:spacing w:before="210" w:line="360" w:lineRule="auto"/>
                    <w:jc w:val="center"/>
                    <w:rPr>
                      <w:rFonts w:hint="eastAsia" w:ascii="宋体" w:hAnsi="宋体" w:cs="Tahoma"/>
                      <w:color w:val="auto"/>
                      <w:kern w:val="0"/>
                      <w:sz w:val="20"/>
                      <w:szCs w:val="20"/>
                    </w:rPr>
                  </w:pPr>
                </w:p>
              </w:tc>
              <w:tc>
                <w:tcPr>
                  <w:tcW w:w="1269"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1100R20</w:t>
                  </w:r>
                </w:p>
              </w:tc>
              <w:tc>
                <w:tcPr>
                  <w:tcW w:w="591"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18</w:t>
                  </w:r>
                </w:p>
              </w:tc>
              <w:tc>
                <w:tcPr>
                  <w:tcW w:w="1574"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3550</w:t>
                  </w:r>
                </w:p>
              </w:tc>
              <w:tc>
                <w:tcPr>
                  <w:tcW w:w="1712"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3250</w:t>
                  </w:r>
                </w:p>
              </w:tc>
              <w:tc>
                <w:tcPr>
                  <w:tcW w:w="1805"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930</w:t>
                  </w:r>
                </w:p>
              </w:tc>
              <w:tc>
                <w:tcPr>
                  <w:tcW w:w="1712"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16.5</w:t>
                  </w:r>
                </w:p>
              </w:tc>
            </w:tr>
          </w:tbl>
          <w:p>
            <w:pPr>
              <w:pStyle w:val="54"/>
              <w:spacing w:before="210" w:after="200" w:line="360" w:lineRule="auto"/>
              <w:rPr>
                <w:color w:val="auto"/>
              </w:rPr>
            </w:pPr>
          </w:p>
        </w:tc>
      </w:tr>
    </w:tbl>
    <w:p>
      <w:pPr>
        <w:pStyle w:val="51"/>
        <w:spacing w:after="0" w:line="360" w:lineRule="auto"/>
        <w:jc w:val="left"/>
        <w:rPr>
          <w:rFonts w:ascii="宋体" w:hAnsi="宋体"/>
          <w:color w:val="auto"/>
        </w:rPr>
      </w:pPr>
      <w:r>
        <w:rPr>
          <w:rFonts w:hint="eastAsia" w:ascii="宋体" w:hAnsi="宋体"/>
          <w:color w:val="auto"/>
        </w:rPr>
        <w:t>备注：以上表格为国标标准，投标人所提供的产品参数不得低于此标准,应同时符合以下标准：</w:t>
      </w:r>
    </w:p>
    <w:p>
      <w:pPr>
        <w:pStyle w:val="51"/>
        <w:spacing w:after="0" w:line="360" w:lineRule="auto"/>
        <w:jc w:val="left"/>
        <w:rPr>
          <w:rFonts w:ascii="宋体" w:hAnsi="宋体"/>
          <w:color w:val="auto"/>
        </w:rPr>
      </w:pPr>
      <w:r>
        <w:rPr>
          <w:rFonts w:hint="eastAsia" w:ascii="宋体" w:hAnsi="宋体"/>
          <w:color w:val="auto"/>
        </w:rPr>
        <w:t xml:space="preserve">    （a）汽车轮胎应符合 HQC《橡胶轮胎和内胎产品安全认证实施规则》。</w:t>
      </w:r>
    </w:p>
    <w:p>
      <w:pPr>
        <w:pStyle w:val="51"/>
        <w:spacing w:after="0" w:line="360" w:lineRule="auto"/>
        <w:ind w:firstLine="480" w:firstLineChars="200"/>
        <w:jc w:val="left"/>
        <w:rPr>
          <w:rFonts w:ascii="宋体" w:hAnsi="宋体"/>
          <w:color w:val="auto"/>
        </w:rPr>
      </w:pPr>
      <w:r>
        <w:rPr>
          <w:rFonts w:hint="eastAsia" w:ascii="宋体" w:hAnsi="宋体"/>
          <w:color w:val="auto"/>
        </w:rPr>
        <w:t>（b）所提供的载重汽车斜交/子午轮胎应符合 GB9744-2007《载重汽车轮胎》的规定。</w:t>
      </w:r>
    </w:p>
    <w:p>
      <w:pPr>
        <w:pStyle w:val="51"/>
        <w:spacing w:after="0" w:line="360" w:lineRule="auto"/>
        <w:ind w:firstLine="420" w:firstLineChars="175"/>
        <w:jc w:val="left"/>
        <w:rPr>
          <w:rFonts w:ascii="宋体" w:hAnsi="宋体"/>
          <w:color w:val="auto"/>
        </w:rPr>
      </w:pPr>
      <w:r>
        <w:rPr>
          <w:rFonts w:hint="eastAsia" w:ascii="宋体" w:hAnsi="宋体"/>
          <w:color w:val="auto"/>
        </w:rPr>
        <w:t>（c）轮胎还应符合 GB/T2977-20</w:t>
      </w:r>
      <w:r>
        <w:rPr>
          <w:rFonts w:ascii="宋体" w:hAnsi="宋体"/>
          <w:color w:val="auto"/>
        </w:rPr>
        <w:t>16</w:t>
      </w:r>
      <w:r>
        <w:rPr>
          <w:rFonts w:hint="eastAsia" w:ascii="宋体" w:hAnsi="宋体"/>
          <w:color w:val="auto"/>
        </w:rPr>
        <w:t>《载重汽车轮胎规格、尺寸、气压与负荷》 的规定。</w:t>
      </w:r>
    </w:p>
    <w:p>
      <w:pPr>
        <w:pStyle w:val="51"/>
        <w:spacing w:after="0" w:line="360" w:lineRule="auto"/>
        <w:ind w:firstLine="480" w:firstLineChars="200"/>
        <w:jc w:val="left"/>
        <w:rPr>
          <w:rFonts w:ascii="宋体" w:hAnsi="宋体"/>
          <w:color w:val="auto"/>
        </w:rPr>
      </w:pPr>
      <w:r>
        <w:rPr>
          <w:rFonts w:hint="eastAsia" w:ascii="宋体" w:hAnsi="宋体"/>
          <w:color w:val="auto"/>
        </w:rPr>
        <w:t>（d）轮胎外观应符合化工行业标准 HG/T2177-2011《轮胎外观质量》的规定。</w:t>
      </w:r>
    </w:p>
    <w:p>
      <w:pPr>
        <w:pStyle w:val="51"/>
        <w:spacing w:after="0" w:line="360" w:lineRule="auto"/>
        <w:ind w:firstLine="480" w:firstLineChars="200"/>
        <w:jc w:val="left"/>
        <w:rPr>
          <w:rFonts w:ascii="宋体" w:hAnsi="宋体"/>
          <w:color w:val="auto"/>
        </w:rPr>
      </w:pPr>
      <w:r>
        <w:rPr>
          <w:rFonts w:hint="eastAsia" w:ascii="宋体" w:hAnsi="宋体"/>
          <w:color w:val="auto"/>
        </w:rPr>
        <w:t>（e)内胎的技术要求及外观质量应符合 GB7036.1-2009《充气轮胎内胎第1 部分汽车轮胎内胎》的规定。</w:t>
      </w:r>
    </w:p>
    <w:p>
      <w:pPr>
        <w:pStyle w:val="51"/>
        <w:spacing w:after="0" w:line="360" w:lineRule="auto"/>
        <w:ind w:firstLine="480" w:firstLineChars="200"/>
        <w:jc w:val="left"/>
        <w:rPr>
          <w:rFonts w:ascii="宋体" w:hAnsi="宋体"/>
          <w:color w:val="auto"/>
        </w:rPr>
      </w:pPr>
      <w:r>
        <w:rPr>
          <w:rFonts w:hint="eastAsia" w:ascii="宋体" w:hAnsi="宋体"/>
          <w:color w:val="auto"/>
        </w:rPr>
        <w:t>（f）★凡属于《中华人民共和国实施强制性产品认证的产品目录》的产品，请投标人在投标文件中承诺在交货时提供该产品的《中国强制认证》（CCC认证）。</w:t>
      </w:r>
    </w:p>
    <w:p>
      <w:pPr>
        <w:pStyle w:val="51"/>
        <w:spacing w:after="0" w:line="360" w:lineRule="auto"/>
        <w:ind w:firstLine="480" w:firstLineChars="200"/>
        <w:jc w:val="left"/>
        <w:rPr>
          <w:rFonts w:ascii="宋体" w:hAnsi="宋体"/>
          <w:color w:val="auto"/>
        </w:rPr>
      </w:pPr>
      <w:r>
        <w:rPr>
          <w:rFonts w:hint="eastAsia" w:ascii="宋体" w:hAnsi="宋体"/>
          <w:color w:val="auto"/>
        </w:rPr>
        <w:t>（g）★投标人承诺提供的所有货物必须是“三包”产品。</w:t>
      </w:r>
    </w:p>
    <w:p>
      <w:pPr>
        <w:pStyle w:val="51"/>
        <w:spacing w:after="0" w:line="360" w:lineRule="auto"/>
        <w:ind w:firstLine="480" w:firstLineChars="200"/>
        <w:jc w:val="left"/>
        <w:rPr>
          <w:rFonts w:ascii="宋体" w:hAnsi="宋体"/>
          <w:color w:val="auto"/>
        </w:rPr>
      </w:pPr>
      <w:r>
        <w:rPr>
          <w:rFonts w:hint="eastAsia" w:ascii="宋体" w:hAnsi="宋体"/>
          <w:color w:val="auto"/>
        </w:rPr>
        <w:t>（h）轮胎的检验由双方共同指定的第三方检测机构进行抽检，年度抽检次 数不超过 4 次，由此产生的有关费用由中标人承担。</w:t>
      </w:r>
    </w:p>
    <w:p>
      <w:pPr>
        <w:pStyle w:val="51"/>
        <w:spacing w:after="0" w:line="360" w:lineRule="auto"/>
        <w:ind w:left="6" w:firstLine="472" w:firstLineChars="197"/>
        <w:jc w:val="left"/>
        <w:rPr>
          <w:rFonts w:ascii="宋体" w:hAnsi="宋体"/>
          <w:color w:val="auto"/>
        </w:rPr>
      </w:pPr>
      <w:r>
        <w:rPr>
          <w:rFonts w:hint="eastAsia" w:ascii="宋体" w:hAnsi="宋体"/>
          <w:color w:val="auto"/>
        </w:rPr>
        <w:t>中标人供应的轮胎必须是合法厂商原装、全新，且必须符合国家行业生产及经营标准，货真价实，均能提供相应批次的合格检验证明；各项技术指标必须完全符合国家有关质量检测及产品出厂标准，不存在任何伪劣、假冒或侵犯他人知识产权的产品。（须在投标文件中，出具书面承诺。）</w:t>
      </w:r>
    </w:p>
    <w:p>
      <w:pPr>
        <w:pStyle w:val="51"/>
        <w:spacing w:after="0" w:line="360" w:lineRule="auto"/>
        <w:ind w:left="6" w:firstLine="472" w:firstLineChars="197"/>
        <w:jc w:val="left"/>
        <w:rPr>
          <w:rFonts w:ascii="宋体" w:hAnsi="宋体"/>
          <w:color w:val="auto"/>
        </w:rPr>
      </w:pPr>
      <w:r>
        <w:rPr>
          <w:rFonts w:hint="eastAsia" w:ascii="宋体" w:hAnsi="宋体"/>
          <w:color w:val="auto"/>
        </w:rPr>
        <w:t>此轮胎投标最高限价（单价）包括产品价格、运输、验收、培训、技术服务（包括技术资料、图纸的提供）、售后服务、轮胎的烙号、更换、维修、抢修、日常管理及合同实施过程中不可预见费用等。</w:t>
      </w:r>
    </w:p>
    <w:p>
      <w:pPr>
        <w:pStyle w:val="51"/>
        <w:spacing w:after="0" w:line="360" w:lineRule="auto"/>
        <w:ind w:left="6" w:firstLine="472" w:firstLineChars="197"/>
        <w:jc w:val="left"/>
        <w:rPr>
          <w:rFonts w:ascii="宋体" w:hAnsi="宋体"/>
          <w:color w:val="auto"/>
        </w:rPr>
      </w:pPr>
      <w:r>
        <w:rPr>
          <w:rFonts w:hint="eastAsia" w:ascii="宋体" w:hAnsi="宋体"/>
          <w:color w:val="auto"/>
        </w:rPr>
        <w:t>投标货物在实际采购中若发生更新换代，则按不低于本招标文件所要求的标准进行供货。轮胎价格不变，且含在总价内，采购人不另外支付。</w:t>
      </w:r>
    </w:p>
    <w:p>
      <w:pPr>
        <w:pStyle w:val="51"/>
        <w:spacing w:after="0" w:line="360" w:lineRule="auto"/>
        <w:ind w:left="6" w:firstLine="472" w:firstLineChars="197"/>
        <w:jc w:val="left"/>
        <w:rPr>
          <w:rFonts w:ascii="宋体" w:hAnsi="宋体"/>
          <w:color w:val="auto"/>
        </w:rPr>
      </w:pPr>
      <w:r>
        <w:rPr>
          <w:rFonts w:hint="eastAsia" w:ascii="宋体" w:hAnsi="宋体"/>
          <w:color w:val="auto"/>
          <w:lang w:val="en-US" w:eastAsia="zh-CN"/>
        </w:rPr>
        <w:t>安装</w:t>
      </w:r>
      <w:r>
        <w:rPr>
          <w:rFonts w:hint="eastAsia" w:ascii="宋体" w:hAnsi="宋体"/>
          <w:color w:val="auto"/>
        </w:rPr>
        <w:t>调位服务要求</w:t>
      </w:r>
    </w:p>
    <w:p>
      <w:pPr>
        <w:pStyle w:val="51"/>
        <w:spacing w:after="0" w:line="360" w:lineRule="auto"/>
        <w:ind w:left="6" w:firstLine="472" w:firstLineChars="197"/>
        <w:jc w:val="left"/>
        <w:rPr>
          <w:rFonts w:ascii="宋体" w:hAnsi="宋体"/>
          <w:color w:val="auto"/>
        </w:rPr>
      </w:pPr>
      <w:r>
        <w:rPr>
          <w:rFonts w:hint="eastAsia" w:ascii="宋体" w:hAnsi="宋体"/>
          <w:color w:val="auto"/>
        </w:rPr>
        <w:t>中标人应具备有资质的轮胎工人（不少于2人）负责</w:t>
      </w:r>
      <w:r>
        <w:rPr>
          <w:rFonts w:hint="eastAsia" w:ascii="宋体" w:hAnsi="宋体"/>
          <w:color w:val="auto"/>
          <w:lang w:val="en-US" w:eastAsia="zh-CN"/>
        </w:rPr>
        <w:t>安装</w:t>
      </w:r>
      <w:r>
        <w:rPr>
          <w:rFonts w:hint="eastAsia" w:ascii="宋体" w:hAnsi="宋体"/>
          <w:color w:val="auto"/>
        </w:rPr>
        <w:t>调位工作，并提供</w:t>
      </w:r>
      <w:r>
        <w:rPr>
          <w:rFonts w:hint="eastAsia" w:ascii="宋体" w:hAnsi="宋体"/>
          <w:color w:val="auto"/>
          <w:lang w:val="en-US" w:eastAsia="zh-CN"/>
        </w:rPr>
        <w:t>安装、</w:t>
      </w:r>
      <w:r>
        <w:rPr>
          <w:rFonts w:hint="eastAsia" w:ascii="宋体" w:hAnsi="宋体"/>
          <w:color w:val="auto"/>
        </w:rPr>
        <w:t>换胎、调位的相关工具，以保障采购人车辆的正常运行，由此产生的所有费用均包含在轮胎投标单价内，采购人不再支付除轮胎中标价以外的任何费用。中标人不得将本业务进行转包或分包，采购人如有发现中标人违规，采购人可以随时视作违规上报监管部门并要求中标人赔偿相应的损失或支付违约金；</w:t>
      </w:r>
    </w:p>
    <w:p>
      <w:pPr>
        <w:pStyle w:val="51"/>
        <w:spacing w:after="0" w:line="360" w:lineRule="auto"/>
        <w:ind w:left="6" w:firstLine="472" w:firstLineChars="197"/>
        <w:jc w:val="left"/>
        <w:rPr>
          <w:rFonts w:ascii="宋体" w:hAnsi="宋体"/>
          <w:color w:val="auto"/>
        </w:rPr>
      </w:pPr>
      <w:r>
        <w:rPr>
          <w:rFonts w:hint="eastAsia" w:ascii="宋体" w:hAnsi="宋体"/>
          <w:color w:val="auto"/>
        </w:rPr>
        <w:t>中标人员工必须遵守采购人的各项规章制度、消防条例，轮胎管理要求，服从采购人指定人员的工作调配，不能以任何借口拒绝采购人的工作调配；</w:t>
      </w:r>
    </w:p>
    <w:p>
      <w:pPr>
        <w:pStyle w:val="51"/>
        <w:spacing w:after="0" w:line="360" w:lineRule="auto"/>
        <w:ind w:left="6" w:firstLine="472" w:firstLineChars="197"/>
        <w:jc w:val="left"/>
        <w:rPr>
          <w:rFonts w:ascii="宋体" w:hAnsi="宋体"/>
          <w:color w:val="auto"/>
        </w:rPr>
      </w:pPr>
      <w:r>
        <w:rPr>
          <w:rFonts w:hint="eastAsia" w:ascii="宋体" w:hAnsi="宋体"/>
          <w:color w:val="auto"/>
        </w:rPr>
        <w:t>采购人有权对中标人的</w:t>
      </w:r>
      <w:r>
        <w:rPr>
          <w:rFonts w:hint="eastAsia" w:ascii="宋体" w:hAnsi="宋体"/>
          <w:color w:val="auto"/>
          <w:lang w:val="en-US" w:eastAsia="zh-CN"/>
        </w:rPr>
        <w:t>安装</w:t>
      </w:r>
      <w:r>
        <w:rPr>
          <w:rFonts w:hint="eastAsia" w:ascii="宋体" w:hAnsi="宋体"/>
          <w:color w:val="auto"/>
        </w:rPr>
        <w:t>调位作业、安全生产进行监督管理，有权要求中标人使用有资质的轮胎工持证上岗；</w:t>
      </w:r>
    </w:p>
    <w:p>
      <w:pPr>
        <w:pStyle w:val="55"/>
        <w:spacing w:line="360" w:lineRule="auto"/>
        <w:ind w:firstLine="471"/>
        <w:jc w:val="left"/>
        <w:rPr>
          <w:rFonts w:ascii="宋体" w:hAnsi="宋体"/>
          <w:color w:val="auto"/>
          <w:sz w:val="24"/>
          <w:szCs w:val="24"/>
        </w:rPr>
      </w:pPr>
      <w:r>
        <w:rPr>
          <w:rFonts w:hint="eastAsia" w:ascii="宋体" w:hAnsi="宋体"/>
          <w:color w:val="auto"/>
          <w:sz w:val="24"/>
          <w:szCs w:val="24"/>
        </w:rPr>
        <w:t>中标人负责与轮胎工人建立劳动关系，采购人与轮胎工人不建立任何劳动或劳务或聘用关系，且轮胎工人不享受采购人员工同等的福利待遇，如中标人员工需要采购人提供食宿，一切费用按采购人工人待遇计算，相关费用由中标人负责及另行支付；</w:t>
      </w:r>
    </w:p>
    <w:p>
      <w:pPr>
        <w:pStyle w:val="51"/>
        <w:spacing w:after="0" w:line="360" w:lineRule="auto"/>
        <w:ind w:left="6" w:firstLine="472" w:firstLineChars="197"/>
        <w:jc w:val="left"/>
        <w:rPr>
          <w:rFonts w:hint="eastAsia" w:ascii="宋体" w:hAnsi="宋体" w:eastAsia="宋体"/>
          <w:color w:val="auto"/>
          <w:lang w:eastAsia="zh-CN"/>
        </w:rPr>
      </w:pPr>
      <w:r>
        <w:rPr>
          <w:rFonts w:hint="eastAsia" w:ascii="宋体" w:hAnsi="宋体"/>
          <w:color w:val="auto"/>
        </w:rPr>
        <w:t>采购人有权监督中标人的用工制度</w:t>
      </w:r>
      <w:r>
        <w:rPr>
          <w:rFonts w:hint="eastAsia" w:ascii="宋体" w:hAnsi="宋体"/>
          <w:color w:val="auto"/>
          <w:lang w:eastAsia="zh-CN"/>
        </w:rPr>
        <w:t>；</w:t>
      </w:r>
    </w:p>
    <w:p>
      <w:pPr>
        <w:pStyle w:val="51"/>
        <w:spacing w:after="0" w:line="360" w:lineRule="auto"/>
        <w:ind w:left="6" w:firstLine="472" w:firstLineChars="197"/>
        <w:jc w:val="left"/>
        <w:rPr>
          <w:rFonts w:ascii="宋体" w:hAnsi="宋体"/>
          <w:color w:val="auto"/>
        </w:rPr>
      </w:pPr>
      <w:r>
        <w:rPr>
          <w:rFonts w:hint="eastAsia" w:ascii="宋体" w:hAnsi="宋体"/>
          <w:color w:val="auto"/>
        </w:rPr>
        <w:t>中标人员工在作业过程中所发生的一切事故责任均由中标人负责；</w:t>
      </w:r>
    </w:p>
    <w:p>
      <w:pPr>
        <w:pStyle w:val="51"/>
        <w:spacing w:after="0" w:line="360" w:lineRule="auto"/>
        <w:ind w:left="6" w:firstLine="472" w:firstLineChars="197"/>
        <w:jc w:val="left"/>
        <w:rPr>
          <w:rFonts w:ascii="宋体" w:hAnsi="宋体"/>
          <w:color w:val="auto"/>
        </w:rPr>
      </w:pPr>
      <w:r>
        <w:rPr>
          <w:rFonts w:hint="eastAsia" w:ascii="宋体" w:hAnsi="宋体"/>
          <w:color w:val="auto"/>
        </w:rPr>
        <w:t>中标人要服从采购人的工作任务安排，不得以任何借口延误采购人正常工作，拒绝作业的每次扣款2000元；如造成采购人的名誉、经济重大损失由中标人负责照价赔偿，并在配件采购经费中扣除；</w:t>
      </w:r>
    </w:p>
    <w:p>
      <w:pPr>
        <w:pStyle w:val="51"/>
        <w:spacing w:after="0" w:line="360" w:lineRule="auto"/>
        <w:ind w:left="6" w:firstLine="472" w:firstLineChars="197"/>
        <w:jc w:val="left"/>
        <w:rPr>
          <w:rFonts w:ascii="宋体" w:hAnsi="宋体"/>
          <w:color w:val="auto"/>
        </w:rPr>
      </w:pPr>
      <w:r>
        <w:rPr>
          <w:rFonts w:hint="eastAsia" w:ascii="宋体" w:hAnsi="宋体"/>
          <w:color w:val="auto"/>
        </w:rPr>
        <w:t xml:space="preserve">中标人外派人员需带齐救济所需工具，安全、科学作业，严禁野蛮操作，如有因中标人工具不齐或野蛮作业所造成采购人轮胎损坏的经济损失由中标人按新轮胎标准照价赔偿，如果在拆换轮胎时因螺丝不紧造成螺丝断裂、刹车掌损坏、刹车鼓磨损及报废中标人要负责按采购人损失照价赔偿，并在配件采购经费中扣除； </w:t>
      </w:r>
    </w:p>
    <w:p>
      <w:pPr>
        <w:pStyle w:val="51"/>
        <w:spacing w:after="0" w:line="360" w:lineRule="auto"/>
        <w:ind w:left="6" w:firstLine="472" w:firstLineChars="197"/>
        <w:jc w:val="left"/>
        <w:rPr>
          <w:rFonts w:ascii="宋体" w:hAnsi="宋体"/>
          <w:color w:val="auto"/>
        </w:rPr>
      </w:pPr>
      <w:r>
        <w:rPr>
          <w:rFonts w:hint="eastAsia" w:ascii="宋体" w:hAnsi="宋体"/>
          <w:color w:val="auto"/>
        </w:rPr>
        <w:t>中标人外派人员需带齐救济所需工具，在没有电动,气动工具的情况下要想办法进行人工手动作业，轮胎保障服务作业所需要一切工具全部由中标人负责购买、维护；如中标人需要向采购人租借作业工具，要向采购人按市场价支付租借费用，如有遗失或损坏采购人按市场价在当月服务费中扣除；</w:t>
      </w:r>
    </w:p>
    <w:p>
      <w:pPr>
        <w:pStyle w:val="51"/>
        <w:spacing w:after="0" w:line="360" w:lineRule="auto"/>
        <w:ind w:left="6" w:firstLine="472" w:firstLineChars="197"/>
        <w:jc w:val="left"/>
        <w:rPr>
          <w:rFonts w:ascii="宋体" w:hAnsi="宋体"/>
          <w:color w:val="auto"/>
        </w:rPr>
      </w:pPr>
      <w:r>
        <w:rPr>
          <w:rFonts w:hint="eastAsia" w:ascii="宋体" w:hAnsi="宋体"/>
          <w:color w:val="auto"/>
        </w:rPr>
        <w:t>中标人轮胎工不能监守自盗，如有轮胎丢失或不正常报废的现象，由中标人负责按损失的三倍赔偿；</w:t>
      </w:r>
    </w:p>
    <w:p>
      <w:pPr>
        <w:pStyle w:val="51"/>
        <w:spacing w:after="0" w:line="360" w:lineRule="auto"/>
        <w:ind w:left="6" w:firstLine="472" w:firstLineChars="197"/>
        <w:jc w:val="left"/>
        <w:rPr>
          <w:rFonts w:ascii="宋体" w:hAnsi="宋体"/>
          <w:color w:val="auto"/>
        </w:rPr>
      </w:pPr>
      <w:r>
        <w:rPr>
          <w:rFonts w:hint="eastAsia" w:ascii="宋体" w:hAnsi="宋体"/>
          <w:color w:val="auto"/>
        </w:rPr>
        <w:t>轮胎的拆装、修补、检查、抢修、救济等工作中标人轮胎工需做好登记手续，并按采购人规定做好旧胎的报废登记手续。</w:t>
      </w:r>
    </w:p>
    <w:p>
      <w:pPr>
        <w:pStyle w:val="51"/>
        <w:spacing w:after="0" w:line="360" w:lineRule="auto"/>
        <w:ind w:left="6" w:firstLine="472" w:firstLineChars="197"/>
        <w:jc w:val="left"/>
        <w:rPr>
          <w:rFonts w:ascii="宋体" w:hAnsi="宋体"/>
          <w:color w:val="auto"/>
        </w:rPr>
      </w:pPr>
      <w:r>
        <w:rPr>
          <w:rFonts w:hint="eastAsia" w:ascii="宋体" w:hAnsi="宋体"/>
          <w:color w:val="auto"/>
        </w:rPr>
        <w:t>（8）轮胎采购详见清单。</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说明：（1）此轮胎投标单价最高限价包括产品价格、运输、验收、培训、技术服务（包括技术资料、图纸的提供）、售后服务、轮胎的烙号、更换、维修、抢修、日常管理及合同实施过程中不可预见费用等。中标人应派有资质的轮胎工人（不少于2人），并提供</w:t>
      </w:r>
      <w:r>
        <w:rPr>
          <w:rFonts w:hint="eastAsia" w:ascii="宋体" w:hAnsi="宋体"/>
          <w:b/>
          <w:bCs/>
          <w:color w:val="auto"/>
          <w:lang w:val="en-US" w:eastAsia="zh-CN"/>
        </w:rPr>
        <w:t>安装、</w:t>
      </w:r>
      <w:r>
        <w:rPr>
          <w:rFonts w:hint="eastAsia" w:ascii="宋体" w:hAnsi="宋体"/>
          <w:b/>
          <w:bCs/>
          <w:color w:val="auto"/>
        </w:rPr>
        <w:t>换胎、调位的相关工具，以保障采购人车辆的正常运行，由此产生的所有费用均包含在轮胎投标单价内，采购人不再支付除轮胎中标价以外的任何费用。</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三、商务要求</w:t>
      </w:r>
    </w:p>
    <w:p>
      <w:pPr>
        <w:pStyle w:val="51"/>
        <w:spacing w:after="0" w:line="360" w:lineRule="auto"/>
        <w:ind w:left="6" w:firstLine="472" w:firstLineChars="197"/>
        <w:jc w:val="left"/>
        <w:rPr>
          <w:rFonts w:ascii="宋体" w:hAnsi="宋体"/>
          <w:color w:val="auto"/>
        </w:rPr>
      </w:pPr>
      <w:r>
        <w:rPr>
          <w:rFonts w:hint="eastAsia" w:ascii="宋体" w:hAnsi="宋体"/>
          <w:color w:val="auto"/>
        </w:rPr>
        <w:t>为保证采购人车辆正常运作，确保采购人有充足的各类物资使用，寻求合适的各类物资中标人，负责提供优质的配件，及时送货到采购人指定地址，各项要求如下：</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1、供货要求</w:t>
      </w:r>
    </w:p>
    <w:p>
      <w:pPr>
        <w:pStyle w:val="51"/>
        <w:spacing w:after="0" w:line="360" w:lineRule="auto"/>
        <w:ind w:left="6" w:firstLine="472" w:firstLineChars="197"/>
        <w:jc w:val="left"/>
        <w:rPr>
          <w:rFonts w:ascii="宋体" w:hAnsi="宋体"/>
          <w:color w:val="auto"/>
        </w:rPr>
      </w:pPr>
      <w:r>
        <w:rPr>
          <w:rFonts w:hint="eastAsia" w:ascii="宋体" w:hAnsi="宋体"/>
          <w:color w:val="auto"/>
        </w:rPr>
        <w:t>（1）投标人应保证供货、送货时间，保证电话畅通、接报后15 分钟内要作出回应，3 小时内送货到达现场，急件1 小时内送货到达现场，如因特殊配件一般不易损坏的，需订制或远程调货的，保证3 天内送货到指定地点，投标人应具有仓储配送能力，自有送货车辆2台以上。</w:t>
      </w:r>
    </w:p>
    <w:p>
      <w:pPr>
        <w:pStyle w:val="51"/>
        <w:spacing w:after="0" w:line="360" w:lineRule="auto"/>
        <w:ind w:left="6" w:firstLine="472" w:firstLineChars="197"/>
        <w:jc w:val="left"/>
        <w:rPr>
          <w:rFonts w:ascii="宋体" w:hAnsi="宋体"/>
          <w:color w:val="auto"/>
        </w:rPr>
      </w:pPr>
      <w:r>
        <w:rPr>
          <w:rFonts w:hint="eastAsia" w:ascii="宋体" w:hAnsi="宋体"/>
          <w:color w:val="auto"/>
        </w:rPr>
        <w:t>（2）采购人将根据车队正常运作所需，选择相应的配件，并以实际发生额作为结算依据，服务期内采购人采购实际金额未达到预算总额的，不视为采购人违约。</w:t>
      </w:r>
    </w:p>
    <w:p>
      <w:pPr>
        <w:pStyle w:val="51"/>
        <w:spacing w:after="0" w:line="360" w:lineRule="auto"/>
        <w:ind w:left="6" w:firstLine="472" w:firstLineChars="197"/>
        <w:jc w:val="left"/>
        <w:rPr>
          <w:rFonts w:ascii="宋体" w:hAnsi="宋体"/>
          <w:color w:val="auto"/>
        </w:rPr>
      </w:pPr>
      <w:r>
        <w:rPr>
          <w:rFonts w:hint="eastAsia" w:ascii="宋体" w:hAnsi="宋体"/>
          <w:color w:val="auto"/>
        </w:rPr>
        <w:t>（3）由于采购人所招的货物都是限价，在中标人的服务期限内，采购人根据实际情况其按照中标单价，可自行对货物的数量进行采购和调整。</w:t>
      </w:r>
    </w:p>
    <w:p>
      <w:pPr>
        <w:pStyle w:val="51"/>
        <w:spacing w:after="0" w:line="360" w:lineRule="auto"/>
        <w:ind w:left="6" w:firstLine="472" w:firstLineChars="197"/>
        <w:jc w:val="left"/>
        <w:rPr>
          <w:rFonts w:ascii="宋体" w:hAnsi="宋体"/>
          <w:color w:val="auto"/>
        </w:rPr>
      </w:pPr>
      <w:r>
        <w:rPr>
          <w:rFonts w:hint="eastAsia" w:ascii="宋体" w:hAnsi="宋体"/>
          <w:color w:val="auto"/>
        </w:rPr>
        <w:t>（4）合同生效后期满或实际付款金額累计达到预算100%，则合同终止。</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2、供货地点</w:t>
      </w:r>
    </w:p>
    <w:p>
      <w:pPr>
        <w:spacing w:after="120" w:line="360" w:lineRule="auto"/>
        <w:ind w:firstLine="480" w:firstLineChars="200"/>
        <w:rPr>
          <w:rFonts w:ascii="宋体" w:hAnsi="宋体"/>
          <w:color w:val="auto"/>
          <w:sz w:val="24"/>
        </w:rPr>
      </w:pPr>
      <w:r>
        <w:rPr>
          <w:rFonts w:hint="eastAsia" w:ascii="宋体" w:hAnsi="宋体"/>
          <w:bCs/>
          <w:color w:val="auto"/>
          <w:sz w:val="24"/>
          <w:u w:val="none"/>
        </w:rPr>
        <w:t xml:space="preserve">以采购人通知为准 </w:t>
      </w:r>
      <w:r>
        <w:rPr>
          <w:rFonts w:hint="eastAsia" w:ascii="宋体" w:hAnsi="宋体"/>
          <w:bCs/>
          <w:color w:val="auto"/>
          <w:sz w:val="24"/>
        </w:rPr>
        <w:t>，包括采购人</w:t>
      </w:r>
      <w:r>
        <w:rPr>
          <w:rFonts w:ascii="宋体" w:hAnsi="宋体"/>
          <w:bCs/>
          <w:color w:val="auto"/>
          <w:sz w:val="24"/>
        </w:rPr>
        <w:t>指定的</w:t>
      </w:r>
      <w:r>
        <w:rPr>
          <w:rFonts w:hint="eastAsia" w:ascii="宋体" w:hAnsi="宋体"/>
          <w:bCs/>
          <w:color w:val="auto"/>
          <w:sz w:val="24"/>
        </w:rPr>
        <w:t>任一收货点；</w:t>
      </w:r>
      <w:r>
        <w:rPr>
          <w:rFonts w:ascii="宋体" w:hAnsi="宋体"/>
          <w:bCs/>
          <w:color w:val="auto"/>
          <w:sz w:val="24"/>
        </w:rPr>
        <w:t>最终具体交货地点以</w:t>
      </w:r>
      <w:r>
        <w:rPr>
          <w:rFonts w:hint="eastAsia" w:ascii="宋体" w:hAnsi="宋体"/>
          <w:bCs/>
          <w:color w:val="auto"/>
          <w:sz w:val="24"/>
        </w:rPr>
        <w:t>采购人</w:t>
      </w:r>
      <w:r>
        <w:rPr>
          <w:rFonts w:ascii="宋体" w:hAnsi="宋体"/>
          <w:bCs/>
          <w:color w:val="auto"/>
          <w:sz w:val="24"/>
        </w:rPr>
        <w:t>通知为准。</w:t>
      </w:r>
      <w:r>
        <w:rPr>
          <w:rFonts w:hint="eastAsia" w:ascii="宋体" w:hAnsi="宋体"/>
          <w:color w:val="auto"/>
          <w:sz w:val="24"/>
        </w:rPr>
        <w:t xml:space="preserve"> </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3、货物的验收：</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（1）验收应在采购人和中标人双方共同参加下进行，验收合格后中标人将其登记在册。</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2）验收按国家有关的规定、规范进行。验收时如发现所交付的货物有短缺、次品、损坏或其他不符合招标文件、合同规定之情形者，采购人应作出详尽的现场记录，或由采购人和中标人双方签署备忘录。此现场记录或备忘录可用作补充、缺失和更换部件的有效证据。由此产生的有关费用由中标人承担。</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（3）货物必须达到中标人投标文件所提供的性能指标参数、满足采购需求的要求，并提供每条轮胎原始编号。</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（4）如果合同货物运输和安装调试过程中因事故造成货物短缺、损坏，中标人应及时安排换货，以保证合同货物成功完整交付。换货的相关费用由中标人承担。</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（5）若中标人提供的产品发生知识产权纠纷的，由中标人与原知识产权所有者协商解决，采购人不承担与之相关的任何经济和法律责任。</w:t>
      </w:r>
    </w:p>
    <w:p>
      <w:pPr>
        <w:pStyle w:val="51"/>
        <w:snapToGrid w:val="0"/>
        <w:spacing w:after="0" w:line="360" w:lineRule="auto"/>
        <w:ind w:left="6" w:firstLine="472" w:firstLineChars="197"/>
        <w:jc w:val="left"/>
        <w:rPr>
          <w:rFonts w:hint="eastAsia" w:ascii="宋体" w:hAnsi="宋体"/>
          <w:color w:val="auto"/>
        </w:rPr>
      </w:pPr>
      <w:r>
        <w:rPr>
          <w:rFonts w:hint="eastAsia" w:ascii="宋体" w:hAnsi="宋体"/>
          <w:color w:val="auto"/>
        </w:rPr>
        <w:t>（6）所有货物在收货或使用过程中发现以次充好或使用假冒伪劣产品的，中标人除无条件更换货物外，还需按货物价格的3倍进行罚款。</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4、付款方式</w:t>
      </w:r>
    </w:p>
    <w:p>
      <w:pPr>
        <w:pStyle w:val="51"/>
        <w:spacing w:after="0" w:line="360" w:lineRule="auto"/>
        <w:ind w:left="6" w:firstLine="472" w:firstLineChars="197"/>
        <w:jc w:val="left"/>
        <w:rPr>
          <w:rFonts w:ascii="宋体" w:hAnsi="宋体"/>
          <w:color w:val="auto"/>
        </w:rPr>
      </w:pPr>
      <w:r>
        <w:rPr>
          <w:rFonts w:hint="eastAsia" w:ascii="宋体" w:hAnsi="宋体"/>
          <w:color w:val="auto"/>
        </w:rPr>
        <w:t>（1）中标人在收到采购人采购货物类型和数量通知后按供货要求规定的时限内完成供货。</w:t>
      </w:r>
    </w:p>
    <w:p>
      <w:pPr>
        <w:pStyle w:val="58"/>
        <w:spacing w:line="360" w:lineRule="auto"/>
        <w:ind w:firstLine="197"/>
        <w:jc w:val="left"/>
        <w:rPr>
          <w:rFonts w:ascii="宋体" w:hAnsi="宋体"/>
          <w:color w:val="auto"/>
          <w:sz w:val="24"/>
          <w:szCs w:val="24"/>
        </w:rPr>
      </w:pPr>
      <w:r>
        <w:rPr>
          <w:rFonts w:hint="eastAsia" w:ascii="宋体" w:hAnsi="宋体"/>
          <w:color w:val="auto"/>
          <w:sz w:val="24"/>
          <w:szCs w:val="24"/>
        </w:rPr>
        <w:t xml:space="preserve">   （2）以实际供货时发生金额进行结算，每月结算一次，结算时间次月初,由采购人在收到中标人提供的正式增值税专用发票和供货单，办理采购货款的支付。</w:t>
      </w:r>
    </w:p>
    <w:p>
      <w:pPr>
        <w:pStyle w:val="51"/>
        <w:spacing w:after="0" w:line="360" w:lineRule="auto"/>
        <w:ind w:left="6" w:firstLine="472" w:firstLineChars="197"/>
        <w:jc w:val="left"/>
        <w:rPr>
          <w:rFonts w:ascii="宋体" w:hAnsi="宋体"/>
          <w:color w:val="auto"/>
        </w:rPr>
      </w:pPr>
      <w:r>
        <w:rPr>
          <w:rFonts w:hint="eastAsia" w:ascii="宋体" w:hAnsi="宋体"/>
          <w:color w:val="auto"/>
        </w:rPr>
        <w:t>（3）中标人应提前3个工作日提供等额发票给采购人，以便办理支付手续。</w:t>
      </w:r>
    </w:p>
    <w:p>
      <w:pPr>
        <w:pStyle w:val="51"/>
        <w:spacing w:after="0" w:line="360" w:lineRule="auto"/>
        <w:ind w:left="6" w:firstLine="472" w:firstLineChars="197"/>
        <w:jc w:val="left"/>
        <w:rPr>
          <w:rFonts w:ascii="宋体" w:hAnsi="宋体"/>
          <w:color w:val="auto"/>
        </w:rPr>
      </w:pPr>
      <w:r>
        <w:rPr>
          <w:rFonts w:hint="eastAsia" w:ascii="宋体" w:hAnsi="宋体"/>
          <w:color w:val="auto"/>
        </w:rPr>
        <w:t>（4）质保期内如货物发生质量问题，在中标人拒不进行修理或修理时间多于3天且不提供备用件的情况下，采购人有权自行购买相应货物或自行维修，所需的费用由中标人支付。</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5、售后服务</w:t>
      </w:r>
    </w:p>
    <w:p>
      <w:pPr>
        <w:pStyle w:val="51"/>
        <w:spacing w:after="0" w:line="360" w:lineRule="auto"/>
        <w:ind w:left="6" w:firstLine="472" w:firstLineChars="197"/>
        <w:jc w:val="left"/>
        <w:rPr>
          <w:rFonts w:ascii="宋体" w:hAnsi="宋体"/>
          <w:color w:val="auto"/>
        </w:rPr>
      </w:pPr>
      <w:r>
        <w:rPr>
          <w:rFonts w:hint="eastAsia" w:ascii="宋体" w:hAnsi="宋体"/>
          <w:color w:val="auto"/>
        </w:rPr>
        <w:t>（1）质保期：自采购人验收合格后起壹年内，如货物非因采购人的人为原因而出现质量问题，中标人负责免费更换；中标人如不更换，采购人有权按中标单价扣除相关费用，并保留追究赔偿的权利。</w:t>
      </w:r>
    </w:p>
    <w:p>
      <w:pPr>
        <w:pStyle w:val="51"/>
        <w:spacing w:after="0" w:line="360" w:lineRule="auto"/>
        <w:ind w:left="6" w:firstLine="472" w:firstLineChars="197"/>
        <w:jc w:val="left"/>
        <w:rPr>
          <w:rFonts w:ascii="宋体" w:hAnsi="宋体"/>
          <w:color w:val="auto"/>
        </w:rPr>
      </w:pPr>
      <w:r>
        <w:rPr>
          <w:rFonts w:hint="eastAsia" w:ascii="宋体" w:hAnsi="宋体"/>
          <w:color w:val="auto"/>
        </w:rPr>
        <w:t>（2）在免费质量保修期内，如货物非因采购人的人为原因而出现质量问题，中标人承诺全额免费包维修、包更换；如确属采购人人为原因损坏，亦须无条件维修、更换或退换，但采购人应给予合理费用。</w:t>
      </w:r>
    </w:p>
    <w:p>
      <w:pPr>
        <w:pStyle w:val="51"/>
        <w:spacing w:after="0" w:line="360" w:lineRule="auto"/>
        <w:ind w:left="6" w:firstLine="472" w:firstLineChars="197"/>
        <w:jc w:val="left"/>
        <w:rPr>
          <w:rFonts w:ascii="宋体" w:hAnsi="宋体"/>
          <w:color w:val="auto"/>
        </w:rPr>
      </w:pPr>
      <w:r>
        <w:rPr>
          <w:rFonts w:hint="eastAsia" w:ascii="宋体" w:hAnsi="宋体"/>
          <w:color w:val="auto"/>
        </w:rPr>
        <w:t>（3）提供24小时服务热线和长期免费技术支持，接到采购人维修通知后要即时电话响应，如电话响应无法解决，3小时到达现场进行维修，24小时内修复。如24小时内无法修复，则必须免费提供相同档次的设备予采购人临时使用或采取应急措施解决，不得影响采购人正常工作。</w:t>
      </w:r>
    </w:p>
    <w:p>
      <w:pPr>
        <w:pStyle w:val="51"/>
        <w:spacing w:after="0" w:line="360" w:lineRule="auto"/>
        <w:ind w:firstLine="480"/>
        <w:jc w:val="left"/>
        <w:rPr>
          <w:rFonts w:ascii="宋体" w:hAnsi="宋体"/>
          <w:color w:val="auto"/>
        </w:rPr>
      </w:pPr>
      <w:r>
        <w:rPr>
          <w:rFonts w:hint="eastAsia" w:ascii="宋体" w:hAnsi="宋体"/>
          <w:color w:val="auto"/>
        </w:rPr>
        <w:t>★以下附轮胎招标清单及最高限价表，投标人需在《报价明细表》中报出各种规格的单价。</w:t>
      </w:r>
    </w:p>
    <w:tbl>
      <w:tblPr>
        <w:tblStyle w:val="23"/>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438"/>
        <w:gridCol w:w="1016"/>
        <w:gridCol w:w="1729"/>
        <w:gridCol w:w="1612"/>
        <w:gridCol w:w="118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40"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序号</w:t>
            </w:r>
          </w:p>
        </w:tc>
        <w:tc>
          <w:tcPr>
            <w:tcW w:w="1438"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规格</w:t>
            </w:r>
          </w:p>
        </w:tc>
        <w:tc>
          <w:tcPr>
            <w:tcW w:w="1016"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名称</w:t>
            </w:r>
          </w:p>
        </w:tc>
        <w:tc>
          <w:tcPr>
            <w:tcW w:w="1729"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单位</w:t>
            </w:r>
          </w:p>
        </w:tc>
        <w:tc>
          <w:tcPr>
            <w:tcW w:w="1612" w:type="dxa"/>
            <w:noWrap/>
            <w:vAlign w:val="center"/>
          </w:tcPr>
          <w:p>
            <w:pPr>
              <w:pStyle w:val="51"/>
              <w:widowControl/>
              <w:spacing w:line="360" w:lineRule="auto"/>
              <w:jc w:val="center"/>
              <w:rPr>
                <w:rFonts w:hint="default"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数量（暂定）</w:t>
            </w:r>
          </w:p>
        </w:tc>
        <w:tc>
          <w:tcPr>
            <w:tcW w:w="1187"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单价最高限价（元）</w:t>
            </w:r>
          </w:p>
        </w:tc>
        <w:tc>
          <w:tcPr>
            <w:tcW w:w="1168" w:type="dxa"/>
            <w:noWrap/>
            <w:vAlign w:val="center"/>
          </w:tcPr>
          <w:p>
            <w:pPr>
              <w:pStyle w:val="51"/>
              <w:widowControl/>
              <w:spacing w:line="360" w:lineRule="auto"/>
              <w:ind w:firstLine="0"/>
              <w:jc w:val="center"/>
              <w:rPr>
                <w:rFonts w:hint="eastAsia"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合计最高限价（元）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0"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1</w:t>
            </w:r>
          </w:p>
        </w:tc>
        <w:tc>
          <w:tcPr>
            <w:tcW w:w="1438"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1</w:t>
            </w:r>
            <w:r>
              <w:rPr>
                <w:rFonts w:hint="eastAsia" w:ascii="宋体" w:hAnsi="宋体"/>
                <w:color w:val="auto"/>
                <w:kern w:val="0"/>
                <w:lang w:val="en-US" w:eastAsia="zh-CN"/>
              </w:rPr>
              <w:t>1</w:t>
            </w:r>
            <w:r>
              <w:rPr>
                <w:rFonts w:hint="eastAsia" w:ascii="宋体" w:hAnsi="宋体"/>
                <w:color w:val="auto"/>
                <w:kern w:val="0"/>
              </w:rPr>
              <w:t>R22.5-18</w:t>
            </w:r>
          </w:p>
        </w:tc>
        <w:tc>
          <w:tcPr>
            <w:tcW w:w="101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1729"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 xml:space="preserve">套 </w:t>
            </w:r>
          </w:p>
        </w:tc>
        <w:tc>
          <w:tcPr>
            <w:tcW w:w="1612"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4</w:t>
            </w:r>
          </w:p>
        </w:tc>
        <w:tc>
          <w:tcPr>
            <w:tcW w:w="1187" w:type="dxa"/>
            <w:noWrap/>
            <w:vAlign w:val="center"/>
          </w:tcPr>
          <w:p>
            <w:pPr>
              <w:pStyle w:val="51"/>
              <w:widowControl/>
              <w:spacing w:line="360" w:lineRule="auto"/>
              <w:jc w:val="center"/>
              <w:rPr>
                <w:rFonts w:hint="default" w:ascii="宋体" w:hAnsi="宋体" w:eastAsia="宋体" w:cs="Tahoma"/>
                <w:color w:val="auto"/>
                <w:kern w:val="0"/>
                <w:sz w:val="24"/>
                <w:szCs w:val="24"/>
                <w:lang w:val="en-US" w:eastAsia="zh-CN" w:bidi="ar-SA"/>
              </w:rPr>
            </w:pPr>
            <w:r>
              <w:rPr>
                <w:rFonts w:hint="eastAsia" w:ascii="宋体" w:hAnsi="宋体"/>
                <w:color w:val="auto"/>
                <w:kern w:val="0"/>
                <w:lang w:val="en-US" w:eastAsia="zh-CN"/>
              </w:rPr>
              <w:t>1950</w:t>
            </w:r>
          </w:p>
        </w:tc>
        <w:tc>
          <w:tcPr>
            <w:tcW w:w="1168" w:type="dxa"/>
            <w:vMerge w:val="restart"/>
            <w:noWrap/>
            <w:vAlign w:val="center"/>
          </w:tcPr>
          <w:p>
            <w:pPr>
              <w:pStyle w:val="51"/>
              <w:widowControl/>
              <w:spacing w:line="360" w:lineRule="auto"/>
              <w:jc w:val="center"/>
              <w:rPr>
                <w:rFonts w:hint="default" w:ascii="宋体" w:hAnsi="宋体"/>
                <w:color w:val="auto"/>
                <w:kern w:val="0"/>
                <w:lang w:val="en-US" w:eastAsia="zh-CN"/>
              </w:rPr>
            </w:pPr>
            <w:r>
              <w:rPr>
                <w:rFonts w:hint="eastAsia" w:ascii="宋体" w:hAnsi="宋体"/>
                <w:color w:val="auto"/>
                <w:kern w:val="0"/>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0"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2</w:t>
            </w:r>
          </w:p>
        </w:tc>
        <w:tc>
          <w:tcPr>
            <w:tcW w:w="1438"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12R22.5-18</w:t>
            </w:r>
          </w:p>
        </w:tc>
        <w:tc>
          <w:tcPr>
            <w:tcW w:w="1016"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轮胎</w:t>
            </w:r>
          </w:p>
        </w:tc>
        <w:tc>
          <w:tcPr>
            <w:tcW w:w="1729"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 xml:space="preserve">套 </w:t>
            </w:r>
          </w:p>
        </w:tc>
        <w:tc>
          <w:tcPr>
            <w:tcW w:w="1612"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4</w:t>
            </w:r>
          </w:p>
        </w:tc>
        <w:tc>
          <w:tcPr>
            <w:tcW w:w="1187"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1950</w:t>
            </w:r>
          </w:p>
        </w:tc>
        <w:tc>
          <w:tcPr>
            <w:tcW w:w="1168" w:type="dxa"/>
            <w:vMerge w:val="continue"/>
            <w:noWrap/>
            <w:vAlign w:val="center"/>
          </w:tcPr>
          <w:p>
            <w:pPr>
              <w:pStyle w:val="51"/>
              <w:widowControl/>
              <w:spacing w:line="360" w:lineRule="auto"/>
              <w:jc w:val="center"/>
              <w:rPr>
                <w:rFonts w:hint="default" w:ascii="宋体" w:hAnsi="宋体" w:eastAsia="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0"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lang w:val="en-US" w:eastAsia="zh-CN"/>
              </w:rPr>
              <w:t>3</w:t>
            </w:r>
          </w:p>
        </w:tc>
        <w:tc>
          <w:tcPr>
            <w:tcW w:w="1438"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1100R20-18</w:t>
            </w:r>
          </w:p>
        </w:tc>
        <w:tc>
          <w:tcPr>
            <w:tcW w:w="1016"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轮胎</w:t>
            </w:r>
          </w:p>
        </w:tc>
        <w:tc>
          <w:tcPr>
            <w:tcW w:w="1729"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套 (含内胎及胎垫）</w:t>
            </w:r>
          </w:p>
        </w:tc>
        <w:tc>
          <w:tcPr>
            <w:tcW w:w="1612"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92</w:t>
            </w:r>
          </w:p>
        </w:tc>
        <w:tc>
          <w:tcPr>
            <w:tcW w:w="1187"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1950</w:t>
            </w:r>
          </w:p>
        </w:tc>
        <w:tc>
          <w:tcPr>
            <w:tcW w:w="1168" w:type="dxa"/>
            <w:vMerge w:val="continue"/>
            <w:noWrap/>
            <w:vAlign w:val="center"/>
          </w:tcPr>
          <w:p>
            <w:pPr>
              <w:pStyle w:val="51"/>
              <w:widowControl/>
              <w:spacing w:line="360" w:lineRule="auto"/>
              <w:jc w:val="center"/>
              <w:rPr>
                <w:rFonts w:hint="default" w:ascii="宋体" w:hAnsi="宋体" w:eastAsia="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0"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4</w:t>
            </w:r>
          </w:p>
        </w:tc>
        <w:tc>
          <w:tcPr>
            <w:tcW w:w="1438"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1016"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调位费</w:t>
            </w:r>
          </w:p>
        </w:tc>
        <w:tc>
          <w:tcPr>
            <w:tcW w:w="1729"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1612" w:type="dxa"/>
            <w:noWrap/>
            <w:vAlign w:val="center"/>
          </w:tcPr>
          <w:p>
            <w:pPr>
              <w:pStyle w:val="51"/>
              <w:widowControl/>
              <w:spacing w:line="360" w:lineRule="auto"/>
              <w:jc w:val="center"/>
              <w:rPr>
                <w:rFonts w:hint="default" w:ascii="宋体" w:hAnsi="宋体"/>
                <w:color w:val="auto"/>
                <w:kern w:val="0"/>
                <w:lang w:val="en-US" w:eastAsia="zh-CN"/>
              </w:rPr>
            </w:pPr>
            <w:r>
              <w:rPr>
                <w:rFonts w:hint="eastAsia" w:ascii="宋体" w:hAnsi="宋体"/>
                <w:color w:val="auto"/>
                <w:kern w:val="0"/>
                <w:lang w:val="en-US" w:eastAsia="zh-CN"/>
              </w:rPr>
              <w:t>100</w:t>
            </w:r>
          </w:p>
        </w:tc>
        <w:tc>
          <w:tcPr>
            <w:tcW w:w="1187"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50</w:t>
            </w:r>
          </w:p>
        </w:tc>
        <w:tc>
          <w:tcPr>
            <w:tcW w:w="1168" w:type="dxa"/>
            <w:vMerge w:val="continue"/>
            <w:noWrap/>
            <w:vAlign w:val="center"/>
          </w:tcPr>
          <w:p>
            <w:pPr>
              <w:pStyle w:val="51"/>
              <w:widowControl/>
              <w:spacing w:line="360" w:lineRule="auto"/>
              <w:jc w:val="center"/>
              <w:rPr>
                <w:rFonts w:hint="default" w:ascii="宋体" w:hAnsi="宋体"/>
                <w:color w:val="auto"/>
                <w:kern w:val="0"/>
                <w:lang w:val="en-US" w:eastAsia="zh-CN"/>
              </w:rPr>
            </w:pPr>
          </w:p>
        </w:tc>
      </w:tr>
    </w:tbl>
    <w:p>
      <w:pPr>
        <w:pStyle w:val="55"/>
        <w:spacing w:line="360" w:lineRule="auto"/>
        <w:jc w:val="left"/>
        <w:rPr>
          <w:rFonts w:hint="eastAsia" w:ascii="宋体" w:hAnsi="宋体"/>
          <w:color w:val="auto"/>
          <w:sz w:val="24"/>
          <w:szCs w:val="24"/>
          <w:lang w:val="en-US" w:eastAsia="zh-CN"/>
        </w:rPr>
      </w:pPr>
      <w:r>
        <w:rPr>
          <w:rFonts w:hint="eastAsia" w:ascii="宋体" w:hAnsi="宋体"/>
          <w:color w:val="auto"/>
          <w:sz w:val="24"/>
          <w:szCs w:val="24"/>
        </w:rPr>
        <w:t>注：</w:t>
      </w:r>
      <w:r>
        <w:rPr>
          <w:rFonts w:hint="eastAsia" w:ascii="宋体" w:hAnsi="宋体"/>
          <w:color w:val="auto"/>
          <w:sz w:val="24"/>
          <w:szCs w:val="24"/>
          <w:lang w:val="en-US" w:eastAsia="zh-CN"/>
        </w:rPr>
        <w:t>实际数量以采购方需求为准。</w:t>
      </w:r>
    </w:p>
    <w:p>
      <w:pPr>
        <w:pStyle w:val="55"/>
        <w:spacing w:line="360" w:lineRule="auto"/>
        <w:jc w:val="left"/>
        <w:rPr>
          <w:rFonts w:hint="eastAsia" w:ascii="宋体" w:hAnsi="宋体"/>
          <w:color w:val="auto"/>
          <w:sz w:val="24"/>
          <w:szCs w:val="24"/>
          <w:lang w:val="en-US" w:eastAsia="zh-CN"/>
        </w:rPr>
      </w:pPr>
    </w:p>
    <w:p>
      <w:pPr>
        <w:pStyle w:val="55"/>
        <w:spacing w:line="360" w:lineRule="auto"/>
        <w:jc w:val="left"/>
        <w:rPr>
          <w:rFonts w:hint="default" w:ascii="宋体" w:hAnsi="宋体"/>
          <w:color w:val="auto"/>
          <w:sz w:val="24"/>
          <w:szCs w:val="24"/>
          <w:lang w:val="en-US" w:eastAsia="zh-CN"/>
        </w:rPr>
      </w:pPr>
    </w:p>
    <w:p>
      <w:pPr>
        <w:pStyle w:val="55"/>
        <w:spacing w:line="360" w:lineRule="auto"/>
        <w:jc w:val="left"/>
        <w:rPr>
          <w:rFonts w:hint="default" w:ascii="宋体" w:hAnsi="宋体"/>
          <w:color w:val="auto"/>
          <w:sz w:val="24"/>
          <w:szCs w:val="24"/>
          <w:lang w:val="en-US" w:eastAsia="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3"/>
        <w:adjustRightInd w:val="0"/>
        <w:snapToGrid w:val="0"/>
        <w:spacing w:line="300" w:lineRule="auto"/>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lang w:val="en-US" w:eastAsia="zh-CN"/>
        </w:rPr>
        <w:t>广州水务环保技术有限公司</w:t>
      </w:r>
      <w:r>
        <w:rPr>
          <w:rFonts w:hint="eastAsia" w:ascii="仿宋_GB2312" w:hAnsi="仿宋_GB2312" w:eastAsia="仿宋_GB2312" w:cs="仿宋_GB2312"/>
          <w:color w:val="auto"/>
          <w:sz w:val="28"/>
          <w:szCs w:val="28"/>
        </w:rPr>
        <w:t>。</w:t>
      </w:r>
    </w:p>
    <w:p>
      <w:pPr>
        <w:pStyle w:val="13"/>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3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3"/>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12.4报价人不得存在以下情形之一：</w:t>
      </w:r>
    </w:p>
    <w:p>
      <w:pPr>
        <w:pStyle w:val="13"/>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（1）与询价人存在利害关系且可能影响询价公正性；</w:t>
      </w:r>
    </w:p>
    <w:p>
      <w:pPr>
        <w:pStyle w:val="13"/>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（2）法定代表人或单位负责人为同一个人或者存在控股、管理关系的不同单位,同时参加同一项目或同一子项目；</w:t>
      </w:r>
    </w:p>
    <w:p>
      <w:pPr>
        <w:pStyle w:val="13"/>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（3）为本询价项目提供过设计、编制技术规范和其他文件的咨询服务；</w:t>
      </w:r>
    </w:p>
    <w:p>
      <w:pPr>
        <w:pStyle w:val="13"/>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（4）被依法暂停或者取消投标资格；</w:t>
      </w:r>
    </w:p>
    <w:p>
      <w:pPr>
        <w:pStyle w:val="13"/>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（5）被责令停产停业、暂扣或者吊销许可证、暂扣或者吊销执照；</w:t>
      </w:r>
    </w:p>
    <w:p>
      <w:pPr>
        <w:pStyle w:val="13"/>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（6）进入清算程序，或被宣告破产，或其他丧失履约能力的情形；</w:t>
      </w:r>
    </w:p>
    <w:p>
      <w:pPr>
        <w:pStyle w:val="13"/>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（7）在参加本项目前3年内在存在重大违法记录；</w:t>
      </w:r>
    </w:p>
    <w:p>
      <w:pPr>
        <w:pStyle w:val="13"/>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（8）被“全国企业信用信息公示系统”（网址：http://www.gsxt.gov.cn/）列入经营异常名录和严重违法企业名单；</w:t>
      </w:r>
    </w:p>
    <w:p>
      <w:pPr>
        <w:pStyle w:val="13"/>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（9）被《信用中国》网站（www.creditchina.gov.cn）公示存在不良信用记录；</w:t>
      </w:r>
    </w:p>
    <w:p>
      <w:pPr>
        <w:pStyle w:val="55"/>
        <w:spacing w:line="360" w:lineRule="auto"/>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（10）本项目截止时间前的半年中，在询价人组织的招标、询价活动中有被</w:t>
      </w:r>
    </w:p>
    <w:p>
      <w:pPr>
        <w:pStyle w:val="55"/>
        <w:adjustRightInd w:val="0"/>
        <w:snapToGrid w:val="0"/>
        <w:spacing w:line="360" w:lineRule="auto"/>
        <w:ind w:left="560" w:hanging="560" w:hangingChars="200"/>
        <w:rPr>
          <w:rFonts w:ascii="仿宋" w:hAnsi="仿宋" w:eastAsia="仿宋" w:cs="仿宋"/>
          <w:color w:val="auto"/>
          <w:sz w:val="28"/>
          <w:szCs w:val="28"/>
        </w:rPr>
      </w:pPr>
      <w:r>
        <w:rPr>
          <w:rFonts w:hint="eastAsia" w:ascii="仿宋_GB2312" w:hAnsi="仿宋_GB2312" w:eastAsia="仿宋_GB2312" w:cs="仿宋_GB2312"/>
          <w:color w:val="auto"/>
          <w:kern w:val="0"/>
          <w:sz w:val="28"/>
          <w:szCs w:val="28"/>
        </w:rPr>
        <w:t>查实提供虚假材料的。</w:t>
      </w:r>
    </w:p>
    <w:p>
      <w:pPr>
        <w:pStyle w:val="13"/>
        <w:adjustRightInd w:val="0"/>
        <w:snapToGrid w:val="0"/>
        <w:spacing w:line="360" w:lineRule="auto"/>
        <w:ind w:left="560" w:hanging="560" w:hangingChars="200"/>
        <w:rPr>
          <w:rFonts w:ascii="仿宋" w:hAnsi="仿宋" w:eastAsia="仿宋" w:cs="仿宋"/>
          <w:color w:val="auto"/>
          <w:sz w:val="28"/>
          <w:szCs w:val="28"/>
        </w:rPr>
      </w:pPr>
      <w:r>
        <w:rPr>
          <w:rFonts w:hint="eastAsia" w:ascii="仿宋" w:hAnsi="仿宋" w:eastAsia="仿宋" w:cs="仿宋"/>
          <w:color w:val="auto"/>
          <w:sz w:val="28"/>
          <w:szCs w:val="28"/>
        </w:rPr>
        <w:t>13. 联合体报价</w:t>
      </w:r>
    </w:p>
    <w:p>
      <w:pPr>
        <w:pStyle w:val="13"/>
        <w:adjustRightInd w:val="0"/>
        <w:snapToGrid w:val="0"/>
        <w:spacing w:line="360" w:lineRule="auto"/>
        <w:ind w:left="560" w:hanging="560" w:hangingChars="200"/>
        <w:rPr>
          <w:rFonts w:ascii="仿宋" w:hAnsi="仿宋" w:eastAsia="仿宋" w:cs="仿宋"/>
          <w:color w:val="auto"/>
          <w:sz w:val="28"/>
          <w:szCs w:val="28"/>
        </w:rPr>
      </w:pPr>
      <w:r>
        <w:rPr>
          <w:rFonts w:hint="eastAsia" w:ascii="仿宋" w:hAnsi="仿宋" w:eastAsia="仿宋" w:cs="仿宋"/>
          <w:color w:val="auto"/>
          <w:sz w:val="28"/>
          <w:szCs w:val="28"/>
        </w:rPr>
        <w:t>13.1本项目接受联合体参加报价，报价邀请函另有约定除外。</w:t>
      </w:r>
    </w:p>
    <w:p>
      <w:pPr>
        <w:pStyle w:val="13"/>
        <w:adjustRightInd w:val="0"/>
        <w:snapToGrid w:val="0"/>
        <w:spacing w:line="360" w:lineRule="auto"/>
        <w:ind w:left="560" w:hanging="560" w:hangingChars="200"/>
        <w:rPr>
          <w:rFonts w:ascii="仿宋" w:hAnsi="仿宋" w:eastAsia="仿宋" w:cs="仿宋"/>
          <w:color w:val="auto"/>
          <w:sz w:val="28"/>
          <w:szCs w:val="28"/>
        </w:rPr>
      </w:pPr>
      <w:r>
        <w:rPr>
          <w:rFonts w:hint="eastAsia" w:ascii="仿宋" w:hAnsi="仿宋" w:eastAsia="仿宋" w:cs="仿宋"/>
          <w:color w:val="auto"/>
          <w:sz w:val="28"/>
          <w:szCs w:val="28"/>
        </w:rPr>
        <w:t>13.2联合体应当符合询价人根据询价项目提出的承包单位资格条件，还应当符合招投标法第三十一条关于联合体的规定。联合体各方之间应当签订共同报价协议，明确约定联合体各方承担的工作和相应的责任，并将共同报价协议连同询价响应文件一并提交询价人。联合体各方签订共同报价协议后，不得再以自己的名义单独在同一项目中报价，也不得组成新的联合体参加同一项目的报价。</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3"/>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3"/>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3"/>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3"/>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3"/>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3"/>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1"/>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1"/>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auto"/>
          <w:sz w:val="28"/>
          <w:szCs w:val="28"/>
          <w:lang w:val="en-US" w:eastAsia="zh-CN"/>
        </w:rPr>
        <w:t>承包资格</w:t>
      </w:r>
      <w:r>
        <w:rPr>
          <w:rFonts w:hint="eastAsia" w:ascii="仿宋_GB2312" w:hAnsi="仿宋_GB2312" w:eastAsia="仿宋_GB2312" w:cs="仿宋_GB2312"/>
          <w:color w:val="auto"/>
          <w:sz w:val="28"/>
          <w:szCs w:val="28"/>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pStyle w:val="13"/>
        <w:adjustRightInd w:val="0"/>
        <w:snapToGrid w:val="0"/>
        <w:spacing w:line="360" w:lineRule="auto"/>
        <w:ind w:left="560" w:hanging="560" w:hangingChars="200"/>
        <w:rPr>
          <w:rFonts w:ascii="仿宋" w:hAnsi="仿宋" w:eastAsia="仿宋" w:cs="仿宋"/>
          <w:color w:val="auto"/>
          <w:sz w:val="28"/>
          <w:szCs w:val="28"/>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spacing w:line="360" w:lineRule="auto"/>
        <w:rPr>
          <w:rFonts w:ascii="仿宋_GB2312" w:hAnsi="仿宋_GB2312" w:eastAsia="仿宋_GB2312" w:cs="仿宋_GB2312"/>
          <w:b/>
          <w:color w:val="auto"/>
          <w:sz w:val="28"/>
          <w:szCs w:val="28"/>
        </w:rPr>
      </w:pPr>
    </w:p>
    <w:p>
      <w:pPr>
        <w:pStyle w:val="4"/>
        <w:spacing w:line="360" w:lineRule="auto"/>
        <w:rPr>
          <w:rFonts w:ascii="仿宋_GB2312" w:hAnsi="仿宋_GB2312" w:eastAsia="仿宋_GB2312" w:cs="仿宋_GB2312"/>
          <w:color w:val="auto"/>
        </w:rPr>
      </w:pPr>
      <w:bookmarkStart w:id="1" w:name="_Toc179632599"/>
      <w:bookmarkStart w:id="2" w:name="_Toc152042358"/>
      <w:bookmarkStart w:id="3" w:name="_Toc144974548"/>
      <w:bookmarkStart w:id="4" w:name="_Toc247085739"/>
      <w:bookmarkStart w:id="5" w:name="_Toc152045581"/>
      <w:bookmarkStart w:id="6" w:name="_Toc371433002"/>
      <w:r>
        <w:rPr>
          <w:rFonts w:hint="eastAsia" w:ascii="仿宋_GB2312" w:hAnsi="仿宋_GB2312" w:eastAsia="仿宋_GB2312" w:cs="仿宋_GB2312"/>
          <w:color w:val="auto"/>
        </w:rPr>
        <w:br w:type="page"/>
      </w:r>
      <w:r>
        <w:rPr>
          <w:rFonts w:hint="eastAsia" w:ascii="仿宋_GB2312" w:hAnsi="仿宋_GB2312" w:eastAsia="仿宋_GB2312" w:cs="仿宋_GB2312"/>
          <w:color w:val="auto"/>
        </w:rPr>
        <w:t>附件一：报价记录表</w:t>
      </w:r>
      <w:bookmarkEnd w:id="1"/>
      <w:bookmarkEnd w:id="2"/>
      <w:bookmarkEnd w:id="3"/>
      <w:bookmarkEnd w:id="4"/>
      <w:bookmarkEnd w:id="5"/>
      <w:bookmarkEnd w:id="6"/>
    </w:p>
    <w:p>
      <w:pPr>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广州水务环保技术有限公司自卸货车轮胎采购项目</w:t>
      </w:r>
      <w:r>
        <w:rPr>
          <w:rFonts w:hint="eastAsia" w:ascii="仿宋_GB2312" w:hAnsi="仿宋_GB2312" w:eastAsia="仿宋_GB2312" w:cs="仿宋_GB2312"/>
          <w:color w:val="auto"/>
          <w:sz w:val="28"/>
          <w:szCs w:val="28"/>
        </w:rPr>
        <w:t>报价记录表</w:t>
      </w:r>
    </w:p>
    <w:tbl>
      <w:tblPr>
        <w:tblStyle w:val="23"/>
        <w:tblW w:w="7311" w:type="dxa"/>
        <w:jc w:val="center"/>
        <w:tblLayout w:type="fixed"/>
        <w:tblCellMar>
          <w:top w:w="0" w:type="dxa"/>
          <w:left w:w="108" w:type="dxa"/>
          <w:bottom w:w="0" w:type="dxa"/>
          <w:right w:w="108" w:type="dxa"/>
        </w:tblCellMar>
      </w:tblPr>
      <w:tblGrid>
        <w:gridCol w:w="688"/>
        <w:gridCol w:w="1855"/>
        <w:gridCol w:w="1268"/>
        <w:gridCol w:w="2605"/>
        <w:gridCol w:w="895"/>
      </w:tblGrid>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1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报价人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密封情况</w:t>
            </w:r>
          </w:p>
        </w:tc>
        <w:tc>
          <w:tcPr>
            <w:tcW w:w="26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bidi="ar"/>
              </w:rPr>
              <w:t>投标报价</w:t>
            </w:r>
          </w:p>
        </w:tc>
        <w:tc>
          <w:tcPr>
            <w:tcW w:w="8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签名</w:t>
            </w:r>
          </w:p>
        </w:tc>
      </w:tr>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 w:val="24"/>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71" w:hRule="atLeast"/>
          <w:jc w:val="center"/>
        </w:trPr>
        <w:tc>
          <w:tcPr>
            <w:tcW w:w="68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85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260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c>
          <w:tcPr>
            <w:tcW w:w="895" w:type="dxa"/>
            <w:tcBorders>
              <w:top w:val="single" w:color="auto" w:sz="4" w:space="0"/>
              <w:left w:val="single" w:color="auto" w:sz="4" w:space="0"/>
              <w:bottom w:val="single" w:color="auto" w:sz="4" w:space="0"/>
              <w:right w:val="single" w:color="auto" w:sz="4" w:space="0"/>
            </w:tcBorders>
          </w:tcPr>
          <w:p>
            <w:pPr>
              <w:spacing w:line="360" w:lineRule="auto"/>
              <w:jc w:val="left"/>
              <w:rPr>
                <w:rFonts w:ascii="仿宋_GB2312" w:hAnsi="仿宋_GB2312" w:eastAsia="仿宋_GB2312" w:cs="仿宋_GB2312"/>
                <w:color w:val="auto"/>
                <w:szCs w:val="21"/>
              </w:rPr>
            </w:pPr>
          </w:p>
        </w:tc>
      </w:tr>
    </w:tbl>
    <w:p>
      <w:pPr>
        <w:spacing w:line="360" w:lineRule="auto"/>
        <w:rPr>
          <w:rFonts w:ascii="仿宋_GB2312" w:hAnsi="仿宋_GB2312" w:eastAsia="仿宋_GB2312" w:cs="仿宋_GB2312"/>
          <w:color w:val="auto"/>
        </w:rPr>
      </w:pPr>
    </w:p>
    <w:p>
      <w:pPr>
        <w:spacing w:line="360" w:lineRule="auto"/>
        <w:rPr>
          <w:rFonts w:ascii="仿宋_GB2312" w:hAnsi="仿宋_GB2312" w:eastAsia="仿宋_GB2312" w:cs="仿宋_GB2312"/>
          <w:color w:val="auto"/>
          <w:u w:val="single"/>
        </w:rPr>
      </w:pPr>
      <w:r>
        <w:rPr>
          <w:rFonts w:hint="eastAsia" w:ascii="仿宋_GB2312" w:hAnsi="仿宋_GB2312" w:eastAsia="仿宋_GB2312" w:cs="仿宋_GB2312"/>
          <w:color w:val="auto"/>
        </w:rPr>
        <w:t>经办人：                                                       记录人：</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rPr>
        <w:br w:type="page"/>
      </w:r>
      <w:r>
        <w:rPr>
          <w:rFonts w:hint="eastAsia" w:ascii="仿宋_GB2312" w:hAnsi="仿宋_GB2312" w:eastAsia="仿宋_GB2312" w:cs="仿宋_GB2312"/>
          <w:b/>
          <w:bCs/>
          <w:color w:val="auto"/>
          <w:sz w:val="32"/>
          <w:szCs w:val="32"/>
        </w:rPr>
        <w:t>附件二</w:t>
      </w:r>
    </w:p>
    <w:p>
      <w:pPr>
        <w:spacing w:line="360" w:lineRule="auto"/>
        <w:rPr>
          <w:rFonts w:ascii="宋体" w:hAnsi="宋体"/>
          <w:b/>
          <w:color w:val="auto"/>
          <w:sz w:val="36"/>
          <w:szCs w:val="36"/>
        </w:rPr>
      </w:pPr>
      <w:r>
        <w:rPr>
          <w:rFonts w:hint="eastAsia" w:ascii="宋体" w:hAnsi="宋体"/>
          <w:b/>
          <w:color w:val="auto"/>
          <w:sz w:val="36"/>
          <w:szCs w:val="36"/>
        </w:rPr>
        <w:t>广州水务环保技术有限公司非公开招标询价评审记录表</w:t>
      </w:r>
    </w:p>
    <w:p>
      <w:pPr>
        <w:spacing w:line="360" w:lineRule="auto"/>
        <w:ind w:left="1200" w:hanging="1200" w:hangingChars="500"/>
        <w:rPr>
          <w:rFonts w:ascii="宋体" w:hAnsi="宋体"/>
          <w:color w:val="auto"/>
          <w:sz w:val="24"/>
        </w:rPr>
      </w:pPr>
      <w:r>
        <w:rPr>
          <w:rFonts w:hint="eastAsia" w:ascii="宋体" w:hAnsi="宋体"/>
          <w:color w:val="auto"/>
          <w:sz w:val="24"/>
        </w:rPr>
        <w:t>项目名称：</w:t>
      </w:r>
      <w:r>
        <w:rPr>
          <w:rFonts w:hint="eastAsia" w:ascii="仿宋_GB2312" w:hAnsi="仿宋_GB2312" w:eastAsia="仿宋_GB2312" w:cs="仿宋_GB2312"/>
          <w:color w:val="auto"/>
          <w:sz w:val="28"/>
          <w:szCs w:val="28"/>
          <w:u w:val="single"/>
        </w:rPr>
        <w:t>广州水务环保技术有限公司自卸货车轮胎采购项目</w:t>
      </w:r>
      <w:r>
        <w:rPr>
          <w:rFonts w:hint="eastAsia" w:ascii="仿宋_GB2312" w:hAnsi="仿宋_GB2312" w:eastAsia="仿宋_GB2312" w:cs="仿宋_GB2312"/>
          <w:color w:val="auto"/>
          <w:sz w:val="28"/>
          <w:szCs w:val="28"/>
        </w:rPr>
        <w:t xml:space="preserve">                        </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3739"/>
        <w:gridCol w:w="975"/>
        <w:gridCol w:w="902"/>
        <w:gridCol w:w="896"/>
        <w:gridCol w:w="894"/>
        <w:gridCol w:w="90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283" w:type="pct"/>
            <w:vMerge w:val="restart"/>
            <w:tcBorders>
              <w:top w:val="double" w:color="auto" w:sz="4" w:space="0"/>
              <w:left w:val="doub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序号</w:t>
            </w:r>
          </w:p>
        </w:tc>
        <w:tc>
          <w:tcPr>
            <w:tcW w:w="1952" w:type="pct"/>
            <w:vMerge w:val="restart"/>
            <w:tcBorders>
              <w:top w:val="double" w:color="auto" w:sz="4" w:space="0"/>
              <w:left w:val="single" w:color="auto" w:sz="4" w:space="0"/>
              <w:right w:val="single" w:color="auto" w:sz="4" w:space="0"/>
            </w:tcBorders>
            <w:vAlign w:val="center"/>
          </w:tcPr>
          <w:p>
            <w:pPr>
              <w:spacing w:line="360" w:lineRule="auto"/>
              <w:jc w:val="center"/>
              <w:rPr>
                <w:rFonts w:ascii="宋体" w:hAnsi="宋体"/>
                <w:color w:val="auto"/>
                <w:sz w:val="24"/>
              </w:rPr>
            </w:pPr>
            <w:r>
              <w:rPr>
                <w:rFonts w:hint="eastAsia"/>
                <w:b/>
                <w:color w:val="auto"/>
                <w:sz w:val="24"/>
              </w:rPr>
              <w:t>项目资料</w:t>
            </w:r>
          </w:p>
        </w:tc>
        <w:tc>
          <w:tcPr>
            <w:tcW w:w="508" w:type="pct"/>
            <w:vMerge w:val="restart"/>
            <w:tcBorders>
              <w:top w:val="double" w:color="auto" w:sz="4" w:space="0"/>
              <w:left w:val="single" w:color="auto" w:sz="4" w:space="0"/>
              <w:right w:val="single" w:color="auto" w:sz="4" w:space="0"/>
            </w:tcBorders>
            <w:vAlign w:val="center"/>
          </w:tcPr>
          <w:p>
            <w:pPr>
              <w:spacing w:line="360" w:lineRule="auto"/>
              <w:jc w:val="center"/>
              <w:rPr>
                <w:rFonts w:ascii="宋体" w:hAnsi="宋体"/>
                <w:color w:val="auto"/>
                <w:sz w:val="24"/>
              </w:rPr>
            </w:pPr>
            <w:r>
              <w:rPr>
                <w:rFonts w:hint="eastAsia"/>
                <w:b/>
                <w:color w:val="auto"/>
                <w:sz w:val="24"/>
              </w:rPr>
              <w:t>提交资料要求</w:t>
            </w:r>
          </w:p>
        </w:tc>
        <w:tc>
          <w:tcPr>
            <w:tcW w:w="1876" w:type="pct"/>
            <w:gridSpan w:val="4"/>
            <w:tcBorders>
              <w:top w:val="double" w:color="auto" w:sz="4" w:space="0"/>
              <w:left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审核情况</w:t>
            </w:r>
          </w:p>
        </w:tc>
        <w:tc>
          <w:tcPr>
            <w:tcW w:w="378" w:type="pct"/>
            <w:tcBorders>
              <w:top w:val="double" w:color="auto" w:sz="4" w:space="0"/>
              <w:left w:val="single" w:color="auto" w:sz="4" w:space="0"/>
              <w:bottom w:val="single" w:color="auto" w:sz="4" w:space="0"/>
              <w:right w:val="doub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283" w:type="pct"/>
            <w:vMerge w:val="continue"/>
            <w:tcBorders>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p>
        </w:tc>
        <w:tc>
          <w:tcPr>
            <w:tcW w:w="1952" w:type="pct"/>
            <w:vMerge w:val="continue"/>
            <w:tcBorders>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508" w:type="pct"/>
            <w:vMerge w:val="continue"/>
            <w:tcBorders>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47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楷体_GB2312"/>
                <w:color w:val="auto"/>
                <w:sz w:val="18"/>
                <w:szCs w:val="18"/>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eastAsia="楷体_GB2312"/>
                <w:color w:val="auto"/>
                <w:sz w:val="18"/>
                <w:szCs w:val="18"/>
              </w:rPr>
            </w:pPr>
          </w:p>
        </w:tc>
        <w:tc>
          <w:tcPr>
            <w:tcW w:w="46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楷体_GB2312"/>
                <w:color w:val="auto"/>
                <w:sz w:val="18"/>
                <w:szCs w:val="18"/>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楷体_GB2312"/>
                <w:color w:val="auto"/>
                <w:sz w:val="18"/>
                <w:szCs w:val="18"/>
              </w:rPr>
            </w:pPr>
          </w:p>
        </w:tc>
        <w:tc>
          <w:tcPr>
            <w:tcW w:w="378"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83" w:type="pct"/>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1</w:t>
            </w:r>
          </w:p>
        </w:tc>
        <w:tc>
          <w:tcPr>
            <w:tcW w:w="37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企业法定代表人资格证明书</w:t>
            </w: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原件</w:t>
            </w:r>
          </w:p>
        </w:tc>
        <w:tc>
          <w:tcPr>
            <w:tcW w:w="47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378"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83" w:type="pct"/>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2</w:t>
            </w:r>
          </w:p>
        </w:tc>
        <w:tc>
          <w:tcPr>
            <w:tcW w:w="37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法定代表人授权委托书</w:t>
            </w: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原件</w:t>
            </w:r>
          </w:p>
        </w:tc>
        <w:tc>
          <w:tcPr>
            <w:tcW w:w="47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378"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283" w:type="pct"/>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3</w:t>
            </w:r>
          </w:p>
        </w:tc>
        <w:tc>
          <w:tcPr>
            <w:tcW w:w="37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关于资格的声明函</w:t>
            </w: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原件</w:t>
            </w:r>
          </w:p>
        </w:tc>
        <w:tc>
          <w:tcPr>
            <w:tcW w:w="47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378"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83" w:type="pct"/>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4</w:t>
            </w:r>
          </w:p>
        </w:tc>
        <w:tc>
          <w:tcPr>
            <w:tcW w:w="37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lang w:val="en-US" w:eastAsia="zh-CN"/>
              </w:rPr>
              <w:t>符合报名条件资格要求</w:t>
            </w: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原件</w:t>
            </w:r>
          </w:p>
        </w:tc>
        <w:tc>
          <w:tcPr>
            <w:tcW w:w="47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378"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83" w:type="pct"/>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5</w:t>
            </w:r>
          </w:p>
        </w:tc>
        <w:tc>
          <w:tcPr>
            <w:tcW w:w="37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lang w:val="en-US" w:eastAsia="zh-CN"/>
              </w:rPr>
              <w:t>响应询价文件第二部分项目要求</w:t>
            </w: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lang w:val="en-US" w:eastAsia="zh-CN"/>
              </w:rPr>
              <w:t>原</w:t>
            </w:r>
            <w:r>
              <w:rPr>
                <w:rFonts w:hint="eastAsia" w:ascii="仿宋" w:hAnsi="仿宋" w:eastAsia="仿宋" w:cs="仿宋"/>
                <w:color w:val="auto"/>
                <w:sz w:val="28"/>
                <w:szCs w:val="28"/>
              </w:rPr>
              <w:t>件</w:t>
            </w:r>
          </w:p>
        </w:tc>
        <w:tc>
          <w:tcPr>
            <w:tcW w:w="47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378"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83" w:type="pct"/>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6</w:t>
            </w:r>
          </w:p>
        </w:tc>
        <w:tc>
          <w:tcPr>
            <w:tcW w:w="37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拟委派的项目负责人情况表</w:t>
            </w: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原件</w:t>
            </w:r>
          </w:p>
        </w:tc>
        <w:tc>
          <w:tcPr>
            <w:tcW w:w="47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378"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83" w:type="pct"/>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7</w:t>
            </w:r>
          </w:p>
        </w:tc>
        <w:tc>
          <w:tcPr>
            <w:tcW w:w="373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报价意向承诺及声明函</w:t>
            </w:r>
          </w:p>
        </w:tc>
        <w:tc>
          <w:tcPr>
            <w:tcW w:w="97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rPr>
            </w:pPr>
            <w:r>
              <w:rPr>
                <w:rFonts w:hint="eastAsia" w:ascii="仿宋" w:hAnsi="仿宋" w:eastAsia="仿宋" w:cs="仿宋"/>
                <w:color w:val="auto"/>
                <w:sz w:val="28"/>
                <w:szCs w:val="28"/>
              </w:rPr>
              <w:t>原件</w:t>
            </w:r>
          </w:p>
        </w:tc>
        <w:tc>
          <w:tcPr>
            <w:tcW w:w="47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378"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2744" w:type="pct"/>
            <w:gridSpan w:val="3"/>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结论</w:t>
            </w:r>
          </w:p>
        </w:tc>
        <w:tc>
          <w:tcPr>
            <w:tcW w:w="47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468"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p>
        </w:tc>
        <w:tc>
          <w:tcPr>
            <w:tcW w:w="378" w:type="pct"/>
            <w:tcBorders>
              <w:top w:val="single" w:color="auto" w:sz="4" w:space="0"/>
              <w:left w:val="single" w:color="auto" w:sz="4" w:space="0"/>
              <w:bottom w:val="single" w:color="auto" w:sz="4" w:space="0"/>
              <w:right w:val="double" w:color="auto" w:sz="4" w:space="0"/>
            </w:tcBorders>
            <w:vAlign w:val="center"/>
          </w:tcPr>
          <w:p>
            <w:pPr>
              <w:spacing w:line="360" w:lineRule="auto"/>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744" w:type="pct"/>
            <w:gridSpan w:val="3"/>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宋体" w:hAnsi="宋体"/>
                <w:color w:val="auto"/>
                <w:sz w:val="24"/>
              </w:rPr>
            </w:pPr>
            <w:r>
              <w:rPr>
                <w:rFonts w:hint="eastAsia" w:ascii="宋体" w:hAnsi="宋体"/>
                <w:color w:val="auto"/>
                <w:sz w:val="24"/>
              </w:rPr>
              <w:t>评审人签名</w:t>
            </w:r>
          </w:p>
        </w:tc>
        <w:tc>
          <w:tcPr>
            <w:tcW w:w="2255" w:type="pct"/>
            <w:gridSpan w:val="5"/>
            <w:tcBorders>
              <w:top w:val="single" w:color="auto" w:sz="4" w:space="0"/>
              <w:left w:val="single" w:color="auto" w:sz="4" w:space="0"/>
              <w:bottom w:val="single" w:color="auto" w:sz="4" w:space="0"/>
              <w:right w:val="double" w:color="auto" w:sz="4" w:space="0"/>
            </w:tcBorders>
          </w:tcPr>
          <w:p>
            <w:pPr>
              <w:spacing w:line="360" w:lineRule="auto"/>
              <w:rPr>
                <w:rFonts w:ascii="宋体" w:hAnsi="宋体"/>
                <w:color w:val="auto"/>
                <w:sz w:val="24"/>
              </w:rPr>
            </w:pPr>
          </w:p>
        </w:tc>
      </w:tr>
    </w:tbl>
    <w:p>
      <w:pPr>
        <w:spacing w:line="360" w:lineRule="auto"/>
        <w:ind w:left="840" w:hanging="840" w:hangingChars="400"/>
        <w:rPr>
          <w:color w:val="auto"/>
        </w:rPr>
      </w:pPr>
      <w:r>
        <w:rPr>
          <w:rFonts w:hint="eastAsia"/>
          <w:color w:val="auto"/>
        </w:rPr>
        <w:t>备注：1、审核情况填写“符合”或“不符合；或者打“√”或“×”。</w:t>
      </w:r>
    </w:p>
    <w:p>
      <w:pPr>
        <w:numPr>
          <w:ilvl w:val="0"/>
          <w:numId w:val="2"/>
        </w:numPr>
        <w:spacing w:line="360" w:lineRule="auto"/>
        <w:ind w:firstLine="630" w:firstLineChars="300"/>
        <w:rPr>
          <w:color w:val="auto"/>
        </w:rPr>
      </w:pPr>
      <w:r>
        <w:rPr>
          <w:rFonts w:hint="eastAsia"/>
          <w:color w:val="auto"/>
        </w:rPr>
        <w:t>本表所有审核情况均为符合的，结论为报名成功。若有一项或以上审核情况为不符合的，结论为报名不成功。</w:t>
      </w:r>
    </w:p>
    <w:p>
      <w:pPr>
        <w:numPr>
          <w:ins w:id="0" w:author="安娜 叶" w:date=""/>
        </w:numPr>
        <w:spacing w:line="360" w:lineRule="auto"/>
        <w:ind w:left="630"/>
        <w:rPr>
          <w:color w:val="auto"/>
        </w:rPr>
      </w:pPr>
    </w:p>
    <w:p>
      <w:pPr>
        <w:numPr>
          <w:ins w:id="1" w:author="安娜 叶" w:date=""/>
        </w:numPr>
        <w:spacing w:line="360" w:lineRule="auto"/>
        <w:ind w:left="630"/>
        <w:rPr>
          <w:color w:val="auto"/>
        </w:rPr>
      </w:pPr>
    </w:p>
    <w:p>
      <w:pPr>
        <w:spacing w:line="360" w:lineRule="auto"/>
        <w:rPr>
          <w:rFonts w:ascii="仿宋_GB2312" w:hAnsi="仿宋_GB2312" w:eastAsia="仿宋_GB2312" w:cs="仿宋_GB2312"/>
          <w:b/>
          <w:bCs/>
          <w:color w:val="auto"/>
          <w:sz w:val="32"/>
          <w:szCs w:val="32"/>
        </w:rPr>
      </w:pP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第四部分 合同书格式</w:t>
      </w:r>
    </w:p>
    <w:p>
      <w:pPr>
        <w:spacing w:line="360" w:lineRule="auto"/>
        <w:rPr>
          <w:rFonts w:ascii="宋体" w:hAnsi="宋体"/>
          <w:b/>
          <w:color w:val="auto"/>
          <w:sz w:val="44"/>
        </w:rPr>
      </w:pPr>
    </w:p>
    <w:p>
      <w:pPr>
        <w:spacing w:line="360" w:lineRule="auto"/>
        <w:rPr>
          <w:rFonts w:ascii="宋体" w:hAnsi="宋体"/>
          <w:b/>
          <w:color w:val="auto"/>
          <w:sz w:val="44"/>
        </w:rPr>
      </w:pPr>
    </w:p>
    <w:p>
      <w:pPr>
        <w:spacing w:line="360" w:lineRule="auto"/>
        <w:jc w:val="center"/>
        <w:rPr>
          <w:b/>
          <w:color w:val="auto"/>
          <w:sz w:val="52"/>
          <w:szCs w:val="84"/>
        </w:rPr>
      </w:pPr>
      <w:r>
        <w:rPr>
          <w:rFonts w:hint="eastAsia"/>
          <w:b/>
          <w:color w:val="auto"/>
          <w:sz w:val="52"/>
          <w:szCs w:val="84"/>
        </w:rPr>
        <w:t>广州水务环保技术有限公司</w:t>
      </w:r>
    </w:p>
    <w:p>
      <w:pPr>
        <w:spacing w:line="360" w:lineRule="auto"/>
        <w:jc w:val="center"/>
        <w:rPr>
          <w:b/>
          <w:color w:val="auto"/>
          <w:sz w:val="30"/>
          <w:szCs w:val="30"/>
        </w:rPr>
      </w:pPr>
      <w:r>
        <w:rPr>
          <w:rFonts w:hint="eastAsia"/>
          <w:b/>
          <w:color w:val="auto"/>
          <w:sz w:val="52"/>
          <w:szCs w:val="84"/>
        </w:rPr>
        <w:t>货物</w:t>
      </w:r>
      <w:r>
        <w:rPr>
          <w:b/>
          <w:color w:val="auto"/>
          <w:sz w:val="52"/>
          <w:szCs w:val="84"/>
        </w:rPr>
        <w:t>采购合同</w:t>
      </w:r>
    </w:p>
    <w:p>
      <w:pPr>
        <w:spacing w:line="360" w:lineRule="auto"/>
        <w:jc w:val="center"/>
        <w:rPr>
          <w:rFonts w:hint="eastAsia"/>
          <w:b/>
          <w:color w:val="auto"/>
          <w:sz w:val="32"/>
          <w:szCs w:val="32"/>
        </w:rPr>
      </w:pPr>
    </w:p>
    <w:p>
      <w:pPr>
        <w:spacing w:line="360" w:lineRule="auto"/>
        <w:jc w:val="center"/>
        <w:rPr>
          <w:rFonts w:hint="eastAsia"/>
          <w:b/>
          <w:color w:val="auto"/>
          <w:sz w:val="52"/>
          <w:szCs w:val="84"/>
        </w:rPr>
      </w:pPr>
    </w:p>
    <w:p>
      <w:pPr>
        <w:spacing w:line="360" w:lineRule="auto"/>
        <w:jc w:val="center"/>
        <w:rPr>
          <w:color w:val="auto"/>
          <w:sz w:val="30"/>
        </w:rPr>
      </w:pPr>
    </w:p>
    <w:p>
      <w:pPr>
        <w:spacing w:line="360" w:lineRule="auto"/>
        <w:rPr>
          <w:color w:val="auto"/>
          <w:sz w:val="30"/>
        </w:rPr>
      </w:pPr>
      <w:r>
        <w:rPr>
          <w:rFonts w:hint="eastAsia"/>
          <w:color w:val="auto"/>
          <w:sz w:val="30"/>
        </w:rPr>
        <w:t>计划名称：</w:t>
      </w:r>
    </w:p>
    <w:p>
      <w:pPr>
        <w:spacing w:line="360" w:lineRule="auto"/>
        <w:rPr>
          <w:color w:val="auto"/>
          <w:sz w:val="30"/>
        </w:rPr>
      </w:pPr>
      <w:r>
        <w:rPr>
          <w:rFonts w:hint="eastAsia"/>
          <w:color w:val="auto"/>
          <w:sz w:val="30"/>
        </w:rPr>
        <w:t>项目名称：广州水务环保技术有限公司自卸货车轮胎采购</w:t>
      </w:r>
    </w:p>
    <w:p>
      <w:pPr>
        <w:spacing w:line="360" w:lineRule="auto"/>
        <w:rPr>
          <w:color w:val="auto"/>
          <w:sz w:val="30"/>
          <w:szCs w:val="30"/>
        </w:rPr>
      </w:pPr>
      <w:r>
        <w:rPr>
          <w:rFonts w:hint="eastAsia"/>
          <w:color w:val="auto"/>
          <w:sz w:val="30"/>
        </w:rPr>
        <w:t>合同编号：SWHBJS-HT-2021-</w:t>
      </w:r>
    </w:p>
    <w:p>
      <w:pPr>
        <w:spacing w:line="360" w:lineRule="auto"/>
        <w:jc w:val="center"/>
        <w:rPr>
          <w:color w:val="auto"/>
          <w:sz w:val="30"/>
          <w:szCs w:val="30"/>
        </w:rPr>
      </w:pPr>
    </w:p>
    <w:p>
      <w:pPr>
        <w:spacing w:line="360" w:lineRule="auto"/>
        <w:jc w:val="center"/>
        <w:rPr>
          <w:color w:val="auto"/>
          <w:sz w:val="30"/>
          <w:szCs w:val="30"/>
        </w:rPr>
      </w:pPr>
    </w:p>
    <w:p>
      <w:pPr>
        <w:spacing w:line="360" w:lineRule="auto"/>
        <w:rPr>
          <w:color w:val="auto"/>
          <w:sz w:val="30"/>
          <w:szCs w:val="30"/>
        </w:rPr>
      </w:pPr>
    </w:p>
    <w:p>
      <w:pPr>
        <w:spacing w:line="360" w:lineRule="auto"/>
        <w:rPr>
          <w:color w:val="auto"/>
          <w:sz w:val="30"/>
          <w:u w:val="single"/>
        </w:rPr>
      </w:pPr>
      <w:r>
        <w:rPr>
          <w:rFonts w:hint="eastAsia"/>
          <w:color w:val="auto"/>
          <w:sz w:val="30"/>
        </w:rPr>
        <w:t>甲方</w:t>
      </w:r>
      <w:r>
        <w:rPr>
          <w:color w:val="auto"/>
          <w:sz w:val="30"/>
        </w:rPr>
        <w:t>（</w:t>
      </w:r>
      <w:r>
        <w:rPr>
          <w:rFonts w:hint="eastAsia"/>
          <w:color w:val="auto"/>
          <w:sz w:val="30"/>
        </w:rPr>
        <w:t>买方</w:t>
      </w:r>
      <w:r>
        <w:rPr>
          <w:color w:val="auto"/>
          <w:sz w:val="30"/>
        </w:rPr>
        <w:t>）：</w:t>
      </w:r>
      <w:r>
        <w:rPr>
          <w:rFonts w:hint="eastAsia"/>
          <w:color w:val="auto"/>
          <w:sz w:val="30"/>
          <w:u w:val="single"/>
        </w:rPr>
        <w:t>广州水务环保技术有限公司</w:t>
      </w:r>
    </w:p>
    <w:p>
      <w:pPr>
        <w:spacing w:line="360" w:lineRule="auto"/>
        <w:rPr>
          <w:color w:val="auto"/>
          <w:sz w:val="30"/>
        </w:rPr>
      </w:pPr>
      <w:r>
        <w:rPr>
          <w:rFonts w:hint="eastAsia"/>
          <w:color w:val="auto"/>
          <w:sz w:val="30"/>
        </w:rPr>
        <w:t>乙方</w:t>
      </w:r>
      <w:r>
        <w:rPr>
          <w:color w:val="auto"/>
          <w:sz w:val="30"/>
        </w:rPr>
        <w:t>（</w:t>
      </w:r>
      <w:r>
        <w:rPr>
          <w:rFonts w:hint="eastAsia"/>
          <w:color w:val="auto"/>
          <w:sz w:val="30"/>
        </w:rPr>
        <w:t>卖方</w:t>
      </w:r>
      <w:r>
        <w:rPr>
          <w:color w:val="auto"/>
          <w:sz w:val="30"/>
        </w:rPr>
        <w:t>）：</w:t>
      </w:r>
      <w:r>
        <w:rPr>
          <w:rFonts w:hint="eastAsia"/>
          <w:color w:val="auto"/>
          <w:sz w:val="30"/>
          <w:u w:val="single"/>
        </w:rPr>
        <w:t xml:space="preserve">                                          </w:t>
      </w:r>
      <w:r>
        <w:rPr>
          <w:rFonts w:hint="eastAsia"/>
          <w:color w:val="auto"/>
          <w:sz w:val="30"/>
        </w:rPr>
        <w:t xml:space="preserve"> </w:t>
      </w:r>
    </w:p>
    <w:p>
      <w:pPr>
        <w:spacing w:line="360" w:lineRule="auto"/>
        <w:rPr>
          <w:color w:val="auto"/>
          <w:sz w:val="30"/>
        </w:rPr>
      </w:pPr>
      <w:r>
        <w:rPr>
          <w:rFonts w:hint="eastAsia"/>
          <w:color w:val="auto"/>
          <w:sz w:val="30"/>
        </w:rPr>
        <w:t xml:space="preserve">签订日期：           </w:t>
      </w:r>
      <w:r>
        <w:rPr>
          <w:color w:val="auto"/>
          <w:sz w:val="30"/>
        </w:rPr>
        <w:t>年</w:t>
      </w:r>
      <w:r>
        <w:rPr>
          <w:rFonts w:hint="eastAsia"/>
          <w:color w:val="auto"/>
          <w:sz w:val="30"/>
        </w:rPr>
        <w:t xml:space="preserve"> </w:t>
      </w:r>
      <w:r>
        <w:rPr>
          <w:color w:val="auto"/>
          <w:sz w:val="30"/>
        </w:rPr>
        <w:t xml:space="preserve"> </w:t>
      </w:r>
      <w:r>
        <w:rPr>
          <w:rFonts w:hint="eastAsia"/>
          <w:color w:val="auto"/>
          <w:sz w:val="30"/>
        </w:rPr>
        <w:t xml:space="preserve">     </w:t>
      </w:r>
      <w:r>
        <w:rPr>
          <w:color w:val="auto"/>
          <w:sz w:val="30"/>
        </w:rPr>
        <w:t>月</w:t>
      </w:r>
      <w:r>
        <w:rPr>
          <w:rFonts w:hint="eastAsia"/>
          <w:color w:val="auto"/>
          <w:sz w:val="30"/>
        </w:rPr>
        <w:t xml:space="preserve">    </w:t>
      </w:r>
      <w:r>
        <w:rPr>
          <w:color w:val="auto"/>
          <w:sz w:val="30"/>
        </w:rPr>
        <w:t xml:space="preserve"> 日</w:t>
      </w:r>
    </w:p>
    <w:p>
      <w:pPr>
        <w:spacing w:line="360" w:lineRule="auto"/>
        <w:rPr>
          <w:color w:val="auto"/>
          <w:sz w:val="30"/>
        </w:rPr>
      </w:pPr>
    </w:p>
    <w:p>
      <w:pPr>
        <w:spacing w:line="360" w:lineRule="auto"/>
        <w:rPr>
          <w:color w:val="auto"/>
          <w:sz w:val="30"/>
        </w:rPr>
      </w:pPr>
    </w:p>
    <w:p>
      <w:pPr>
        <w:spacing w:line="360" w:lineRule="auto"/>
        <w:rPr>
          <w:color w:val="auto"/>
          <w:sz w:val="30"/>
        </w:rPr>
      </w:pPr>
    </w:p>
    <w:p>
      <w:pPr>
        <w:spacing w:line="360" w:lineRule="auto"/>
        <w:rPr>
          <w:color w:val="auto"/>
          <w:sz w:val="30"/>
        </w:rPr>
      </w:pPr>
    </w:p>
    <w:p>
      <w:pPr>
        <w:spacing w:line="360" w:lineRule="auto"/>
        <w:ind w:firstLine="720" w:firstLineChars="300"/>
        <w:rPr>
          <w:rFonts w:ascii="宋体" w:hAnsi="宋体"/>
          <w:color w:val="auto"/>
          <w:sz w:val="24"/>
        </w:rPr>
      </w:pPr>
      <w:r>
        <w:rPr>
          <w:rFonts w:hint="eastAsia" w:ascii="宋体" w:hAnsi="宋体"/>
          <w:color w:val="auto"/>
          <w:sz w:val="24"/>
        </w:rPr>
        <w:t>本合同由</w:t>
      </w:r>
      <w:r>
        <w:rPr>
          <w:rFonts w:hint="eastAsia" w:ascii="宋体" w:hAnsi="宋体"/>
          <w:color w:val="auto"/>
          <w:sz w:val="24"/>
          <w:u w:val="single"/>
        </w:rPr>
        <w:t>广州水务环保技术有限公司</w:t>
      </w:r>
      <w:r>
        <w:rPr>
          <w:rFonts w:hint="eastAsia" w:ascii="宋体" w:hAnsi="宋体"/>
          <w:color w:val="auto"/>
          <w:sz w:val="24"/>
        </w:rPr>
        <w:t xml:space="preserve"> （以下简称“甲方”）与</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（以下简称“乙方”）就采购事宜，根据《中华人民共和国合同法》及其他有关法律、行政法规，遵循平等、自愿、公平和诚实信用的原则，双方协商一致，特订立本合同。</w:t>
      </w:r>
      <w:bookmarkStart w:id="7" w:name="_Toc10888"/>
      <w:bookmarkStart w:id="8" w:name="_Toc520190025"/>
      <w:bookmarkStart w:id="9" w:name="_Toc518992985"/>
      <w:bookmarkStart w:id="10" w:name="_Toc474245209"/>
      <w:bookmarkStart w:id="11" w:name="_Toc183666512"/>
      <w:r>
        <w:rPr>
          <w:rFonts w:ascii="宋体" w:hAnsi="宋体"/>
          <w:color w:val="auto"/>
          <w:sz w:val="24"/>
        </w:rPr>
        <w:t xml:space="preserve"> </w:t>
      </w:r>
      <w:bookmarkEnd w:id="7"/>
      <w:bookmarkEnd w:id="8"/>
      <w:bookmarkEnd w:id="9"/>
      <w:bookmarkEnd w:id="10"/>
      <w:bookmarkEnd w:id="11"/>
      <w:bookmarkStart w:id="12" w:name="_Toc183666513"/>
      <w:bookmarkStart w:id="13" w:name="_Toc520190026"/>
      <w:bookmarkStart w:id="14" w:name="_Toc518992986"/>
      <w:bookmarkStart w:id="15" w:name="_Toc474245210"/>
      <w:bookmarkStart w:id="16" w:name="_Toc1018"/>
    </w:p>
    <w:p>
      <w:pPr>
        <w:spacing w:line="360" w:lineRule="auto"/>
        <w:rPr>
          <w:rFonts w:ascii="宋体" w:hAnsi="宋体"/>
          <w:bCs/>
          <w:color w:val="auto"/>
          <w:sz w:val="24"/>
        </w:rPr>
      </w:pPr>
      <w:r>
        <w:rPr>
          <w:rFonts w:hint="eastAsia" w:ascii="宋体" w:hAnsi="宋体"/>
          <w:b/>
          <w:color w:val="auto"/>
          <w:sz w:val="24"/>
        </w:rPr>
        <w:t>第一条</w:t>
      </w:r>
      <w:r>
        <w:rPr>
          <w:rFonts w:ascii="宋体" w:hAnsi="宋体"/>
          <w:b/>
          <w:color w:val="auto"/>
          <w:sz w:val="24"/>
        </w:rPr>
        <w:t xml:space="preserve"> </w:t>
      </w:r>
      <w:bookmarkEnd w:id="12"/>
      <w:bookmarkEnd w:id="13"/>
      <w:bookmarkEnd w:id="14"/>
      <w:bookmarkEnd w:id="15"/>
      <w:bookmarkEnd w:id="16"/>
      <w:r>
        <w:rPr>
          <w:rFonts w:hint="eastAsia" w:ascii="宋体" w:hAnsi="宋体"/>
          <w:b/>
          <w:color w:val="auto"/>
          <w:sz w:val="24"/>
        </w:rPr>
        <w:t>合同标的</w:t>
      </w:r>
    </w:p>
    <w:tbl>
      <w:tblPr>
        <w:tblStyle w:val="23"/>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705"/>
        <w:gridCol w:w="542"/>
        <w:gridCol w:w="1085"/>
        <w:gridCol w:w="906"/>
        <w:gridCol w:w="1080"/>
        <w:gridCol w:w="1428"/>
        <w:gridCol w:w="125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16"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序号</w:t>
            </w:r>
          </w:p>
        </w:tc>
        <w:tc>
          <w:tcPr>
            <w:tcW w:w="705" w:type="dxa"/>
            <w:noWrap/>
            <w:vAlign w:val="center"/>
          </w:tcPr>
          <w:p>
            <w:pPr>
              <w:pStyle w:val="51"/>
              <w:widowControl/>
              <w:spacing w:line="360" w:lineRule="auto"/>
              <w:jc w:val="center"/>
              <w:rPr>
                <w:rFonts w:hint="eastAsia" w:ascii="宋体" w:hAnsi="宋体" w:eastAsia="宋体" w:cs="Tahoma"/>
                <w:b/>
                <w:bCs/>
                <w:color w:val="auto"/>
                <w:kern w:val="0"/>
                <w:sz w:val="22"/>
                <w:szCs w:val="22"/>
                <w:lang w:val="en-US" w:eastAsia="zh-CN" w:bidi="ar-SA"/>
              </w:rPr>
            </w:pPr>
            <w:r>
              <w:rPr>
                <w:rFonts w:hint="eastAsia" w:ascii="宋体" w:hAnsi="宋体"/>
                <w:b/>
                <w:bCs/>
                <w:color w:val="auto"/>
                <w:kern w:val="0"/>
                <w:sz w:val="22"/>
                <w:szCs w:val="22"/>
              </w:rPr>
              <w:t>名称</w:t>
            </w:r>
          </w:p>
        </w:tc>
        <w:tc>
          <w:tcPr>
            <w:tcW w:w="542" w:type="dxa"/>
            <w:noWrap/>
            <w:vAlign w:val="center"/>
          </w:tcPr>
          <w:p>
            <w:pPr>
              <w:pStyle w:val="51"/>
              <w:widowControl/>
              <w:spacing w:line="360" w:lineRule="auto"/>
              <w:jc w:val="center"/>
              <w:rPr>
                <w:rFonts w:hint="eastAsia"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品牌</w:t>
            </w:r>
          </w:p>
        </w:tc>
        <w:tc>
          <w:tcPr>
            <w:tcW w:w="1085"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规格</w:t>
            </w:r>
          </w:p>
        </w:tc>
        <w:tc>
          <w:tcPr>
            <w:tcW w:w="906" w:type="dxa"/>
            <w:noWrap/>
            <w:vAlign w:val="center"/>
          </w:tcPr>
          <w:p>
            <w:pPr>
              <w:pStyle w:val="51"/>
              <w:widowControl/>
              <w:spacing w:line="360" w:lineRule="auto"/>
              <w:jc w:val="center"/>
              <w:rPr>
                <w:rFonts w:hint="eastAsia" w:ascii="宋体" w:hAnsi="宋体" w:eastAsia="宋体" w:cs="Tahoma"/>
                <w:b/>
                <w:bCs/>
                <w:color w:val="auto"/>
                <w:kern w:val="0"/>
                <w:sz w:val="22"/>
                <w:szCs w:val="22"/>
                <w:lang w:val="en-US" w:eastAsia="zh-CN" w:bidi="ar-SA"/>
              </w:rPr>
            </w:pPr>
            <w:r>
              <w:rPr>
                <w:rFonts w:hint="eastAsia" w:ascii="宋体" w:hAnsi="宋体"/>
                <w:b/>
                <w:bCs/>
                <w:color w:val="auto"/>
                <w:kern w:val="0"/>
                <w:sz w:val="22"/>
                <w:szCs w:val="22"/>
                <w:lang w:val="en-US" w:eastAsia="zh-CN"/>
              </w:rPr>
              <w:t>型号</w:t>
            </w:r>
          </w:p>
        </w:tc>
        <w:tc>
          <w:tcPr>
            <w:tcW w:w="1080"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单位</w:t>
            </w:r>
          </w:p>
        </w:tc>
        <w:tc>
          <w:tcPr>
            <w:tcW w:w="1428" w:type="dxa"/>
            <w:noWrap/>
            <w:vAlign w:val="center"/>
          </w:tcPr>
          <w:p>
            <w:pPr>
              <w:pStyle w:val="51"/>
              <w:widowControl/>
              <w:spacing w:line="360" w:lineRule="auto"/>
              <w:jc w:val="center"/>
              <w:rPr>
                <w:rFonts w:hint="default"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数量（暂定）</w:t>
            </w:r>
          </w:p>
        </w:tc>
        <w:tc>
          <w:tcPr>
            <w:tcW w:w="1256"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单价（元）</w:t>
            </w:r>
          </w:p>
        </w:tc>
        <w:tc>
          <w:tcPr>
            <w:tcW w:w="1195" w:type="dxa"/>
            <w:noWrap/>
            <w:vAlign w:val="center"/>
          </w:tcPr>
          <w:p>
            <w:pPr>
              <w:pStyle w:val="51"/>
              <w:widowControl/>
              <w:spacing w:line="360" w:lineRule="auto"/>
              <w:ind w:firstLine="0"/>
              <w:jc w:val="center"/>
              <w:rPr>
                <w:rFonts w:hint="eastAsia"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1</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542"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玲珑</w:t>
            </w:r>
          </w:p>
        </w:tc>
        <w:tc>
          <w:tcPr>
            <w:tcW w:w="108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1</w:t>
            </w:r>
            <w:r>
              <w:rPr>
                <w:rFonts w:hint="eastAsia" w:ascii="宋体" w:hAnsi="宋体"/>
                <w:color w:val="auto"/>
                <w:kern w:val="0"/>
                <w:lang w:val="en-US" w:eastAsia="zh-CN"/>
              </w:rPr>
              <w:t>1</w:t>
            </w:r>
            <w:r>
              <w:rPr>
                <w:rFonts w:hint="eastAsia" w:ascii="宋体" w:hAnsi="宋体"/>
                <w:color w:val="auto"/>
                <w:kern w:val="0"/>
              </w:rPr>
              <w:t>R22.5-18</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p>
        </w:tc>
        <w:tc>
          <w:tcPr>
            <w:tcW w:w="1080"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 xml:space="preserve">套 </w:t>
            </w:r>
          </w:p>
        </w:tc>
        <w:tc>
          <w:tcPr>
            <w:tcW w:w="1428"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4</w:t>
            </w:r>
          </w:p>
        </w:tc>
        <w:tc>
          <w:tcPr>
            <w:tcW w:w="1256" w:type="dxa"/>
            <w:noWrap/>
            <w:vAlign w:val="center"/>
          </w:tcPr>
          <w:p>
            <w:pPr>
              <w:pStyle w:val="51"/>
              <w:widowControl/>
              <w:spacing w:line="360" w:lineRule="auto"/>
              <w:jc w:val="center"/>
              <w:rPr>
                <w:rFonts w:hint="default" w:ascii="宋体" w:hAnsi="宋体" w:eastAsia="宋体" w:cs="Tahoma"/>
                <w:color w:val="auto"/>
                <w:kern w:val="0"/>
                <w:sz w:val="24"/>
                <w:szCs w:val="24"/>
                <w:lang w:val="en-US" w:eastAsia="zh-CN" w:bidi="ar-SA"/>
              </w:rPr>
            </w:pPr>
          </w:p>
        </w:tc>
        <w:tc>
          <w:tcPr>
            <w:tcW w:w="1195" w:type="dxa"/>
            <w:vMerge w:val="restart"/>
            <w:noWrap/>
            <w:vAlign w:val="center"/>
          </w:tcPr>
          <w:p>
            <w:pPr>
              <w:rPr>
                <w:color w:val="auto"/>
              </w:rPr>
            </w:pPr>
          </w:p>
          <w:p>
            <w:pPr>
              <w:rPr>
                <w:color w:val="auto"/>
              </w:rPr>
            </w:pPr>
          </w:p>
          <w:p>
            <w:pPr>
              <w:pStyle w:val="51"/>
              <w:widowControl/>
              <w:spacing w:line="360" w:lineRule="auto"/>
              <w:jc w:val="center"/>
              <w:rPr>
                <w:rFonts w:hint="default" w:ascii="宋体" w:hAnsi="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2</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542" w:type="dxa"/>
            <w:noWrap/>
            <w:vAlign w:val="center"/>
          </w:tcPr>
          <w:p>
            <w:pPr>
              <w:pStyle w:val="51"/>
              <w:widowControl/>
              <w:spacing w:line="360" w:lineRule="auto"/>
              <w:jc w:val="center"/>
              <w:rPr>
                <w:rFonts w:hint="eastAsia" w:ascii="宋体" w:hAnsi="宋体"/>
                <w:color w:val="auto"/>
                <w:kern w:val="0"/>
              </w:rPr>
            </w:pPr>
            <w:r>
              <w:rPr>
                <w:rFonts w:hint="eastAsia" w:ascii="宋体" w:hAnsi="宋体"/>
                <w:color w:val="auto"/>
                <w:kern w:val="0"/>
                <w:lang w:val="en-US" w:eastAsia="zh-CN"/>
              </w:rPr>
              <w:t>玲珑</w:t>
            </w:r>
          </w:p>
        </w:tc>
        <w:tc>
          <w:tcPr>
            <w:tcW w:w="1085"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12R22.5-18</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p>
        </w:tc>
        <w:tc>
          <w:tcPr>
            <w:tcW w:w="1080"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 xml:space="preserve">套 </w:t>
            </w:r>
          </w:p>
        </w:tc>
        <w:tc>
          <w:tcPr>
            <w:tcW w:w="1428"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4</w:t>
            </w:r>
          </w:p>
        </w:tc>
        <w:tc>
          <w:tcPr>
            <w:tcW w:w="1256" w:type="dxa"/>
            <w:noWrap/>
            <w:vAlign w:val="center"/>
          </w:tcPr>
          <w:p>
            <w:pPr>
              <w:pStyle w:val="51"/>
              <w:widowControl/>
              <w:spacing w:line="360" w:lineRule="auto"/>
              <w:jc w:val="center"/>
              <w:rPr>
                <w:rFonts w:hint="default" w:ascii="宋体" w:hAnsi="宋体" w:eastAsia="宋体"/>
                <w:color w:val="auto"/>
                <w:kern w:val="0"/>
                <w:lang w:val="en-US" w:eastAsia="zh-CN"/>
              </w:rPr>
            </w:pPr>
          </w:p>
        </w:tc>
        <w:tc>
          <w:tcPr>
            <w:tcW w:w="1195" w:type="dxa"/>
            <w:vMerge w:val="continue"/>
            <w:noWrap/>
            <w:vAlign w:val="center"/>
          </w:tcPr>
          <w:p>
            <w:pPr>
              <w:pStyle w:val="51"/>
              <w:widowControl/>
              <w:spacing w:line="360" w:lineRule="auto"/>
              <w:jc w:val="center"/>
              <w:rPr>
                <w:rFonts w:hint="default" w:ascii="宋体" w:hAnsi="宋体" w:eastAsia="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lang w:val="en-US" w:eastAsia="zh-CN"/>
              </w:rPr>
              <w:t>3</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542" w:type="dxa"/>
            <w:noWrap/>
            <w:vAlign w:val="center"/>
          </w:tcPr>
          <w:p>
            <w:pPr>
              <w:pStyle w:val="51"/>
              <w:widowControl/>
              <w:spacing w:line="360" w:lineRule="auto"/>
              <w:jc w:val="center"/>
              <w:rPr>
                <w:rFonts w:hint="eastAsia" w:ascii="宋体" w:hAnsi="宋体"/>
                <w:color w:val="auto"/>
                <w:kern w:val="0"/>
              </w:rPr>
            </w:pPr>
            <w:r>
              <w:rPr>
                <w:rFonts w:hint="eastAsia" w:ascii="宋体" w:hAnsi="宋体"/>
                <w:color w:val="auto"/>
                <w:kern w:val="0"/>
                <w:lang w:val="en-US" w:eastAsia="zh-CN"/>
              </w:rPr>
              <w:t>玲珑</w:t>
            </w:r>
          </w:p>
        </w:tc>
        <w:tc>
          <w:tcPr>
            <w:tcW w:w="1085"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1100R20-18</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p>
        </w:tc>
        <w:tc>
          <w:tcPr>
            <w:tcW w:w="1080"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套 (含内胎及胎垫）</w:t>
            </w:r>
          </w:p>
        </w:tc>
        <w:tc>
          <w:tcPr>
            <w:tcW w:w="1428"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92</w:t>
            </w:r>
          </w:p>
        </w:tc>
        <w:tc>
          <w:tcPr>
            <w:tcW w:w="1256" w:type="dxa"/>
            <w:noWrap/>
            <w:vAlign w:val="center"/>
          </w:tcPr>
          <w:p>
            <w:pPr>
              <w:pStyle w:val="51"/>
              <w:widowControl/>
              <w:spacing w:line="360" w:lineRule="auto"/>
              <w:jc w:val="center"/>
              <w:rPr>
                <w:rFonts w:hint="default" w:ascii="宋体" w:hAnsi="宋体" w:eastAsia="宋体"/>
                <w:color w:val="auto"/>
                <w:kern w:val="0"/>
                <w:lang w:val="en-US" w:eastAsia="zh-CN"/>
              </w:rPr>
            </w:pPr>
          </w:p>
        </w:tc>
        <w:tc>
          <w:tcPr>
            <w:tcW w:w="1195" w:type="dxa"/>
            <w:vMerge w:val="continue"/>
            <w:noWrap/>
            <w:vAlign w:val="center"/>
          </w:tcPr>
          <w:p>
            <w:pPr>
              <w:pStyle w:val="51"/>
              <w:widowControl/>
              <w:spacing w:line="360" w:lineRule="auto"/>
              <w:jc w:val="center"/>
              <w:rPr>
                <w:rFonts w:hint="default" w:ascii="宋体" w:hAnsi="宋体" w:eastAsia="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4</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调位费</w:t>
            </w:r>
          </w:p>
        </w:tc>
        <w:tc>
          <w:tcPr>
            <w:tcW w:w="542" w:type="dxa"/>
            <w:noWrap/>
            <w:vAlign w:val="center"/>
          </w:tcPr>
          <w:p>
            <w:pPr>
              <w:pStyle w:val="51"/>
              <w:widowControl/>
              <w:spacing w:line="360" w:lineRule="auto"/>
              <w:jc w:val="center"/>
              <w:rPr>
                <w:rFonts w:hint="default" w:ascii="宋体" w:hAnsi="宋体"/>
                <w:color w:val="auto"/>
                <w:kern w:val="0"/>
                <w:lang w:val="en-US" w:eastAsia="zh-CN"/>
              </w:rPr>
            </w:pPr>
            <w:r>
              <w:rPr>
                <w:rFonts w:hint="eastAsia" w:ascii="宋体" w:hAnsi="宋体"/>
                <w:color w:val="auto"/>
                <w:kern w:val="0"/>
                <w:lang w:val="en-US" w:eastAsia="zh-CN"/>
              </w:rPr>
              <w:t>/</w:t>
            </w:r>
          </w:p>
        </w:tc>
        <w:tc>
          <w:tcPr>
            <w:tcW w:w="1085"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w:t>
            </w:r>
          </w:p>
        </w:tc>
        <w:tc>
          <w:tcPr>
            <w:tcW w:w="1080"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1428" w:type="dxa"/>
            <w:noWrap/>
            <w:vAlign w:val="center"/>
          </w:tcPr>
          <w:p>
            <w:pPr>
              <w:pStyle w:val="51"/>
              <w:widowControl/>
              <w:spacing w:line="360" w:lineRule="auto"/>
              <w:jc w:val="center"/>
              <w:rPr>
                <w:rFonts w:hint="default" w:ascii="宋体" w:hAnsi="宋体"/>
                <w:color w:val="auto"/>
                <w:kern w:val="0"/>
                <w:lang w:val="en-US" w:eastAsia="zh-CN"/>
              </w:rPr>
            </w:pPr>
            <w:r>
              <w:rPr>
                <w:rFonts w:hint="eastAsia" w:ascii="宋体" w:hAnsi="宋体"/>
                <w:color w:val="auto"/>
                <w:kern w:val="0"/>
                <w:lang w:val="en-US" w:eastAsia="zh-CN"/>
              </w:rPr>
              <w:t>100</w:t>
            </w:r>
          </w:p>
        </w:tc>
        <w:tc>
          <w:tcPr>
            <w:tcW w:w="1256" w:type="dxa"/>
            <w:noWrap/>
            <w:vAlign w:val="center"/>
          </w:tcPr>
          <w:p>
            <w:pPr>
              <w:pStyle w:val="51"/>
              <w:widowControl/>
              <w:spacing w:line="360" w:lineRule="auto"/>
              <w:jc w:val="center"/>
              <w:rPr>
                <w:rFonts w:hint="default" w:ascii="宋体" w:hAnsi="宋体" w:eastAsia="宋体"/>
                <w:color w:val="auto"/>
                <w:kern w:val="0"/>
                <w:lang w:val="en-US" w:eastAsia="zh-CN"/>
              </w:rPr>
            </w:pPr>
          </w:p>
        </w:tc>
        <w:tc>
          <w:tcPr>
            <w:tcW w:w="1195" w:type="dxa"/>
            <w:vMerge w:val="continue"/>
            <w:noWrap/>
            <w:vAlign w:val="center"/>
          </w:tcPr>
          <w:p>
            <w:pPr>
              <w:pStyle w:val="51"/>
              <w:widowControl/>
              <w:spacing w:line="360" w:lineRule="auto"/>
              <w:jc w:val="center"/>
              <w:rPr>
                <w:rFonts w:hint="default" w:ascii="宋体" w:hAnsi="宋体"/>
                <w:color w:val="auto"/>
                <w:kern w:val="0"/>
                <w:lang w:val="en-US" w:eastAsia="zh-CN"/>
              </w:rPr>
            </w:pPr>
          </w:p>
        </w:tc>
      </w:tr>
    </w:tbl>
    <w:p>
      <w:pPr>
        <w:spacing w:after="120" w:line="360" w:lineRule="auto"/>
        <w:rPr>
          <w:rFonts w:ascii="宋体" w:hAnsi="宋体"/>
          <w:color w:val="auto"/>
          <w:sz w:val="24"/>
        </w:rPr>
      </w:pPr>
      <w:r>
        <w:rPr>
          <w:rFonts w:hint="eastAsia" w:ascii="宋体" w:hAnsi="宋体" w:cs="宋体"/>
          <w:color w:val="auto"/>
          <w:kern w:val="0"/>
          <w:sz w:val="24"/>
        </w:rPr>
        <w:t>合同总价：</w:t>
      </w:r>
      <w:r>
        <w:rPr>
          <w:rFonts w:hint="eastAsia" w:ascii="宋体" w:hAnsi="宋体"/>
          <w:color w:val="auto"/>
          <w:sz w:val="24"/>
          <w:u w:val="single"/>
        </w:rPr>
        <w:t>￥</w:t>
      </w:r>
      <w:r>
        <w:rPr>
          <w:rFonts w:hint="eastAsia" w:ascii="宋体" w:hAnsi="宋体"/>
          <w:color w:val="auto"/>
          <w:sz w:val="24"/>
          <w:u w:val="single"/>
          <w:lang w:val="en-US" w:eastAsia="zh-CN"/>
        </w:rPr>
        <w:t xml:space="preserve">         </w:t>
      </w:r>
      <w:r>
        <w:rPr>
          <w:rFonts w:hint="eastAsia" w:ascii="宋体" w:hAnsi="宋体"/>
          <w:color w:val="auto"/>
          <w:sz w:val="24"/>
          <w:u w:val="single"/>
        </w:rPr>
        <w:t>元，（大写：</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ascii="宋体" w:hAnsi="宋体"/>
          <w:color w:val="auto"/>
          <w:sz w:val="24"/>
        </w:rPr>
        <w:t xml:space="preserve"> </w:t>
      </w:r>
    </w:p>
    <w:p>
      <w:pPr>
        <w:spacing w:after="120" w:line="360" w:lineRule="auto"/>
        <w:rPr>
          <w:rFonts w:ascii="宋体" w:hAnsi="宋体" w:cs="宋体"/>
          <w:color w:val="auto"/>
          <w:kern w:val="0"/>
          <w:sz w:val="24"/>
          <w:lang w:val="zh-CN"/>
        </w:rPr>
      </w:pPr>
      <w:r>
        <w:rPr>
          <w:rFonts w:hint="eastAsia" w:ascii="宋体" w:hAnsi="宋体" w:cs="宋体"/>
          <w:color w:val="auto"/>
          <w:kern w:val="0"/>
          <w:sz w:val="24"/>
          <w:lang w:val="zh-CN"/>
        </w:rPr>
        <w:t>其他技术需求见附件。</w:t>
      </w:r>
    </w:p>
    <w:p>
      <w:pPr>
        <w:adjustRightInd w:val="0"/>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第二条 交货日期及地点</w:t>
      </w:r>
    </w:p>
    <w:p>
      <w:pPr>
        <w:adjustRightInd w:val="0"/>
        <w:snapToGrid w:val="0"/>
        <w:spacing w:line="360" w:lineRule="auto"/>
        <w:rPr>
          <w:rFonts w:ascii="宋体" w:hAnsi="宋体"/>
          <w:color w:val="auto"/>
          <w:sz w:val="24"/>
        </w:rPr>
      </w:pPr>
      <w:r>
        <w:rPr>
          <w:rFonts w:hint="eastAsia" w:ascii="宋体" w:hAnsi="宋体"/>
          <w:color w:val="auto"/>
          <w:sz w:val="24"/>
        </w:rPr>
        <w:t>2.1乙方按以下第</w:t>
      </w:r>
      <w:r>
        <w:rPr>
          <w:rFonts w:hint="eastAsia" w:ascii="宋体" w:hAnsi="宋体"/>
          <w:color w:val="auto"/>
          <w:sz w:val="24"/>
          <w:u w:val="single"/>
        </w:rPr>
        <w:t xml:space="preserve">  2  </w:t>
      </w:r>
      <w:r>
        <w:rPr>
          <w:rFonts w:hint="eastAsia" w:ascii="宋体" w:hAnsi="宋体"/>
          <w:color w:val="auto"/>
          <w:sz w:val="24"/>
        </w:rPr>
        <w:t>种供货期供货。</w:t>
      </w:r>
    </w:p>
    <w:p>
      <w:pPr>
        <w:adjustRightInd w:val="0"/>
        <w:snapToGrid w:val="0"/>
        <w:spacing w:line="360" w:lineRule="auto"/>
        <w:rPr>
          <w:rFonts w:ascii="宋体" w:hAnsi="宋体"/>
          <w:color w:val="auto"/>
          <w:sz w:val="24"/>
        </w:rPr>
      </w:pPr>
      <w:r>
        <w:rPr>
          <w:rFonts w:hint="eastAsia" w:ascii="宋体" w:hAnsi="宋体"/>
          <w:color w:val="auto"/>
          <w:sz w:val="24"/>
        </w:rPr>
        <w:t>(1)合同生效之日起</w:t>
      </w:r>
      <w:r>
        <w:rPr>
          <w:rFonts w:hint="eastAsia" w:ascii="宋体" w:hAnsi="宋体"/>
          <w:color w:val="auto"/>
          <w:sz w:val="24"/>
          <w:u w:val="single"/>
        </w:rPr>
        <w:t xml:space="preserve">   </w:t>
      </w:r>
      <w:r>
        <w:rPr>
          <w:rFonts w:hint="eastAsia" w:ascii="宋体" w:hAnsi="宋体"/>
          <w:color w:val="auto"/>
          <w:sz w:val="24"/>
        </w:rPr>
        <w:t>日内到货，并开箱/试运行验收合格（如果供货要求包含安装、调试，则应为试运行验收合格）。</w:t>
      </w:r>
    </w:p>
    <w:p>
      <w:pPr>
        <w:adjustRightInd w:val="0"/>
        <w:snapToGrid w:val="0"/>
        <w:spacing w:line="360" w:lineRule="auto"/>
        <w:rPr>
          <w:rFonts w:ascii="宋体" w:hAnsi="宋体"/>
          <w:color w:val="auto"/>
          <w:sz w:val="24"/>
        </w:rPr>
      </w:pPr>
      <w:r>
        <w:rPr>
          <w:rFonts w:hint="eastAsia" w:ascii="宋体" w:hAnsi="宋体"/>
          <w:color w:val="auto"/>
          <w:sz w:val="24"/>
        </w:rPr>
        <w:t>（2)合同生效之日至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日止，或至实际采购货物的结算金额达到暂定合同总额时止，二者以先到者为准，自订货通知发出之日起</w:t>
      </w:r>
      <w:r>
        <w:rPr>
          <w:rFonts w:hint="eastAsia" w:ascii="宋体" w:hAnsi="宋体"/>
          <w:color w:val="auto"/>
          <w:sz w:val="24"/>
          <w:u w:val="single"/>
        </w:rPr>
        <w:t xml:space="preserve">   </w:t>
      </w:r>
      <w:r>
        <w:rPr>
          <w:rFonts w:hint="eastAsia" w:ascii="宋体" w:hAnsi="宋体"/>
          <w:color w:val="auto"/>
          <w:sz w:val="24"/>
        </w:rPr>
        <w:t>日内到货，并开箱/试运行验收合格（如果供货要求包含安装、调试，则应为试运行验收合格）；（适用于按单价采购且分批供货的采购方式）。</w:t>
      </w:r>
    </w:p>
    <w:p>
      <w:pPr>
        <w:spacing w:after="120" w:line="360" w:lineRule="auto"/>
        <w:rPr>
          <w:rFonts w:ascii="宋体" w:hAnsi="宋体"/>
          <w:color w:val="auto"/>
          <w:sz w:val="24"/>
        </w:rPr>
      </w:pPr>
      <w:r>
        <w:rPr>
          <w:rFonts w:hint="eastAsia" w:ascii="宋体" w:hAnsi="宋体"/>
          <w:color w:val="auto"/>
          <w:sz w:val="24"/>
        </w:rPr>
        <w:t>（3）其它供货期要求：</w:t>
      </w:r>
      <w:r>
        <w:rPr>
          <w:rFonts w:hint="eastAsia" w:ascii="宋体" w:hAnsi="宋体"/>
          <w:color w:val="auto"/>
          <w:sz w:val="24"/>
          <w:u w:val="single"/>
        </w:rPr>
        <w:t xml:space="preserve">              </w:t>
      </w:r>
      <w:r>
        <w:rPr>
          <w:rFonts w:hint="eastAsia" w:ascii="宋体" w:hAnsi="宋体"/>
          <w:color w:val="auto"/>
          <w:sz w:val="24"/>
        </w:rPr>
        <w:t xml:space="preserve">。    </w:t>
      </w:r>
    </w:p>
    <w:p>
      <w:pPr>
        <w:spacing w:after="120" w:line="360" w:lineRule="auto"/>
        <w:ind w:firstLine="480" w:firstLineChars="200"/>
        <w:rPr>
          <w:rFonts w:ascii="宋体" w:hAnsi="宋体"/>
          <w:color w:val="auto"/>
          <w:sz w:val="24"/>
        </w:rPr>
      </w:pPr>
      <w:r>
        <w:rPr>
          <w:rFonts w:hint="eastAsia" w:ascii="宋体" w:hAnsi="宋体"/>
          <w:color w:val="auto"/>
          <w:sz w:val="24"/>
        </w:rPr>
        <w:t>2.2</w:t>
      </w:r>
      <w:r>
        <w:rPr>
          <w:rFonts w:ascii="宋体" w:hAnsi="宋体"/>
          <w:bCs/>
          <w:color w:val="auto"/>
          <w:sz w:val="24"/>
        </w:rPr>
        <w:t>交货地点：</w:t>
      </w:r>
      <w:r>
        <w:rPr>
          <w:rFonts w:hint="eastAsia" w:ascii="宋体" w:hAnsi="宋体"/>
          <w:bCs/>
          <w:color w:val="auto"/>
          <w:sz w:val="24"/>
          <w:u w:val="single"/>
        </w:rPr>
        <w:t xml:space="preserve"> 以甲方通知为准 </w:t>
      </w:r>
      <w:r>
        <w:rPr>
          <w:rFonts w:hint="eastAsia" w:ascii="宋体" w:hAnsi="宋体"/>
          <w:bCs/>
          <w:color w:val="auto"/>
          <w:sz w:val="24"/>
        </w:rPr>
        <w:t>，包括</w:t>
      </w:r>
      <w:r>
        <w:rPr>
          <w:rFonts w:ascii="宋体" w:hAnsi="宋体"/>
          <w:bCs/>
          <w:color w:val="auto"/>
          <w:sz w:val="24"/>
        </w:rPr>
        <w:t>甲方指定的</w:t>
      </w:r>
      <w:r>
        <w:rPr>
          <w:rFonts w:hint="eastAsia" w:ascii="宋体" w:hAnsi="宋体"/>
          <w:bCs/>
          <w:color w:val="auto"/>
          <w:sz w:val="24"/>
        </w:rPr>
        <w:t>任一收货点；</w:t>
      </w:r>
      <w:r>
        <w:rPr>
          <w:rFonts w:ascii="宋体" w:hAnsi="宋体"/>
          <w:bCs/>
          <w:color w:val="auto"/>
          <w:sz w:val="24"/>
        </w:rPr>
        <w:t>最终具体交货地点以甲方书面通知为准。</w:t>
      </w:r>
      <w:r>
        <w:rPr>
          <w:rFonts w:hint="eastAsia" w:ascii="宋体" w:hAnsi="宋体"/>
          <w:color w:val="auto"/>
          <w:sz w:val="24"/>
        </w:rPr>
        <w:t xml:space="preserve"> </w:t>
      </w:r>
    </w:p>
    <w:p>
      <w:pPr>
        <w:adjustRightInd w:val="0"/>
        <w:snapToGrid w:val="0"/>
        <w:spacing w:line="360" w:lineRule="auto"/>
        <w:ind w:firstLine="480" w:firstLineChars="200"/>
        <w:rPr>
          <w:rFonts w:ascii="宋体" w:hAnsi="宋体"/>
          <w:color w:val="auto"/>
          <w:sz w:val="24"/>
        </w:rPr>
      </w:pPr>
      <w:r>
        <w:rPr>
          <w:rFonts w:hint="eastAsia" w:ascii="宋体" w:hAnsi="宋体" w:cs="宋体"/>
          <w:color w:val="auto"/>
          <w:kern w:val="0"/>
          <w:sz w:val="24"/>
        </w:rPr>
        <w:t>第三条  合同</w:t>
      </w:r>
      <w:r>
        <w:rPr>
          <w:rFonts w:hint="eastAsia" w:ascii="宋体" w:hAnsi="宋体"/>
          <w:color w:val="auto"/>
          <w:sz w:val="24"/>
        </w:rPr>
        <w:t>“单价”为综合单价，指货物运到甲方指定地点的交货价，该价格包括但不限于：货物的生产、产品检验、运输（含转运）、包装、装卸（含卸车费用）、安装调试或指导安装调试运行</w:t>
      </w:r>
      <w:r>
        <w:rPr>
          <w:rFonts w:hint="eastAsia" w:ascii="宋体" w:hAnsi="宋体"/>
          <w:b/>
          <w:color w:val="auto"/>
          <w:sz w:val="24"/>
        </w:rPr>
        <w:t>（具体按“技术需求”）</w:t>
      </w:r>
      <w:r>
        <w:rPr>
          <w:rFonts w:hint="eastAsia" w:ascii="宋体" w:hAnsi="宋体"/>
          <w:color w:val="auto"/>
          <w:sz w:val="24"/>
        </w:rPr>
        <w:t>、验收（含出厂及到货验收）、质量抽检、培训、相关税费、保险费、物货伴随服务（包括安装使用说明书、图纸的提供、质保期服务）等全部费用。</w:t>
      </w:r>
    </w:p>
    <w:p>
      <w:pPr>
        <w:autoSpaceDE w:val="0"/>
        <w:autoSpaceDN w:val="0"/>
        <w:adjustRightInd w:val="0"/>
        <w:spacing w:line="360" w:lineRule="auto"/>
        <w:ind w:firstLine="600" w:firstLineChars="250"/>
        <w:rPr>
          <w:rFonts w:ascii="宋体" w:hAnsi="宋体"/>
          <w:color w:val="auto"/>
          <w:sz w:val="24"/>
        </w:rPr>
      </w:pPr>
      <w:r>
        <w:rPr>
          <w:rFonts w:ascii="宋体" w:hAnsi="宋体"/>
          <w:color w:val="auto"/>
          <w:sz w:val="24"/>
        </w:rPr>
        <w:t>合同</w:t>
      </w:r>
      <w:r>
        <w:rPr>
          <w:rFonts w:hint="eastAsia" w:ascii="宋体" w:hAnsi="宋体"/>
          <w:color w:val="auto"/>
          <w:sz w:val="24"/>
        </w:rPr>
        <w:t>单价</w:t>
      </w:r>
      <w:r>
        <w:rPr>
          <w:rFonts w:ascii="宋体" w:hAnsi="宋体"/>
          <w:color w:val="auto"/>
          <w:sz w:val="24"/>
        </w:rPr>
        <w:t>在合同有效期内为</w:t>
      </w:r>
      <w:r>
        <w:rPr>
          <w:rFonts w:hint="eastAsia" w:ascii="宋体" w:hAnsi="宋体"/>
          <w:color w:val="auto"/>
          <w:sz w:val="24"/>
        </w:rPr>
        <w:t>固定</w:t>
      </w:r>
      <w:r>
        <w:rPr>
          <w:rFonts w:ascii="宋体" w:hAnsi="宋体"/>
          <w:color w:val="auto"/>
          <w:sz w:val="24"/>
        </w:rPr>
        <w:t>不变价。乙方已经充分考虑本合同履行期间的市场风险和国家政策性调整风险系数，并已计入报价，</w:t>
      </w:r>
      <w:r>
        <w:rPr>
          <w:rFonts w:hint="eastAsia" w:ascii="宋体" w:hAnsi="宋体"/>
          <w:color w:val="auto"/>
          <w:sz w:val="24"/>
        </w:rPr>
        <w:t>因此合同单价</w:t>
      </w:r>
      <w:r>
        <w:rPr>
          <w:rFonts w:ascii="宋体" w:hAnsi="宋体"/>
          <w:color w:val="auto"/>
          <w:sz w:val="24"/>
        </w:rPr>
        <w:t>今后</w:t>
      </w:r>
      <w:r>
        <w:rPr>
          <w:rFonts w:hint="eastAsia" w:ascii="宋体" w:hAnsi="宋体"/>
          <w:color w:val="auto"/>
          <w:sz w:val="24"/>
        </w:rPr>
        <w:t>不因任何因素而</w:t>
      </w:r>
      <w:r>
        <w:rPr>
          <w:rFonts w:ascii="宋体" w:hAnsi="宋体"/>
          <w:color w:val="auto"/>
          <w:sz w:val="24"/>
        </w:rPr>
        <w:t>作调整。</w:t>
      </w:r>
      <w:bookmarkStart w:id="17" w:name="_Toc518992988"/>
      <w:bookmarkStart w:id="18" w:name="_Toc474245212"/>
      <w:bookmarkStart w:id="19" w:name="_Toc27425"/>
      <w:bookmarkStart w:id="20" w:name="_Toc520190028"/>
      <w:bookmarkStart w:id="21" w:name="_Toc107447236"/>
      <w:bookmarkStart w:id="22" w:name="_Toc107446843"/>
    </w:p>
    <w:p>
      <w:pPr>
        <w:autoSpaceDE w:val="0"/>
        <w:autoSpaceDN w:val="0"/>
        <w:adjustRightInd w:val="0"/>
        <w:spacing w:line="360" w:lineRule="auto"/>
        <w:ind w:firstLine="600" w:firstLineChars="250"/>
        <w:rPr>
          <w:rFonts w:ascii="宋体" w:hAnsi="宋体"/>
          <w:color w:val="auto"/>
          <w:sz w:val="24"/>
        </w:rPr>
      </w:pPr>
    </w:p>
    <w:bookmarkEnd w:id="17"/>
    <w:bookmarkEnd w:id="18"/>
    <w:bookmarkEnd w:id="19"/>
    <w:bookmarkEnd w:id="20"/>
    <w:p>
      <w:pPr>
        <w:autoSpaceDE w:val="0"/>
        <w:autoSpaceDN w:val="0"/>
        <w:adjustRightInd w:val="0"/>
        <w:spacing w:line="360" w:lineRule="auto"/>
        <w:ind w:left="420"/>
        <w:rPr>
          <w:rFonts w:ascii="宋体" w:hAnsi="宋体"/>
          <w:bCs/>
          <w:color w:val="auto"/>
          <w:sz w:val="24"/>
        </w:rPr>
      </w:pPr>
      <w:bookmarkStart w:id="23" w:name="_Toc518992989"/>
      <w:bookmarkStart w:id="24" w:name="_Toc474245213"/>
      <w:bookmarkStart w:id="25" w:name="_Toc520190029"/>
      <w:r>
        <w:rPr>
          <w:rFonts w:ascii="宋体" w:hAnsi="宋体"/>
          <w:b/>
          <w:color w:val="auto"/>
          <w:sz w:val="24"/>
        </w:rPr>
        <w:t>第</w:t>
      </w:r>
      <w:r>
        <w:rPr>
          <w:rFonts w:hint="eastAsia" w:ascii="宋体" w:hAnsi="宋体"/>
          <w:b/>
          <w:color w:val="auto"/>
          <w:sz w:val="24"/>
        </w:rPr>
        <w:t>四</w:t>
      </w:r>
      <w:r>
        <w:rPr>
          <w:rFonts w:ascii="宋体" w:hAnsi="宋体"/>
          <w:b/>
          <w:color w:val="auto"/>
          <w:sz w:val="24"/>
        </w:rPr>
        <w:t>条</w:t>
      </w:r>
      <w:r>
        <w:rPr>
          <w:rFonts w:hint="eastAsia" w:ascii="宋体" w:hAnsi="宋体"/>
          <w:b/>
          <w:color w:val="auto"/>
          <w:sz w:val="24"/>
        </w:rPr>
        <w:t xml:space="preserve"> 支付</w:t>
      </w:r>
      <w:bookmarkEnd w:id="23"/>
      <w:bookmarkEnd w:id="24"/>
      <w:bookmarkEnd w:id="25"/>
      <w:r>
        <w:rPr>
          <w:rFonts w:hint="eastAsia" w:ascii="宋体" w:hAnsi="宋体"/>
          <w:b/>
          <w:color w:val="auto"/>
          <w:sz w:val="24"/>
        </w:rPr>
        <w:t>方式</w:t>
      </w:r>
    </w:p>
    <w:bookmarkEnd w:id="21"/>
    <w:bookmarkEnd w:id="22"/>
    <w:p>
      <w:pPr>
        <w:spacing w:line="360" w:lineRule="auto"/>
        <w:ind w:firstLine="480" w:firstLineChars="200"/>
        <w:rPr>
          <w:rFonts w:ascii="宋体" w:hAnsi="宋体"/>
          <w:color w:val="auto"/>
          <w:sz w:val="24"/>
          <w:u w:val="single"/>
        </w:rPr>
      </w:pPr>
      <w:bookmarkStart w:id="26" w:name="_Toc183666516"/>
      <w:bookmarkStart w:id="27" w:name="_Toc14703"/>
      <w:r>
        <w:rPr>
          <w:rFonts w:hint="eastAsia" w:ascii="宋体" w:hAnsi="宋体"/>
          <w:color w:val="auto"/>
          <w:sz w:val="24"/>
        </w:rPr>
        <w:t>4.1</w:t>
      </w:r>
      <w:r>
        <w:rPr>
          <w:rFonts w:hint="eastAsia" w:ascii="宋体" w:hAnsi="宋体"/>
          <w:bCs/>
          <w:color w:val="auto"/>
          <w:sz w:val="24"/>
        </w:rPr>
        <w:t>预付款</w:t>
      </w:r>
      <w:r>
        <w:rPr>
          <w:rFonts w:ascii="宋体" w:hAnsi="宋体"/>
          <w:bCs/>
          <w:color w:val="auto"/>
          <w:sz w:val="24"/>
        </w:rPr>
        <w:t>的</w:t>
      </w:r>
      <w:r>
        <w:rPr>
          <w:rFonts w:hint="eastAsia" w:ascii="宋体" w:hAnsi="宋体"/>
          <w:bCs/>
          <w:color w:val="auto"/>
          <w:sz w:val="24"/>
        </w:rPr>
        <w:t>支付</w:t>
      </w:r>
      <w:r>
        <w:rPr>
          <w:rFonts w:ascii="宋体" w:hAnsi="宋体"/>
          <w:bCs/>
          <w:color w:val="auto"/>
          <w:sz w:val="24"/>
        </w:rPr>
        <w:t>：</w:t>
      </w:r>
      <w:r>
        <w:rPr>
          <w:rFonts w:ascii="宋体" w:hAnsi="宋体"/>
          <w:bCs/>
          <w:color w:val="auto"/>
          <w:sz w:val="24"/>
        </w:rPr>
        <w:sym w:font="Wingdings" w:char="00FE"/>
      </w:r>
      <w:r>
        <w:rPr>
          <w:rFonts w:hint="eastAsia" w:ascii="宋体" w:hAnsi="宋体"/>
          <w:bCs/>
          <w:color w:val="auto"/>
          <w:sz w:val="24"/>
        </w:rPr>
        <w:t>无；</w:t>
      </w:r>
      <w:r>
        <w:rPr>
          <w:rFonts w:ascii="宋体" w:hAnsi="宋体"/>
          <w:bCs/>
          <w:color w:val="auto"/>
          <w:sz w:val="24"/>
        </w:rPr>
        <w:t xml:space="preserve">     </w:t>
      </w:r>
      <w:r>
        <w:rPr>
          <w:rFonts w:ascii="宋体" w:hAnsi="宋体"/>
          <w:bCs/>
          <w:color w:val="auto"/>
          <w:sz w:val="24"/>
        </w:rPr>
        <w:sym w:font="Wingdings" w:char="F0A8"/>
      </w:r>
      <w:r>
        <w:rPr>
          <w:rFonts w:hint="eastAsia" w:ascii="宋体" w:hAnsi="宋体"/>
          <w:bCs/>
          <w:color w:val="auto"/>
          <w:sz w:val="24"/>
        </w:rPr>
        <w:t>合同签订后且提交履约担保（如有）后7</w:t>
      </w:r>
      <w:r>
        <w:rPr>
          <w:rFonts w:ascii="宋体" w:hAnsi="宋体"/>
          <w:bCs/>
          <w:color w:val="auto"/>
          <w:sz w:val="24"/>
        </w:rPr>
        <w:t>个工作日内</w:t>
      </w:r>
      <w:r>
        <w:rPr>
          <w:rFonts w:hint="eastAsia" w:ascii="宋体" w:hAnsi="宋体"/>
          <w:bCs/>
          <w:color w:val="auto"/>
          <w:sz w:val="24"/>
        </w:rPr>
        <w:t>，甲方支付合同总价款的</w:t>
      </w:r>
      <w:r>
        <w:rPr>
          <w:rFonts w:ascii="宋体" w:hAnsi="宋体"/>
          <w:bCs/>
          <w:color w:val="auto"/>
          <w:sz w:val="24"/>
        </w:rPr>
        <w:t xml:space="preserve"> </w:t>
      </w:r>
      <w:r>
        <w:rPr>
          <w:rFonts w:ascii="宋体" w:hAnsi="宋体"/>
          <w:bCs/>
          <w:color w:val="auto"/>
          <w:sz w:val="24"/>
          <w:u w:val="single"/>
        </w:rPr>
        <w:t xml:space="preserve">  </w:t>
      </w:r>
      <w:r>
        <w:rPr>
          <w:rFonts w:hint="eastAsia" w:ascii="宋体" w:hAnsi="宋体"/>
          <w:bCs/>
          <w:color w:val="auto"/>
          <w:sz w:val="24"/>
          <w:u w:val="single"/>
        </w:rPr>
        <w:t>3</w:t>
      </w:r>
      <w:r>
        <w:rPr>
          <w:rFonts w:ascii="宋体" w:hAnsi="宋体"/>
          <w:bCs/>
          <w:color w:val="auto"/>
          <w:sz w:val="24"/>
          <w:u w:val="single"/>
        </w:rPr>
        <w:t xml:space="preserve">0%  </w:t>
      </w:r>
      <w:r>
        <w:rPr>
          <w:rFonts w:hint="eastAsia" w:ascii="宋体" w:hAnsi="宋体"/>
          <w:color w:val="auto"/>
          <w:sz w:val="24"/>
        </w:rPr>
        <w:t>即</w:t>
      </w:r>
      <w:r>
        <w:rPr>
          <w:rFonts w:hint="eastAsia" w:ascii="宋体" w:hAnsi="宋体"/>
          <w:color w:val="auto"/>
          <w:sz w:val="24"/>
          <w:u w:val="single"/>
        </w:rPr>
        <w:t>￥    元，（大写： ）</w:t>
      </w:r>
      <w:r>
        <w:rPr>
          <w:rFonts w:ascii="宋体" w:hAnsi="宋体"/>
          <w:color w:val="auto"/>
          <w:sz w:val="24"/>
        </w:rPr>
        <w:t xml:space="preserve">  </w:t>
      </w:r>
      <w:r>
        <w:rPr>
          <w:rFonts w:hint="eastAsia" w:ascii="宋体" w:hAnsi="宋体"/>
          <w:bCs/>
          <w:color w:val="auto"/>
          <w:sz w:val="24"/>
        </w:rPr>
        <w:t>作为预付款。</w:t>
      </w:r>
    </w:p>
    <w:p>
      <w:pPr>
        <w:adjustRightInd w:val="0"/>
        <w:snapToGrid w:val="0"/>
        <w:spacing w:line="360" w:lineRule="auto"/>
        <w:ind w:firstLine="360" w:firstLineChars="150"/>
        <w:rPr>
          <w:rFonts w:ascii="宋体" w:hAnsi="宋体"/>
          <w:color w:val="auto"/>
          <w:sz w:val="24"/>
        </w:rPr>
      </w:pPr>
      <w:r>
        <w:rPr>
          <w:rFonts w:hint="eastAsia" w:ascii="宋体" w:hAnsi="宋体"/>
          <w:color w:val="auto"/>
          <w:sz w:val="24"/>
        </w:rPr>
        <w:t>4.2支付方式：本合同款项按以下第</w:t>
      </w:r>
      <w:r>
        <w:rPr>
          <w:rFonts w:hint="eastAsia" w:ascii="宋体" w:hAnsi="宋体"/>
          <w:color w:val="auto"/>
          <w:sz w:val="24"/>
          <w:u w:val="single"/>
        </w:rPr>
        <w:t xml:space="preserve">  4  </w:t>
      </w:r>
      <w:r>
        <w:rPr>
          <w:rFonts w:hint="eastAsia" w:ascii="宋体" w:hAnsi="宋体"/>
          <w:color w:val="auto"/>
          <w:sz w:val="24"/>
        </w:rPr>
        <w:t>种方式支付。</w:t>
      </w:r>
    </w:p>
    <w:p>
      <w:pPr>
        <w:adjustRightInd w:val="0"/>
        <w:snapToGrid w:val="0"/>
        <w:spacing w:line="360" w:lineRule="auto"/>
        <w:ind w:firstLine="360" w:firstLineChars="150"/>
        <w:rPr>
          <w:rFonts w:ascii="宋体" w:hAnsi="宋体"/>
          <w:color w:val="auto"/>
          <w:sz w:val="24"/>
        </w:rPr>
      </w:pPr>
      <w:r>
        <w:rPr>
          <w:rFonts w:hint="eastAsia" w:ascii="宋体" w:hAnsi="宋体"/>
          <w:color w:val="auto"/>
          <w:sz w:val="24"/>
        </w:rPr>
        <w:t>（1）本合同生效后，甲方支付乙方合同总额30%预付款，乙方按照甲方的供货通知按时供货，货物到齐且经</w:t>
      </w:r>
      <w:r>
        <w:rPr>
          <w:rFonts w:hint="eastAsia" w:ascii="宋体" w:hAnsi="宋体"/>
          <w:color w:val="auto"/>
          <w:sz w:val="24"/>
          <w:u w:val="single"/>
        </w:rPr>
        <w:t>开箱/试运行</w:t>
      </w:r>
      <w:r>
        <w:rPr>
          <w:rFonts w:hint="eastAsia" w:ascii="宋体" w:hAnsi="宋体"/>
          <w:color w:val="auto"/>
          <w:sz w:val="24"/>
        </w:rPr>
        <w:t>最终验收合格，经相关部门结算后，甲方向乙方支付至结算审定价总额的95%（含预付款），余款5%作为质量保证金。质保期自甲乙双方确认的开箱验收合格之日起</w:t>
      </w:r>
      <w:r>
        <w:rPr>
          <w:rFonts w:hint="eastAsia" w:ascii="宋体" w:hAnsi="宋体"/>
          <w:color w:val="auto"/>
          <w:sz w:val="24"/>
          <w:u w:val="single"/>
        </w:rPr>
        <w:t xml:space="preserve">      </w:t>
      </w:r>
      <w:r>
        <w:rPr>
          <w:rFonts w:hint="eastAsia" w:ascii="宋体" w:hAnsi="宋体"/>
          <w:color w:val="auto"/>
          <w:sz w:val="24"/>
        </w:rPr>
        <w:t>年，质保期满后的15个工作日内，甲方支付质保金余款（无息）。</w:t>
      </w:r>
    </w:p>
    <w:p>
      <w:pPr>
        <w:adjustRightInd w:val="0"/>
        <w:snapToGrid w:val="0"/>
        <w:spacing w:line="360" w:lineRule="auto"/>
        <w:ind w:firstLine="360" w:firstLineChars="150"/>
        <w:rPr>
          <w:rFonts w:ascii="宋体" w:hAnsi="宋体"/>
          <w:color w:val="auto"/>
          <w:sz w:val="24"/>
        </w:rPr>
      </w:pPr>
      <w:r>
        <w:rPr>
          <w:rFonts w:hint="eastAsia" w:ascii="宋体" w:hAnsi="宋体"/>
          <w:color w:val="auto"/>
          <w:sz w:val="24"/>
        </w:rPr>
        <w:t>（2）本合同生效后，乙方按照甲方的供货通知按时供货，货物到齐且经</w:t>
      </w:r>
      <w:r>
        <w:rPr>
          <w:rFonts w:hint="eastAsia" w:ascii="宋体" w:hAnsi="宋体"/>
          <w:color w:val="auto"/>
          <w:sz w:val="24"/>
          <w:u w:val="single"/>
        </w:rPr>
        <w:t>开箱/试运行</w:t>
      </w:r>
      <w:r>
        <w:rPr>
          <w:rFonts w:hint="eastAsia" w:ascii="宋体" w:hAnsi="宋体"/>
          <w:color w:val="auto"/>
          <w:sz w:val="24"/>
        </w:rPr>
        <w:t>最终验收合格，收到乙方相应金额增值税专用发票后的</w:t>
      </w:r>
      <w:r>
        <w:rPr>
          <w:rFonts w:hint="eastAsia" w:ascii="宋体" w:hAnsi="宋体"/>
          <w:color w:val="auto"/>
          <w:sz w:val="24"/>
          <w:u w:val="single"/>
        </w:rPr>
        <w:t>15</w:t>
      </w:r>
      <w:r>
        <w:rPr>
          <w:rFonts w:hint="eastAsia" w:ascii="宋体" w:hAnsi="宋体"/>
          <w:color w:val="auto"/>
          <w:sz w:val="24"/>
        </w:rPr>
        <w:t>个工作日内，甲方向乙方支付至货款总额的95%。余款5%作为质量保证金。质保期自甲乙双方确认的开箱验收合格之日起</w:t>
      </w:r>
      <w:r>
        <w:rPr>
          <w:rFonts w:hint="eastAsia" w:ascii="宋体" w:hAnsi="宋体"/>
          <w:color w:val="auto"/>
          <w:sz w:val="24"/>
          <w:u w:val="single"/>
        </w:rPr>
        <w:t xml:space="preserve">   </w:t>
      </w:r>
      <w:r>
        <w:rPr>
          <w:rFonts w:hint="eastAsia" w:ascii="宋体" w:hAnsi="宋体"/>
          <w:color w:val="auto"/>
          <w:sz w:val="24"/>
        </w:rPr>
        <w:t>年，质保期满后的15个工作日内，甲方支付质保金余款（无息）。</w:t>
      </w:r>
    </w:p>
    <w:p>
      <w:pPr>
        <w:adjustRightInd w:val="0"/>
        <w:snapToGrid w:val="0"/>
        <w:spacing w:line="360" w:lineRule="auto"/>
        <w:ind w:firstLine="360" w:firstLineChars="150"/>
        <w:rPr>
          <w:rFonts w:ascii="宋体" w:hAnsi="宋体"/>
          <w:color w:val="auto"/>
          <w:sz w:val="24"/>
        </w:rPr>
      </w:pPr>
      <w:r>
        <w:rPr>
          <w:rFonts w:hint="eastAsia" w:ascii="宋体" w:hAnsi="宋体"/>
          <w:color w:val="auto"/>
          <w:sz w:val="24"/>
        </w:rPr>
        <w:t>（3）本合同生效后，乙方按照甲方的供货通知按时供货，货物到齐且经</w:t>
      </w:r>
      <w:r>
        <w:rPr>
          <w:rFonts w:hint="eastAsia" w:ascii="宋体" w:hAnsi="宋体"/>
          <w:color w:val="auto"/>
          <w:sz w:val="24"/>
          <w:u w:val="single"/>
        </w:rPr>
        <w:t>开箱/试运行</w:t>
      </w:r>
      <w:r>
        <w:rPr>
          <w:rFonts w:hint="eastAsia" w:ascii="宋体" w:hAnsi="宋体"/>
          <w:color w:val="auto"/>
          <w:sz w:val="24"/>
        </w:rPr>
        <w:t>最终验收合格，收到乙方相应金额增值税专用发票后的</w:t>
      </w:r>
      <w:r>
        <w:rPr>
          <w:rFonts w:hint="eastAsia" w:ascii="宋体" w:hAnsi="宋体"/>
          <w:color w:val="auto"/>
          <w:sz w:val="24"/>
          <w:u w:val="single"/>
        </w:rPr>
        <w:t>15</w:t>
      </w:r>
      <w:r>
        <w:rPr>
          <w:rFonts w:hint="eastAsia" w:ascii="宋体" w:hAnsi="宋体"/>
          <w:color w:val="auto"/>
          <w:sz w:val="24"/>
        </w:rPr>
        <w:t>个工作日内，甲方向乙方支付至货款总额的100%。</w:t>
      </w:r>
    </w:p>
    <w:p>
      <w:pPr>
        <w:adjustRightInd w:val="0"/>
        <w:snapToGrid w:val="0"/>
        <w:spacing w:line="360" w:lineRule="auto"/>
        <w:ind w:firstLine="360" w:firstLineChars="150"/>
        <w:rPr>
          <w:rFonts w:ascii="宋体" w:hAnsi="宋体"/>
          <w:color w:val="auto"/>
          <w:sz w:val="24"/>
        </w:rPr>
      </w:pPr>
      <w:r>
        <w:rPr>
          <w:rFonts w:hint="eastAsia" w:ascii="宋体" w:hAnsi="宋体"/>
          <w:color w:val="auto"/>
          <w:sz w:val="24"/>
        </w:rPr>
        <w:t>（4）本合同生效后，乙方按照甲方的供货通知按时分批供货，每批货物到齐经</w:t>
      </w:r>
      <w:r>
        <w:rPr>
          <w:rFonts w:hint="eastAsia" w:ascii="宋体" w:hAnsi="宋体"/>
          <w:color w:val="auto"/>
          <w:sz w:val="24"/>
          <w:u w:val="single"/>
        </w:rPr>
        <w:t>开箱/试运行</w:t>
      </w:r>
      <w:r>
        <w:rPr>
          <w:rFonts w:hint="eastAsia" w:ascii="宋体" w:hAnsi="宋体"/>
          <w:color w:val="auto"/>
          <w:sz w:val="24"/>
        </w:rPr>
        <w:t>最终验收合格，收到乙方相应金额增值税专用发票后的</w:t>
      </w:r>
      <w:r>
        <w:rPr>
          <w:rFonts w:hint="eastAsia" w:ascii="宋体" w:hAnsi="宋体"/>
          <w:color w:val="auto"/>
          <w:sz w:val="24"/>
          <w:u w:val="single"/>
        </w:rPr>
        <w:t>15</w:t>
      </w:r>
      <w:r>
        <w:rPr>
          <w:rFonts w:hint="eastAsia" w:ascii="宋体" w:hAnsi="宋体"/>
          <w:color w:val="auto"/>
          <w:sz w:val="24"/>
        </w:rPr>
        <w:t>个工作日内，甲方向乙方支付至该批货款总额的100%。（适用分批供货结算项目）</w:t>
      </w:r>
    </w:p>
    <w:p>
      <w:pPr>
        <w:adjustRightInd w:val="0"/>
        <w:snapToGrid w:val="0"/>
        <w:spacing w:line="360" w:lineRule="auto"/>
        <w:ind w:firstLine="240" w:firstLineChars="100"/>
        <w:rPr>
          <w:rFonts w:ascii="宋体" w:hAnsi="宋体"/>
          <w:color w:val="auto"/>
          <w:sz w:val="24"/>
        </w:rPr>
      </w:pPr>
      <w:r>
        <w:rPr>
          <w:rFonts w:hint="eastAsia" w:ascii="宋体" w:hAnsi="宋体"/>
          <w:color w:val="auto"/>
          <w:sz w:val="24"/>
        </w:rPr>
        <w:t>（5）其它支付方式：</w:t>
      </w:r>
      <w:r>
        <w:rPr>
          <w:rFonts w:hint="eastAsia" w:ascii="宋体" w:hAnsi="宋体"/>
          <w:color w:val="auto"/>
          <w:sz w:val="24"/>
          <w:u w:val="single"/>
        </w:rPr>
        <w:t xml:space="preserve">             </w:t>
      </w:r>
      <w:r>
        <w:rPr>
          <w:rFonts w:hint="eastAsia" w:ascii="宋体" w:hAnsi="宋体"/>
          <w:color w:val="auto"/>
          <w:sz w:val="24"/>
        </w:rPr>
        <w:t>。</w:t>
      </w:r>
    </w:p>
    <w:p>
      <w:pPr>
        <w:spacing w:line="360" w:lineRule="auto"/>
        <w:rPr>
          <w:rFonts w:ascii="宋体" w:hAnsi="宋体"/>
          <w:color w:val="auto"/>
          <w:sz w:val="24"/>
        </w:rPr>
      </w:pPr>
      <w:r>
        <w:rPr>
          <w:rFonts w:hint="eastAsia" w:ascii="宋体" w:hAnsi="宋体"/>
          <w:color w:val="auto"/>
          <w:sz w:val="24"/>
        </w:rPr>
        <w:t>4.3乙方收款账户：</w:t>
      </w:r>
      <w:r>
        <w:rPr>
          <w:rFonts w:ascii="宋体" w:hAnsi="宋体"/>
          <w:color w:val="auto"/>
          <w:sz w:val="24"/>
          <w:u w:val="single"/>
        </w:rPr>
        <w:t xml:space="preserve">                                     </w:t>
      </w:r>
      <w:r>
        <w:rPr>
          <w:rFonts w:hint="eastAsia" w:ascii="宋体" w:hAnsi="宋体"/>
          <w:color w:val="auto"/>
          <w:sz w:val="24"/>
        </w:rPr>
        <w:t>；</w:t>
      </w:r>
    </w:p>
    <w:p>
      <w:pPr>
        <w:spacing w:line="360" w:lineRule="auto"/>
        <w:ind w:firstLine="960" w:firstLineChars="400"/>
        <w:rPr>
          <w:rFonts w:ascii="宋体" w:hAnsi="宋体"/>
          <w:color w:val="auto"/>
          <w:sz w:val="24"/>
        </w:rPr>
      </w:pPr>
      <w:r>
        <w:rPr>
          <w:rFonts w:hint="eastAsia" w:ascii="宋体" w:hAnsi="宋体"/>
          <w:color w:val="auto"/>
          <w:sz w:val="24"/>
        </w:rPr>
        <w:t>收款账号：</w:t>
      </w:r>
      <w:r>
        <w:rPr>
          <w:rFonts w:ascii="宋体" w:hAnsi="宋体"/>
          <w:color w:val="auto"/>
          <w:sz w:val="24"/>
          <w:u w:val="single"/>
        </w:rPr>
        <w:t xml:space="preserve">                                    </w:t>
      </w:r>
      <w:r>
        <w:rPr>
          <w:rFonts w:hint="eastAsia" w:ascii="宋体" w:hAnsi="宋体"/>
          <w:color w:val="auto"/>
          <w:sz w:val="24"/>
        </w:rPr>
        <w:t>；</w:t>
      </w:r>
    </w:p>
    <w:p>
      <w:pPr>
        <w:spacing w:line="360" w:lineRule="auto"/>
        <w:ind w:firstLine="960" w:firstLineChars="400"/>
        <w:rPr>
          <w:rFonts w:ascii="宋体" w:hAnsi="宋体"/>
          <w:color w:val="auto"/>
          <w:sz w:val="24"/>
        </w:rPr>
      </w:pPr>
      <w:r>
        <w:rPr>
          <w:rFonts w:hint="eastAsia" w:ascii="宋体" w:hAnsi="宋体"/>
          <w:color w:val="auto"/>
          <w:sz w:val="24"/>
        </w:rPr>
        <w:t>开户行：</w:t>
      </w:r>
      <w:r>
        <w:rPr>
          <w:rFonts w:ascii="宋体" w:hAnsi="宋体"/>
          <w:color w:val="auto"/>
          <w:sz w:val="24"/>
          <w:u w:val="single"/>
        </w:rPr>
        <w:t xml:space="preserve">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乙方在收款前需提交相应金额增值税专用发票给甲方。</w:t>
      </w:r>
    </w:p>
    <w:p>
      <w:pPr>
        <w:spacing w:line="360" w:lineRule="auto"/>
        <w:ind w:firstLine="480" w:firstLineChars="200"/>
        <w:rPr>
          <w:rFonts w:ascii="宋体" w:hAnsi="宋体"/>
          <w:color w:val="auto"/>
          <w:sz w:val="24"/>
        </w:rPr>
      </w:pPr>
      <w:r>
        <w:rPr>
          <w:rFonts w:hint="eastAsia" w:ascii="宋体" w:hAnsi="宋体"/>
          <w:color w:val="auto"/>
          <w:sz w:val="24"/>
        </w:rPr>
        <w:t>增值税专用发票信息：</w:t>
      </w:r>
    </w:p>
    <w:p>
      <w:pPr>
        <w:spacing w:line="360" w:lineRule="auto"/>
        <w:ind w:firstLine="480" w:firstLineChars="200"/>
        <w:rPr>
          <w:rFonts w:ascii="宋体" w:hAnsi="宋体"/>
          <w:color w:val="auto"/>
          <w:sz w:val="24"/>
        </w:rPr>
      </w:pPr>
      <w:r>
        <w:rPr>
          <w:rFonts w:hint="eastAsia" w:ascii="宋体" w:hAnsi="宋体"/>
          <w:color w:val="auto"/>
          <w:sz w:val="24"/>
        </w:rPr>
        <w:t>名称：广州水务环保技术有限公司</w:t>
      </w:r>
    </w:p>
    <w:p>
      <w:pPr>
        <w:spacing w:line="360" w:lineRule="auto"/>
        <w:ind w:firstLine="480" w:firstLineChars="200"/>
        <w:rPr>
          <w:rFonts w:ascii="宋体" w:hAnsi="宋体"/>
          <w:color w:val="auto"/>
          <w:sz w:val="24"/>
        </w:rPr>
      </w:pPr>
      <w:r>
        <w:rPr>
          <w:rFonts w:hint="eastAsia" w:ascii="宋体" w:hAnsi="宋体"/>
          <w:color w:val="auto"/>
          <w:sz w:val="24"/>
        </w:rPr>
        <w:t>税号：</w:t>
      </w:r>
      <w:r>
        <w:rPr>
          <w:rFonts w:hint="eastAsia" w:ascii="宋体" w:hAnsi="宋体"/>
          <w:color w:val="auto"/>
          <w:sz w:val="24"/>
          <w:u w:val="single"/>
        </w:rPr>
        <w:t xml:space="preserve"> 914401043275605875 </w:t>
      </w:r>
      <w:r>
        <w:rPr>
          <w:rFonts w:hint="eastAsia" w:ascii="宋体" w:hAnsi="宋体"/>
          <w:color w:val="auto"/>
          <w:sz w:val="24"/>
        </w:rPr>
        <w:t xml:space="preserve"> ；  </w:t>
      </w:r>
    </w:p>
    <w:p>
      <w:pPr>
        <w:spacing w:line="360" w:lineRule="auto"/>
        <w:ind w:firstLine="480" w:firstLineChars="200"/>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广州市越秀区大沙头3号自编1号2楼206室（仅限办公用途）（不可作厂房使用）</w:t>
      </w:r>
      <w:r>
        <w:rPr>
          <w:rFonts w:hint="eastAsia" w:ascii="宋体" w:hAnsi="宋体"/>
          <w:color w:val="auto"/>
          <w:sz w:val="24"/>
        </w:rPr>
        <w:t>；</w:t>
      </w:r>
    </w:p>
    <w:p>
      <w:pPr>
        <w:pStyle w:val="13"/>
        <w:spacing w:line="360" w:lineRule="auto"/>
        <w:outlineLvl w:val="1"/>
        <w:rPr>
          <w:rFonts w:hAnsi="宋体"/>
          <w:color w:val="auto"/>
          <w:szCs w:val="24"/>
        </w:rPr>
      </w:pPr>
      <w:r>
        <w:rPr>
          <w:rFonts w:hint="eastAsia" w:hAnsi="宋体"/>
          <w:color w:val="auto"/>
          <w:szCs w:val="24"/>
        </w:rPr>
        <w:t>4.4</w:t>
      </w:r>
      <w:r>
        <w:rPr>
          <w:rFonts w:hint="eastAsia" w:asciiTheme="minorEastAsia" w:hAnsiTheme="minorEastAsia" w:eastAsiaTheme="minorEastAsia" w:cstheme="minorEastAsia"/>
          <w:color w:val="auto"/>
          <w:szCs w:val="24"/>
        </w:rPr>
        <w:t xml:space="preserve">付款方式： </w:t>
      </w:r>
      <w:r>
        <w:rPr>
          <w:rFonts w:hint="eastAsia" w:asciiTheme="minorEastAsia" w:hAnsiTheme="minorEastAsia" w:eastAsiaTheme="minorEastAsia" w:cstheme="minorEastAsia"/>
          <w:color w:val="auto"/>
          <w:szCs w:val="24"/>
        </w:rPr>
        <w:sym w:font="Wingdings 2" w:char="00A3"/>
      </w:r>
      <w:r>
        <w:rPr>
          <w:rFonts w:hint="eastAsia" w:asciiTheme="minorEastAsia" w:hAnsiTheme="minorEastAsia" w:eastAsiaTheme="minorEastAsia" w:cstheme="minorEastAsia"/>
          <w:color w:val="auto"/>
          <w:szCs w:val="24"/>
        </w:rPr>
        <w:t xml:space="preserve">支票；   </w:t>
      </w:r>
      <w:r>
        <w:rPr>
          <w:rFonts w:hint="eastAsia" w:asciiTheme="minorEastAsia" w:hAnsiTheme="minorEastAsia" w:eastAsiaTheme="minorEastAsia" w:cstheme="minorEastAsia"/>
          <w:color w:val="auto"/>
          <w:szCs w:val="24"/>
        </w:rPr>
        <w:sym w:font="Wingdings 2" w:char="0052"/>
      </w:r>
      <w:r>
        <w:rPr>
          <w:rFonts w:hint="eastAsia" w:asciiTheme="minorEastAsia" w:hAnsiTheme="minorEastAsia" w:eastAsiaTheme="minorEastAsia" w:cstheme="minorEastAsia"/>
          <w:color w:val="auto"/>
          <w:szCs w:val="24"/>
        </w:rPr>
        <w:t xml:space="preserve">网银支付 ；  </w:t>
      </w:r>
      <w:r>
        <w:rPr>
          <w:rFonts w:hint="eastAsia" w:asciiTheme="minorEastAsia" w:hAnsiTheme="minorEastAsia" w:eastAsiaTheme="minorEastAsia" w:cstheme="minorEastAsia"/>
          <w:color w:val="auto"/>
          <w:szCs w:val="24"/>
        </w:rPr>
        <w:sym w:font="Wingdings 2" w:char="00A3"/>
      </w:r>
      <w:r>
        <w:rPr>
          <w:rFonts w:hint="eastAsia" w:asciiTheme="minorEastAsia" w:hAnsiTheme="minorEastAsia" w:eastAsiaTheme="minorEastAsia" w:cstheme="minorEastAsia"/>
          <w:color w:val="auto"/>
          <w:szCs w:val="24"/>
        </w:rPr>
        <w:t>其他 ：</w:t>
      </w:r>
      <w:r>
        <w:rPr>
          <w:rFonts w:hint="eastAsia"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rPr>
        <w:t xml:space="preserve"> </w:t>
      </w:r>
      <w:r>
        <w:rPr>
          <w:rFonts w:hAnsi="宋体"/>
          <w:color w:val="auto"/>
          <w:szCs w:val="24"/>
        </w:rPr>
        <w:t>。</w:t>
      </w:r>
    </w:p>
    <w:bookmarkEnd w:id="26"/>
    <w:bookmarkEnd w:id="27"/>
    <w:p>
      <w:pPr>
        <w:adjustRightInd w:val="0"/>
        <w:snapToGrid w:val="0"/>
        <w:spacing w:line="360" w:lineRule="auto"/>
        <w:rPr>
          <w:rFonts w:ascii="宋体" w:hAnsi="宋体"/>
          <w:color w:val="auto"/>
          <w:sz w:val="24"/>
        </w:rPr>
      </w:pPr>
      <w:bookmarkStart w:id="28" w:name="_Toc183666534"/>
      <w:bookmarkStart w:id="29" w:name="_Toc5166"/>
      <w:bookmarkStart w:id="30" w:name="_Toc520190038"/>
      <w:bookmarkStart w:id="31" w:name="_Toc107447254"/>
      <w:bookmarkStart w:id="32" w:name="_Toc474245224"/>
      <w:bookmarkStart w:id="33" w:name="_Toc518992998"/>
      <w:bookmarkStart w:id="34" w:name="_Toc306350465"/>
      <w:bookmarkStart w:id="35" w:name="_Toc257"/>
      <w:bookmarkStart w:id="36" w:name="_Toc107446861"/>
      <w:bookmarkStart w:id="37" w:name="_Toc107447253"/>
      <w:bookmarkStart w:id="38" w:name="_Toc107446860"/>
      <w:bookmarkStart w:id="39" w:name="_Toc183666529"/>
      <w:bookmarkStart w:id="40" w:name="_Toc118086592"/>
      <w:r>
        <w:rPr>
          <w:rFonts w:hint="eastAsia" w:ascii="宋体" w:hAnsi="宋体"/>
          <w:color w:val="auto"/>
          <w:sz w:val="24"/>
        </w:rPr>
        <w:t>五、违约责任：</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5.1单方面取消合同：任意一方未经对方同意单方面取消合同，应按合同货款总额的30%向对方赔偿。</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5.2乙方不能按时交货且</w:t>
      </w:r>
      <w:r>
        <w:rPr>
          <w:rFonts w:hint="eastAsia" w:ascii="宋体" w:hAnsi="宋体"/>
          <w:color w:val="auto"/>
          <w:sz w:val="24"/>
          <w:u w:val="single"/>
        </w:rPr>
        <w:t>开箱/试运行</w:t>
      </w:r>
      <w:r>
        <w:rPr>
          <w:rFonts w:hint="eastAsia" w:ascii="宋体" w:hAnsi="宋体"/>
          <w:color w:val="auto"/>
          <w:sz w:val="24"/>
        </w:rPr>
        <w:t>最终验收合格，须向甲方支付违约金。每逾期7日，按收货总额的</w:t>
      </w:r>
      <w:r>
        <w:rPr>
          <w:rFonts w:hint="eastAsia" w:ascii="宋体" w:hAnsi="宋体"/>
          <w:color w:val="auto"/>
          <w:sz w:val="24"/>
          <w:u w:val="single"/>
        </w:rPr>
        <w:t xml:space="preserve"> 10 %支付违约金</w:t>
      </w:r>
      <w:r>
        <w:rPr>
          <w:rFonts w:hint="eastAsia" w:ascii="宋体" w:hAnsi="宋体"/>
          <w:color w:val="auto"/>
          <w:sz w:val="24"/>
        </w:rPr>
        <w:t>，不足7日以7日计算。</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5.3货物</w:t>
      </w:r>
      <w:r>
        <w:rPr>
          <w:rFonts w:hint="eastAsia" w:ascii="宋体" w:hAnsi="宋体"/>
          <w:color w:val="auto"/>
          <w:sz w:val="24"/>
          <w:u w:val="single"/>
        </w:rPr>
        <w:t>开箱/试运行</w:t>
      </w:r>
      <w:r>
        <w:rPr>
          <w:rFonts w:hint="eastAsia" w:ascii="宋体" w:hAnsi="宋体"/>
          <w:color w:val="auto"/>
          <w:sz w:val="24"/>
        </w:rPr>
        <w:t>最终验收不合格，甲方应拒绝接受货物，乙方应退还甲方已支付的货款，并按不合格货物的价款</w:t>
      </w:r>
      <w:r>
        <w:rPr>
          <w:rFonts w:hint="eastAsia" w:ascii="宋体" w:hAnsi="宋体"/>
          <w:color w:val="auto"/>
          <w:sz w:val="24"/>
          <w:u w:val="single"/>
        </w:rPr>
        <w:t xml:space="preserve"> 10 %</w:t>
      </w:r>
      <w:r>
        <w:rPr>
          <w:rFonts w:hint="eastAsia" w:ascii="宋体" w:hAnsi="宋体"/>
          <w:color w:val="auto"/>
          <w:sz w:val="24"/>
        </w:rPr>
        <w:t>向甲方支付违约金，甲方有权解除合同。</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5.4货物在</w:t>
      </w:r>
      <w:r>
        <w:rPr>
          <w:rFonts w:hint="eastAsia" w:ascii="宋体" w:hAnsi="宋体"/>
          <w:color w:val="auto"/>
          <w:sz w:val="24"/>
          <w:u w:val="single"/>
        </w:rPr>
        <w:t>开箱/试运行</w:t>
      </w:r>
      <w:r>
        <w:rPr>
          <w:rFonts w:hint="eastAsia" w:ascii="宋体" w:hAnsi="宋体"/>
          <w:color w:val="auto"/>
          <w:sz w:val="24"/>
        </w:rPr>
        <w:t>最终验收或使用过程中发现乙方所供货物为贴牌、假冒、伪劣、翻新产品，或生产组成所供货物的原材料、配件是贴牌、假冒、伪劣货物的，甲方有权退货，乙方在收到甲方退货要求的3个工作日内退还甲方已支付的货款，并按货物双倍金额向甲方支付违约金并承担由此产生的一切损失和费用，同时甲方有权即时解除合同。</w:t>
      </w:r>
    </w:p>
    <w:p>
      <w:p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六、合同解除或终止</w:t>
      </w:r>
    </w:p>
    <w:p>
      <w:pPr>
        <w:adjustRightInd w:val="0"/>
        <w:snapToGrid w:val="0"/>
        <w:spacing w:line="360" w:lineRule="auto"/>
        <w:rPr>
          <w:rFonts w:ascii="宋体" w:hAnsi="宋体"/>
          <w:color w:val="auto"/>
          <w:sz w:val="24"/>
        </w:rPr>
      </w:pPr>
      <w:r>
        <w:rPr>
          <w:rFonts w:hint="eastAsia" w:ascii="宋体" w:hAnsi="宋体"/>
          <w:color w:val="auto"/>
          <w:sz w:val="24"/>
        </w:rPr>
        <w:t>（1）本合同规定的甲、乙双方的权利和义务履行完毕，合同自动终止。</w:t>
      </w:r>
    </w:p>
    <w:p>
      <w:pPr>
        <w:adjustRightInd w:val="0"/>
        <w:snapToGrid w:val="0"/>
        <w:spacing w:line="360" w:lineRule="auto"/>
        <w:rPr>
          <w:rFonts w:ascii="宋体" w:hAnsi="宋体"/>
          <w:color w:val="auto"/>
          <w:sz w:val="24"/>
        </w:rPr>
      </w:pPr>
      <w:r>
        <w:rPr>
          <w:rFonts w:hint="eastAsia" w:ascii="宋体" w:hAnsi="宋体"/>
          <w:color w:val="auto"/>
          <w:sz w:val="24"/>
        </w:rPr>
        <w:t>（2）在双方同意的前提下，合同可以在任何条件下终止。</w:t>
      </w:r>
    </w:p>
    <w:p>
      <w:pPr>
        <w:adjustRightInd w:val="0"/>
        <w:snapToGrid w:val="0"/>
        <w:spacing w:line="360" w:lineRule="auto"/>
        <w:rPr>
          <w:rFonts w:ascii="宋体" w:hAnsi="宋体"/>
          <w:color w:val="auto"/>
          <w:sz w:val="24"/>
        </w:rPr>
      </w:pPr>
      <w:r>
        <w:rPr>
          <w:rFonts w:hint="eastAsia" w:ascii="宋体" w:hAnsi="宋体"/>
          <w:color w:val="auto"/>
          <w:sz w:val="24"/>
        </w:rPr>
        <w:t>（3）因甲方或乙方违约解除合同，合同终止。</w:t>
      </w:r>
    </w:p>
    <w:p>
      <w:pPr>
        <w:spacing w:line="360" w:lineRule="auto"/>
        <w:ind w:firstLine="480" w:firstLineChars="200"/>
        <w:rPr>
          <w:rFonts w:ascii="宋体" w:hAnsi="宋体"/>
          <w:bCs/>
          <w:color w:val="auto"/>
          <w:sz w:val="24"/>
        </w:rPr>
      </w:pPr>
      <w:r>
        <w:rPr>
          <w:rFonts w:hint="eastAsia" w:ascii="宋体" w:hAnsi="宋体"/>
          <w:color w:val="auto"/>
          <w:sz w:val="24"/>
        </w:rPr>
        <w:t>七、争议解决</w:t>
      </w:r>
    </w:p>
    <w:p>
      <w:pPr>
        <w:spacing w:line="360" w:lineRule="auto"/>
        <w:ind w:firstLine="480" w:firstLineChars="200"/>
        <w:rPr>
          <w:rFonts w:ascii="宋体" w:hAnsi="宋体"/>
          <w:color w:val="auto"/>
          <w:sz w:val="24"/>
        </w:rPr>
      </w:pPr>
      <w:r>
        <w:rPr>
          <w:rFonts w:hint="eastAsia" w:ascii="宋体" w:hAnsi="宋体"/>
          <w:bCs/>
          <w:color w:val="auto"/>
          <w:sz w:val="24"/>
        </w:rPr>
        <w:t>因本合同引起的或与本合同有关的任何争议，甲乙双方应友好协商解决，如协商不成，可向</w:t>
      </w:r>
      <w:r>
        <w:rPr>
          <w:rFonts w:hint="eastAsia" w:ascii="宋体" w:hAnsi="宋体"/>
          <w:bCs/>
          <w:color w:val="auto"/>
          <w:sz w:val="24"/>
          <w:u w:val="single"/>
        </w:rPr>
        <w:t>有管辖权的人民法院</w:t>
      </w:r>
      <w:r>
        <w:rPr>
          <w:rFonts w:hint="eastAsia" w:ascii="宋体" w:hAnsi="宋体"/>
          <w:bCs/>
          <w:color w:val="auto"/>
          <w:sz w:val="24"/>
        </w:rPr>
        <w:t>提起诉讼</w:t>
      </w:r>
      <w:r>
        <w:rPr>
          <w:rFonts w:hint="eastAsia" w:ascii="宋体" w:hAnsi="宋体"/>
          <w:color w:val="auto"/>
          <w:sz w:val="24"/>
        </w:rPr>
        <w:t>。</w:t>
      </w:r>
    </w:p>
    <w:p>
      <w:pPr>
        <w:numPr>
          <w:ilvl w:val="0"/>
          <w:numId w:val="3"/>
        </w:numPr>
        <w:spacing w:line="360" w:lineRule="auto"/>
        <w:ind w:firstLine="595" w:firstLineChars="248"/>
        <w:rPr>
          <w:rFonts w:ascii="宋体" w:hAnsi="宋体"/>
          <w:color w:val="auto"/>
          <w:sz w:val="24"/>
        </w:rPr>
      </w:pPr>
      <w:r>
        <w:rPr>
          <w:rFonts w:hint="eastAsia" w:ascii="宋体" w:hAnsi="宋体"/>
          <w:color w:val="auto"/>
          <w:sz w:val="24"/>
        </w:rPr>
        <w:t>其他：</w:t>
      </w:r>
    </w:p>
    <w:p>
      <w:pPr>
        <w:spacing w:line="360" w:lineRule="auto"/>
        <w:ind w:firstLine="720" w:firstLineChars="300"/>
        <w:rPr>
          <w:rFonts w:ascii="宋体" w:hAnsi="宋体"/>
          <w:b/>
          <w:color w:val="auto"/>
          <w:sz w:val="24"/>
        </w:rPr>
      </w:pPr>
      <w:r>
        <w:rPr>
          <w:rFonts w:hint="eastAsia" w:ascii="宋体" w:hAnsi="宋体"/>
          <w:color w:val="auto"/>
          <w:sz w:val="24"/>
        </w:rPr>
        <w:t>8.1本协议未尽事宜，可由甲乙双方另行签订补充协议。补充协议与本合同具有同等法律效力。</w:t>
      </w:r>
    </w:p>
    <w:p>
      <w:pPr>
        <w:spacing w:line="360" w:lineRule="auto"/>
        <w:ind w:firstLine="600" w:firstLineChars="250"/>
        <w:rPr>
          <w:rFonts w:ascii="宋体" w:hAnsi="宋体"/>
          <w:color w:val="auto"/>
          <w:sz w:val="24"/>
        </w:rPr>
      </w:pPr>
      <w:r>
        <w:rPr>
          <w:rFonts w:hint="eastAsia" w:ascii="宋体" w:hAnsi="宋体"/>
          <w:color w:val="auto"/>
          <w:sz w:val="24"/>
        </w:rPr>
        <w:t>8.2本合同自甲乙双方法定代表人或授权代理人签字、盖章之日起生效。</w:t>
      </w:r>
    </w:p>
    <w:p>
      <w:pPr>
        <w:spacing w:line="360" w:lineRule="auto"/>
        <w:ind w:firstLine="720" w:firstLineChars="300"/>
        <w:rPr>
          <w:rFonts w:ascii="宋体" w:hAnsi="宋体"/>
          <w:color w:val="auto"/>
          <w:sz w:val="24"/>
        </w:rPr>
      </w:pPr>
      <w:r>
        <w:rPr>
          <w:rFonts w:hint="eastAsia" w:ascii="宋体" w:hAnsi="宋体"/>
          <w:color w:val="auto"/>
          <w:sz w:val="24"/>
        </w:rPr>
        <w:t>8.3本合同一式</w:t>
      </w:r>
      <w:r>
        <w:rPr>
          <w:rFonts w:hint="eastAsia" w:ascii="宋体" w:hAnsi="宋体"/>
          <w:color w:val="auto"/>
          <w:sz w:val="24"/>
          <w:u w:val="single"/>
        </w:rPr>
        <w:t>捌</w:t>
      </w:r>
      <w:r>
        <w:rPr>
          <w:rFonts w:hint="eastAsia" w:ascii="宋体" w:hAnsi="宋体"/>
          <w:color w:val="auto"/>
          <w:sz w:val="24"/>
        </w:rPr>
        <w:t>份，甲方执肆份，乙方执肆份。均具有同等法律效力。</w:t>
      </w:r>
    </w:p>
    <w:p>
      <w:pPr>
        <w:spacing w:line="360" w:lineRule="auto"/>
        <w:ind w:firstLine="720" w:firstLineChars="300"/>
        <w:rPr>
          <w:rFonts w:ascii="宋体" w:hAnsi="宋体"/>
          <w:color w:val="auto"/>
          <w:sz w:val="24"/>
        </w:rPr>
      </w:pPr>
      <w:r>
        <w:rPr>
          <w:rFonts w:hint="eastAsia" w:ascii="宋体" w:hAnsi="宋体"/>
          <w:color w:val="auto"/>
          <w:sz w:val="24"/>
        </w:rPr>
        <w:t>8.4补充条款：</w:t>
      </w:r>
      <w:r>
        <w:rPr>
          <w:rFonts w:hint="eastAsia" w:ascii="宋体" w:hAnsi="宋体"/>
          <w:color w:val="auto"/>
          <w:sz w:val="24"/>
          <w:u w:val="single"/>
        </w:rPr>
        <w:t xml:space="preserve">              。</w:t>
      </w:r>
      <w:r>
        <w:rPr>
          <w:rFonts w:hint="eastAsia" w:ascii="宋体" w:hAnsi="宋体"/>
          <w:color w:val="auto"/>
          <w:sz w:val="24"/>
        </w:rPr>
        <w:t xml:space="preserve">     </w:t>
      </w:r>
    </w:p>
    <w:p>
      <w:pPr>
        <w:adjustRightInd w:val="0"/>
        <w:snapToGrid w:val="0"/>
        <w:spacing w:line="360" w:lineRule="auto"/>
        <w:rPr>
          <w:rFonts w:ascii="宋体" w:hAnsi="宋体"/>
          <w:color w:val="auto"/>
          <w:sz w:val="24"/>
        </w:rPr>
      </w:pPr>
    </w:p>
    <w:bookmarkEnd w:id="28"/>
    <w:bookmarkEnd w:id="29"/>
    <w:bookmarkEnd w:id="30"/>
    <w:bookmarkEnd w:id="31"/>
    <w:bookmarkEnd w:id="32"/>
    <w:bookmarkEnd w:id="33"/>
    <w:bookmarkEnd w:id="34"/>
    <w:bookmarkEnd w:id="35"/>
    <w:bookmarkEnd w:id="36"/>
    <w:bookmarkEnd w:id="37"/>
    <w:bookmarkEnd w:id="38"/>
    <w:bookmarkEnd w:id="39"/>
    <w:bookmarkEnd w:id="40"/>
    <w:p>
      <w:pPr>
        <w:spacing w:line="360" w:lineRule="auto"/>
        <w:ind w:firstLine="480"/>
        <w:rPr>
          <w:rFonts w:ascii="宋体" w:hAnsi="宋体"/>
          <w:color w:val="auto"/>
          <w:sz w:val="24"/>
        </w:rPr>
      </w:pPr>
      <w:r>
        <w:rPr>
          <w:rFonts w:hint="eastAsia" w:ascii="宋体" w:hAnsi="宋体"/>
          <w:color w:val="auto"/>
          <w:sz w:val="24"/>
        </w:rPr>
        <w:t>附件：1、发包通知书/委托函（如有）</w:t>
      </w:r>
    </w:p>
    <w:p>
      <w:pPr>
        <w:spacing w:line="360" w:lineRule="auto"/>
        <w:rPr>
          <w:rFonts w:hint="eastAsia" w:ascii="宋体" w:hAnsi="宋体"/>
          <w:color w:val="auto"/>
          <w:sz w:val="24"/>
        </w:rPr>
      </w:pPr>
      <w:r>
        <w:rPr>
          <w:rFonts w:hint="eastAsia" w:ascii="宋体" w:hAnsi="宋体"/>
          <w:color w:val="auto"/>
          <w:sz w:val="24"/>
        </w:rPr>
        <w:t xml:space="preserve">          2、廉洁协议书</w:t>
      </w:r>
    </w:p>
    <w:p>
      <w:pPr>
        <w:pStyle w:val="2"/>
        <w:rPr>
          <w:rFonts w:hint="eastAsia" w:hAnsi="宋体" w:eastAsia="宋体" w:cs="Times New Roman"/>
          <w:color w:val="auto"/>
          <w:kern w:val="2"/>
          <w:lang w:val="en-US" w:eastAsia="zh-CN"/>
        </w:rPr>
      </w:pPr>
      <w:r>
        <w:rPr>
          <w:rFonts w:hint="eastAsia"/>
          <w:color w:val="auto"/>
          <w:lang w:val="en-US" w:eastAsia="zh-CN"/>
        </w:rPr>
        <w:t xml:space="preserve">         </w:t>
      </w:r>
      <w:r>
        <w:rPr>
          <w:rFonts w:hint="eastAsia" w:hAnsi="宋体" w:eastAsia="宋体" w:cs="Times New Roman"/>
          <w:color w:val="auto"/>
          <w:kern w:val="2"/>
          <w:lang w:val="en-US" w:eastAsia="zh-CN"/>
        </w:rPr>
        <w:t xml:space="preserve"> 3、物品采购安全协议书</w:t>
      </w:r>
    </w:p>
    <w:p>
      <w:pPr>
        <w:spacing w:line="360" w:lineRule="auto"/>
        <w:ind w:firstLine="1200" w:firstLineChars="500"/>
        <w:rPr>
          <w:rFonts w:hint="eastAsia" w:ascii="宋体" w:hAnsi="宋体" w:cs="宋体"/>
          <w:color w:val="auto"/>
          <w:kern w:val="0"/>
          <w:sz w:val="24"/>
          <w:lang w:val="zh-CN"/>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、技术需求</w:t>
      </w:r>
    </w:p>
    <w:p>
      <w:pPr>
        <w:spacing w:line="360" w:lineRule="auto"/>
        <w:ind w:firstLine="1200" w:firstLineChars="500"/>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5、商务需求</w:t>
      </w:r>
    </w:p>
    <w:p>
      <w:pPr>
        <w:spacing w:line="360" w:lineRule="auto"/>
        <w:ind w:firstLine="1200" w:firstLineChars="500"/>
        <w:rPr>
          <w:rFonts w:ascii="宋体" w:hAnsi="宋体"/>
          <w:color w:val="auto"/>
          <w:sz w:val="24"/>
        </w:rPr>
      </w:pPr>
    </w:p>
    <w:p>
      <w:pPr>
        <w:spacing w:line="360" w:lineRule="auto"/>
        <w:ind w:firstLine="1200" w:firstLineChars="500"/>
        <w:rPr>
          <w:rFonts w:ascii="宋体" w:hAnsi="宋体"/>
          <w:color w:val="auto"/>
          <w:sz w:val="24"/>
        </w:rPr>
      </w:pPr>
    </w:p>
    <w:p>
      <w:pPr>
        <w:spacing w:line="360" w:lineRule="auto"/>
        <w:ind w:firstLine="1200" w:firstLineChars="500"/>
        <w:rPr>
          <w:rFonts w:ascii="宋体" w:hAnsi="宋体"/>
          <w:color w:val="auto"/>
          <w:sz w:val="24"/>
        </w:rPr>
      </w:pPr>
    </w:p>
    <w:tbl>
      <w:tblPr>
        <w:tblStyle w:val="23"/>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olor w:val="auto"/>
                <w:sz w:val="24"/>
              </w:rPr>
            </w:pPr>
            <w:r>
              <w:rPr>
                <w:rFonts w:ascii="宋体" w:hAnsi="宋体"/>
                <w:b/>
                <w:color w:val="auto"/>
                <w:sz w:val="24"/>
              </w:rPr>
              <w:t>甲方</w:t>
            </w:r>
            <w:r>
              <w:rPr>
                <w:rFonts w:ascii="宋体" w:hAnsi="宋体"/>
                <w:color w:val="auto"/>
                <w:sz w:val="24"/>
              </w:rPr>
              <w:t>：</w:t>
            </w:r>
            <w:r>
              <w:rPr>
                <w:rFonts w:hint="eastAsia" w:ascii="宋体" w:hAnsi="宋体"/>
                <w:color w:val="auto"/>
                <w:sz w:val="24"/>
              </w:rPr>
              <w:t>广州水务环保技术有限公司</w:t>
            </w:r>
          </w:p>
          <w:p>
            <w:pPr>
              <w:adjustRightInd w:val="0"/>
              <w:snapToGrid w:val="0"/>
              <w:spacing w:line="360" w:lineRule="auto"/>
              <w:ind w:firstLine="240" w:firstLineChars="100"/>
              <w:rPr>
                <w:rFonts w:ascii="宋体" w:hAnsi="宋体"/>
                <w:color w:val="auto"/>
                <w:sz w:val="24"/>
              </w:rPr>
            </w:pPr>
          </w:p>
        </w:tc>
        <w:tc>
          <w:tcPr>
            <w:tcW w:w="4696" w:type="dxa"/>
            <w:tcBorders>
              <w:top w:val="nil"/>
              <w:left w:val="nil"/>
              <w:bottom w:val="nil"/>
              <w:right w:val="nil"/>
            </w:tcBorders>
          </w:tcPr>
          <w:p>
            <w:pPr>
              <w:adjustRightInd w:val="0"/>
              <w:snapToGrid w:val="0"/>
              <w:spacing w:line="360" w:lineRule="auto"/>
              <w:rPr>
                <w:rFonts w:ascii="宋体" w:hAnsi="宋体"/>
                <w:color w:val="auto"/>
                <w:sz w:val="24"/>
              </w:rPr>
            </w:pPr>
            <w:r>
              <w:rPr>
                <w:rFonts w:ascii="宋体" w:hAnsi="宋体"/>
                <w:b/>
                <w:color w:val="auto"/>
                <w:sz w:val="24"/>
              </w:rPr>
              <w:t>乙方</w:t>
            </w:r>
            <w:r>
              <w:rPr>
                <w:rFonts w:ascii="宋体" w:hAnsi="宋体"/>
                <w:color w:val="auto"/>
                <w:sz w:val="24"/>
              </w:rPr>
              <w:t xml:space="preserve">： </w:t>
            </w:r>
          </w:p>
          <w:p>
            <w:pPr>
              <w:adjustRightInd w:val="0"/>
              <w:snapToGrid w:val="0"/>
              <w:spacing w:line="360" w:lineRule="auto"/>
              <w:ind w:firstLine="240" w:firstLineChars="100"/>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olor w:val="auto"/>
                <w:sz w:val="24"/>
              </w:rPr>
            </w:pPr>
            <w:r>
              <w:rPr>
                <w:rFonts w:ascii="宋体" w:hAnsi="宋体"/>
                <w:color w:val="auto"/>
                <w:sz w:val="24"/>
              </w:rPr>
              <w:t>法定代表人</w:t>
            </w:r>
            <w:r>
              <w:rPr>
                <w:rFonts w:hint="eastAsia" w:ascii="宋体" w:hAnsi="宋体"/>
                <w:color w:val="auto"/>
                <w:sz w:val="24"/>
              </w:rPr>
              <w:t>或授权代表：</w:t>
            </w:r>
          </w:p>
        </w:tc>
        <w:tc>
          <w:tcPr>
            <w:tcW w:w="4696" w:type="dxa"/>
            <w:tcBorders>
              <w:top w:val="nil"/>
              <w:left w:val="nil"/>
              <w:bottom w:val="nil"/>
              <w:right w:val="nil"/>
            </w:tcBorders>
          </w:tcPr>
          <w:p>
            <w:pPr>
              <w:adjustRightInd w:val="0"/>
              <w:snapToGrid w:val="0"/>
              <w:spacing w:line="360" w:lineRule="auto"/>
              <w:rPr>
                <w:rFonts w:ascii="宋体" w:hAnsi="宋体"/>
                <w:color w:val="auto"/>
                <w:sz w:val="24"/>
              </w:rPr>
            </w:pPr>
            <w:r>
              <w:rPr>
                <w:rFonts w:ascii="宋体" w:hAnsi="宋体"/>
                <w:color w:val="auto"/>
                <w:sz w:val="24"/>
              </w:rPr>
              <w:t>法定代表人</w:t>
            </w:r>
            <w:r>
              <w:rPr>
                <w:rFonts w:hint="eastAsia" w:ascii="宋体" w:hAnsi="宋体"/>
                <w:color w:val="auto"/>
                <w:sz w:val="24"/>
              </w:rPr>
              <w:t>或授权代表</w:t>
            </w:r>
            <w:r>
              <w:rPr>
                <w:rFonts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olor w:val="auto"/>
                <w:sz w:val="24"/>
              </w:rPr>
            </w:pPr>
            <w:r>
              <w:rPr>
                <w:rFonts w:ascii="宋体" w:hAnsi="宋体"/>
                <w:color w:val="auto"/>
                <w:sz w:val="24"/>
              </w:rPr>
              <w:t>经办人：</w:t>
            </w:r>
          </w:p>
        </w:tc>
        <w:tc>
          <w:tcPr>
            <w:tcW w:w="4696" w:type="dxa"/>
            <w:tcBorders>
              <w:top w:val="nil"/>
              <w:left w:val="nil"/>
              <w:bottom w:val="nil"/>
              <w:right w:val="nil"/>
            </w:tcBorders>
          </w:tcPr>
          <w:p>
            <w:pPr>
              <w:adjustRightInd w:val="0"/>
              <w:snapToGrid w:val="0"/>
              <w:spacing w:line="360" w:lineRule="auto"/>
              <w:rPr>
                <w:rFonts w:ascii="宋体" w:hAnsi="宋体"/>
                <w:color w:val="auto"/>
                <w:sz w:val="24"/>
              </w:rPr>
            </w:pPr>
            <w:r>
              <w:rPr>
                <w:rFonts w:ascii="宋体" w:hAnsi="宋体"/>
                <w:color w:val="auto"/>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olor w:val="auto"/>
                <w:sz w:val="24"/>
              </w:rPr>
            </w:pPr>
            <w:r>
              <w:rPr>
                <w:rFonts w:ascii="宋体" w:hAnsi="宋体"/>
                <w:color w:val="auto"/>
                <w:sz w:val="24"/>
              </w:rPr>
              <w:t>电话：</w:t>
            </w:r>
          </w:p>
        </w:tc>
        <w:tc>
          <w:tcPr>
            <w:tcW w:w="4696" w:type="dxa"/>
            <w:tcBorders>
              <w:top w:val="nil"/>
              <w:left w:val="nil"/>
              <w:bottom w:val="nil"/>
              <w:right w:val="nil"/>
            </w:tcBorders>
          </w:tcPr>
          <w:p>
            <w:pPr>
              <w:adjustRightInd w:val="0"/>
              <w:snapToGrid w:val="0"/>
              <w:spacing w:line="360" w:lineRule="auto"/>
              <w:rPr>
                <w:rFonts w:ascii="宋体" w:hAnsi="宋体"/>
                <w:color w:val="auto"/>
                <w:sz w:val="24"/>
              </w:rPr>
            </w:pPr>
            <w:r>
              <w:rPr>
                <w:rFonts w:ascii="宋体" w:hAnsi="宋体"/>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olor w:val="auto"/>
                <w:sz w:val="24"/>
              </w:rPr>
            </w:pPr>
            <w:r>
              <w:rPr>
                <w:rFonts w:hint="eastAsia" w:ascii="宋体" w:cs="宋体"/>
                <w:color w:val="auto"/>
                <w:sz w:val="24"/>
              </w:rPr>
              <w:t>法定地址</w:t>
            </w:r>
            <w:r>
              <w:rPr>
                <w:rFonts w:hint="eastAsia" w:ascii="宋体" w:cs="宋体"/>
                <w:color w:val="auto"/>
                <w:sz w:val="24"/>
                <w:lang w:eastAsia="zh-CN"/>
              </w:rPr>
              <w:t>：</w:t>
            </w:r>
          </w:p>
        </w:tc>
        <w:tc>
          <w:tcPr>
            <w:tcW w:w="4696" w:type="dxa"/>
            <w:tcBorders>
              <w:top w:val="nil"/>
              <w:left w:val="nil"/>
              <w:bottom w:val="nil"/>
              <w:right w:val="nil"/>
            </w:tcBorders>
            <w:vAlign w:val="top"/>
          </w:tcPr>
          <w:p>
            <w:pPr>
              <w:adjustRightInd w:val="0"/>
              <w:snapToGrid w:val="0"/>
              <w:spacing w:line="360" w:lineRule="auto"/>
              <w:rPr>
                <w:rFonts w:ascii="宋体" w:hAnsi="宋体"/>
                <w:color w:val="auto"/>
                <w:sz w:val="24"/>
              </w:rPr>
            </w:pPr>
            <w:r>
              <w:rPr>
                <w:rFonts w:hint="eastAsia" w:ascii="宋体" w:cs="宋体"/>
                <w:color w:val="auto"/>
                <w:sz w:val="24"/>
              </w:rPr>
              <w:t>法定地址</w:t>
            </w:r>
            <w:r>
              <w:rPr>
                <w:rFonts w:hint="eastAsia" w:asci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olor w:val="auto"/>
                <w:sz w:val="24"/>
              </w:rPr>
            </w:pPr>
            <w:r>
              <w:rPr>
                <w:rFonts w:hint="eastAsia" w:ascii="宋体" w:hAnsi="Times New Roman" w:cs="宋体"/>
                <w:color w:val="auto"/>
                <w:sz w:val="24"/>
              </w:rPr>
              <w:t>开户银行：</w:t>
            </w:r>
          </w:p>
        </w:tc>
        <w:tc>
          <w:tcPr>
            <w:tcW w:w="4696" w:type="dxa"/>
            <w:tcBorders>
              <w:top w:val="nil"/>
              <w:left w:val="nil"/>
              <w:bottom w:val="nil"/>
              <w:right w:val="nil"/>
            </w:tcBorders>
            <w:vAlign w:val="top"/>
          </w:tcPr>
          <w:p>
            <w:pPr>
              <w:adjustRightInd w:val="0"/>
              <w:snapToGrid w:val="0"/>
              <w:spacing w:line="360" w:lineRule="auto"/>
              <w:rPr>
                <w:rFonts w:ascii="宋体" w:hAnsi="宋体"/>
                <w:color w:val="auto"/>
                <w:sz w:val="24"/>
              </w:rPr>
            </w:pPr>
            <w:r>
              <w:rPr>
                <w:rFonts w:hint="eastAsia" w:ascii="宋体" w:hAnsi="Times New Roman"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hint="eastAsia" w:ascii="宋体" w:hAnsi="宋体" w:eastAsia="宋体"/>
                <w:color w:val="auto"/>
                <w:sz w:val="24"/>
                <w:lang w:eastAsia="zh-CN"/>
              </w:rPr>
            </w:pPr>
            <w:r>
              <w:rPr>
                <w:rFonts w:hint="eastAsia" w:ascii="宋体" w:hAnsi="Times New Roman" w:cs="宋体"/>
                <w:color w:val="auto"/>
                <w:sz w:val="24"/>
              </w:rPr>
              <w:t>银行帐号</w:t>
            </w:r>
            <w:r>
              <w:rPr>
                <w:rFonts w:hint="eastAsia" w:ascii="宋体" w:hAnsi="Times New Roman" w:cs="宋体"/>
                <w:color w:val="auto"/>
                <w:sz w:val="24"/>
                <w:lang w:eastAsia="zh-CN"/>
              </w:rPr>
              <w:t>：</w:t>
            </w:r>
          </w:p>
        </w:tc>
        <w:tc>
          <w:tcPr>
            <w:tcW w:w="4696" w:type="dxa"/>
            <w:tcBorders>
              <w:top w:val="nil"/>
              <w:left w:val="nil"/>
              <w:bottom w:val="nil"/>
              <w:right w:val="nil"/>
            </w:tcBorders>
            <w:vAlign w:val="top"/>
          </w:tcPr>
          <w:p>
            <w:pPr>
              <w:adjustRightInd w:val="0"/>
              <w:snapToGrid w:val="0"/>
              <w:spacing w:line="360" w:lineRule="auto"/>
              <w:rPr>
                <w:rFonts w:ascii="宋体" w:hAnsi="宋体"/>
                <w:color w:val="auto"/>
                <w:sz w:val="24"/>
              </w:rPr>
            </w:pPr>
            <w:r>
              <w:rPr>
                <w:rFonts w:hint="eastAsia" w:ascii="宋体" w:hAnsi="Times New Roman" w:cs="宋体"/>
                <w:color w:val="auto"/>
                <w:sz w:val="24"/>
              </w:rPr>
              <w:t>银行帐号</w:t>
            </w:r>
            <w:r>
              <w:rPr>
                <w:rFonts w:hint="eastAsia" w:ascii="宋体" w:hAnsi="Times New Roman"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hint="eastAsia" w:ascii="宋体" w:hAnsi="宋体" w:eastAsia="宋体"/>
                <w:color w:val="auto"/>
                <w:sz w:val="24"/>
                <w:lang w:eastAsia="zh-CN"/>
              </w:rPr>
            </w:pPr>
            <w:r>
              <w:rPr>
                <w:rFonts w:hint="eastAsia" w:ascii="宋体" w:hAnsi="Times New Roman" w:cs="宋体"/>
                <w:color w:val="auto"/>
                <w:sz w:val="24"/>
              </w:rPr>
              <w:t>纳税编号</w:t>
            </w:r>
            <w:r>
              <w:rPr>
                <w:rFonts w:hint="eastAsia" w:ascii="宋体" w:hAnsi="Times New Roman" w:cs="宋体"/>
                <w:color w:val="auto"/>
                <w:sz w:val="24"/>
                <w:lang w:eastAsia="zh-CN"/>
              </w:rPr>
              <w:t>：</w:t>
            </w:r>
          </w:p>
        </w:tc>
        <w:tc>
          <w:tcPr>
            <w:tcW w:w="4696" w:type="dxa"/>
            <w:tcBorders>
              <w:top w:val="nil"/>
              <w:left w:val="nil"/>
              <w:bottom w:val="nil"/>
              <w:right w:val="nil"/>
            </w:tcBorders>
            <w:vAlign w:val="top"/>
          </w:tcPr>
          <w:p>
            <w:pPr>
              <w:adjustRightInd w:val="0"/>
              <w:snapToGrid w:val="0"/>
              <w:spacing w:line="360" w:lineRule="auto"/>
              <w:rPr>
                <w:rFonts w:ascii="宋体" w:hAnsi="宋体"/>
                <w:color w:val="auto"/>
                <w:sz w:val="24"/>
              </w:rPr>
            </w:pPr>
            <w:r>
              <w:rPr>
                <w:rFonts w:hint="eastAsia" w:ascii="宋体" w:hAnsi="Times New Roman" w:cs="宋体"/>
                <w:color w:val="auto"/>
                <w:sz w:val="24"/>
              </w:rPr>
              <w:t>纳税编号</w:t>
            </w:r>
            <w:r>
              <w:rPr>
                <w:rFonts w:hint="eastAsia" w:ascii="宋体" w:hAnsi="Times New Roman"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left"/>
              <w:rPr>
                <w:rFonts w:ascii="宋体" w:hAnsi="宋体"/>
                <w:color w:val="auto"/>
                <w:sz w:val="24"/>
              </w:rPr>
            </w:pPr>
            <w:r>
              <w:rPr>
                <w:rFonts w:hint="eastAsia" w:ascii="宋体" w:hAnsi="宋体"/>
                <w:color w:val="auto"/>
                <w:sz w:val="24"/>
              </w:rPr>
              <w:t xml:space="preserve">签订日期：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olor w:val="auto"/>
                <w:sz w:val="24"/>
              </w:rPr>
            </w:pPr>
          </w:p>
        </w:tc>
      </w:tr>
    </w:tbl>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hint="eastAsia" w:ascii="宋体" w:hAnsi="宋体"/>
          <w:color w:val="auto"/>
          <w:sz w:val="24"/>
        </w:rPr>
      </w:pPr>
    </w:p>
    <w:p>
      <w:pPr>
        <w:spacing w:line="360" w:lineRule="auto"/>
        <w:rPr>
          <w:rFonts w:ascii="宋体" w:hAnsi="宋体"/>
          <w:color w:val="auto"/>
          <w:sz w:val="24"/>
        </w:rPr>
      </w:pPr>
      <w:r>
        <w:rPr>
          <w:rFonts w:hint="eastAsia" w:ascii="宋体" w:hAnsi="宋体"/>
          <w:color w:val="auto"/>
          <w:sz w:val="24"/>
        </w:rPr>
        <w:t>附件2</w:t>
      </w:r>
    </w:p>
    <w:p>
      <w:pPr>
        <w:spacing w:line="360" w:lineRule="auto"/>
        <w:jc w:val="center"/>
        <w:rPr>
          <w:rFonts w:ascii="宋体" w:hAnsi="宋体"/>
          <w:b/>
          <w:color w:val="auto"/>
          <w:sz w:val="24"/>
        </w:rPr>
      </w:pPr>
      <w:r>
        <w:rPr>
          <w:rFonts w:hint="eastAsia" w:ascii="宋体" w:hAnsi="宋体"/>
          <w:b/>
          <w:color w:val="auto"/>
          <w:sz w:val="24"/>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w:t>
      </w:r>
      <w:r>
        <w:rPr>
          <w:rFonts w:hint="eastAsia" w:ascii="宋体" w:hAnsi="宋体"/>
          <w:color w:val="auto"/>
          <w:sz w:val="24"/>
          <w:u w:val="single"/>
        </w:rPr>
        <w:t>水务环保技术</w:t>
      </w:r>
      <w:r>
        <w:rPr>
          <w:rFonts w:ascii="宋体" w:hAnsi="宋体"/>
          <w:color w:val="auto"/>
          <w:sz w:val="24"/>
          <w:u w:val="single"/>
        </w:rPr>
        <w:t>有限公司</w:t>
      </w:r>
      <w:r>
        <w:rPr>
          <w:rFonts w:ascii="宋体" w:hAnsi="宋体"/>
          <w:color w:val="auto"/>
          <w:sz w:val="24"/>
        </w:rPr>
        <w:t>(以下称甲方)与</w:t>
      </w:r>
      <w:r>
        <w:rPr>
          <w:rFonts w:hint="eastAsia" w:ascii="宋体" w:hAnsi="宋体"/>
          <w:color w:val="auto"/>
          <w:sz w:val="24"/>
          <w:u w:val="single"/>
        </w:rPr>
        <w:t xml:space="preserve">                 </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（二）严格执行广州水务环保技术有限公司年采购项目合同，自觉履行合同约定的相关义务。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pStyle w:val="20"/>
        <w:spacing w:line="360" w:lineRule="auto"/>
        <w:ind w:left="0" w:firstLine="360" w:firstLineChars="150"/>
        <w:rPr>
          <w:rFonts w:ascii="宋体" w:hAnsi="宋体"/>
          <w:color w:val="auto"/>
          <w:sz w:val="24"/>
          <w:szCs w:val="24"/>
        </w:rPr>
      </w:pPr>
      <w:r>
        <w:rPr>
          <w:rFonts w:hint="eastAsia" w:ascii="宋体" w:hAnsi="宋体"/>
          <w:color w:val="auto"/>
          <w:sz w:val="24"/>
          <w:szCs w:val="24"/>
        </w:rPr>
        <w:t>（四）建立健全廉政制度，开展廉政教育，公布举报电话，监督并认真查处违法违纪行为。</w:t>
      </w:r>
    </w:p>
    <w:p>
      <w:pPr>
        <w:pStyle w:val="12"/>
        <w:spacing w:line="360" w:lineRule="auto"/>
        <w:ind w:firstLine="360" w:firstLineChars="150"/>
        <w:rPr>
          <w:rFonts w:ascii="宋体" w:hAnsi="宋体" w:eastAsia="宋体"/>
          <w:color w:val="auto"/>
          <w:sz w:val="24"/>
          <w:szCs w:val="24"/>
        </w:rPr>
      </w:pPr>
      <w:r>
        <w:rPr>
          <w:rFonts w:hint="eastAsia" w:ascii="宋体" w:hAnsi="宋体" w:eastAsia="宋体"/>
          <w:color w:val="auto"/>
          <w:sz w:val="24"/>
          <w:szCs w:val="24"/>
        </w:rPr>
        <w:t>（五）发现对方在业务活动中有违反廉政规定的行为，应及时提醒对方纠正。情节严重的，应向其上级有关部门举报，建议给予处理，并有权要求告知处理结果。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4"/>
        <w:spacing w:line="360" w:lineRule="auto"/>
        <w:ind w:firstLine="480"/>
        <w:rPr>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监察室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1、扣除乙方合同履约保证金；</w:t>
      </w:r>
    </w:p>
    <w:p>
      <w:pPr>
        <w:spacing w:line="360" w:lineRule="auto"/>
        <w:ind w:firstLine="480" w:firstLineChars="200"/>
        <w:rPr>
          <w:rFonts w:ascii="宋体" w:hAnsi="宋体"/>
          <w:color w:val="auto"/>
          <w:sz w:val="24"/>
        </w:rPr>
      </w:pPr>
      <w:r>
        <w:rPr>
          <w:rFonts w:ascii="宋体" w:hAnsi="宋体"/>
          <w:color w:val="auto"/>
          <w:sz w:val="24"/>
        </w:rPr>
        <w:t>2、终止双方已签订的所有合同；</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olor w:val="auto"/>
          <w:sz w:val="24"/>
        </w:rPr>
      </w:pPr>
      <w:r>
        <w:rPr>
          <w:rFonts w:hint="eastAsia" w:ascii="宋体" w:hAnsi="宋体"/>
          <w:b/>
          <w:bCs/>
          <w:color w:val="auto"/>
          <w:sz w:val="24"/>
        </w:rPr>
        <w:t>第五条</w:t>
      </w:r>
      <w:r>
        <w:rPr>
          <w:rFonts w:hint="eastAsia" w:ascii="宋体" w:hAnsi="宋体"/>
          <w:color w:val="auto"/>
          <w:sz w:val="24"/>
        </w:rPr>
        <w:t>本协议由双方或双方上级单位负责监督。可由甲方或甲方上级单位的纪检监察部门约请乙方或乙方上级单位的</w:t>
      </w:r>
      <w:r>
        <w:rPr>
          <w:rFonts w:hint="eastAsia" w:ascii="宋体" w:hAnsi="宋体"/>
          <w:color w:val="auto"/>
          <w:sz w:val="24"/>
          <w:u w:val="single"/>
        </w:rPr>
        <w:t>纪检监察室</w:t>
      </w:r>
      <w:r>
        <w:rPr>
          <w:rFonts w:hint="eastAsia" w:ascii="宋体" w:hAnsi="宋体"/>
          <w:color w:val="auto"/>
          <w:sz w:val="24"/>
        </w:rPr>
        <w:t>对本协议履行情况进行检查。</w:t>
      </w:r>
    </w:p>
    <w:p>
      <w:pPr>
        <w:spacing w:line="360" w:lineRule="auto"/>
        <w:ind w:firstLine="472" w:firstLineChars="196"/>
        <w:rPr>
          <w:rFonts w:ascii="宋体" w:hAnsi="宋体"/>
          <w:color w:val="auto"/>
          <w:sz w:val="24"/>
        </w:rPr>
      </w:pPr>
      <w:r>
        <w:rPr>
          <w:rFonts w:hint="eastAsia" w:ascii="宋体" w:hAnsi="宋体"/>
          <w:b/>
          <w:bCs/>
          <w:color w:val="auto"/>
          <w:sz w:val="24"/>
        </w:rPr>
        <w:t>第六条</w:t>
      </w:r>
      <w:r>
        <w:rPr>
          <w:rFonts w:ascii="宋体" w:hAnsi="宋体"/>
          <w:color w:val="auto"/>
          <w:sz w:val="24"/>
        </w:rPr>
        <w:t>本协议有效期为甲乙双方签署之日起至合同终止。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ascii="宋体" w:hAnsi="宋体"/>
          <w:color w:val="auto"/>
          <w:sz w:val="24"/>
        </w:rPr>
        <w:t>本协议作为</w:t>
      </w:r>
      <w:r>
        <w:rPr>
          <w:rFonts w:hint="eastAsia" w:ascii="宋体" w:hAnsi="宋体"/>
          <w:color w:val="auto"/>
          <w:sz w:val="24"/>
          <w:u w:val="single"/>
        </w:rPr>
        <w:t>（合同名称）+（合同编号）</w:t>
      </w:r>
      <w:r>
        <w:rPr>
          <w:rFonts w:hint="eastAsia" w:ascii="宋体" w:hAnsi="宋体"/>
          <w:color w:val="auto"/>
          <w:sz w:val="24"/>
        </w:rPr>
        <w:t>合同的附件，并具有同等的法律效力，经合同双方签署立即生效。</w:t>
      </w:r>
    </w:p>
    <w:p>
      <w:pPr>
        <w:spacing w:line="360" w:lineRule="auto"/>
        <w:ind w:firstLine="482" w:firstLineChars="200"/>
        <w:rPr>
          <w:rFonts w:ascii="宋体" w:hAnsi="宋体"/>
          <w:color w:val="auto"/>
          <w:sz w:val="24"/>
        </w:rPr>
      </w:pPr>
      <w:r>
        <w:rPr>
          <w:rFonts w:hint="eastAsia" w:ascii="宋体" w:hAnsi="宋体"/>
          <w:b/>
          <w:color w:val="auto"/>
          <w:sz w:val="24"/>
        </w:rPr>
        <w:t>第八条</w:t>
      </w:r>
      <w:r>
        <w:rPr>
          <w:rFonts w:ascii="宋体" w:hAnsi="宋体"/>
          <w:color w:val="auto"/>
          <w:sz w:val="24"/>
        </w:rPr>
        <w:t>本协议一式</w:t>
      </w:r>
      <w:r>
        <w:rPr>
          <w:rFonts w:hint="eastAsia" w:ascii="宋体" w:hAnsi="宋体"/>
          <w:color w:val="auto"/>
          <w:sz w:val="24"/>
          <w:lang w:val="en-US" w:eastAsia="zh-CN"/>
        </w:rPr>
        <w:t>__</w:t>
      </w:r>
      <w:r>
        <w:rPr>
          <w:rFonts w:ascii="宋体" w:hAnsi="宋体"/>
          <w:color w:val="auto"/>
          <w:sz w:val="24"/>
        </w:rPr>
        <w:t>份，甲方</w:t>
      </w:r>
      <w:r>
        <w:rPr>
          <w:rFonts w:hint="eastAsia" w:ascii="宋体" w:hAnsi="宋体"/>
          <w:color w:val="auto"/>
          <w:sz w:val="24"/>
          <w:lang w:val="en-US" w:eastAsia="zh-CN"/>
        </w:rPr>
        <w:t>__</w:t>
      </w:r>
      <w:r>
        <w:rPr>
          <w:rFonts w:ascii="宋体" w:hAnsi="宋体"/>
          <w:color w:val="auto"/>
          <w:sz w:val="24"/>
        </w:rPr>
        <w:t>份，乙方</w:t>
      </w:r>
      <w:r>
        <w:rPr>
          <w:rFonts w:hint="eastAsia" w:ascii="宋体" w:hAnsi="宋体"/>
          <w:color w:val="auto"/>
          <w:sz w:val="24"/>
          <w:lang w:val="en-US" w:eastAsia="zh-CN"/>
        </w:rPr>
        <w:t>__</w:t>
      </w:r>
      <w:r>
        <w:rPr>
          <w:rFonts w:ascii="宋体" w:hAnsi="宋体"/>
          <w:color w:val="auto"/>
          <w:sz w:val="24"/>
        </w:rPr>
        <w:t>份。</w:t>
      </w: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甲方（盖章）：                     乙方（盖章）：</w:t>
      </w:r>
    </w:p>
    <w:p>
      <w:pPr>
        <w:pStyle w:val="44"/>
        <w:tabs>
          <w:tab w:val="left" w:pos="5100"/>
        </w:tabs>
        <w:spacing w:line="360" w:lineRule="auto"/>
        <w:ind w:left="7200" w:firstLine="0" w:firstLineChars="0"/>
        <w:jc w:val="left"/>
        <w:rPr>
          <w:rFonts w:ascii="宋体" w:hAnsi="宋体"/>
          <w:color w:val="auto"/>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签约代表：                         签约代表：</w:t>
      </w:r>
    </w:p>
    <w:p>
      <w:pPr>
        <w:tabs>
          <w:tab w:val="left" w:pos="4170"/>
        </w:tabs>
        <w:spacing w:line="360" w:lineRule="auto"/>
        <w:rPr>
          <w:rFonts w:ascii="宋体" w:hAnsi="宋体"/>
          <w:color w:val="auto"/>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lang w:val="en-US" w:eastAsia="zh-CN"/>
        </w:rPr>
        <w:t xml:space="preserve">    </w:t>
      </w:r>
      <w:r>
        <w:rPr>
          <w:rFonts w:ascii="宋体" w:hAnsi="宋体"/>
          <w:color w:val="auto"/>
          <w:sz w:val="24"/>
        </w:rPr>
        <w:t>月</w:t>
      </w:r>
      <w:r>
        <w:rPr>
          <w:rFonts w:hint="eastAsia" w:ascii="宋体" w:hAnsi="宋体"/>
          <w:color w:val="auto"/>
          <w:sz w:val="24"/>
          <w:lang w:val="en-US" w:eastAsia="zh-CN"/>
        </w:rPr>
        <w:t xml:space="preserve">    </w:t>
      </w:r>
      <w:r>
        <w:rPr>
          <w:rFonts w:ascii="宋体" w:hAnsi="宋体"/>
          <w:color w:val="auto"/>
          <w:sz w:val="24"/>
        </w:rPr>
        <w:t>日</w:t>
      </w:r>
      <w:r>
        <w:rPr>
          <w:rFonts w:ascii="宋体" w:hAnsi="宋体"/>
          <w:color w:val="auto"/>
          <w:sz w:val="24"/>
        </w:rPr>
        <w:tab/>
      </w:r>
      <w:r>
        <w:rPr>
          <w:rFonts w:hint="eastAsia" w:ascii="宋体" w:hAnsi="宋体"/>
          <w:color w:val="auto"/>
          <w:sz w:val="24"/>
        </w:rPr>
        <w:t>日期：</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w:t>
      </w: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3</w:t>
      </w:r>
    </w:p>
    <w:p>
      <w:pPr>
        <w:jc w:val="center"/>
        <w:rPr>
          <w:rFonts w:ascii="黑体" w:hAnsi="宋体" w:eastAsia="黑体" w:cs="宋体"/>
          <w:bCs/>
          <w:color w:val="auto"/>
          <w:kern w:val="0"/>
          <w:sz w:val="32"/>
          <w:szCs w:val="32"/>
        </w:rPr>
      </w:pPr>
      <w:r>
        <w:rPr>
          <w:rFonts w:hint="eastAsia" w:ascii="黑体" w:hAnsi="宋体" w:eastAsia="黑体" w:cs="宋体"/>
          <w:bCs/>
          <w:color w:val="auto"/>
          <w:kern w:val="0"/>
          <w:sz w:val="32"/>
          <w:szCs w:val="32"/>
        </w:rPr>
        <w:t>物品采购</w:t>
      </w:r>
      <w:r>
        <w:rPr>
          <w:rFonts w:hint="eastAsia" w:ascii="黑体" w:hAnsi="Batang" w:eastAsia="黑体" w:cs="Batang"/>
          <w:bCs/>
          <w:color w:val="auto"/>
          <w:kern w:val="0"/>
          <w:sz w:val="32"/>
          <w:szCs w:val="32"/>
        </w:rPr>
        <w:t>安全协议</w:t>
      </w:r>
      <w:r>
        <w:rPr>
          <w:rFonts w:hint="eastAsia" w:ascii="黑体" w:hAnsi="宋体" w:eastAsia="黑体" w:cs="宋体"/>
          <w:bCs/>
          <w:color w:val="auto"/>
          <w:kern w:val="0"/>
          <w:sz w:val="32"/>
          <w:szCs w:val="32"/>
        </w:rPr>
        <w:t>书</w:t>
      </w:r>
    </w:p>
    <w:p>
      <w:pPr>
        <w:spacing w:line="360" w:lineRule="auto"/>
        <w:rPr>
          <w:rFonts w:ascii="宋体" w:hAnsi="宋体" w:cs="Arial"/>
          <w:color w:val="auto"/>
          <w:kern w:val="0"/>
          <w:sz w:val="24"/>
        </w:rPr>
      </w:pPr>
    </w:p>
    <w:p>
      <w:pPr>
        <w:spacing w:line="360" w:lineRule="auto"/>
        <w:rPr>
          <w:rFonts w:hint="eastAsia" w:ascii="宋体" w:hAnsi="宋体" w:eastAsia="宋体" w:cs="Arial"/>
          <w:color w:val="auto"/>
          <w:kern w:val="0"/>
          <w:sz w:val="24"/>
          <w:lang w:eastAsia="zh-CN"/>
        </w:rPr>
      </w:pPr>
      <w:r>
        <w:rPr>
          <w:rFonts w:hint="eastAsia" w:ascii="宋体" w:hAnsi="宋体" w:cs="Arial"/>
          <w:color w:val="auto"/>
          <w:kern w:val="0"/>
          <w:sz w:val="24"/>
        </w:rPr>
        <w:t>甲方：</w:t>
      </w:r>
      <w:r>
        <w:rPr>
          <w:rFonts w:hint="eastAsia"/>
          <w:color w:val="auto"/>
          <w:sz w:val="24"/>
          <w:lang w:val="en-US" w:eastAsia="zh-CN"/>
        </w:rPr>
        <w:t>广州水务环保技术有限公司</w:t>
      </w:r>
    </w:p>
    <w:p>
      <w:pPr>
        <w:spacing w:line="360" w:lineRule="auto"/>
        <w:rPr>
          <w:rFonts w:ascii="宋体" w:hAnsi="宋体" w:cs="Arial"/>
          <w:color w:val="auto"/>
          <w:kern w:val="0"/>
          <w:sz w:val="24"/>
        </w:rPr>
      </w:pPr>
      <w:r>
        <w:rPr>
          <w:rFonts w:hint="eastAsia" w:ascii="宋体" w:hAnsi="宋体" w:cs="Arial"/>
          <w:color w:val="auto"/>
          <w:kern w:val="0"/>
          <w:sz w:val="24"/>
        </w:rPr>
        <w:t xml:space="preserve">乙方： </w:t>
      </w:r>
    </w:p>
    <w:p>
      <w:pPr>
        <w:spacing w:line="360" w:lineRule="auto"/>
        <w:rPr>
          <w:rFonts w:ascii="宋体" w:hAnsi="宋体" w:cs="Arial"/>
          <w:color w:val="auto"/>
          <w:kern w:val="0"/>
          <w:sz w:val="24"/>
        </w:rPr>
      </w:pPr>
    </w:p>
    <w:p>
      <w:pPr>
        <w:spacing w:line="360" w:lineRule="auto"/>
        <w:ind w:firstLine="480" w:firstLineChars="200"/>
        <w:rPr>
          <w:rFonts w:ascii="宋体" w:hAnsi="宋体" w:cs="Arial"/>
          <w:color w:val="auto"/>
          <w:kern w:val="0"/>
          <w:sz w:val="24"/>
        </w:rPr>
      </w:pPr>
      <w:r>
        <w:rPr>
          <w:rFonts w:hint="eastAsia" w:ascii="宋体" w:hAnsi="宋体" w:cs="Arial"/>
          <w:color w:val="auto"/>
          <w:kern w:val="0"/>
          <w:sz w:val="24"/>
        </w:rPr>
        <w:t>为加强物品采购过程安全管理，根据《中华人民共和国安全生产法》、《生产安全事故报告和调查处理条例》和《广州市安全生产管理规定（试行）》等国家及地方有关安全生产法律法规</w:t>
      </w:r>
      <w:r>
        <w:rPr>
          <w:rFonts w:ascii="宋体" w:hAnsi="宋体" w:cs="Arial"/>
          <w:color w:val="auto"/>
          <w:kern w:val="0"/>
          <w:sz w:val="24"/>
        </w:rPr>
        <w:t>，甲乙双方就</w:t>
      </w:r>
      <w:r>
        <w:rPr>
          <w:rFonts w:hint="eastAsia" w:ascii="宋体" w:hAnsi="宋体" w:cs="Arial"/>
          <w:color w:val="auto"/>
          <w:kern w:val="0"/>
          <w:sz w:val="24"/>
        </w:rPr>
        <w:t>物品采购的安全</w:t>
      </w:r>
      <w:r>
        <w:rPr>
          <w:rFonts w:ascii="宋体" w:hAnsi="宋体" w:cs="Arial"/>
          <w:color w:val="auto"/>
          <w:kern w:val="0"/>
          <w:sz w:val="24"/>
        </w:rPr>
        <w:t>事宜，</w:t>
      </w:r>
      <w:r>
        <w:rPr>
          <w:rFonts w:ascii="宋体" w:hAnsi="宋体" w:cs="Arial"/>
          <w:color w:val="auto"/>
          <w:sz w:val="24"/>
        </w:rPr>
        <w:t>经双方友好协商，达成如下协议</w:t>
      </w:r>
      <w:r>
        <w:rPr>
          <w:rFonts w:ascii="宋体" w:hAnsi="宋体" w:cs="Arial"/>
          <w:color w:val="auto"/>
          <w:kern w:val="0"/>
          <w:sz w:val="24"/>
        </w:rPr>
        <w:t>。</w:t>
      </w:r>
    </w:p>
    <w:p>
      <w:pPr>
        <w:keepNext w:val="0"/>
        <w:keepLines w:val="0"/>
        <w:pageBreakBefore w:val="0"/>
        <w:widowControl/>
        <w:kinsoku/>
        <w:wordWrap/>
        <w:overflowPunct/>
        <w:topLinePunct w:val="0"/>
        <w:autoSpaceDE/>
        <w:autoSpaceDN/>
        <w:bidi w:val="0"/>
        <w:adjustRightInd w:val="0"/>
        <w:snapToGrid w:val="0"/>
        <w:spacing w:after="0" w:line="440" w:lineRule="exact"/>
        <w:ind w:firstLine="482" w:firstLineChars="200"/>
        <w:jc w:val="left"/>
        <w:textAlignment w:val="auto"/>
        <w:rPr>
          <w:rFonts w:ascii="宋体" w:hAnsi="宋体" w:eastAsia="宋体"/>
          <w:b/>
          <w:color w:val="auto"/>
          <w:sz w:val="24"/>
        </w:rPr>
      </w:pPr>
      <w:r>
        <w:rPr>
          <w:rFonts w:hint="eastAsia" w:ascii="宋体" w:hAnsi="宋体" w:eastAsia="宋体"/>
          <w:b/>
          <w:color w:val="auto"/>
          <w:sz w:val="24"/>
        </w:rPr>
        <w:t>一、本协议与主合同的关系</w:t>
      </w:r>
    </w:p>
    <w:p>
      <w:pPr>
        <w:keepNext w:val="0"/>
        <w:keepLines w:val="0"/>
        <w:pageBreakBefore w:val="0"/>
        <w:widowControl/>
        <w:kinsoku/>
        <w:wordWrap/>
        <w:overflowPunct/>
        <w:topLinePunct w:val="0"/>
        <w:autoSpaceDE/>
        <w:autoSpaceDN/>
        <w:bidi w:val="0"/>
        <w:adjustRightInd w:val="0"/>
        <w:snapToGrid w:val="0"/>
        <w:spacing w:after="0" w:line="440" w:lineRule="exact"/>
        <w:ind w:left="105" w:firstLine="480" w:firstLineChars="200"/>
        <w:jc w:val="left"/>
        <w:textAlignment w:val="auto"/>
        <w:rPr>
          <w:rFonts w:ascii="宋体" w:hAnsi="宋体" w:eastAsia="宋体"/>
          <w:color w:val="auto"/>
          <w:sz w:val="24"/>
        </w:rPr>
      </w:pPr>
      <w:r>
        <w:rPr>
          <w:rFonts w:hint="eastAsia" w:ascii="宋体" w:hAnsi="宋体" w:eastAsia="宋体"/>
          <w:color w:val="auto"/>
          <w:sz w:val="24"/>
        </w:rPr>
        <w:t>本协议作为</w:t>
      </w:r>
      <w:r>
        <w:rPr>
          <w:rFonts w:hint="eastAsia" w:ascii="宋体" w:hAnsi="宋体"/>
          <w:color w:val="auto"/>
          <w:sz w:val="24"/>
          <w:u w:val="single"/>
          <w:lang w:val="en-US" w:eastAsia="zh-CN"/>
        </w:rPr>
        <w:t>广州水务环保技术有限公司自卸货车轮胎采购</w:t>
      </w:r>
      <w:r>
        <w:rPr>
          <w:rFonts w:hint="eastAsia" w:ascii="宋体" w:hAnsi="宋体" w:eastAsia="宋体"/>
          <w:color w:val="auto"/>
          <w:sz w:val="24"/>
          <w:u w:val="none"/>
          <w:lang w:eastAsia="zh-CN"/>
        </w:rPr>
        <w:t>合同</w:t>
      </w:r>
      <w:r>
        <w:rPr>
          <w:rFonts w:hint="eastAsia" w:ascii="宋体" w:hAnsi="宋体" w:eastAsia="宋体"/>
          <w:color w:val="auto"/>
          <w:sz w:val="24"/>
          <w:u w:val="none"/>
        </w:rPr>
        <w:t xml:space="preserve"> </w:t>
      </w:r>
      <w:r>
        <w:rPr>
          <w:rFonts w:hint="eastAsia" w:ascii="宋体" w:hAnsi="宋体" w:eastAsia="宋体"/>
          <w:color w:val="auto"/>
          <w:sz w:val="24"/>
        </w:rPr>
        <w:t>的组成部分，与主合同具有同等法律。</w:t>
      </w:r>
    </w:p>
    <w:p>
      <w:pPr>
        <w:keepNext w:val="0"/>
        <w:keepLines w:val="0"/>
        <w:pageBreakBefore w:val="0"/>
        <w:widowControl/>
        <w:kinsoku/>
        <w:wordWrap/>
        <w:overflowPunct/>
        <w:topLinePunct w:val="0"/>
        <w:autoSpaceDE/>
        <w:autoSpaceDN/>
        <w:bidi w:val="0"/>
        <w:spacing w:after="0" w:line="360" w:lineRule="auto"/>
        <w:ind w:firstLine="482" w:firstLineChars="200"/>
        <w:textAlignment w:val="auto"/>
        <w:rPr>
          <w:rFonts w:ascii="宋体" w:hAnsi="宋体" w:cs="Arial"/>
          <w:b/>
          <w:color w:val="auto"/>
          <w:kern w:val="0"/>
          <w:sz w:val="24"/>
        </w:rPr>
      </w:pPr>
      <w:r>
        <w:rPr>
          <w:rFonts w:hint="eastAsia" w:ascii="宋体" w:hAnsi="宋体" w:cs="Arial"/>
          <w:b/>
          <w:color w:val="auto"/>
          <w:kern w:val="0"/>
          <w:sz w:val="24"/>
        </w:rPr>
        <w:t>二、甲方权责</w:t>
      </w:r>
    </w:p>
    <w:p>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ascii="宋体" w:hAnsi="宋体" w:cs="Arial"/>
          <w:color w:val="auto"/>
          <w:kern w:val="0"/>
          <w:sz w:val="24"/>
        </w:rPr>
      </w:pPr>
      <w:r>
        <w:rPr>
          <w:rFonts w:hint="eastAsia" w:ascii="宋体" w:hAnsi="宋体" w:cs="Arial"/>
          <w:color w:val="auto"/>
          <w:kern w:val="0"/>
          <w:sz w:val="24"/>
        </w:rPr>
        <w:t>（一）甲方进行物品采购时，应贯彻落实国家、地方有关安全管理的法律法规和规章制度。</w:t>
      </w:r>
    </w:p>
    <w:p>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ascii="宋体" w:hAnsi="宋体" w:cs="Arial"/>
          <w:color w:val="auto"/>
          <w:kern w:val="0"/>
          <w:sz w:val="24"/>
        </w:rPr>
      </w:pPr>
      <w:r>
        <w:rPr>
          <w:rFonts w:hint="eastAsia" w:ascii="宋体" w:hAnsi="宋体" w:cs="Arial"/>
          <w:color w:val="auto"/>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widowControl/>
        <w:kinsoku/>
        <w:wordWrap/>
        <w:overflowPunct/>
        <w:topLinePunct w:val="0"/>
        <w:autoSpaceDE/>
        <w:autoSpaceDN/>
        <w:bidi w:val="0"/>
        <w:spacing w:after="0" w:line="360" w:lineRule="auto"/>
        <w:ind w:firstLine="480" w:firstLineChars="200"/>
        <w:textAlignment w:val="auto"/>
        <w:rPr>
          <w:rFonts w:ascii="宋体" w:hAnsi="宋体" w:cs="Arial"/>
          <w:color w:val="auto"/>
          <w:kern w:val="0"/>
          <w:sz w:val="24"/>
        </w:rPr>
      </w:pPr>
      <w:r>
        <w:rPr>
          <w:rFonts w:hint="eastAsia" w:ascii="宋体" w:hAnsi="宋体" w:cs="Arial"/>
          <w:color w:val="auto"/>
          <w:kern w:val="0"/>
          <w:sz w:val="24"/>
        </w:rPr>
        <w:t>（三）甲方应在其管辖区域对乙方的物品运输、装卸、安装和调试等过程的安全生产实行监督，及时纠正乙方人员违章指挥、违章驾驶、违反禁令等行为，并按照甲方的安全管理制度规定对乙方进行经济处罚；发现安全隐患，甲方应开具隐患整改通知单，责令乙方限期整改，及时督促乙方消除事故隐患。</w:t>
      </w:r>
    </w:p>
    <w:p>
      <w:pPr>
        <w:spacing w:line="360" w:lineRule="auto"/>
        <w:ind w:firstLine="480" w:firstLineChars="200"/>
        <w:rPr>
          <w:rFonts w:ascii="宋体" w:hAnsi="宋体" w:cs="Arial"/>
          <w:color w:val="auto"/>
          <w:kern w:val="0"/>
          <w:sz w:val="24"/>
        </w:rPr>
      </w:pPr>
      <w:r>
        <w:rPr>
          <w:rFonts w:hint="eastAsia" w:ascii="宋体" w:hAnsi="宋体" w:cs="Arial"/>
          <w:color w:val="auto"/>
          <w:kern w:val="0"/>
          <w:sz w:val="24"/>
        </w:rPr>
        <w:t>（四）甲方应要求乙方建立物品运输、装卸等的各项安全管理制度，涉及到设备在甲方管辖区域内安装、调试工作，有可能造成生产设备停电、停运事故的，甲方应要求乙方制定作业实施方案、应急预案，监督乙方严格落实执行。</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Arial"/>
          <w:b/>
          <w:color w:val="auto"/>
          <w:kern w:val="0"/>
          <w:sz w:val="24"/>
        </w:rPr>
      </w:pPr>
      <w:r>
        <w:rPr>
          <w:rFonts w:hint="eastAsia" w:ascii="宋体" w:hAnsi="宋体" w:cs="Arial"/>
          <w:color w:val="auto"/>
          <w:kern w:val="0"/>
          <w:sz w:val="24"/>
        </w:rPr>
        <w:t>（五）乙方对存在问题拒不整改的，视为违约，甲方有权对乙方进行违约金扣罚。如乙方拒不缴纳违约金的，甲方有权在履约保证金中扣除。</w:t>
      </w:r>
    </w:p>
    <w:p>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ascii="宋体" w:hAnsi="宋体" w:cs="Arial"/>
          <w:b/>
          <w:color w:val="auto"/>
          <w:kern w:val="0"/>
          <w:sz w:val="24"/>
        </w:rPr>
      </w:pPr>
      <w:r>
        <w:rPr>
          <w:rFonts w:hint="eastAsia" w:ascii="宋体" w:hAnsi="宋体" w:cs="Arial"/>
          <w:b/>
          <w:color w:val="auto"/>
          <w:kern w:val="0"/>
          <w:sz w:val="24"/>
        </w:rPr>
        <w:t>三、乙方权责</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ascii="宋体" w:hAnsi="宋体" w:cs="Arial"/>
          <w:color w:val="auto"/>
          <w:kern w:val="0"/>
          <w:sz w:val="24"/>
        </w:rPr>
      </w:pPr>
      <w:r>
        <w:rPr>
          <w:rFonts w:hint="eastAsia" w:ascii="宋体" w:hAnsi="宋体" w:cs="Arial"/>
          <w:color w:val="auto"/>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ascii="宋体" w:hAnsi="宋体" w:cs="Arial"/>
          <w:color w:val="auto"/>
          <w:kern w:val="0"/>
          <w:sz w:val="24"/>
        </w:rPr>
      </w:pPr>
      <w:r>
        <w:rPr>
          <w:rFonts w:hint="eastAsia" w:ascii="宋体" w:hAnsi="宋体" w:cs="Arial"/>
          <w:color w:val="auto"/>
          <w:kern w:val="0"/>
          <w:sz w:val="24"/>
        </w:rPr>
        <w:t>（二）</w:t>
      </w:r>
      <w:r>
        <w:rPr>
          <w:rFonts w:hint="eastAsia" w:ascii="宋体" w:hAnsi="宋体" w:cs="宋体"/>
          <w:color w:val="auto"/>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rPr>
        <w:t>物品</w:t>
      </w:r>
      <w:r>
        <w:rPr>
          <w:rFonts w:hint="eastAsia" w:ascii="宋体" w:hAnsi="宋体" w:cs="宋体"/>
          <w:color w:val="auto"/>
          <w:kern w:val="0"/>
          <w:sz w:val="24"/>
        </w:rPr>
        <w:t>安全运输责任人，负责安全运输和装卸及安全教育工作，同时督促检查，确保</w:t>
      </w:r>
      <w:r>
        <w:rPr>
          <w:rFonts w:hint="eastAsia" w:ascii="宋体" w:hAnsi="宋体" w:cs="Arial"/>
          <w:color w:val="auto"/>
          <w:kern w:val="0"/>
          <w:sz w:val="24"/>
        </w:rPr>
        <w:t>物品</w:t>
      </w:r>
      <w:r>
        <w:rPr>
          <w:rFonts w:hint="eastAsia" w:ascii="宋体" w:hAnsi="宋体" w:cs="宋体"/>
          <w:color w:val="auto"/>
          <w:kern w:val="0"/>
          <w:sz w:val="24"/>
        </w:rPr>
        <w:t>的安全送运。</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（三）乙方应承诺所售</w:t>
      </w:r>
      <w:r>
        <w:rPr>
          <w:rFonts w:hint="eastAsia" w:ascii="宋体" w:hAnsi="宋体" w:cs="Arial"/>
          <w:color w:val="auto"/>
          <w:kern w:val="0"/>
          <w:sz w:val="24"/>
        </w:rPr>
        <w:t>物品</w:t>
      </w:r>
      <w:r>
        <w:rPr>
          <w:rFonts w:hint="eastAsia" w:ascii="宋体" w:hAnsi="宋体" w:cs="宋体"/>
          <w:color w:val="auto"/>
          <w:kern w:val="0"/>
          <w:sz w:val="24"/>
        </w:rPr>
        <w:t>质量符合现行国家规范要求，保证</w:t>
      </w:r>
      <w:r>
        <w:rPr>
          <w:rFonts w:hint="eastAsia" w:ascii="宋体" w:hAnsi="宋体" w:cs="Arial"/>
          <w:color w:val="auto"/>
          <w:kern w:val="0"/>
          <w:sz w:val="24"/>
        </w:rPr>
        <w:t>所售物品为正品。设备类物品应提供与设备型号一致的使用说明书，如物品有保质期要求的应在保质期范围内，</w:t>
      </w:r>
      <w:r>
        <w:rPr>
          <w:rFonts w:hint="eastAsia" w:ascii="宋体" w:hAnsi="宋体" w:cs="宋体"/>
          <w:color w:val="auto"/>
          <w:kern w:val="0"/>
          <w:sz w:val="24"/>
        </w:rPr>
        <w:t>特殊设备应在运输前做好定检工作，包装要完整完好。</w:t>
      </w:r>
    </w:p>
    <w:p>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乙方对</w:t>
      </w:r>
      <w:r>
        <w:rPr>
          <w:rFonts w:hint="eastAsia" w:ascii="宋体" w:hAnsi="宋体" w:cs="Arial"/>
          <w:color w:val="auto"/>
          <w:kern w:val="0"/>
          <w:sz w:val="24"/>
        </w:rPr>
        <w:t>物品</w:t>
      </w:r>
      <w:r>
        <w:rPr>
          <w:rFonts w:hint="eastAsia" w:ascii="宋体" w:hAnsi="宋体" w:cs="宋体"/>
          <w:color w:val="auto"/>
          <w:kern w:val="0"/>
          <w:sz w:val="24"/>
        </w:rPr>
        <w:t>的运输、装卸、设备的安装和调试过程的安全工作负责。对乙方内部的运输车队，乙方用于运输药剂的车辆应取得合法证照资质。对乙方聘请的运输车队，乙方应严格审核其运输车队、驾驶员资质证照及车队运输相关的管理制度。</w:t>
      </w:r>
    </w:p>
    <w:p>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乙方须加强物品运输车辆的安全管理，用于运输</w:t>
      </w:r>
      <w:r>
        <w:rPr>
          <w:rFonts w:hint="eastAsia" w:ascii="宋体" w:hAnsi="宋体" w:cs="Arial"/>
          <w:color w:val="auto"/>
          <w:kern w:val="0"/>
          <w:sz w:val="24"/>
        </w:rPr>
        <w:t>物品</w:t>
      </w:r>
      <w:r>
        <w:rPr>
          <w:rFonts w:hint="eastAsia" w:ascii="宋体" w:hAnsi="宋体" w:cs="宋体"/>
          <w:color w:val="auto"/>
          <w:kern w:val="0"/>
          <w:sz w:val="24"/>
        </w:rPr>
        <w:t>的车辆必须车况良好、外观整洁、证照齐全，严格执行车辆安全检验制度，确保车辆性能符合安全技术标准。</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（六）人员管理</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或罚款。</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罚。</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4.如设备类物品需进行安装、调试，乙方应安排熟悉设备或有设备操作相关资质的专业人员与甲方进行设备验收及培训等工作，确保操作设备过程安全。</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（七）发生事故时，乙方须立即报警处理，乙方在力所能及范围内采取补救措施，并在30分钟内将情况报告甲方。责任归属如下：</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1.乙方人员及车辆在甲方管辖区内发生的安全事故，经过调查被认定为责任方的将负全部责任。</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2.乙方人员及车辆在运输途中发生的安全事故，根据公安交警出具的事故责任认定结果，由乙方负全部或部分责任。</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（八）乙方必须严格履行本协议，遵守甲方各项管理规定，服从管理。乙方对存在问题拒不整改的，视为违约，甲方有权对乙方进行违约金扣罚。如乙方拒不缴纳违约金的，甲方有权在履约保证金中扣除。</w:t>
      </w:r>
    </w:p>
    <w:p>
      <w:pPr>
        <w:pStyle w:val="43"/>
        <w:spacing w:line="440" w:lineRule="exact"/>
        <w:ind w:firstLine="482" w:firstLineChars="200"/>
        <w:rPr>
          <w:rFonts w:ascii="宋体" w:hAnsi="宋体" w:eastAsia="宋体"/>
          <w:color w:val="auto"/>
          <w:sz w:val="24"/>
        </w:rPr>
      </w:pPr>
      <w:r>
        <w:rPr>
          <w:rFonts w:hint="eastAsia" w:ascii="宋体" w:hAnsi="宋体" w:eastAsia="宋体"/>
          <w:b/>
          <w:color w:val="auto"/>
          <w:sz w:val="24"/>
        </w:rPr>
        <w:t>四、补充条款：</w:t>
      </w:r>
      <w:r>
        <w:rPr>
          <w:rFonts w:hint="eastAsia" w:ascii="宋体" w:hAnsi="宋体" w:eastAsia="宋体"/>
          <w:color w:val="auto"/>
          <w:sz w:val="24"/>
          <w:u w:val="single"/>
        </w:rPr>
        <w:t xml:space="preserve">         </w:t>
      </w:r>
      <w:r>
        <w:rPr>
          <w:rFonts w:ascii="宋体" w:hAnsi="宋体" w:eastAsia="宋体"/>
          <w:color w:val="auto"/>
          <w:sz w:val="24"/>
          <w:u w:val="single"/>
        </w:rPr>
        <w:t xml:space="preserve"> </w:t>
      </w:r>
      <w:r>
        <w:rPr>
          <w:rFonts w:hint="eastAsia" w:ascii="宋体" w:hAnsi="宋体" w:eastAsia="宋体"/>
          <w:color w:val="auto"/>
          <w:sz w:val="24"/>
          <w:u w:val="single"/>
        </w:rPr>
        <w:t xml:space="preserve">       </w:t>
      </w:r>
      <w:r>
        <w:rPr>
          <w:rFonts w:hint="eastAsia" w:ascii="宋体" w:hAnsi="宋体" w:eastAsia="宋体"/>
          <w:color w:val="auto"/>
          <w:sz w:val="24"/>
        </w:rPr>
        <w:t>。</w:t>
      </w:r>
    </w:p>
    <w:p>
      <w:pPr>
        <w:adjustRightInd w:val="0"/>
        <w:snapToGrid w:val="0"/>
        <w:spacing w:line="440" w:lineRule="exact"/>
        <w:ind w:firstLine="482" w:firstLineChars="200"/>
        <w:jc w:val="left"/>
        <w:rPr>
          <w:rFonts w:ascii="宋体" w:hAnsi="宋体" w:eastAsia="宋体"/>
          <w:b/>
          <w:color w:val="auto"/>
          <w:sz w:val="24"/>
        </w:rPr>
      </w:pPr>
      <w:r>
        <w:rPr>
          <w:rFonts w:hint="eastAsia" w:ascii="宋体" w:hAnsi="宋体" w:eastAsia="宋体"/>
          <w:b/>
          <w:color w:val="auto"/>
          <w:sz w:val="24"/>
        </w:rPr>
        <w:t>五、附则</w:t>
      </w:r>
    </w:p>
    <w:p>
      <w:pPr>
        <w:adjustRightInd w:val="0"/>
        <w:snapToGrid w:val="0"/>
        <w:spacing w:line="440" w:lineRule="exact"/>
        <w:ind w:firstLine="480" w:firstLineChars="200"/>
        <w:jc w:val="left"/>
        <w:rPr>
          <w:rFonts w:ascii="宋体" w:hAnsi="宋体" w:eastAsia="宋体"/>
          <w:color w:val="auto"/>
          <w:sz w:val="24"/>
        </w:rPr>
      </w:pPr>
      <w:r>
        <w:rPr>
          <w:rFonts w:hint="eastAsia" w:ascii="宋体" w:hAnsi="宋体" w:eastAsia="宋体"/>
          <w:color w:val="auto"/>
          <w:sz w:val="24"/>
        </w:rPr>
        <w:t>本协议与主合同同时签订、同时终止、同时生效，具有相同的法律效力，自甲方、乙方双方签字、盖章生效，甲方、乙方双方执持数量与主合同一致。</w:t>
      </w:r>
    </w:p>
    <w:p>
      <w:pPr>
        <w:spacing w:line="360" w:lineRule="auto"/>
        <w:ind w:left="359" w:leftChars="171" w:firstLine="288" w:firstLineChars="120"/>
        <w:rPr>
          <w:rFonts w:ascii="宋体" w:hAnsi="宋体" w:cs="宋体"/>
          <w:color w:val="auto"/>
          <w:kern w:val="0"/>
          <w:sz w:val="24"/>
        </w:rPr>
      </w:pPr>
    </w:p>
    <w:p>
      <w:pPr>
        <w:spacing w:line="360" w:lineRule="auto"/>
        <w:ind w:left="5490" w:leftChars="100" w:hanging="5280" w:hangingChars="2200"/>
        <w:rPr>
          <w:rFonts w:ascii="宋体" w:hAnsi="宋体" w:cs="Arial"/>
          <w:color w:val="auto"/>
          <w:kern w:val="0"/>
          <w:sz w:val="24"/>
        </w:rPr>
      </w:pPr>
      <w:r>
        <w:rPr>
          <w:rFonts w:ascii="宋体" w:hAnsi="宋体" w:cs="宋体"/>
          <w:color w:val="auto"/>
          <w:kern w:val="0"/>
          <w:sz w:val="24"/>
        </w:rPr>
        <w:t>甲方：</w:t>
      </w:r>
      <w:r>
        <w:rPr>
          <w:rFonts w:hint="eastAsia"/>
          <w:color w:val="auto"/>
          <w:sz w:val="24"/>
        </w:rPr>
        <w:t xml:space="preserve"> </w:t>
      </w:r>
      <w:r>
        <w:rPr>
          <w:color w:val="auto"/>
          <w:sz w:val="24"/>
        </w:rPr>
        <w:t xml:space="preserve">                 </w:t>
      </w:r>
      <w:r>
        <w:rPr>
          <w:rFonts w:hint="eastAsia"/>
          <w:color w:val="auto"/>
          <w:sz w:val="24"/>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ascii="宋体" w:hAnsi="宋体" w:cs="宋体"/>
          <w:color w:val="auto"/>
          <w:kern w:val="0"/>
          <w:sz w:val="24"/>
        </w:rPr>
        <w:t>乙方：</w:t>
      </w:r>
      <w:r>
        <w:rPr>
          <w:rFonts w:hint="eastAsia" w:ascii="宋体" w:hAnsi="宋体" w:cs="Arial"/>
          <w:color w:val="auto"/>
          <w:kern w:val="0"/>
          <w:sz w:val="24"/>
        </w:rPr>
        <w:t xml:space="preserve"> </w:t>
      </w:r>
    </w:p>
    <w:p>
      <w:pPr>
        <w:widowControl/>
        <w:spacing w:line="360" w:lineRule="auto"/>
        <w:ind w:firstLine="240" w:firstLineChars="100"/>
        <w:jc w:val="left"/>
        <w:rPr>
          <w:rFonts w:ascii="宋体" w:hAnsi="宋体" w:cs="宋体"/>
          <w:color w:val="auto"/>
          <w:kern w:val="0"/>
          <w:sz w:val="24"/>
        </w:rPr>
      </w:pPr>
      <w:r>
        <w:rPr>
          <w:rFonts w:hint="eastAsia" w:ascii="宋体" w:hAnsi="宋体" w:cs="宋体"/>
          <w:color w:val="auto"/>
          <w:kern w:val="0"/>
          <w:sz w:val="24"/>
          <w:lang w:eastAsia="zh-CN"/>
        </w:rPr>
        <w:t>签约代表</w:t>
      </w:r>
      <w:r>
        <w:rPr>
          <w:rFonts w:ascii="宋体" w:hAnsi="宋体" w:cs="宋体"/>
          <w:color w:val="auto"/>
          <w:kern w:val="0"/>
          <w:sz w:val="24"/>
        </w:rPr>
        <w:t xml:space="preserve"> ：                      </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ascii="宋体" w:hAnsi="宋体" w:cs="宋体"/>
          <w:color w:val="auto"/>
          <w:kern w:val="0"/>
          <w:sz w:val="24"/>
          <w:lang w:eastAsia="zh-CN"/>
        </w:rPr>
        <w:t>签约代表</w:t>
      </w:r>
      <w:r>
        <w:rPr>
          <w:rFonts w:ascii="宋体" w:hAnsi="宋体" w:cs="宋体"/>
          <w:color w:val="auto"/>
          <w:kern w:val="0"/>
          <w:sz w:val="24"/>
        </w:rPr>
        <w:t>：</w:t>
      </w:r>
    </w:p>
    <w:p>
      <w:pPr>
        <w:widowControl/>
        <w:spacing w:line="360" w:lineRule="auto"/>
        <w:ind w:firstLine="240" w:firstLineChars="100"/>
        <w:jc w:val="left"/>
        <w:rPr>
          <w:rFonts w:ascii="宋体" w:hAnsi="宋体" w:cs="宋体"/>
          <w:color w:val="auto"/>
          <w:kern w:val="0"/>
          <w:sz w:val="24"/>
        </w:rPr>
      </w:pPr>
      <w:r>
        <w:rPr>
          <w:rFonts w:ascii="宋体" w:hAnsi="宋体" w:cs="宋体"/>
          <w:color w:val="auto"/>
          <w:kern w:val="0"/>
          <w:sz w:val="24"/>
        </w:rPr>
        <w:t>地址：</w:t>
      </w:r>
      <w:r>
        <w:rPr>
          <w:rFonts w:hint="eastAsia"/>
          <w:color w:val="auto"/>
          <w:sz w:val="24"/>
        </w:rPr>
        <w:t xml:space="preserve"> </w:t>
      </w:r>
      <w:r>
        <w:rPr>
          <w:color w:val="auto"/>
          <w:sz w:val="24"/>
        </w:rPr>
        <w:t xml:space="preserve">                   </w:t>
      </w:r>
      <w:r>
        <w:rPr>
          <w:rFonts w:hint="eastAsia"/>
          <w:color w:val="auto"/>
          <w:sz w:val="24"/>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ascii="宋体" w:hAnsi="宋体" w:cs="宋体"/>
          <w:color w:val="auto"/>
          <w:kern w:val="0"/>
          <w:sz w:val="24"/>
        </w:rPr>
        <w:t xml:space="preserve">地址： </w:t>
      </w:r>
    </w:p>
    <w:p>
      <w:pPr>
        <w:widowControl/>
        <w:spacing w:line="360" w:lineRule="auto"/>
        <w:ind w:firstLine="240" w:firstLineChars="100"/>
        <w:jc w:val="left"/>
        <w:rPr>
          <w:rFonts w:ascii="宋体" w:hAnsi="宋体" w:cs="宋体"/>
          <w:color w:val="auto"/>
          <w:kern w:val="0"/>
          <w:sz w:val="24"/>
        </w:rPr>
      </w:pPr>
      <w:r>
        <w:rPr>
          <w:rFonts w:ascii="宋体" w:hAnsi="宋体" w:cs="宋体"/>
          <w:color w:val="auto"/>
          <w:kern w:val="0"/>
          <w:sz w:val="24"/>
        </w:rPr>
        <w:t xml:space="preserve">电话：                            </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ascii="宋体" w:hAnsi="宋体" w:cs="宋体"/>
          <w:color w:val="auto"/>
          <w:kern w:val="0"/>
          <w:sz w:val="24"/>
        </w:rPr>
        <w:t>电话：</w:t>
      </w:r>
    </w:p>
    <w:p>
      <w:pPr>
        <w:spacing w:line="360" w:lineRule="auto"/>
        <w:ind w:firstLine="2400" w:firstLineChars="1000"/>
        <w:rPr>
          <w:rFonts w:ascii="宋体" w:hAnsi="宋体"/>
          <w:color w:val="auto"/>
          <w:sz w:val="24"/>
        </w:rPr>
      </w:pPr>
      <w:r>
        <w:rPr>
          <w:rFonts w:ascii="宋体" w:hAnsi="宋体" w:cs="宋体"/>
          <w:color w:val="auto"/>
          <w:kern w:val="0"/>
          <w:sz w:val="24"/>
        </w:rPr>
        <w:t>年</w:t>
      </w:r>
      <w:r>
        <w:rPr>
          <w:rFonts w:hint="eastAsia" w:ascii="宋体" w:hAnsi="宋体" w:cs="宋体"/>
          <w:color w:val="auto"/>
          <w:kern w:val="0"/>
          <w:sz w:val="24"/>
        </w:rPr>
        <w:t xml:space="preserve"> </w:t>
      </w:r>
      <w:r>
        <w:rPr>
          <w:rFonts w:ascii="宋体" w:hAnsi="宋体" w:cs="宋体"/>
          <w:color w:val="auto"/>
          <w:kern w:val="0"/>
          <w:sz w:val="24"/>
        </w:rPr>
        <w:t xml:space="preserve">  月   日  </w:t>
      </w:r>
      <w:r>
        <w:rPr>
          <w:rFonts w:hint="eastAsia" w:ascii="宋体" w:hAnsi="宋体" w:cs="宋体"/>
          <w:color w:val="auto"/>
          <w:kern w:val="0"/>
          <w:sz w:val="24"/>
        </w:rPr>
        <w:t xml:space="preserve">  </w:t>
      </w:r>
      <w:r>
        <w:rPr>
          <w:rFonts w:ascii="宋体" w:hAnsi="宋体" w:cs="宋体"/>
          <w:color w:val="auto"/>
          <w:kern w:val="0"/>
          <w:sz w:val="24"/>
        </w:rPr>
        <w:t xml:space="preserve">     </w:t>
      </w:r>
      <w:r>
        <w:rPr>
          <w:rFonts w:ascii="宋体" w:hAnsi="宋体" w:cs="宋体"/>
          <w:color w:val="auto"/>
          <w:kern w:val="0"/>
          <w:sz w:val="24"/>
        </w:rPr>
        <w:tab/>
      </w:r>
      <w:r>
        <w:rPr>
          <w:rFonts w:hint="eastAsia" w:ascii="宋体" w:hAnsi="宋体" w:cs="宋体"/>
          <w:color w:val="auto"/>
          <w:kern w:val="0"/>
          <w:sz w:val="24"/>
        </w:rPr>
        <w:t xml:space="preserve">                </w:t>
      </w:r>
      <w:r>
        <w:rPr>
          <w:rFonts w:ascii="宋体" w:hAnsi="宋体" w:cs="宋体"/>
          <w:color w:val="auto"/>
          <w:kern w:val="0"/>
          <w:sz w:val="24"/>
        </w:rPr>
        <w:t xml:space="preserve">      年   月    日</w:t>
      </w: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eastAsia" w:ascii="宋体" w:hAnsi="宋体"/>
          <w:b/>
          <w:bCs/>
          <w:color w:val="auto"/>
          <w:sz w:val="24"/>
          <w:lang w:val="en-US" w:eastAsia="zh-CN"/>
        </w:rPr>
      </w:pPr>
    </w:p>
    <w:p>
      <w:pPr>
        <w:spacing w:line="360" w:lineRule="auto"/>
        <w:ind w:firstLine="0" w:firstLineChars="0"/>
        <w:rPr>
          <w:rFonts w:hint="default" w:ascii="宋体" w:hAnsi="宋体" w:eastAsia="宋体"/>
          <w:b/>
          <w:bCs/>
          <w:color w:val="auto"/>
          <w:sz w:val="24"/>
          <w:lang w:val="en-US" w:eastAsia="zh-CN"/>
        </w:rPr>
      </w:pPr>
      <w:r>
        <w:rPr>
          <w:rFonts w:hint="eastAsia" w:ascii="宋体" w:hAnsi="宋体"/>
          <w:b/>
          <w:bCs/>
          <w:color w:val="auto"/>
          <w:sz w:val="24"/>
          <w:lang w:val="en-US" w:eastAsia="zh-CN"/>
        </w:rPr>
        <w:t>附件4：技术要求</w:t>
      </w:r>
    </w:p>
    <w:p>
      <w:pPr>
        <w:pStyle w:val="51"/>
        <w:spacing w:after="0" w:line="360" w:lineRule="auto"/>
        <w:ind w:left="426"/>
        <w:jc w:val="left"/>
        <w:rPr>
          <w:rFonts w:hint="eastAsia" w:ascii="宋体" w:hAnsi="宋体"/>
          <w:color w:val="auto"/>
        </w:rPr>
      </w:pPr>
      <w:r>
        <w:rPr>
          <w:rFonts w:hint="eastAsia" w:ascii="宋体" w:hAnsi="宋体"/>
          <w:color w:val="auto"/>
        </w:rPr>
        <w:t>轮胎技术参数</w:t>
      </w:r>
    </w:p>
    <w:tbl>
      <w:tblPr>
        <w:tblStyle w:val="2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69"/>
        <w:gridCol w:w="591"/>
        <w:gridCol w:w="1574"/>
        <w:gridCol w:w="1712"/>
        <w:gridCol w:w="1805"/>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90" w:type="dxa"/>
            <w:noWrap/>
            <w:vAlign w:val="center"/>
          </w:tcPr>
          <w:p>
            <w:pPr>
              <w:pStyle w:val="53"/>
              <w:widowControl/>
              <w:spacing w:before="210" w:line="360" w:lineRule="auto"/>
              <w:jc w:val="center"/>
              <w:rPr>
                <w:rFonts w:hint="eastAsia" w:ascii="宋体" w:hAnsi="宋体" w:cs="Tahoma"/>
                <w:color w:val="auto"/>
                <w:kern w:val="0"/>
                <w:sz w:val="20"/>
                <w:szCs w:val="20"/>
                <w:lang w:val="en-US" w:eastAsia="zh-CN"/>
              </w:rPr>
            </w:pPr>
            <w:r>
              <w:rPr>
                <w:rFonts w:hint="eastAsia" w:ascii="宋体" w:hAnsi="宋体" w:cs="Tahoma"/>
                <w:color w:val="auto"/>
                <w:kern w:val="0"/>
                <w:sz w:val="20"/>
                <w:szCs w:val="20"/>
                <w:lang w:val="en-US" w:eastAsia="zh-CN"/>
              </w:rPr>
              <w:t>品牌</w:t>
            </w:r>
          </w:p>
        </w:tc>
        <w:tc>
          <w:tcPr>
            <w:tcW w:w="1269"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规格</w:t>
            </w:r>
          </w:p>
        </w:tc>
        <w:tc>
          <w:tcPr>
            <w:tcW w:w="591"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层级</w:t>
            </w:r>
          </w:p>
        </w:tc>
        <w:tc>
          <w:tcPr>
            <w:tcW w:w="1574"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最大单胎负荷(kg)</w:t>
            </w:r>
          </w:p>
        </w:tc>
        <w:tc>
          <w:tcPr>
            <w:tcW w:w="1712"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最大双胎负荷(kg)</w:t>
            </w:r>
          </w:p>
        </w:tc>
        <w:tc>
          <w:tcPr>
            <w:tcW w:w="1805"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最小充气压力(kpa)</w:t>
            </w:r>
          </w:p>
        </w:tc>
        <w:tc>
          <w:tcPr>
            <w:tcW w:w="1712"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设计花纹深度(mm)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0" w:type="dxa"/>
            <w:vMerge w:val="restart"/>
            <w:noWrap/>
            <w:vAlign w:val="center"/>
          </w:tcPr>
          <w:p>
            <w:pPr>
              <w:pStyle w:val="53"/>
              <w:widowControl/>
              <w:spacing w:before="210" w:line="360" w:lineRule="auto"/>
              <w:jc w:val="center"/>
              <w:rPr>
                <w:rFonts w:hint="default" w:ascii="宋体" w:hAnsi="宋体" w:cs="Tahoma"/>
                <w:color w:val="auto"/>
                <w:kern w:val="0"/>
                <w:sz w:val="20"/>
                <w:szCs w:val="20"/>
                <w:lang w:val="en-US" w:eastAsia="zh-CN"/>
              </w:rPr>
            </w:pPr>
            <w:r>
              <w:rPr>
                <w:rFonts w:hint="eastAsia" w:ascii="宋体" w:hAnsi="宋体" w:cs="Tahoma"/>
                <w:color w:val="auto"/>
                <w:kern w:val="0"/>
                <w:sz w:val="20"/>
                <w:szCs w:val="20"/>
                <w:lang w:val="en-US" w:eastAsia="zh-CN"/>
              </w:rPr>
              <w:t>玲珑轮胎</w:t>
            </w:r>
          </w:p>
        </w:tc>
        <w:tc>
          <w:tcPr>
            <w:tcW w:w="1269" w:type="dxa"/>
            <w:noWrap/>
            <w:vAlign w:val="center"/>
          </w:tcPr>
          <w:p>
            <w:pPr>
              <w:pStyle w:val="53"/>
              <w:widowControl/>
              <w:spacing w:before="210" w:line="360" w:lineRule="auto"/>
              <w:jc w:val="center"/>
              <w:rPr>
                <w:rFonts w:hint="default" w:ascii="宋体" w:hAnsi="宋体" w:eastAsia="宋体" w:cs="Tahoma"/>
                <w:color w:val="auto"/>
                <w:kern w:val="0"/>
                <w:sz w:val="20"/>
                <w:szCs w:val="20"/>
                <w:lang w:val="en-US" w:eastAsia="zh-CN"/>
              </w:rPr>
            </w:pPr>
            <w:r>
              <w:rPr>
                <w:rFonts w:hint="eastAsia" w:ascii="宋体" w:hAnsi="宋体" w:cs="Tahoma"/>
                <w:color w:val="auto"/>
                <w:kern w:val="0"/>
                <w:sz w:val="20"/>
                <w:szCs w:val="20"/>
                <w:lang w:val="en-US" w:eastAsia="zh-CN"/>
              </w:rPr>
              <w:t>11R22.5</w:t>
            </w:r>
          </w:p>
        </w:tc>
        <w:tc>
          <w:tcPr>
            <w:tcW w:w="591" w:type="dxa"/>
            <w:noWrap/>
            <w:vAlign w:val="center"/>
          </w:tcPr>
          <w:p>
            <w:pPr>
              <w:pStyle w:val="53"/>
              <w:widowControl/>
              <w:spacing w:before="210" w:line="360" w:lineRule="auto"/>
              <w:jc w:val="center"/>
              <w:rPr>
                <w:rFonts w:hint="default" w:ascii="宋体" w:hAnsi="宋体" w:eastAsia="宋体" w:cs="Tahoma"/>
                <w:color w:val="auto"/>
                <w:kern w:val="0"/>
                <w:sz w:val="20"/>
                <w:szCs w:val="20"/>
                <w:lang w:val="en-US" w:eastAsia="zh-CN"/>
              </w:rPr>
            </w:pPr>
            <w:r>
              <w:rPr>
                <w:rFonts w:hint="eastAsia" w:ascii="宋体" w:hAnsi="宋体" w:cs="Tahoma"/>
                <w:color w:val="auto"/>
                <w:kern w:val="0"/>
                <w:sz w:val="20"/>
                <w:szCs w:val="20"/>
                <w:lang w:val="en-US" w:eastAsia="zh-CN"/>
              </w:rPr>
              <w:t>18</w:t>
            </w:r>
          </w:p>
        </w:tc>
        <w:tc>
          <w:tcPr>
            <w:tcW w:w="1574" w:type="dxa"/>
            <w:noWrap/>
            <w:vAlign w:val="center"/>
          </w:tcPr>
          <w:p>
            <w:pPr>
              <w:pStyle w:val="53"/>
              <w:widowControl/>
              <w:spacing w:before="210" w:line="360" w:lineRule="auto"/>
              <w:jc w:val="center"/>
              <w:rPr>
                <w:rFonts w:hint="default" w:ascii="宋体" w:hAnsi="宋体" w:cs="Tahoma"/>
                <w:color w:val="auto"/>
                <w:kern w:val="0"/>
                <w:sz w:val="20"/>
                <w:szCs w:val="20"/>
              </w:rPr>
            </w:pPr>
            <w:r>
              <w:rPr>
                <w:rFonts w:hint="eastAsia" w:ascii="宋体" w:hAnsi="宋体" w:cs="Tahoma"/>
                <w:color w:val="auto"/>
                <w:kern w:val="0"/>
                <w:sz w:val="20"/>
                <w:szCs w:val="20"/>
                <w:lang w:val="en-US" w:eastAsia="zh-CN"/>
              </w:rPr>
              <w:t>3000</w:t>
            </w:r>
          </w:p>
        </w:tc>
        <w:tc>
          <w:tcPr>
            <w:tcW w:w="1712" w:type="dxa"/>
            <w:noWrap/>
            <w:vAlign w:val="center"/>
          </w:tcPr>
          <w:p>
            <w:pPr>
              <w:pStyle w:val="53"/>
              <w:widowControl/>
              <w:spacing w:before="210" w:line="360" w:lineRule="auto"/>
              <w:jc w:val="center"/>
              <w:rPr>
                <w:rFonts w:hint="default" w:ascii="宋体" w:hAnsi="宋体" w:cs="Tahoma"/>
                <w:color w:val="auto"/>
                <w:kern w:val="0"/>
                <w:sz w:val="20"/>
                <w:szCs w:val="20"/>
              </w:rPr>
            </w:pPr>
            <w:r>
              <w:rPr>
                <w:rFonts w:hint="eastAsia" w:ascii="宋体" w:hAnsi="宋体" w:cs="Tahoma"/>
                <w:color w:val="auto"/>
                <w:kern w:val="0"/>
                <w:sz w:val="20"/>
                <w:szCs w:val="20"/>
                <w:lang w:val="en-US" w:eastAsia="zh-CN"/>
              </w:rPr>
              <w:t>2725</w:t>
            </w:r>
          </w:p>
        </w:tc>
        <w:tc>
          <w:tcPr>
            <w:tcW w:w="1805" w:type="dxa"/>
            <w:noWrap/>
            <w:vAlign w:val="center"/>
          </w:tcPr>
          <w:p>
            <w:pPr>
              <w:pStyle w:val="53"/>
              <w:widowControl/>
              <w:spacing w:before="210" w:line="360" w:lineRule="auto"/>
              <w:jc w:val="center"/>
              <w:rPr>
                <w:rFonts w:hint="default" w:ascii="宋体" w:hAnsi="宋体" w:cs="Tahoma"/>
                <w:color w:val="auto"/>
                <w:kern w:val="0"/>
                <w:sz w:val="20"/>
                <w:szCs w:val="20"/>
              </w:rPr>
            </w:pPr>
            <w:r>
              <w:rPr>
                <w:rFonts w:hint="eastAsia" w:ascii="宋体" w:hAnsi="宋体" w:cs="Tahoma"/>
                <w:color w:val="auto"/>
                <w:kern w:val="0"/>
                <w:sz w:val="20"/>
                <w:szCs w:val="20"/>
                <w:lang w:val="en-US" w:eastAsia="zh-CN"/>
              </w:rPr>
              <w:t>830</w:t>
            </w:r>
          </w:p>
        </w:tc>
        <w:tc>
          <w:tcPr>
            <w:tcW w:w="1712" w:type="dxa"/>
            <w:noWrap/>
            <w:vAlign w:val="center"/>
          </w:tcPr>
          <w:p>
            <w:pPr>
              <w:pStyle w:val="53"/>
              <w:widowControl/>
              <w:spacing w:before="210" w:line="360" w:lineRule="auto"/>
              <w:jc w:val="center"/>
              <w:rPr>
                <w:rFonts w:hint="default" w:ascii="宋体" w:hAnsi="宋体" w:cs="Tahoma"/>
                <w:color w:val="auto"/>
                <w:kern w:val="0"/>
                <w:sz w:val="20"/>
                <w:szCs w:val="20"/>
              </w:rPr>
            </w:pPr>
            <w:r>
              <w:rPr>
                <w:rFonts w:hint="eastAsia" w:ascii="宋体" w:hAnsi="宋体" w:cs="Tahoma"/>
                <w:color w:val="auto"/>
                <w:kern w:val="0"/>
                <w:sz w:val="20"/>
                <w:szCs w:val="20"/>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0" w:type="dxa"/>
            <w:vMerge w:val="continue"/>
            <w:noWrap/>
            <w:vAlign w:val="center"/>
          </w:tcPr>
          <w:p>
            <w:pPr>
              <w:pStyle w:val="53"/>
              <w:widowControl/>
              <w:spacing w:before="210" w:line="360" w:lineRule="auto"/>
              <w:jc w:val="center"/>
              <w:rPr>
                <w:rFonts w:hint="eastAsia" w:ascii="宋体" w:hAnsi="宋体" w:cs="Tahoma"/>
                <w:color w:val="auto"/>
                <w:kern w:val="0"/>
                <w:sz w:val="20"/>
                <w:szCs w:val="20"/>
              </w:rPr>
            </w:pPr>
          </w:p>
        </w:tc>
        <w:tc>
          <w:tcPr>
            <w:tcW w:w="1269"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12R22.5</w:t>
            </w:r>
          </w:p>
        </w:tc>
        <w:tc>
          <w:tcPr>
            <w:tcW w:w="591"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18</w:t>
            </w:r>
          </w:p>
        </w:tc>
        <w:tc>
          <w:tcPr>
            <w:tcW w:w="1574"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3550</w:t>
            </w:r>
          </w:p>
        </w:tc>
        <w:tc>
          <w:tcPr>
            <w:tcW w:w="1712"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3250</w:t>
            </w:r>
          </w:p>
        </w:tc>
        <w:tc>
          <w:tcPr>
            <w:tcW w:w="1805"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930</w:t>
            </w:r>
          </w:p>
        </w:tc>
        <w:tc>
          <w:tcPr>
            <w:tcW w:w="1712" w:type="dxa"/>
            <w:noWrap/>
            <w:vAlign w:val="center"/>
          </w:tcPr>
          <w:p>
            <w:pPr>
              <w:pStyle w:val="53"/>
              <w:widowControl/>
              <w:spacing w:before="210" w:line="360" w:lineRule="auto"/>
              <w:jc w:val="center"/>
              <w:rPr>
                <w:rFonts w:ascii="宋体" w:hAnsi="宋体" w:cs="Tahoma"/>
                <w:color w:val="auto"/>
                <w:kern w:val="0"/>
                <w:sz w:val="20"/>
                <w:szCs w:val="20"/>
              </w:rPr>
            </w:pPr>
            <w:r>
              <w:rPr>
                <w:rFonts w:hint="eastAsia" w:ascii="宋体" w:hAnsi="宋体" w:cs="Tahoma"/>
                <w:color w:val="auto"/>
                <w:kern w:val="0"/>
                <w:sz w:val="20"/>
                <w:szCs w:val="20"/>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90" w:type="dxa"/>
            <w:vMerge w:val="continue"/>
            <w:noWrap/>
            <w:vAlign w:val="center"/>
          </w:tcPr>
          <w:p>
            <w:pPr>
              <w:pStyle w:val="53"/>
              <w:widowControl/>
              <w:spacing w:before="210" w:line="360" w:lineRule="auto"/>
              <w:jc w:val="center"/>
              <w:rPr>
                <w:rFonts w:hint="eastAsia" w:ascii="宋体" w:hAnsi="宋体" w:cs="Tahoma"/>
                <w:color w:val="auto"/>
                <w:kern w:val="0"/>
                <w:sz w:val="20"/>
                <w:szCs w:val="20"/>
              </w:rPr>
            </w:pPr>
          </w:p>
        </w:tc>
        <w:tc>
          <w:tcPr>
            <w:tcW w:w="1269"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1100R20</w:t>
            </w:r>
          </w:p>
        </w:tc>
        <w:tc>
          <w:tcPr>
            <w:tcW w:w="591"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18</w:t>
            </w:r>
          </w:p>
        </w:tc>
        <w:tc>
          <w:tcPr>
            <w:tcW w:w="1574"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3550</w:t>
            </w:r>
          </w:p>
        </w:tc>
        <w:tc>
          <w:tcPr>
            <w:tcW w:w="1712"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3250</w:t>
            </w:r>
          </w:p>
        </w:tc>
        <w:tc>
          <w:tcPr>
            <w:tcW w:w="1805"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930</w:t>
            </w:r>
          </w:p>
        </w:tc>
        <w:tc>
          <w:tcPr>
            <w:tcW w:w="1712" w:type="dxa"/>
            <w:noWrap/>
            <w:vAlign w:val="center"/>
          </w:tcPr>
          <w:p>
            <w:pPr>
              <w:pStyle w:val="53"/>
              <w:widowControl/>
              <w:spacing w:before="210" w:line="360" w:lineRule="auto"/>
              <w:jc w:val="center"/>
              <w:rPr>
                <w:rFonts w:ascii="Times New Roman" w:hAnsi="Times New Roman"/>
                <w:color w:val="auto"/>
                <w:kern w:val="0"/>
                <w:sz w:val="20"/>
                <w:szCs w:val="20"/>
              </w:rPr>
            </w:pPr>
            <w:r>
              <w:rPr>
                <w:rFonts w:hint="eastAsia" w:ascii="宋体" w:hAnsi="宋体" w:cs="Tahoma"/>
                <w:color w:val="auto"/>
                <w:kern w:val="0"/>
                <w:sz w:val="20"/>
                <w:szCs w:val="20"/>
              </w:rPr>
              <w:t>16.5</w:t>
            </w:r>
          </w:p>
        </w:tc>
      </w:tr>
    </w:tbl>
    <w:p>
      <w:pPr>
        <w:pStyle w:val="51"/>
        <w:spacing w:after="0" w:line="360" w:lineRule="auto"/>
        <w:jc w:val="left"/>
        <w:rPr>
          <w:rFonts w:ascii="宋体" w:hAnsi="宋体"/>
          <w:color w:val="auto"/>
        </w:rPr>
      </w:pPr>
      <w:r>
        <w:rPr>
          <w:rFonts w:hint="eastAsia" w:ascii="宋体" w:hAnsi="宋体"/>
          <w:color w:val="auto"/>
        </w:rPr>
        <w:t>备注：以上表格为国标标准，</w:t>
      </w:r>
      <w:r>
        <w:rPr>
          <w:rFonts w:hint="eastAsia" w:ascii="宋体" w:hAnsi="宋体"/>
          <w:color w:val="auto"/>
          <w:lang w:eastAsia="zh-CN"/>
        </w:rPr>
        <w:t>乙方</w:t>
      </w:r>
      <w:r>
        <w:rPr>
          <w:rFonts w:hint="eastAsia" w:ascii="宋体" w:hAnsi="宋体"/>
          <w:color w:val="auto"/>
        </w:rPr>
        <w:t>所提供的产品参数不得低于此标准,应同时符合以下标准：</w:t>
      </w:r>
    </w:p>
    <w:p>
      <w:pPr>
        <w:pStyle w:val="51"/>
        <w:spacing w:after="0" w:line="360" w:lineRule="auto"/>
        <w:jc w:val="left"/>
        <w:rPr>
          <w:rFonts w:ascii="宋体" w:hAnsi="宋体"/>
          <w:color w:val="auto"/>
        </w:rPr>
      </w:pPr>
      <w:r>
        <w:rPr>
          <w:rFonts w:hint="eastAsia" w:ascii="宋体" w:hAnsi="宋体"/>
          <w:color w:val="auto"/>
        </w:rPr>
        <w:t xml:space="preserve">    （a）汽车轮胎应符合 HQC《橡胶轮胎和内胎产品安全认证实施规则》。</w:t>
      </w:r>
    </w:p>
    <w:p>
      <w:pPr>
        <w:pStyle w:val="51"/>
        <w:spacing w:after="0" w:line="360" w:lineRule="auto"/>
        <w:ind w:firstLine="480" w:firstLineChars="200"/>
        <w:jc w:val="left"/>
        <w:rPr>
          <w:rFonts w:ascii="宋体" w:hAnsi="宋体"/>
          <w:color w:val="auto"/>
        </w:rPr>
      </w:pPr>
      <w:r>
        <w:rPr>
          <w:rFonts w:hint="eastAsia" w:ascii="宋体" w:hAnsi="宋体"/>
          <w:color w:val="auto"/>
        </w:rPr>
        <w:t>（b）所提供的载重汽车斜交/子午轮胎应符合 GB9744-2007《载重汽车轮胎》的规定。</w:t>
      </w:r>
    </w:p>
    <w:p>
      <w:pPr>
        <w:pStyle w:val="51"/>
        <w:spacing w:after="0" w:line="360" w:lineRule="auto"/>
        <w:ind w:firstLine="600" w:firstLineChars="250"/>
        <w:jc w:val="left"/>
        <w:rPr>
          <w:rFonts w:ascii="宋体" w:hAnsi="宋体"/>
          <w:color w:val="auto"/>
        </w:rPr>
      </w:pPr>
      <w:r>
        <w:rPr>
          <w:rFonts w:hint="eastAsia" w:ascii="宋体" w:hAnsi="宋体"/>
          <w:color w:val="auto"/>
        </w:rPr>
        <w:t>（c）轮胎还应符合 GB/T2977-20</w:t>
      </w:r>
      <w:r>
        <w:rPr>
          <w:rFonts w:ascii="宋体" w:hAnsi="宋体"/>
          <w:color w:val="auto"/>
        </w:rPr>
        <w:t>16</w:t>
      </w:r>
      <w:r>
        <w:rPr>
          <w:rFonts w:hint="eastAsia" w:ascii="宋体" w:hAnsi="宋体"/>
          <w:color w:val="auto"/>
        </w:rPr>
        <w:t>《载重汽车轮胎规格、尺寸、气压与负荷》 的规定。</w:t>
      </w:r>
    </w:p>
    <w:p>
      <w:pPr>
        <w:pStyle w:val="51"/>
        <w:spacing w:after="0" w:line="360" w:lineRule="auto"/>
        <w:ind w:firstLine="480" w:firstLineChars="200"/>
        <w:jc w:val="left"/>
        <w:rPr>
          <w:rFonts w:ascii="宋体" w:hAnsi="宋体"/>
          <w:color w:val="auto"/>
        </w:rPr>
      </w:pPr>
      <w:r>
        <w:rPr>
          <w:rFonts w:hint="eastAsia" w:ascii="宋体" w:hAnsi="宋体"/>
          <w:color w:val="auto"/>
        </w:rPr>
        <w:t>（d）轮胎外观应符合化工行业标准 HG/T2177-2011《轮胎外观质量》的规定。</w:t>
      </w:r>
    </w:p>
    <w:p>
      <w:pPr>
        <w:pStyle w:val="51"/>
        <w:spacing w:after="0" w:line="360" w:lineRule="auto"/>
        <w:ind w:firstLine="480" w:firstLineChars="200"/>
        <w:jc w:val="left"/>
        <w:rPr>
          <w:rFonts w:ascii="宋体" w:hAnsi="宋体"/>
          <w:color w:val="auto"/>
        </w:rPr>
      </w:pPr>
      <w:r>
        <w:rPr>
          <w:rFonts w:hint="eastAsia" w:ascii="宋体" w:hAnsi="宋体"/>
          <w:color w:val="auto"/>
        </w:rPr>
        <w:t>（e)内胎的技术要求及外观质量应符合 GB7036.1-2009《充气轮胎内胎第1 部分汽车轮胎内胎》的规定。</w:t>
      </w:r>
    </w:p>
    <w:p>
      <w:pPr>
        <w:pStyle w:val="51"/>
        <w:spacing w:after="0" w:line="360" w:lineRule="auto"/>
        <w:ind w:firstLine="480" w:firstLineChars="200"/>
        <w:jc w:val="left"/>
        <w:rPr>
          <w:rFonts w:ascii="宋体" w:hAnsi="宋体"/>
          <w:color w:val="auto"/>
        </w:rPr>
      </w:pPr>
      <w:r>
        <w:rPr>
          <w:rFonts w:hint="eastAsia" w:ascii="宋体" w:hAnsi="宋体"/>
          <w:color w:val="auto"/>
        </w:rPr>
        <w:t>（f）★凡属于《中华人民共和国实施强制性产品认证的产品目录》的产品，请</w:t>
      </w:r>
      <w:r>
        <w:rPr>
          <w:rFonts w:hint="eastAsia" w:ascii="宋体" w:hAnsi="宋体"/>
          <w:color w:val="auto"/>
          <w:lang w:eastAsia="zh-CN"/>
        </w:rPr>
        <w:t>乙方</w:t>
      </w:r>
      <w:r>
        <w:rPr>
          <w:rFonts w:hint="eastAsia" w:ascii="宋体" w:hAnsi="宋体"/>
          <w:color w:val="auto"/>
        </w:rPr>
        <w:t>在在交货时提供该产品的《中国强制认证》（CCC认证）。</w:t>
      </w:r>
    </w:p>
    <w:p>
      <w:pPr>
        <w:pStyle w:val="51"/>
        <w:spacing w:after="0" w:line="360" w:lineRule="auto"/>
        <w:ind w:firstLine="480" w:firstLineChars="200"/>
        <w:jc w:val="left"/>
        <w:rPr>
          <w:rFonts w:ascii="宋体" w:hAnsi="宋体"/>
          <w:color w:val="auto"/>
        </w:rPr>
      </w:pPr>
      <w:r>
        <w:rPr>
          <w:rFonts w:hint="eastAsia" w:ascii="宋体" w:hAnsi="宋体"/>
          <w:color w:val="auto"/>
        </w:rPr>
        <w:t>（g）★</w:t>
      </w:r>
      <w:r>
        <w:rPr>
          <w:rFonts w:hint="eastAsia" w:ascii="宋体" w:hAnsi="宋体"/>
          <w:color w:val="auto"/>
          <w:lang w:eastAsia="zh-CN"/>
        </w:rPr>
        <w:t>乙方</w:t>
      </w:r>
      <w:r>
        <w:rPr>
          <w:rFonts w:hint="eastAsia" w:ascii="宋体" w:hAnsi="宋体"/>
          <w:color w:val="auto"/>
        </w:rPr>
        <w:t>承诺提供的所有货物必须是“三包”产品。</w:t>
      </w:r>
    </w:p>
    <w:p>
      <w:pPr>
        <w:pStyle w:val="51"/>
        <w:spacing w:after="0" w:line="360" w:lineRule="auto"/>
        <w:ind w:firstLine="480" w:firstLineChars="200"/>
        <w:jc w:val="left"/>
        <w:rPr>
          <w:rFonts w:ascii="宋体" w:hAnsi="宋体"/>
          <w:color w:val="auto"/>
        </w:rPr>
      </w:pPr>
      <w:r>
        <w:rPr>
          <w:rFonts w:hint="eastAsia" w:ascii="宋体" w:hAnsi="宋体"/>
          <w:color w:val="auto"/>
        </w:rPr>
        <w:t>（h）轮胎的检验由双方共同指定的第三方检测机构进行抽检，年度抽检次数不超过 4 次，由此产生的有关费用由</w:t>
      </w:r>
      <w:r>
        <w:rPr>
          <w:rFonts w:hint="eastAsia" w:ascii="宋体" w:hAnsi="宋体"/>
          <w:color w:val="auto"/>
          <w:lang w:eastAsia="zh-CN"/>
        </w:rPr>
        <w:t>乙方</w:t>
      </w:r>
      <w:r>
        <w:rPr>
          <w:rFonts w:hint="eastAsia" w:ascii="宋体" w:hAnsi="宋体"/>
          <w:color w:val="auto"/>
        </w:rPr>
        <w:t>承担。</w:t>
      </w:r>
    </w:p>
    <w:p>
      <w:pPr>
        <w:pStyle w:val="51"/>
        <w:spacing w:after="0" w:line="360" w:lineRule="auto"/>
        <w:ind w:left="6" w:firstLine="472" w:firstLineChars="197"/>
        <w:jc w:val="left"/>
        <w:rPr>
          <w:rFonts w:ascii="宋体" w:hAnsi="宋体"/>
          <w:color w:val="auto"/>
        </w:rPr>
      </w:pPr>
      <w:r>
        <w:rPr>
          <w:rFonts w:hint="eastAsia" w:ascii="宋体" w:hAnsi="宋体"/>
          <w:color w:val="auto"/>
          <w:lang w:eastAsia="zh-CN"/>
        </w:rPr>
        <w:t>乙方</w:t>
      </w:r>
      <w:r>
        <w:rPr>
          <w:rFonts w:hint="eastAsia" w:ascii="宋体" w:hAnsi="宋体"/>
          <w:color w:val="auto"/>
        </w:rPr>
        <w:t>供应的轮胎必须是合法厂商原装、全新，且必须符合国家行业生产及经营标准，货真价实，均能提供相应批次的合格检验证明；各项技术指标必须完全符合国家有关质量检测及产品出厂标准，不存在任何伪劣、假冒或侵犯他人知识产权的产品。（须在投标文件中，出具书面承诺。）</w:t>
      </w:r>
    </w:p>
    <w:p>
      <w:pPr>
        <w:pStyle w:val="51"/>
        <w:spacing w:after="0" w:line="360" w:lineRule="auto"/>
        <w:ind w:left="6" w:firstLine="472" w:firstLineChars="197"/>
        <w:jc w:val="left"/>
        <w:rPr>
          <w:rFonts w:ascii="宋体" w:hAnsi="宋体"/>
          <w:color w:val="auto"/>
        </w:rPr>
      </w:pPr>
      <w:r>
        <w:rPr>
          <w:rFonts w:hint="eastAsia" w:ascii="宋体" w:hAnsi="宋体"/>
          <w:color w:val="auto"/>
        </w:rPr>
        <w:t>此轮胎投标最高限价（单价）包括产品价格、运输、验收、培训、技术服务（包括技术资料、图纸的提供）、售后服务、轮胎的烙号、更换、维修、抢修、日常管理及合同实施过程中不可预见费用等。</w:t>
      </w:r>
    </w:p>
    <w:p>
      <w:pPr>
        <w:pStyle w:val="51"/>
        <w:spacing w:after="0" w:line="360" w:lineRule="auto"/>
        <w:ind w:left="6" w:firstLine="472" w:firstLineChars="197"/>
        <w:jc w:val="left"/>
        <w:rPr>
          <w:rFonts w:ascii="宋体" w:hAnsi="宋体"/>
          <w:color w:val="auto"/>
        </w:rPr>
      </w:pPr>
      <w:r>
        <w:rPr>
          <w:rFonts w:hint="eastAsia" w:ascii="宋体" w:hAnsi="宋体"/>
          <w:color w:val="auto"/>
        </w:rPr>
        <w:t>投标货物在实际采购中若发生更新换代，则按不低于本招标文件所要求的标准进行供货。轮胎价格不变，且含在总价内，</w:t>
      </w:r>
      <w:r>
        <w:rPr>
          <w:rFonts w:hint="eastAsia" w:ascii="宋体" w:hAnsi="宋体"/>
          <w:color w:val="auto"/>
          <w:lang w:eastAsia="zh-CN"/>
        </w:rPr>
        <w:t>甲方</w:t>
      </w:r>
      <w:r>
        <w:rPr>
          <w:rFonts w:hint="eastAsia" w:ascii="宋体" w:hAnsi="宋体"/>
          <w:color w:val="auto"/>
        </w:rPr>
        <w:t>不另外支付。</w:t>
      </w:r>
    </w:p>
    <w:p>
      <w:pPr>
        <w:pStyle w:val="51"/>
        <w:spacing w:after="0" w:line="360" w:lineRule="auto"/>
        <w:ind w:left="6" w:firstLine="472" w:firstLineChars="197"/>
        <w:jc w:val="left"/>
        <w:rPr>
          <w:rFonts w:ascii="宋体" w:hAnsi="宋体"/>
          <w:color w:val="auto"/>
        </w:rPr>
      </w:pPr>
      <w:r>
        <w:rPr>
          <w:rFonts w:hint="eastAsia" w:ascii="宋体" w:hAnsi="宋体"/>
          <w:color w:val="auto"/>
          <w:lang w:val="en-US" w:eastAsia="zh-CN"/>
        </w:rPr>
        <w:t>安装</w:t>
      </w:r>
      <w:r>
        <w:rPr>
          <w:rFonts w:hint="eastAsia" w:ascii="宋体" w:hAnsi="宋体"/>
          <w:color w:val="auto"/>
        </w:rPr>
        <w:t>调位服务要求</w:t>
      </w:r>
    </w:p>
    <w:p>
      <w:pPr>
        <w:pStyle w:val="51"/>
        <w:spacing w:after="0" w:line="360" w:lineRule="auto"/>
        <w:ind w:left="6" w:firstLine="472" w:firstLineChars="197"/>
        <w:jc w:val="left"/>
        <w:rPr>
          <w:rFonts w:ascii="宋体" w:hAnsi="宋体"/>
          <w:color w:val="auto"/>
        </w:rPr>
      </w:pPr>
      <w:r>
        <w:rPr>
          <w:rFonts w:hint="eastAsia" w:ascii="宋体" w:hAnsi="宋体"/>
          <w:color w:val="auto"/>
          <w:lang w:eastAsia="zh-CN"/>
        </w:rPr>
        <w:t>乙方</w:t>
      </w:r>
      <w:r>
        <w:rPr>
          <w:rFonts w:hint="eastAsia" w:ascii="宋体" w:hAnsi="宋体"/>
          <w:color w:val="auto"/>
        </w:rPr>
        <w:t>应具备有资质的轮胎工人（不少于2人）负责</w:t>
      </w:r>
      <w:r>
        <w:rPr>
          <w:rFonts w:hint="eastAsia" w:ascii="宋体" w:hAnsi="宋体"/>
          <w:color w:val="auto"/>
          <w:lang w:val="en-US" w:eastAsia="zh-CN"/>
        </w:rPr>
        <w:t>安装</w:t>
      </w:r>
      <w:r>
        <w:rPr>
          <w:rFonts w:hint="eastAsia" w:ascii="宋体" w:hAnsi="宋体"/>
          <w:color w:val="auto"/>
        </w:rPr>
        <w:t>调位工作，并提供</w:t>
      </w:r>
      <w:r>
        <w:rPr>
          <w:rFonts w:hint="eastAsia" w:ascii="宋体" w:hAnsi="宋体"/>
          <w:color w:val="auto"/>
          <w:lang w:val="en-US" w:eastAsia="zh-CN"/>
        </w:rPr>
        <w:t>安装、</w:t>
      </w:r>
      <w:r>
        <w:rPr>
          <w:rFonts w:hint="eastAsia" w:ascii="宋体" w:hAnsi="宋体"/>
          <w:color w:val="auto"/>
        </w:rPr>
        <w:t>换胎、调位的相关工具，以保障</w:t>
      </w:r>
      <w:r>
        <w:rPr>
          <w:rFonts w:hint="eastAsia" w:ascii="宋体" w:hAnsi="宋体"/>
          <w:color w:val="auto"/>
          <w:lang w:eastAsia="zh-CN"/>
        </w:rPr>
        <w:t>甲方</w:t>
      </w:r>
      <w:r>
        <w:rPr>
          <w:rFonts w:hint="eastAsia" w:ascii="宋体" w:hAnsi="宋体"/>
          <w:color w:val="auto"/>
        </w:rPr>
        <w:t>车辆的正常运行，由此产生的所有费用均包含在轮胎投标单价内，</w:t>
      </w:r>
      <w:r>
        <w:rPr>
          <w:rFonts w:hint="eastAsia" w:ascii="宋体" w:hAnsi="宋体"/>
          <w:color w:val="auto"/>
          <w:lang w:eastAsia="zh-CN"/>
        </w:rPr>
        <w:t>甲方</w:t>
      </w:r>
      <w:r>
        <w:rPr>
          <w:rFonts w:hint="eastAsia" w:ascii="宋体" w:hAnsi="宋体"/>
          <w:color w:val="auto"/>
        </w:rPr>
        <w:t>不再支付除轮胎中标价以外的任何费用。</w:t>
      </w:r>
      <w:r>
        <w:rPr>
          <w:rFonts w:hint="eastAsia" w:ascii="宋体" w:hAnsi="宋体"/>
          <w:color w:val="auto"/>
          <w:lang w:eastAsia="zh-CN"/>
        </w:rPr>
        <w:t>乙方</w:t>
      </w:r>
      <w:r>
        <w:rPr>
          <w:rFonts w:hint="eastAsia" w:ascii="宋体" w:hAnsi="宋体"/>
          <w:color w:val="auto"/>
        </w:rPr>
        <w:t>不得将本业务进行转包或分包，</w:t>
      </w:r>
      <w:r>
        <w:rPr>
          <w:rFonts w:hint="eastAsia" w:ascii="宋体" w:hAnsi="宋体"/>
          <w:color w:val="auto"/>
          <w:lang w:eastAsia="zh-CN"/>
        </w:rPr>
        <w:t>甲方</w:t>
      </w:r>
      <w:r>
        <w:rPr>
          <w:rFonts w:hint="eastAsia" w:ascii="宋体" w:hAnsi="宋体"/>
          <w:color w:val="auto"/>
        </w:rPr>
        <w:t>如有发现</w:t>
      </w:r>
      <w:r>
        <w:rPr>
          <w:rFonts w:hint="eastAsia" w:ascii="宋体" w:hAnsi="宋体"/>
          <w:color w:val="auto"/>
          <w:lang w:eastAsia="zh-CN"/>
        </w:rPr>
        <w:t>乙方</w:t>
      </w:r>
      <w:r>
        <w:rPr>
          <w:rFonts w:hint="eastAsia" w:ascii="宋体" w:hAnsi="宋体"/>
          <w:color w:val="auto"/>
        </w:rPr>
        <w:t>违规，</w:t>
      </w:r>
      <w:r>
        <w:rPr>
          <w:rFonts w:hint="eastAsia" w:ascii="宋体" w:hAnsi="宋体"/>
          <w:color w:val="auto"/>
          <w:lang w:eastAsia="zh-CN"/>
        </w:rPr>
        <w:t>甲方</w:t>
      </w:r>
      <w:r>
        <w:rPr>
          <w:rFonts w:hint="eastAsia" w:ascii="宋体" w:hAnsi="宋体"/>
          <w:color w:val="auto"/>
        </w:rPr>
        <w:t>可以随时视作违规上报监管部门并要求</w:t>
      </w:r>
      <w:r>
        <w:rPr>
          <w:rFonts w:hint="eastAsia" w:ascii="宋体" w:hAnsi="宋体"/>
          <w:color w:val="auto"/>
          <w:lang w:eastAsia="zh-CN"/>
        </w:rPr>
        <w:t>乙方</w:t>
      </w:r>
      <w:r>
        <w:rPr>
          <w:rFonts w:hint="eastAsia" w:ascii="宋体" w:hAnsi="宋体"/>
          <w:color w:val="auto"/>
        </w:rPr>
        <w:t>赔偿相应的损失或支付违约金；</w:t>
      </w:r>
    </w:p>
    <w:p>
      <w:pPr>
        <w:pStyle w:val="51"/>
        <w:spacing w:after="0" w:line="360" w:lineRule="auto"/>
        <w:ind w:left="6" w:firstLine="472" w:firstLineChars="197"/>
        <w:jc w:val="left"/>
        <w:rPr>
          <w:rFonts w:ascii="宋体" w:hAnsi="宋体"/>
          <w:color w:val="auto"/>
        </w:rPr>
      </w:pPr>
      <w:r>
        <w:rPr>
          <w:rFonts w:hint="eastAsia" w:ascii="宋体" w:hAnsi="宋体"/>
          <w:color w:val="auto"/>
          <w:lang w:eastAsia="zh-CN"/>
        </w:rPr>
        <w:t>乙方</w:t>
      </w:r>
      <w:r>
        <w:rPr>
          <w:rFonts w:hint="eastAsia" w:ascii="宋体" w:hAnsi="宋体"/>
          <w:color w:val="auto"/>
        </w:rPr>
        <w:t>员工必须遵守</w:t>
      </w:r>
      <w:r>
        <w:rPr>
          <w:rFonts w:hint="eastAsia" w:ascii="宋体" w:hAnsi="宋体"/>
          <w:color w:val="auto"/>
          <w:lang w:eastAsia="zh-CN"/>
        </w:rPr>
        <w:t>甲方</w:t>
      </w:r>
      <w:r>
        <w:rPr>
          <w:rFonts w:hint="eastAsia" w:ascii="宋体" w:hAnsi="宋体"/>
          <w:color w:val="auto"/>
        </w:rPr>
        <w:t>的各项规章制度、消防条例，轮胎管理要求，服从</w:t>
      </w:r>
      <w:r>
        <w:rPr>
          <w:rFonts w:hint="eastAsia" w:ascii="宋体" w:hAnsi="宋体"/>
          <w:color w:val="auto"/>
          <w:lang w:eastAsia="zh-CN"/>
        </w:rPr>
        <w:t>甲方</w:t>
      </w:r>
      <w:r>
        <w:rPr>
          <w:rFonts w:hint="eastAsia" w:ascii="宋体" w:hAnsi="宋体"/>
          <w:color w:val="auto"/>
        </w:rPr>
        <w:t>指定人员的工作调配，不能以任何借口拒绝</w:t>
      </w:r>
      <w:r>
        <w:rPr>
          <w:rFonts w:hint="eastAsia" w:ascii="宋体" w:hAnsi="宋体"/>
          <w:color w:val="auto"/>
          <w:lang w:eastAsia="zh-CN"/>
        </w:rPr>
        <w:t>甲方</w:t>
      </w:r>
      <w:r>
        <w:rPr>
          <w:rFonts w:hint="eastAsia" w:ascii="宋体" w:hAnsi="宋体"/>
          <w:color w:val="auto"/>
        </w:rPr>
        <w:t>的工作调配；</w:t>
      </w:r>
    </w:p>
    <w:p>
      <w:pPr>
        <w:pStyle w:val="51"/>
        <w:spacing w:after="0" w:line="360" w:lineRule="auto"/>
        <w:ind w:left="6" w:firstLine="472" w:firstLineChars="197"/>
        <w:jc w:val="left"/>
        <w:rPr>
          <w:rFonts w:ascii="宋体" w:hAnsi="宋体"/>
          <w:color w:val="auto"/>
        </w:rPr>
      </w:pPr>
      <w:r>
        <w:rPr>
          <w:rFonts w:hint="eastAsia" w:ascii="宋体" w:hAnsi="宋体"/>
          <w:color w:val="auto"/>
          <w:lang w:eastAsia="zh-CN"/>
        </w:rPr>
        <w:t>甲方</w:t>
      </w:r>
      <w:r>
        <w:rPr>
          <w:rFonts w:hint="eastAsia" w:ascii="宋体" w:hAnsi="宋体"/>
          <w:color w:val="auto"/>
        </w:rPr>
        <w:t>有权对</w:t>
      </w:r>
      <w:r>
        <w:rPr>
          <w:rFonts w:hint="eastAsia" w:ascii="宋体" w:hAnsi="宋体"/>
          <w:color w:val="auto"/>
          <w:lang w:eastAsia="zh-CN"/>
        </w:rPr>
        <w:t>乙方</w:t>
      </w:r>
      <w:r>
        <w:rPr>
          <w:rFonts w:hint="eastAsia" w:ascii="宋体" w:hAnsi="宋体"/>
          <w:color w:val="auto"/>
        </w:rPr>
        <w:t>的</w:t>
      </w:r>
      <w:r>
        <w:rPr>
          <w:rFonts w:hint="eastAsia" w:ascii="宋体" w:hAnsi="宋体"/>
          <w:color w:val="auto"/>
          <w:lang w:val="en-US" w:eastAsia="zh-CN"/>
        </w:rPr>
        <w:t>安装</w:t>
      </w:r>
      <w:r>
        <w:rPr>
          <w:rFonts w:hint="eastAsia" w:ascii="宋体" w:hAnsi="宋体"/>
          <w:color w:val="auto"/>
        </w:rPr>
        <w:t>调位作业、安全生产进行监督管理，有权要求</w:t>
      </w:r>
      <w:r>
        <w:rPr>
          <w:rFonts w:hint="eastAsia" w:ascii="宋体" w:hAnsi="宋体"/>
          <w:color w:val="auto"/>
          <w:lang w:eastAsia="zh-CN"/>
        </w:rPr>
        <w:t>乙方</w:t>
      </w:r>
      <w:r>
        <w:rPr>
          <w:rFonts w:hint="eastAsia" w:ascii="宋体" w:hAnsi="宋体"/>
          <w:color w:val="auto"/>
        </w:rPr>
        <w:t>使用有资质的轮胎工持证上岗；</w:t>
      </w:r>
    </w:p>
    <w:p>
      <w:pPr>
        <w:pStyle w:val="55"/>
        <w:spacing w:line="360" w:lineRule="auto"/>
        <w:ind w:firstLine="471"/>
        <w:jc w:val="left"/>
        <w:rPr>
          <w:rFonts w:ascii="宋体" w:hAnsi="宋体"/>
          <w:color w:val="auto"/>
          <w:sz w:val="24"/>
          <w:szCs w:val="24"/>
        </w:rPr>
      </w:pPr>
      <w:r>
        <w:rPr>
          <w:rFonts w:hint="eastAsia" w:ascii="宋体" w:hAnsi="宋体"/>
          <w:color w:val="auto"/>
          <w:sz w:val="24"/>
          <w:szCs w:val="24"/>
          <w:lang w:eastAsia="zh-CN"/>
        </w:rPr>
        <w:t>乙方</w:t>
      </w:r>
      <w:r>
        <w:rPr>
          <w:rFonts w:hint="eastAsia" w:ascii="宋体" w:hAnsi="宋体"/>
          <w:color w:val="auto"/>
          <w:sz w:val="24"/>
          <w:szCs w:val="24"/>
        </w:rPr>
        <w:t>负责与轮胎工人建立劳动关系，</w:t>
      </w:r>
      <w:r>
        <w:rPr>
          <w:rFonts w:hint="eastAsia" w:ascii="宋体" w:hAnsi="宋体"/>
          <w:color w:val="auto"/>
          <w:sz w:val="24"/>
          <w:szCs w:val="24"/>
          <w:lang w:eastAsia="zh-CN"/>
        </w:rPr>
        <w:t>甲方</w:t>
      </w:r>
      <w:r>
        <w:rPr>
          <w:rFonts w:hint="eastAsia" w:ascii="宋体" w:hAnsi="宋体"/>
          <w:color w:val="auto"/>
          <w:sz w:val="24"/>
          <w:szCs w:val="24"/>
        </w:rPr>
        <w:t>与轮胎工人不建立任何劳动或劳务或聘用关系，且轮胎工人不享受</w:t>
      </w:r>
      <w:r>
        <w:rPr>
          <w:rFonts w:hint="eastAsia" w:ascii="宋体" w:hAnsi="宋体"/>
          <w:color w:val="auto"/>
          <w:sz w:val="24"/>
          <w:szCs w:val="24"/>
          <w:lang w:eastAsia="zh-CN"/>
        </w:rPr>
        <w:t>甲方</w:t>
      </w:r>
      <w:r>
        <w:rPr>
          <w:rFonts w:hint="eastAsia" w:ascii="宋体" w:hAnsi="宋体"/>
          <w:color w:val="auto"/>
          <w:sz w:val="24"/>
          <w:szCs w:val="24"/>
        </w:rPr>
        <w:t>员工同等的福利待遇，如</w:t>
      </w:r>
      <w:r>
        <w:rPr>
          <w:rFonts w:hint="eastAsia" w:ascii="宋体" w:hAnsi="宋体"/>
          <w:color w:val="auto"/>
          <w:sz w:val="24"/>
          <w:szCs w:val="24"/>
          <w:lang w:eastAsia="zh-CN"/>
        </w:rPr>
        <w:t>乙方</w:t>
      </w:r>
      <w:r>
        <w:rPr>
          <w:rFonts w:hint="eastAsia" w:ascii="宋体" w:hAnsi="宋体"/>
          <w:color w:val="auto"/>
          <w:sz w:val="24"/>
          <w:szCs w:val="24"/>
        </w:rPr>
        <w:t>员工需要</w:t>
      </w:r>
      <w:r>
        <w:rPr>
          <w:rFonts w:hint="eastAsia" w:ascii="宋体" w:hAnsi="宋体"/>
          <w:color w:val="auto"/>
          <w:sz w:val="24"/>
          <w:szCs w:val="24"/>
          <w:lang w:eastAsia="zh-CN"/>
        </w:rPr>
        <w:t>甲方</w:t>
      </w:r>
      <w:r>
        <w:rPr>
          <w:rFonts w:hint="eastAsia" w:ascii="宋体" w:hAnsi="宋体"/>
          <w:color w:val="auto"/>
          <w:sz w:val="24"/>
          <w:szCs w:val="24"/>
        </w:rPr>
        <w:t>提供食宿，一切费用按</w:t>
      </w:r>
      <w:r>
        <w:rPr>
          <w:rFonts w:hint="eastAsia" w:ascii="宋体" w:hAnsi="宋体"/>
          <w:color w:val="auto"/>
          <w:sz w:val="24"/>
          <w:szCs w:val="24"/>
          <w:lang w:eastAsia="zh-CN"/>
        </w:rPr>
        <w:t>甲方</w:t>
      </w:r>
      <w:r>
        <w:rPr>
          <w:rFonts w:hint="eastAsia" w:ascii="宋体" w:hAnsi="宋体"/>
          <w:color w:val="auto"/>
          <w:sz w:val="24"/>
          <w:szCs w:val="24"/>
        </w:rPr>
        <w:t>工人待遇计算，相关费用由</w:t>
      </w:r>
      <w:r>
        <w:rPr>
          <w:rFonts w:hint="eastAsia" w:ascii="宋体" w:hAnsi="宋体"/>
          <w:color w:val="auto"/>
          <w:sz w:val="24"/>
          <w:szCs w:val="24"/>
          <w:lang w:eastAsia="zh-CN"/>
        </w:rPr>
        <w:t>乙方</w:t>
      </w:r>
      <w:r>
        <w:rPr>
          <w:rFonts w:hint="eastAsia" w:ascii="宋体" w:hAnsi="宋体"/>
          <w:color w:val="auto"/>
          <w:sz w:val="24"/>
          <w:szCs w:val="24"/>
        </w:rPr>
        <w:t>负责及另行支付；</w:t>
      </w:r>
    </w:p>
    <w:p>
      <w:pPr>
        <w:pStyle w:val="51"/>
        <w:spacing w:after="0" w:line="360" w:lineRule="auto"/>
        <w:ind w:left="6" w:firstLine="472" w:firstLineChars="197"/>
        <w:jc w:val="left"/>
        <w:rPr>
          <w:rFonts w:hint="eastAsia" w:ascii="宋体" w:hAnsi="宋体" w:eastAsia="宋体"/>
          <w:color w:val="auto"/>
          <w:lang w:eastAsia="zh-CN"/>
        </w:rPr>
      </w:pPr>
      <w:r>
        <w:rPr>
          <w:rFonts w:hint="eastAsia" w:ascii="宋体" w:hAnsi="宋体"/>
          <w:color w:val="auto"/>
          <w:lang w:eastAsia="zh-CN"/>
        </w:rPr>
        <w:t>甲方</w:t>
      </w:r>
      <w:r>
        <w:rPr>
          <w:rFonts w:hint="eastAsia" w:ascii="宋体" w:hAnsi="宋体"/>
          <w:color w:val="auto"/>
        </w:rPr>
        <w:t>有权监督</w:t>
      </w:r>
      <w:r>
        <w:rPr>
          <w:rFonts w:hint="eastAsia" w:ascii="宋体" w:hAnsi="宋体"/>
          <w:color w:val="auto"/>
          <w:lang w:eastAsia="zh-CN"/>
        </w:rPr>
        <w:t>乙方</w:t>
      </w:r>
      <w:r>
        <w:rPr>
          <w:rFonts w:hint="eastAsia" w:ascii="宋体" w:hAnsi="宋体"/>
          <w:color w:val="auto"/>
        </w:rPr>
        <w:t>的用工制度</w:t>
      </w:r>
      <w:r>
        <w:rPr>
          <w:rFonts w:hint="eastAsia" w:ascii="宋体" w:hAnsi="宋体"/>
          <w:color w:val="auto"/>
          <w:lang w:eastAsia="zh-CN"/>
        </w:rPr>
        <w:t>；</w:t>
      </w:r>
    </w:p>
    <w:p>
      <w:pPr>
        <w:pStyle w:val="51"/>
        <w:spacing w:after="0" w:line="360" w:lineRule="auto"/>
        <w:ind w:left="6" w:firstLine="472" w:firstLineChars="197"/>
        <w:jc w:val="left"/>
        <w:rPr>
          <w:rFonts w:ascii="宋体" w:hAnsi="宋体"/>
          <w:color w:val="auto"/>
        </w:rPr>
      </w:pPr>
      <w:r>
        <w:rPr>
          <w:rFonts w:hint="eastAsia" w:ascii="宋体" w:hAnsi="宋体"/>
          <w:color w:val="auto"/>
          <w:lang w:eastAsia="zh-CN"/>
        </w:rPr>
        <w:t>乙方</w:t>
      </w:r>
      <w:r>
        <w:rPr>
          <w:rFonts w:hint="eastAsia" w:ascii="宋体" w:hAnsi="宋体"/>
          <w:color w:val="auto"/>
        </w:rPr>
        <w:t>员工在作业过程中所发生的一切事故责任均由</w:t>
      </w:r>
      <w:r>
        <w:rPr>
          <w:rFonts w:hint="eastAsia" w:ascii="宋体" w:hAnsi="宋体"/>
          <w:color w:val="auto"/>
          <w:lang w:eastAsia="zh-CN"/>
        </w:rPr>
        <w:t>乙方</w:t>
      </w:r>
      <w:r>
        <w:rPr>
          <w:rFonts w:hint="eastAsia" w:ascii="宋体" w:hAnsi="宋体"/>
          <w:color w:val="auto"/>
        </w:rPr>
        <w:t>负责；</w:t>
      </w:r>
    </w:p>
    <w:p>
      <w:pPr>
        <w:pStyle w:val="51"/>
        <w:spacing w:after="0" w:line="360" w:lineRule="auto"/>
        <w:ind w:left="6" w:firstLine="472" w:firstLineChars="197"/>
        <w:jc w:val="left"/>
        <w:rPr>
          <w:rFonts w:ascii="宋体" w:hAnsi="宋体"/>
          <w:color w:val="auto"/>
        </w:rPr>
      </w:pPr>
      <w:r>
        <w:rPr>
          <w:rFonts w:hint="eastAsia" w:ascii="宋体" w:hAnsi="宋体"/>
          <w:color w:val="auto"/>
          <w:lang w:eastAsia="zh-CN"/>
        </w:rPr>
        <w:t>乙方</w:t>
      </w:r>
      <w:r>
        <w:rPr>
          <w:rFonts w:hint="eastAsia" w:ascii="宋体" w:hAnsi="宋体"/>
          <w:color w:val="auto"/>
        </w:rPr>
        <w:t>要服从</w:t>
      </w:r>
      <w:r>
        <w:rPr>
          <w:rFonts w:hint="eastAsia" w:ascii="宋体" w:hAnsi="宋体"/>
          <w:color w:val="auto"/>
          <w:lang w:eastAsia="zh-CN"/>
        </w:rPr>
        <w:t>甲方</w:t>
      </w:r>
      <w:r>
        <w:rPr>
          <w:rFonts w:hint="eastAsia" w:ascii="宋体" w:hAnsi="宋体"/>
          <w:color w:val="auto"/>
        </w:rPr>
        <w:t>的工作任务安排，不得以任何借口延误</w:t>
      </w:r>
      <w:r>
        <w:rPr>
          <w:rFonts w:hint="eastAsia" w:ascii="宋体" w:hAnsi="宋体"/>
          <w:color w:val="auto"/>
          <w:lang w:eastAsia="zh-CN"/>
        </w:rPr>
        <w:t>甲方</w:t>
      </w:r>
      <w:r>
        <w:rPr>
          <w:rFonts w:hint="eastAsia" w:ascii="宋体" w:hAnsi="宋体"/>
          <w:color w:val="auto"/>
        </w:rPr>
        <w:t>正常工作，拒绝作业的每次扣款2000元；如造成</w:t>
      </w:r>
      <w:r>
        <w:rPr>
          <w:rFonts w:hint="eastAsia" w:ascii="宋体" w:hAnsi="宋体"/>
          <w:color w:val="auto"/>
          <w:lang w:eastAsia="zh-CN"/>
        </w:rPr>
        <w:t>甲方</w:t>
      </w:r>
      <w:r>
        <w:rPr>
          <w:rFonts w:hint="eastAsia" w:ascii="宋体" w:hAnsi="宋体"/>
          <w:color w:val="auto"/>
        </w:rPr>
        <w:t>的名誉、经济重大损失由</w:t>
      </w:r>
      <w:r>
        <w:rPr>
          <w:rFonts w:hint="eastAsia" w:ascii="宋体" w:hAnsi="宋体"/>
          <w:color w:val="auto"/>
          <w:lang w:eastAsia="zh-CN"/>
        </w:rPr>
        <w:t>乙方</w:t>
      </w:r>
      <w:r>
        <w:rPr>
          <w:rFonts w:hint="eastAsia" w:ascii="宋体" w:hAnsi="宋体"/>
          <w:color w:val="auto"/>
        </w:rPr>
        <w:t>负责照价赔偿，并在配件采购经费中扣除；</w:t>
      </w:r>
    </w:p>
    <w:p>
      <w:pPr>
        <w:pStyle w:val="51"/>
        <w:spacing w:after="0" w:line="360" w:lineRule="auto"/>
        <w:ind w:left="6" w:firstLine="472" w:firstLineChars="197"/>
        <w:jc w:val="left"/>
        <w:rPr>
          <w:rFonts w:ascii="宋体" w:hAnsi="宋体"/>
          <w:color w:val="auto"/>
        </w:rPr>
      </w:pPr>
      <w:r>
        <w:rPr>
          <w:rFonts w:hint="eastAsia" w:ascii="宋体" w:hAnsi="宋体"/>
          <w:color w:val="auto"/>
          <w:lang w:eastAsia="zh-CN"/>
        </w:rPr>
        <w:t>乙方</w:t>
      </w:r>
      <w:r>
        <w:rPr>
          <w:rFonts w:hint="eastAsia" w:ascii="宋体" w:hAnsi="宋体"/>
          <w:color w:val="auto"/>
        </w:rPr>
        <w:t>外派人员需带齐救济所需工具，安全、科学作业，严禁野蛮操作，如有因</w:t>
      </w:r>
      <w:r>
        <w:rPr>
          <w:rFonts w:hint="eastAsia" w:ascii="宋体" w:hAnsi="宋体"/>
          <w:color w:val="auto"/>
          <w:lang w:eastAsia="zh-CN"/>
        </w:rPr>
        <w:t>乙方</w:t>
      </w:r>
      <w:r>
        <w:rPr>
          <w:rFonts w:hint="eastAsia" w:ascii="宋体" w:hAnsi="宋体"/>
          <w:color w:val="auto"/>
        </w:rPr>
        <w:t>工具不齐或野蛮作业所造成</w:t>
      </w:r>
      <w:r>
        <w:rPr>
          <w:rFonts w:hint="eastAsia" w:ascii="宋体" w:hAnsi="宋体"/>
          <w:color w:val="auto"/>
          <w:lang w:eastAsia="zh-CN"/>
        </w:rPr>
        <w:t>甲方</w:t>
      </w:r>
      <w:r>
        <w:rPr>
          <w:rFonts w:hint="eastAsia" w:ascii="宋体" w:hAnsi="宋体"/>
          <w:color w:val="auto"/>
        </w:rPr>
        <w:t>轮胎损坏的经济损失由</w:t>
      </w:r>
      <w:r>
        <w:rPr>
          <w:rFonts w:hint="eastAsia" w:ascii="宋体" w:hAnsi="宋体"/>
          <w:color w:val="auto"/>
          <w:lang w:eastAsia="zh-CN"/>
        </w:rPr>
        <w:t>乙方</w:t>
      </w:r>
      <w:r>
        <w:rPr>
          <w:rFonts w:hint="eastAsia" w:ascii="宋体" w:hAnsi="宋体"/>
          <w:color w:val="auto"/>
        </w:rPr>
        <w:t>按新轮胎标准照价赔偿，如果在拆换轮胎时因螺丝不紧造成螺丝断裂、刹车掌损坏、刹车鼓磨损及报废</w:t>
      </w:r>
      <w:r>
        <w:rPr>
          <w:rFonts w:hint="eastAsia" w:ascii="宋体" w:hAnsi="宋体"/>
          <w:color w:val="auto"/>
          <w:lang w:eastAsia="zh-CN"/>
        </w:rPr>
        <w:t>乙方</w:t>
      </w:r>
      <w:r>
        <w:rPr>
          <w:rFonts w:hint="eastAsia" w:ascii="宋体" w:hAnsi="宋体"/>
          <w:color w:val="auto"/>
        </w:rPr>
        <w:t>要负责按</w:t>
      </w:r>
      <w:r>
        <w:rPr>
          <w:rFonts w:hint="eastAsia" w:ascii="宋体" w:hAnsi="宋体"/>
          <w:color w:val="auto"/>
          <w:lang w:eastAsia="zh-CN"/>
        </w:rPr>
        <w:t>甲方</w:t>
      </w:r>
      <w:r>
        <w:rPr>
          <w:rFonts w:hint="eastAsia" w:ascii="宋体" w:hAnsi="宋体"/>
          <w:color w:val="auto"/>
        </w:rPr>
        <w:t xml:space="preserve">损失照价赔偿，并在配件采购经费中扣除； </w:t>
      </w:r>
    </w:p>
    <w:p>
      <w:pPr>
        <w:pStyle w:val="51"/>
        <w:spacing w:after="0" w:line="360" w:lineRule="auto"/>
        <w:ind w:left="6" w:firstLine="472" w:firstLineChars="197"/>
        <w:jc w:val="left"/>
        <w:rPr>
          <w:rFonts w:ascii="宋体" w:hAnsi="宋体"/>
          <w:color w:val="auto"/>
        </w:rPr>
      </w:pPr>
      <w:r>
        <w:rPr>
          <w:rFonts w:hint="eastAsia" w:ascii="宋体" w:hAnsi="宋体"/>
          <w:color w:val="auto"/>
          <w:lang w:eastAsia="zh-CN"/>
        </w:rPr>
        <w:t>乙方</w:t>
      </w:r>
      <w:r>
        <w:rPr>
          <w:rFonts w:hint="eastAsia" w:ascii="宋体" w:hAnsi="宋体"/>
          <w:color w:val="auto"/>
        </w:rPr>
        <w:t>外派人员需带齐救济所需工具，在没有电动,气动工具的情况下要想办法进行人工手动作业，轮胎保障服务作业所需要一切工具全部由</w:t>
      </w:r>
      <w:r>
        <w:rPr>
          <w:rFonts w:hint="eastAsia" w:ascii="宋体" w:hAnsi="宋体"/>
          <w:color w:val="auto"/>
          <w:lang w:eastAsia="zh-CN"/>
        </w:rPr>
        <w:t>乙方</w:t>
      </w:r>
      <w:r>
        <w:rPr>
          <w:rFonts w:hint="eastAsia" w:ascii="宋体" w:hAnsi="宋体"/>
          <w:color w:val="auto"/>
        </w:rPr>
        <w:t>负责购买、维护；如</w:t>
      </w:r>
      <w:r>
        <w:rPr>
          <w:rFonts w:hint="eastAsia" w:ascii="宋体" w:hAnsi="宋体"/>
          <w:color w:val="auto"/>
          <w:lang w:eastAsia="zh-CN"/>
        </w:rPr>
        <w:t>乙方</w:t>
      </w:r>
      <w:r>
        <w:rPr>
          <w:rFonts w:hint="eastAsia" w:ascii="宋体" w:hAnsi="宋体"/>
          <w:color w:val="auto"/>
        </w:rPr>
        <w:t>需要向</w:t>
      </w:r>
      <w:r>
        <w:rPr>
          <w:rFonts w:hint="eastAsia" w:ascii="宋体" w:hAnsi="宋体"/>
          <w:color w:val="auto"/>
          <w:lang w:eastAsia="zh-CN"/>
        </w:rPr>
        <w:t>甲方</w:t>
      </w:r>
      <w:r>
        <w:rPr>
          <w:rFonts w:hint="eastAsia" w:ascii="宋体" w:hAnsi="宋体"/>
          <w:color w:val="auto"/>
        </w:rPr>
        <w:t>租借作业工具，要向</w:t>
      </w:r>
      <w:r>
        <w:rPr>
          <w:rFonts w:hint="eastAsia" w:ascii="宋体" w:hAnsi="宋体"/>
          <w:color w:val="auto"/>
          <w:lang w:eastAsia="zh-CN"/>
        </w:rPr>
        <w:t>甲方</w:t>
      </w:r>
      <w:r>
        <w:rPr>
          <w:rFonts w:hint="eastAsia" w:ascii="宋体" w:hAnsi="宋体"/>
          <w:color w:val="auto"/>
        </w:rPr>
        <w:t>按市场价支付租借费用，如有遗失或损坏</w:t>
      </w:r>
      <w:r>
        <w:rPr>
          <w:rFonts w:hint="eastAsia" w:ascii="宋体" w:hAnsi="宋体"/>
          <w:color w:val="auto"/>
          <w:lang w:eastAsia="zh-CN"/>
        </w:rPr>
        <w:t>甲方</w:t>
      </w:r>
      <w:r>
        <w:rPr>
          <w:rFonts w:hint="eastAsia" w:ascii="宋体" w:hAnsi="宋体"/>
          <w:color w:val="auto"/>
        </w:rPr>
        <w:t>按市场价在当月服务费中扣除；</w:t>
      </w:r>
    </w:p>
    <w:p>
      <w:pPr>
        <w:pStyle w:val="51"/>
        <w:spacing w:after="0" w:line="360" w:lineRule="auto"/>
        <w:ind w:left="6" w:firstLine="472" w:firstLineChars="197"/>
        <w:jc w:val="left"/>
        <w:rPr>
          <w:rFonts w:ascii="宋体" w:hAnsi="宋体"/>
          <w:color w:val="auto"/>
        </w:rPr>
      </w:pPr>
      <w:r>
        <w:rPr>
          <w:rFonts w:hint="eastAsia" w:ascii="宋体" w:hAnsi="宋体"/>
          <w:color w:val="auto"/>
          <w:lang w:eastAsia="zh-CN"/>
        </w:rPr>
        <w:t>乙方</w:t>
      </w:r>
      <w:r>
        <w:rPr>
          <w:rFonts w:hint="eastAsia" w:ascii="宋体" w:hAnsi="宋体"/>
          <w:color w:val="auto"/>
        </w:rPr>
        <w:t>轮胎工不能监守自盗，如有轮胎丢失或不正常报废的现象，由</w:t>
      </w:r>
      <w:r>
        <w:rPr>
          <w:rFonts w:hint="eastAsia" w:ascii="宋体" w:hAnsi="宋体"/>
          <w:color w:val="auto"/>
          <w:lang w:eastAsia="zh-CN"/>
        </w:rPr>
        <w:t>乙方</w:t>
      </w:r>
      <w:r>
        <w:rPr>
          <w:rFonts w:hint="eastAsia" w:ascii="宋体" w:hAnsi="宋体"/>
          <w:color w:val="auto"/>
        </w:rPr>
        <w:t>负责按损失的三倍赔偿；</w:t>
      </w:r>
    </w:p>
    <w:p>
      <w:pPr>
        <w:pStyle w:val="51"/>
        <w:spacing w:after="0" w:line="360" w:lineRule="auto"/>
        <w:ind w:left="6" w:firstLine="472" w:firstLineChars="197"/>
        <w:jc w:val="left"/>
        <w:rPr>
          <w:rFonts w:ascii="宋体" w:hAnsi="宋体"/>
          <w:color w:val="auto"/>
        </w:rPr>
      </w:pPr>
      <w:r>
        <w:rPr>
          <w:rFonts w:hint="eastAsia" w:ascii="宋体" w:hAnsi="宋体"/>
          <w:color w:val="auto"/>
        </w:rPr>
        <w:t>轮胎的拆装、修补、检查、抢修、救济等工作</w:t>
      </w:r>
      <w:r>
        <w:rPr>
          <w:rFonts w:hint="eastAsia" w:ascii="宋体" w:hAnsi="宋体"/>
          <w:color w:val="auto"/>
          <w:lang w:eastAsia="zh-CN"/>
        </w:rPr>
        <w:t>乙方</w:t>
      </w:r>
      <w:r>
        <w:rPr>
          <w:rFonts w:hint="eastAsia" w:ascii="宋体" w:hAnsi="宋体"/>
          <w:color w:val="auto"/>
        </w:rPr>
        <w:t>轮胎工需做好登记手续，并按</w:t>
      </w:r>
      <w:r>
        <w:rPr>
          <w:rFonts w:hint="eastAsia" w:ascii="宋体" w:hAnsi="宋体"/>
          <w:color w:val="auto"/>
          <w:lang w:eastAsia="zh-CN"/>
        </w:rPr>
        <w:t>甲方</w:t>
      </w:r>
      <w:r>
        <w:rPr>
          <w:rFonts w:hint="eastAsia" w:ascii="宋体" w:hAnsi="宋体"/>
          <w:color w:val="auto"/>
        </w:rPr>
        <w:t>规定做好旧胎的报废登记手续。</w:t>
      </w:r>
    </w:p>
    <w:p>
      <w:pPr>
        <w:pStyle w:val="51"/>
        <w:spacing w:after="0" w:line="360" w:lineRule="auto"/>
        <w:ind w:left="6" w:firstLine="472" w:firstLineChars="197"/>
        <w:jc w:val="left"/>
        <w:rPr>
          <w:rFonts w:ascii="宋体" w:hAnsi="宋体"/>
          <w:color w:val="auto"/>
        </w:rPr>
      </w:pPr>
      <w:r>
        <w:rPr>
          <w:rFonts w:hint="eastAsia" w:ascii="宋体" w:hAnsi="宋体"/>
          <w:color w:val="auto"/>
        </w:rPr>
        <w:t>（8）轮胎采购详见清单。</w:t>
      </w:r>
    </w:p>
    <w:p>
      <w:pPr>
        <w:pStyle w:val="51"/>
        <w:spacing w:after="0" w:line="360" w:lineRule="auto"/>
        <w:ind w:left="6" w:firstLine="475" w:firstLineChars="197"/>
        <w:jc w:val="left"/>
        <w:rPr>
          <w:rFonts w:hint="eastAsia" w:ascii="宋体" w:hAnsi="宋体"/>
          <w:b/>
          <w:bCs/>
          <w:color w:val="auto"/>
        </w:rPr>
      </w:pPr>
      <w:r>
        <w:rPr>
          <w:rFonts w:hint="eastAsia" w:ascii="宋体" w:hAnsi="宋体"/>
          <w:b/>
          <w:bCs/>
          <w:color w:val="auto"/>
        </w:rPr>
        <w:t>说明：（1）此轮胎投标单价最高限价包括产品价格、运输、验收、培训、技术服务（包括技术资料、图纸的提供）、售后服务、轮胎的烙号、更换、维修、抢修、日常管理及合同实施过程中不可预见费用等。</w:t>
      </w:r>
      <w:r>
        <w:rPr>
          <w:rFonts w:hint="eastAsia" w:ascii="宋体" w:hAnsi="宋体"/>
          <w:b/>
          <w:bCs/>
          <w:color w:val="auto"/>
          <w:lang w:eastAsia="zh-CN"/>
        </w:rPr>
        <w:t>乙方</w:t>
      </w:r>
      <w:r>
        <w:rPr>
          <w:rFonts w:hint="eastAsia" w:ascii="宋体" w:hAnsi="宋体"/>
          <w:b/>
          <w:bCs/>
          <w:color w:val="auto"/>
        </w:rPr>
        <w:t>应派有资质的轮胎工人（不少于2人），并提供</w:t>
      </w:r>
      <w:r>
        <w:rPr>
          <w:rFonts w:hint="eastAsia" w:ascii="宋体" w:hAnsi="宋体"/>
          <w:b/>
          <w:bCs/>
          <w:color w:val="auto"/>
          <w:lang w:val="en-US" w:eastAsia="zh-CN"/>
        </w:rPr>
        <w:t>安装、</w:t>
      </w:r>
      <w:r>
        <w:rPr>
          <w:rFonts w:hint="eastAsia" w:ascii="宋体" w:hAnsi="宋体"/>
          <w:b/>
          <w:bCs/>
          <w:color w:val="auto"/>
        </w:rPr>
        <w:t>换胎、调位的相关工具，以保障</w:t>
      </w:r>
      <w:r>
        <w:rPr>
          <w:rFonts w:hint="eastAsia" w:ascii="宋体" w:hAnsi="宋体"/>
          <w:b/>
          <w:bCs/>
          <w:color w:val="auto"/>
          <w:lang w:eastAsia="zh-CN"/>
        </w:rPr>
        <w:t>甲方</w:t>
      </w:r>
      <w:r>
        <w:rPr>
          <w:rFonts w:hint="eastAsia" w:ascii="宋体" w:hAnsi="宋体"/>
          <w:b/>
          <w:bCs/>
          <w:color w:val="auto"/>
        </w:rPr>
        <w:t>车辆的正常运行，由此产生的所有费用均包含在轮胎投标单价内，</w:t>
      </w:r>
      <w:r>
        <w:rPr>
          <w:rFonts w:hint="eastAsia" w:ascii="宋体" w:hAnsi="宋体"/>
          <w:b/>
          <w:bCs/>
          <w:color w:val="auto"/>
          <w:lang w:eastAsia="zh-CN"/>
        </w:rPr>
        <w:t>甲方</w:t>
      </w:r>
      <w:r>
        <w:rPr>
          <w:rFonts w:hint="eastAsia" w:ascii="宋体" w:hAnsi="宋体"/>
          <w:b/>
          <w:bCs/>
          <w:color w:val="auto"/>
        </w:rPr>
        <w:t>不再支付除轮胎中标价以外的任何费用。</w:t>
      </w: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hint="eastAsia" w:ascii="宋体" w:hAnsi="宋体"/>
          <w:b/>
          <w:bCs/>
          <w:color w:val="auto"/>
        </w:rPr>
      </w:pP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lang w:val="en-US" w:eastAsia="zh-CN"/>
        </w:rPr>
        <w:t>附件5：</w:t>
      </w:r>
      <w:r>
        <w:rPr>
          <w:rFonts w:hint="eastAsia" w:ascii="宋体" w:hAnsi="宋体"/>
          <w:b/>
          <w:bCs/>
          <w:color w:val="auto"/>
        </w:rPr>
        <w:t>商务要求</w:t>
      </w:r>
    </w:p>
    <w:p>
      <w:pPr>
        <w:pStyle w:val="51"/>
        <w:spacing w:after="0" w:line="360" w:lineRule="auto"/>
        <w:ind w:left="6" w:firstLine="472" w:firstLineChars="197"/>
        <w:jc w:val="left"/>
        <w:rPr>
          <w:rFonts w:ascii="宋体" w:hAnsi="宋体"/>
          <w:color w:val="auto"/>
        </w:rPr>
      </w:pPr>
      <w:r>
        <w:rPr>
          <w:rFonts w:hint="eastAsia" w:ascii="宋体" w:hAnsi="宋体"/>
          <w:color w:val="auto"/>
        </w:rPr>
        <w:t>为保证</w:t>
      </w:r>
      <w:r>
        <w:rPr>
          <w:rFonts w:hint="eastAsia" w:ascii="宋体" w:hAnsi="宋体"/>
          <w:color w:val="auto"/>
          <w:lang w:eastAsia="zh-CN"/>
        </w:rPr>
        <w:t>甲方</w:t>
      </w:r>
      <w:r>
        <w:rPr>
          <w:rFonts w:hint="eastAsia" w:ascii="宋体" w:hAnsi="宋体"/>
          <w:color w:val="auto"/>
        </w:rPr>
        <w:t>车辆正常运作，确保</w:t>
      </w:r>
      <w:r>
        <w:rPr>
          <w:rFonts w:hint="eastAsia" w:ascii="宋体" w:hAnsi="宋体"/>
          <w:color w:val="auto"/>
          <w:lang w:eastAsia="zh-CN"/>
        </w:rPr>
        <w:t>甲方</w:t>
      </w:r>
      <w:r>
        <w:rPr>
          <w:rFonts w:hint="eastAsia" w:ascii="宋体" w:hAnsi="宋体"/>
          <w:color w:val="auto"/>
        </w:rPr>
        <w:t>有充足的各类物资使用，寻求合适的各类物资</w:t>
      </w:r>
      <w:r>
        <w:rPr>
          <w:rFonts w:hint="eastAsia" w:ascii="宋体" w:hAnsi="宋体"/>
          <w:color w:val="auto"/>
          <w:lang w:eastAsia="zh-CN"/>
        </w:rPr>
        <w:t>乙方</w:t>
      </w:r>
      <w:r>
        <w:rPr>
          <w:rFonts w:hint="eastAsia" w:ascii="宋体" w:hAnsi="宋体"/>
          <w:color w:val="auto"/>
        </w:rPr>
        <w:t>，负责提供优质的配件，及时送货到</w:t>
      </w:r>
      <w:r>
        <w:rPr>
          <w:rFonts w:hint="eastAsia" w:ascii="宋体" w:hAnsi="宋体"/>
          <w:color w:val="auto"/>
          <w:lang w:eastAsia="zh-CN"/>
        </w:rPr>
        <w:t>甲方</w:t>
      </w:r>
      <w:r>
        <w:rPr>
          <w:rFonts w:hint="eastAsia" w:ascii="宋体" w:hAnsi="宋体"/>
          <w:color w:val="auto"/>
        </w:rPr>
        <w:t>指定地址，各项要求如下：</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1、供货要求</w:t>
      </w:r>
    </w:p>
    <w:p>
      <w:pPr>
        <w:pStyle w:val="51"/>
        <w:spacing w:after="0" w:line="360" w:lineRule="auto"/>
        <w:ind w:left="6" w:firstLine="472" w:firstLineChars="197"/>
        <w:jc w:val="left"/>
        <w:rPr>
          <w:rFonts w:ascii="宋体" w:hAnsi="宋体"/>
          <w:color w:val="auto"/>
        </w:rPr>
      </w:pPr>
      <w:r>
        <w:rPr>
          <w:rFonts w:hint="eastAsia" w:ascii="宋体" w:hAnsi="宋体"/>
          <w:color w:val="auto"/>
        </w:rPr>
        <w:t>（1）</w:t>
      </w:r>
      <w:r>
        <w:rPr>
          <w:rFonts w:hint="eastAsia" w:ascii="宋体" w:hAnsi="宋体"/>
          <w:color w:val="auto"/>
          <w:lang w:eastAsia="zh-CN"/>
        </w:rPr>
        <w:t>乙方</w:t>
      </w:r>
      <w:r>
        <w:rPr>
          <w:rFonts w:hint="eastAsia" w:ascii="宋体" w:hAnsi="宋体"/>
          <w:color w:val="auto"/>
        </w:rPr>
        <w:t>应保证供货、送货时间，保证电话畅通、接报后15 分钟内要作出回应，3 小时内送货到达现场，急件1 小时内送货到达现场，如因特殊配件一般不易损坏的，需订制或远程调货的，保证3 天内送货到指定地点，</w:t>
      </w:r>
      <w:r>
        <w:rPr>
          <w:rFonts w:hint="eastAsia" w:ascii="宋体" w:hAnsi="宋体"/>
          <w:color w:val="auto"/>
          <w:lang w:eastAsia="zh-CN"/>
        </w:rPr>
        <w:t>乙方</w:t>
      </w:r>
      <w:r>
        <w:rPr>
          <w:rFonts w:hint="eastAsia" w:ascii="宋体" w:hAnsi="宋体"/>
          <w:color w:val="auto"/>
        </w:rPr>
        <w:t>应具有仓储配送能力，自有送货车辆2台以上。</w:t>
      </w:r>
    </w:p>
    <w:p>
      <w:pPr>
        <w:pStyle w:val="51"/>
        <w:spacing w:after="0" w:line="360" w:lineRule="auto"/>
        <w:ind w:left="6" w:firstLine="472" w:firstLineChars="197"/>
        <w:jc w:val="left"/>
        <w:rPr>
          <w:rFonts w:ascii="宋体" w:hAnsi="宋体"/>
          <w:color w:val="auto"/>
        </w:rPr>
      </w:pPr>
      <w:r>
        <w:rPr>
          <w:rFonts w:hint="eastAsia" w:ascii="宋体" w:hAnsi="宋体"/>
          <w:color w:val="auto"/>
        </w:rPr>
        <w:t>（2）</w:t>
      </w:r>
      <w:r>
        <w:rPr>
          <w:rFonts w:hint="eastAsia" w:ascii="宋体" w:hAnsi="宋体"/>
          <w:color w:val="auto"/>
          <w:lang w:eastAsia="zh-CN"/>
        </w:rPr>
        <w:t>甲方</w:t>
      </w:r>
      <w:r>
        <w:rPr>
          <w:rFonts w:hint="eastAsia" w:ascii="宋体" w:hAnsi="宋体"/>
          <w:color w:val="auto"/>
        </w:rPr>
        <w:t>将根据车队正常运作所需，选择相应的配件，并以实际发生额作为结算依据，服务期内</w:t>
      </w:r>
      <w:r>
        <w:rPr>
          <w:rFonts w:hint="eastAsia" w:ascii="宋体" w:hAnsi="宋体"/>
          <w:color w:val="auto"/>
          <w:lang w:eastAsia="zh-CN"/>
        </w:rPr>
        <w:t>甲方</w:t>
      </w:r>
      <w:r>
        <w:rPr>
          <w:rFonts w:hint="eastAsia" w:ascii="宋体" w:hAnsi="宋体"/>
          <w:color w:val="auto"/>
        </w:rPr>
        <w:t>采购实际金额未达到预算总额的，不视为</w:t>
      </w:r>
      <w:r>
        <w:rPr>
          <w:rFonts w:hint="eastAsia" w:ascii="宋体" w:hAnsi="宋体"/>
          <w:color w:val="auto"/>
          <w:lang w:eastAsia="zh-CN"/>
        </w:rPr>
        <w:t>甲方</w:t>
      </w:r>
      <w:r>
        <w:rPr>
          <w:rFonts w:hint="eastAsia" w:ascii="宋体" w:hAnsi="宋体"/>
          <w:color w:val="auto"/>
        </w:rPr>
        <w:t>违约。</w:t>
      </w:r>
    </w:p>
    <w:p>
      <w:pPr>
        <w:pStyle w:val="51"/>
        <w:spacing w:after="0" w:line="360" w:lineRule="auto"/>
        <w:ind w:left="6" w:firstLine="472" w:firstLineChars="197"/>
        <w:jc w:val="left"/>
        <w:rPr>
          <w:rFonts w:ascii="宋体" w:hAnsi="宋体"/>
          <w:color w:val="auto"/>
        </w:rPr>
      </w:pPr>
      <w:r>
        <w:rPr>
          <w:rFonts w:hint="eastAsia" w:ascii="宋体" w:hAnsi="宋体"/>
          <w:color w:val="auto"/>
        </w:rPr>
        <w:t>（3）由于</w:t>
      </w:r>
      <w:r>
        <w:rPr>
          <w:rFonts w:hint="eastAsia" w:ascii="宋体" w:hAnsi="宋体"/>
          <w:color w:val="auto"/>
          <w:lang w:eastAsia="zh-CN"/>
        </w:rPr>
        <w:t>甲方</w:t>
      </w:r>
      <w:r>
        <w:rPr>
          <w:rFonts w:hint="eastAsia" w:ascii="宋体" w:hAnsi="宋体"/>
          <w:color w:val="auto"/>
        </w:rPr>
        <w:t>所招的货物都是限价，在</w:t>
      </w:r>
      <w:r>
        <w:rPr>
          <w:rFonts w:hint="eastAsia" w:ascii="宋体" w:hAnsi="宋体"/>
          <w:color w:val="auto"/>
          <w:lang w:eastAsia="zh-CN"/>
        </w:rPr>
        <w:t>乙方</w:t>
      </w:r>
      <w:r>
        <w:rPr>
          <w:rFonts w:hint="eastAsia" w:ascii="宋体" w:hAnsi="宋体"/>
          <w:color w:val="auto"/>
        </w:rPr>
        <w:t>的服务期限内，</w:t>
      </w:r>
      <w:r>
        <w:rPr>
          <w:rFonts w:hint="eastAsia" w:ascii="宋体" w:hAnsi="宋体"/>
          <w:color w:val="auto"/>
          <w:lang w:eastAsia="zh-CN"/>
        </w:rPr>
        <w:t>甲方</w:t>
      </w:r>
      <w:r>
        <w:rPr>
          <w:rFonts w:hint="eastAsia" w:ascii="宋体" w:hAnsi="宋体"/>
          <w:color w:val="auto"/>
        </w:rPr>
        <w:t>根据实际情况其按照中标单价，可自行对货物的数量进行采购和调整。</w:t>
      </w:r>
    </w:p>
    <w:p>
      <w:pPr>
        <w:pStyle w:val="51"/>
        <w:spacing w:after="0" w:line="360" w:lineRule="auto"/>
        <w:ind w:left="6" w:firstLine="472" w:firstLineChars="197"/>
        <w:jc w:val="left"/>
        <w:rPr>
          <w:rFonts w:ascii="宋体" w:hAnsi="宋体"/>
          <w:color w:val="auto"/>
        </w:rPr>
      </w:pPr>
      <w:r>
        <w:rPr>
          <w:rFonts w:hint="eastAsia" w:ascii="宋体" w:hAnsi="宋体"/>
          <w:color w:val="auto"/>
        </w:rPr>
        <w:t>（4）合同生效后期满或实际付款金額累计达到预算100%，则合同终止。</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2、供货地点</w:t>
      </w:r>
    </w:p>
    <w:p>
      <w:pPr>
        <w:spacing w:after="120" w:line="360" w:lineRule="auto"/>
        <w:ind w:firstLine="480" w:firstLineChars="200"/>
        <w:rPr>
          <w:rFonts w:ascii="宋体" w:hAnsi="宋体"/>
          <w:color w:val="auto"/>
          <w:sz w:val="24"/>
        </w:rPr>
      </w:pPr>
      <w:r>
        <w:rPr>
          <w:rFonts w:hint="eastAsia" w:ascii="宋体" w:hAnsi="宋体"/>
          <w:bCs/>
          <w:color w:val="auto"/>
          <w:sz w:val="24"/>
          <w:u w:val="none"/>
        </w:rPr>
        <w:t>以</w:t>
      </w:r>
      <w:r>
        <w:rPr>
          <w:rFonts w:hint="eastAsia" w:ascii="宋体" w:hAnsi="宋体"/>
          <w:bCs/>
          <w:color w:val="auto"/>
          <w:sz w:val="24"/>
          <w:u w:val="none"/>
          <w:lang w:eastAsia="zh-CN"/>
        </w:rPr>
        <w:t>甲方</w:t>
      </w:r>
      <w:r>
        <w:rPr>
          <w:rFonts w:hint="eastAsia" w:ascii="宋体" w:hAnsi="宋体"/>
          <w:bCs/>
          <w:color w:val="auto"/>
          <w:sz w:val="24"/>
          <w:u w:val="none"/>
        </w:rPr>
        <w:t xml:space="preserve">通知为准 </w:t>
      </w:r>
      <w:r>
        <w:rPr>
          <w:rFonts w:hint="eastAsia" w:ascii="宋体" w:hAnsi="宋体"/>
          <w:bCs/>
          <w:color w:val="auto"/>
          <w:sz w:val="24"/>
        </w:rPr>
        <w:t>，包括</w:t>
      </w:r>
      <w:r>
        <w:rPr>
          <w:rFonts w:hint="eastAsia" w:ascii="宋体" w:hAnsi="宋体"/>
          <w:bCs/>
          <w:color w:val="auto"/>
          <w:sz w:val="24"/>
          <w:lang w:eastAsia="zh-CN"/>
        </w:rPr>
        <w:t>甲方</w:t>
      </w:r>
      <w:r>
        <w:rPr>
          <w:rFonts w:ascii="宋体" w:hAnsi="宋体"/>
          <w:bCs/>
          <w:color w:val="auto"/>
          <w:sz w:val="24"/>
        </w:rPr>
        <w:t>指定的</w:t>
      </w:r>
      <w:r>
        <w:rPr>
          <w:rFonts w:hint="eastAsia" w:ascii="宋体" w:hAnsi="宋体"/>
          <w:bCs/>
          <w:color w:val="auto"/>
          <w:sz w:val="24"/>
        </w:rPr>
        <w:t>任一收货点；</w:t>
      </w:r>
      <w:r>
        <w:rPr>
          <w:rFonts w:ascii="宋体" w:hAnsi="宋体"/>
          <w:bCs/>
          <w:color w:val="auto"/>
          <w:sz w:val="24"/>
        </w:rPr>
        <w:t>最终具体交货地点以</w:t>
      </w:r>
      <w:r>
        <w:rPr>
          <w:rFonts w:hint="eastAsia" w:ascii="宋体" w:hAnsi="宋体"/>
          <w:bCs/>
          <w:color w:val="auto"/>
          <w:sz w:val="24"/>
          <w:lang w:eastAsia="zh-CN"/>
        </w:rPr>
        <w:t>甲方</w:t>
      </w:r>
      <w:r>
        <w:rPr>
          <w:rFonts w:ascii="宋体" w:hAnsi="宋体"/>
          <w:bCs/>
          <w:color w:val="auto"/>
          <w:sz w:val="24"/>
        </w:rPr>
        <w:t>通知为准。</w:t>
      </w:r>
      <w:r>
        <w:rPr>
          <w:rFonts w:hint="eastAsia" w:ascii="宋体" w:hAnsi="宋体"/>
          <w:color w:val="auto"/>
          <w:sz w:val="24"/>
        </w:rPr>
        <w:t xml:space="preserve"> </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3、货物的验收：</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（1）验收应在</w:t>
      </w:r>
      <w:r>
        <w:rPr>
          <w:rFonts w:hint="eastAsia" w:ascii="宋体" w:hAnsi="宋体"/>
          <w:color w:val="auto"/>
          <w:lang w:eastAsia="zh-CN"/>
        </w:rPr>
        <w:t>甲方</w:t>
      </w:r>
      <w:r>
        <w:rPr>
          <w:rFonts w:hint="eastAsia" w:ascii="宋体" w:hAnsi="宋体"/>
          <w:color w:val="auto"/>
        </w:rPr>
        <w:t>和</w:t>
      </w:r>
      <w:r>
        <w:rPr>
          <w:rFonts w:hint="eastAsia" w:ascii="宋体" w:hAnsi="宋体"/>
          <w:color w:val="auto"/>
          <w:lang w:eastAsia="zh-CN"/>
        </w:rPr>
        <w:t>乙方</w:t>
      </w:r>
      <w:r>
        <w:rPr>
          <w:rFonts w:hint="eastAsia" w:ascii="宋体" w:hAnsi="宋体"/>
          <w:color w:val="auto"/>
        </w:rPr>
        <w:t>双方共同参加下进行，验收合格后</w:t>
      </w:r>
      <w:r>
        <w:rPr>
          <w:rFonts w:hint="eastAsia" w:ascii="宋体" w:hAnsi="宋体"/>
          <w:color w:val="auto"/>
          <w:lang w:eastAsia="zh-CN"/>
        </w:rPr>
        <w:t>乙方</w:t>
      </w:r>
      <w:r>
        <w:rPr>
          <w:rFonts w:hint="eastAsia" w:ascii="宋体" w:hAnsi="宋体"/>
          <w:color w:val="auto"/>
        </w:rPr>
        <w:t>将其登记在册。</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（2）验收按国家有关的规定、规范进行。验收时如发现所交付的货物有短缺、次品、损坏或其他不符合招标文件、合同规定之情形者，</w:t>
      </w:r>
      <w:r>
        <w:rPr>
          <w:rFonts w:hint="eastAsia" w:ascii="宋体" w:hAnsi="宋体"/>
          <w:color w:val="auto"/>
          <w:lang w:eastAsia="zh-CN"/>
        </w:rPr>
        <w:t>甲方</w:t>
      </w:r>
      <w:r>
        <w:rPr>
          <w:rFonts w:hint="eastAsia" w:ascii="宋体" w:hAnsi="宋体"/>
          <w:color w:val="auto"/>
        </w:rPr>
        <w:t>应作出详尽的现场记录，或由</w:t>
      </w:r>
      <w:r>
        <w:rPr>
          <w:rFonts w:hint="eastAsia" w:ascii="宋体" w:hAnsi="宋体"/>
          <w:color w:val="auto"/>
          <w:lang w:eastAsia="zh-CN"/>
        </w:rPr>
        <w:t>甲方</w:t>
      </w:r>
      <w:r>
        <w:rPr>
          <w:rFonts w:hint="eastAsia" w:ascii="宋体" w:hAnsi="宋体"/>
          <w:color w:val="auto"/>
        </w:rPr>
        <w:t>和</w:t>
      </w:r>
      <w:r>
        <w:rPr>
          <w:rFonts w:hint="eastAsia" w:ascii="宋体" w:hAnsi="宋体"/>
          <w:color w:val="auto"/>
          <w:lang w:eastAsia="zh-CN"/>
        </w:rPr>
        <w:t>乙方</w:t>
      </w:r>
      <w:r>
        <w:rPr>
          <w:rFonts w:hint="eastAsia" w:ascii="宋体" w:hAnsi="宋体"/>
          <w:color w:val="auto"/>
        </w:rPr>
        <w:t>双方签署备忘录。此现场记录或备忘录可用作补充、缺失和更换部件的有效证据。由此产生的有关费用由</w:t>
      </w:r>
      <w:r>
        <w:rPr>
          <w:rFonts w:hint="eastAsia" w:ascii="宋体" w:hAnsi="宋体"/>
          <w:color w:val="auto"/>
          <w:lang w:eastAsia="zh-CN"/>
        </w:rPr>
        <w:t>乙方</w:t>
      </w:r>
      <w:r>
        <w:rPr>
          <w:rFonts w:hint="eastAsia" w:ascii="宋体" w:hAnsi="宋体"/>
          <w:color w:val="auto"/>
        </w:rPr>
        <w:t>承担。</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（3）货物必须达到</w:t>
      </w:r>
      <w:r>
        <w:rPr>
          <w:rFonts w:hint="eastAsia" w:ascii="宋体" w:hAnsi="宋体"/>
          <w:color w:val="auto"/>
          <w:lang w:eastAsia="zh-CN"/>
        </w:rPr>
        <w:t>乙方</w:t>
      </w:r>
      <w:r>
        <w:rPr>
          <w:rFonts w:hint="eastAsia" w:ascii="宋体" w:hAnsi="宋体"/>
          <w:color w:val="auto"/>
        </w:rPr>
        <w:t>投标文件所提供的性能指标参数、满足采购需求的要求，并提供每条轮胎原始编号。</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（4）如果合同货物运输和安装调试过程中因事故造成货物短缺、损坏，</w:t>
      </w:r>
      <w:r>
        <w:rPr>
          <w:rFonts w:hint="eastAsia" w:ascii="宋体" w:hAnsi="宋体"/>
          <w:color w:val="auto"/>
          <w:lang w:eastAsia="zh-CN"/>
        </w:rPr>
        <w:t>乙方</w:t>
      </w:r>
      <w:r>
        <w:rPr>
          <w:rFonts w:hint="eastAsia" w:ascii="宋体" w:hAnsi="宋体"/>
          <w:color w:val="auto"/>
        </w:rPr>
        <w:t>应及时安排换货，以保证合同货物成功完整交付。换货的相关费用由</w:t>
      </w:r>
      <w:r>
        <w:rPr>
          <w:rFonts w:hint="eastAsia" w:ascii="宋体" w:hAnsi="宋体"/>
          <w:color w:val="auto"/>
          <w:lang w:eastAsia="zh-CN"/>
        </w:rPr>
        <w:t>乙方</w:t>
      </w:r>
      <w:r>
        <w:rPr>
          <w:rFonts w:hint="eastAsia" w:ascii="宋体" w:hAnsi="宋体"/>
          <w:color w:val="auto"/>
        </w:rPr>
        <w:t>承担。</w:t>
      </w:r>
    </w:p>
    <w:p>
      <w:pPr>
        <w:pStyle w:val="51"/>
        <w:snapToGrid w:val="0"/>
        <w:spacing w:after="0" w:line="360" w:lineRule="auto"/>
        <w:ind w:left="6" w:firstLine="472" w:firstLineChars="197"/>
        <w:jc w:val="left"/>
        <w:rPr>
          <w:rFonts w:ascii="宋体" w:hAnsi="宋体"/>
          <w:color w:val="auto"/>
        </w:rPr>
      </w:pPr>
      <w:r>
        <w:rPr>
          <w:rFonts w:hint="eastAsia" w:ascii="宋体" w:hAnsi="宋体"/>
          <w:color w:val="auto"/>
        </w:rPr>
        <w:t>（5）若</w:t>
      </w:r>
      <w:r>
        <w:rPr>
          <w:rFonts w:hint="eastAsia" w:ascii="宋体" w:hAnsi="宋体"/>
          <w:color w:val="auto"/>
          <w:lang w:eastAsia="zh-CN"/>
        </w:rPr>
        <w:t>乙方</w:t>
      </w:r>
      <w:r>
        <w:rPr>
          <w:rFonts w:hint="eastAsia" w:ascii="宋体" w:hAnsi="宋体"/>
          <w:color w:val="auto"/>
        </w:rPr>
        <w:t>提供的产品发生知识产权纠纷的，由</w:t>
      </w:r>
      <w:r>
        <w:rPr>
          <w:rFonts w:hint="eastAsia" w:ascii="宋体" w:hAnsi="宋体"/>
          <w:color w:val="auto"/>
          <w:lang w:eastAsia="zh-CN"/>
        </w:rPr>
        <w:t>乙方</w:t>
      </w:r>
      <w:r>
        <w:rPr>
          <w:rFonts w:hint="eastAsia" w:ascii="宋体" w:hAnsi="宋体"/>
          <w:color w:val="auto"/>
        </w:rPr>
        <w:t>与原知识产权所有者协商解决，</w:t>
      </w:r>
      <w:r>
        <w:rPr>
          <w:rFonts w:hint="eastAsia" w:ascii="宋体" w:hAnsi="宋体"/>
          <w:color w:val="auto"/>
          <w:lang w:eastAsia="zh-CN"/>
        </w:rPr>
        <w:t>甲方</w:t>
      </w:r>
      <w:r>
        <w:rPr>
          <w:rFonts w:hint="eastAsia" w:ascii="宋体" w:hAnsi="宋体"/>
          <w:color w:val="auto"/>
        </w:rPr>
        <w:t>不承担与之相关的任何经济和法律责任。</w:t>
      </w:r>
    </w:p>
    <w:p>
      <w:pPr>
        <w:pStyle w:val="51"/>
        <w:snapToGrid w:val="0"/>
        <w:spacing w:after="0" w:line="360" w:lineRule="auto"/>
        <w:ind w:left="6" w:firstLine="472" w:firstLineChars="197"/>
        <w:jc w:val="left"/>
        <w:rPr>
          <w:rFonts w:hint="eastAsia" w:ascii="宋体" w:hAnsi="宋体"/>
          <w:color w:val="auto"/>
        </w:rPr>
      </w:pPr>
      <w:r>
        <w:rPr>
          <w:rFonts w:hint="eastAsia" w:ascii="宋体" w:hAnsi="宋体"/>
          <w:color w:val="auto"/>
        </w:rPr>
        <w:t>（6）所有货物在收货或使用过程中发现以次充好或使用假冒伪劣产品的，</w:t>
      </w:r>
      <w:r>
        <w:rPr>
          <w:rFonts w:hint="eastAsia" w:ascii="宋体" w:hAnsi="宋体"/>
          <w:color w:val="auto"/>
          <w:lang w:eastAsia="zh-CN"/>
        </w:rPr>
        <w:t>乙方</w:t>
      </w:r>
      <w:r>
        <w:rPr>
          <w:rFonts w:hint="eastAsia" w:ascii="宋体" w:hAnsi="宋体"/>
          <w:color w:val="auto"/>
        </w:rPr>
        <w:t>除无条件更换货物外，还需按货物价格的3倍进行罚款。</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4、付款方式</w:t>
      </w:r>
    </w:p>
    <w:p>
      <w:pPr>
        <w:pStyle w:val="51"/>
        <w:spacing w:after="0" w:line="360" w:lineRule="auto"/>
        <w:ind w:left="6" w:firstLine="472" w:firstLineChars="197"/>
        <w:jc w:val="left"/>
        <w:rPr>
          <w:rFonts w:ascii="宋体" w:hAnsi="宋体"/>
          <w:color w:val="auto"/>
        </w:rPr>
      </w:pPr>
      <w:r>
        <w:rPr>
          <w:rFonts w:hint="eastAsia" w:ascii="宋体" w:hAnsi="宋体"/>
          <w:color w:val="auto"/>
        </w:rPr>
        <w:t>（1）</w:t>
      </w:r>
      <w:r>
        <w:rPr>
          <w:rFonts w:hint="eastAsia" w:ascii="宋体" w:hAnsi="宋体"/>
          <w:color w:val="auto"/>
          <w:lang w:eastAsia="zh-CN"/>
        </w:rPr>
        <w:t>乙方</w:t>
      </w:r>
      <w:r>
        <w:rPr>
          <w:rFonts w:hint="eastAsia" w:ascii="宋体" w:hAnsi="宋体"/>
          <w:color w:val="auto"/>
        </w:rPr>
        <w:t>在收到</w:t>
      </w:r>
      <w:r>
        <w:rPr>
          <w:rFonts w:hint="eastAsia" w:ascii="宋体" w:hAnsi="宋体"/>
          <w:color w:val="auto"/>
          <w:lang w:eastAsia="zh-CN"/>
        </w:rPr>
        <w:t>甲方</w:t>
      </w:r>
      <w:r>
        <w:rPr>
          <w:rFonts w:hint="eastAsia" w:ascii="宋体" w:hAnsi="宋体"/>
          <w:color w:val="auto"/>
        </w:rPr>
        <w:t>采购货物类型和数量通知后按供货要求规定的时限内完成供货。</w:t>
      </w:r>
    </w:p>
    <w:p>
      <w:pPr>
        <w:pStyle w:val="58"/>
        <w:spacing w:line="360" w:lineRule="auto"/>
        <w:ind w:firstLine="197"/>
        <w:jc w:val="left"/>
        <w:rPr>
          <w:rFonts w:ascii="宋体" w:hAnsi="宋体"/>
          <w:color w:val="auto"/>
          <w:sz w:val="24"/>
          <w:szCs w:val="24"/>
        </w:rPr>
      </w:pPr>
      <w:r>
        <w:rPr>
          <w:rFonts w:hint="eastAsia" w:ascii="宋体" w:hAnsi="宋体"/>
          <w:color w:val="auto"/>
          <w:sz w:val="24"/>
          <w:szCs w:val="24"/>
        </w:rPr>
        <w:t xml:space="preserve">   （2）以实际供货时发生金额进行结算，每月结算一次，结算时间次月初,由</w:t>
      </w:r>
      <w:r>
        <w:rPr>
          <w:rFonts w:hint="eastAsia" w:ascii="宋体" w:hAnsi="宋体"/>
          <w:color w:val="auto"/>
          <w:sz w:val="24"/>
          <w:szCs w:val="24"/>
          <w:lang w:eastAsia="zh-CN"/>
        </w:rPr>
        <w:t>甲方</w:t>
      </w:r>
      <w:r>
        <w:rPr>
          <w:rFonts w:hint="eastAsia" w:ascii="宋体" w:hAnsi="宋体"/>
          <w:color w:val="auto"/>
          <w:sz w:val="24"/>
          <w:szCs w:val="24"/>
        </w:rPr>
        <w:t>在收到</w:t>
      </w:r>
      <w:r>
        <w:rPr>
          <w:rFonts w:hint="eastAsia" w:ascii="宋体" w:hAnsi="宋体"/>
          <w:color w:val="auto"/>
          <w:sz w:val="24"/>
          <w:szCs w:val="24"/>
          <w:lang w:eastAsia="zh-CN"/>
        </w:rPr>
        <w:t>乙方</w:t>
      </w:r>
      <w:r>
        <w:rPr>
          <w:rFonts w:hint="eastAsia" w:ascii="宋体" w:hAnsi="宋体"/>
          <w:color w:val="auto"/>
          <w:sz w:val="24"/>
          <w:szCs w:val="24"/>
        </w:rPr>
        <w:t>提供的正式增值税专用发票和供货单，办理采购货款的支付。</w:t>
      </w:r>
    </w:p>
    <w:p>
      <w:pPr>
        <w:pStyle w:val="51"/>
        <w:spacing w:after="0" w:line="360" w:lineRule="auto"/>
        <w:ind w:left="6" w:firstLine="472" w:firstLineChars="197"/>
        <w:jc w:val="left"/>
        <w:rPr>
          <w:rFonts w:ascii="宋体" w:hAnsi="宋体"/>
          <w:color w:val="auto"/>
        </w:rPr>
      </w:pPr>
      <w:r>
        <w:rPr>
          <w:rFonts w:hint="eastAsia" w:ascii="宋体" w:hAnsi="宋体"/>
          <w:color w:val="auto"/>
        </w:rPr>
        <w:t>（3）</w:t>
      </w:r>
      <w:r>
        <w:rPr>
          <w:rFonts w:hint="eastAsia" w:ascii="宋体" w:hAnsi="宋体"/>
          <w:color w:val="auto"/>
          <w:lang w:eastAsia="zh-CN"/>
        </w:rPr>
        <w:t>乙方</w:t>
      </w:r>
      <w:r>
        <w:rPr>
          <w:rFonts w:hint="eastAsia" w:ascii="宋体" w:hAnsi="宋体"/>
          <w:color w:val="auto"/>
        </w:rPr>
        <w:t>应提前3个工作日提供等额发票给</w:t>
      </w:r>
      <w:r>
        <w:rPr>
          <w:rFonts w:hint="eastAsia" w:ascii="宋体" w:hAnsi="宋体"/>
          <w:color w:val="auto"/>
          <w:lang w:eastAsia="zh-CN"/>
        </w:rPr>
        <w:t>甲方</w:t>
      </w:r>
      <w:r>
        <w:rPr>
          <w:rFonts w:hint="eastAsia" w:ascii="宋体" w:hAnsi="宋体"/>
          <w:color w:val="auto"/>
        </w:rPr>
        <w:t>，以便办理支付手续。</w:t>
      </w:r>
    </w:p>
    <w:p>
      <w:pPr>
        <w:pStyle w:val="51"/>
        <w:spacing w:after="0" w:line="360" w:lineRule="auto"/>
        <w:ind w:left="6" w:firstLine="472" w:firstLineChars="197"/>
        <w:jc w:val="left"/>
        <w:rPr>
          <w:rFonts w:ascii="宋体" w:hAnsi="宋体"/>
          <w:color w:val="auto"/>
        </w:rPr>
      </w:pPr>
      <w:r>
        <w:rPr>
          <w:rFonts w:hint="eastAsia" w:ascii="宋体" w:hAnsi="宋体"/>
          <w:color w:val="auto"/>
        </w:rPr>
        <w:t>（4）质保期内如货物发生质量问题，在</w:t>
      </w:r>
      <w:r>
        <w:rPr>
          <w:rFonts w:hint="eastAsia" w:ascii="宋体" w:hAnsi="宋体"/>
          <w:color w:val="auto"/>
          <w:lang w:eastAsia="zh-CN"/>
        </w:rPr>
        <w:t>乙方</w:t>
      </w:r>
      <w:r>
        <w:rPr>
          <w:rFonts w:hint="eastAsia" w:ascii="宋体" w:hAnsi="宋体"/>
          <w:color w:val="auto"/>
        </w:rPr>
        <w:t>拒不进行修理或修理时间多于3天且不提供备用件的情况下，</w:t>
      </w:r>
      <w:r>
        <w:rPr>
          <w:rFonts w:hint="eastAsia" w:ascii="宋体" w:hAnsi="宋体"/>
          <w:color w:val="auto"/>
          <w:lang w:eastAsia="zh-CN"/>
        </w:rPr>
        <w:t>甲方</w:t>
      </w:r>
      <w:r>
        <w:rPr>
          <w:rFonts w:hint="eastAsia" w:ascii="宋体" w:hAnsi="宋体"/>
          <w:color w:val="auto"/>
        </w:rPr>
        <w:t>有权自行购买相应货物或自行维修，所需的费用由</w:t>
      </w:r>
      <w:r>
        <w:rPr>
          <w:rFonts w:hint="eastAsia" w:ascii="宋体" w:hAnsi="宋体"/>
          <w:color w:val="auto"/>
          <w:lang w:eastAsia="zh-CN"/>
        </w:rPr>
        <w:t>乙方</w:t>
      </w:r>
      <w:r>
        <w:rPr>
          <w:rFonts w:hint="eastAsia" w:ascii="宋体" w:hAnsi="宋体"/>
          <w:color w:val="auto"/>
        </w:rPr>
        <w:t>支付。</w:t>
      </w:r>
    </w:p>
    <w:p>
      <w:pPr>
        <w:pStyle w:val="51"/>
        <w:spacing w:after="0" w:line="360" w:lineRule="auto"/>
        <w:ind w:left="6" w:firstLine="475" w:firstLineChars="197"/>
        <w:jc w:val="left"/>
        <w:rPr>
          <w:rFonts w:ascii="宋体" w:hAnsi="宋体"/>
          <w:b/>
          <w:bCs/>
          <w:color w:val="auto"/>
        </w:rPr>
      </w:pPr>
      <w:r>
        <w:rPr>
          <w:rFonts w:hint="eastAsia" w:ascii="宋体" w:hAnsi="宋体"/>
          <w:b/>
          <w:bCs/>
          <w:color w:val="auto"/>
        </w:rPr>
        <w:t>5、售后服务</w:t>
      </w:r>
    </w:p>
    <w:p>
      <w:pPr>
        <w:pStyle w:val="51"/>
        <w:spacing w:after="0" w:line="360" w:lineRule="auto"/>
        <w:ind w:left="6" w:firstLine="472" w:firstLineChars="197"/>
        <w:jc w:val="left"/>
        <w:rPr>
          <w:rFonts w:ascii="宋体" w:hAnsi="宋体"/>
          <w:color w:val="auto"/>
        </w:rPr>
      </w:pPr>
      <w:r>
        <w:rPr>
          <w:rFonts w:hint="eastAsia" w:ascii="宋体" w:hAnsi="宋体"/>
          <w:color w:val="auto"/>
        </w:rPr>
        <w:t>（1）质保期：自</w:t>
      </w:r>
      <w:r>
        <w:rPr>
          <w:rFonts w:hint="eastAsia" w:ascii="宋体" w:hAnsi="宋体"/>
          <w:color w:val="auto"/>
          <w:lang w:eastAsia="zh-CN"/>
        </w:rPr>
        <w:t>甲方</w:t>
      </w:r>
      <w:r>
        <w:rPr>
          <w:rFonts w:hint="eastAsia" w:ascii="宋体" w:hAnsi="宋体"/>
          <w:color w:val="auto"/>
        </w:rPr>
        <w:t>验收合格后起壹年内，如货物非因</w:t>
      </w:r>
      <w:r>
        <w:rPr>
          <w:rFonts w:hint="eastAsia" w:ascii="宋体" w:hAnsi="宋体"/>
          <w:color w:val="auto"/>
          <w:lang w:eastAsia="zh-CN"/>
        </w:rPr>
        <w:t>甲方</w:t>
      </w:r>
      <w:r>
        <w:rPr>
          <w:rFonts w:hint="eastAsia" w:ascii="宋体" w:hAnsi="宋体"/>
          <w:color w:val="auto"/>
        </w:rPr>
        <w:t>的人为原因而出现质量问题，</w:t>
      </w:r>
      <w:r>
        <w:rPr>
          <w:rFonts w:hint="eastAsia" w:ascii="宋体" w:hAnsi="宋体"/>
          <w:color w:val="auto"/>
          <w:lang w:eastAsia="zh-CN"/>
        </w:rPr>
        <w:t>乙方</w:t>
      </w:r>
      <w:r>
        <w:rPr>
          <w:rFonts w:hint="eastAsia" w:ascii="宋体" w:hAnsi="宋体"/>
          <w:color w:val="auto"/>
        </w:rPr>
        <w:t>负责免费更换；</w:t>
      </w:r>
      <w:r>
        <w:rPr>
          <w:rFonts w:hint="eastAsia" w:ascii="宋体" w:hAnsi="宋体"/>
          <w:color w:val="auto"/>
          <w:lang w:eastAsia="zh-CN"/>
        </w:rPr>
        <w:t>乙方</w:t>
      </w:r>
      <w:r>
        <w:rPr>
          <w:rFonts w:hint="eastAsia" w:ascii="宋体" w:hAnsi="宋体"/>
          <w:color w:val="auto"/>
        </w:rPr>
        <w:t>如不更换，</w:t>
      </w:r>
      <w:r>
        <w:rPr>
          <w:rFonts w:hint="eastAsia" w:ascii="宋体" w:hAnsi="宋体"/>
          <w:color w:val="auto"/>
          <w:lang w:eastAsia="zh-CN"/>
        </w:rPr>
        <w:t>甲方</w:t>
      </w:r>
      <w:r>
        <w:rPr>
          <w:rFonts w:hint="eastAsia" w:ascii="宋体" w:hAnsi="宋体"/>
          <w:color w:val="auto"/>
        </w:rPr>
        <w:t>有权按中标单价扣除相关费用，并保留追究赔偿的权利。</w:t>
      </w:r>
    </w:p>
    <w:p>
      <w:pPr>
        <w:pStyle w:val="51"/>
        <w:spacing w:after="0" w:line="360" w:lineRule="auto"/>
        <w:ind w:left="6" w:firstLine="472" w:firstLineChars="197"/>
        <w:jc w:val="left"/>
        <w:rPr>
          <w:rFonts w:ascii="宋体" w:hAnsi="宋体"/>
          <w:color w:val="auto"/>
        </w:rPr>
      </w:pPr>
      <w:r>
        <w:rPr>
          <w:rFonts w:hint="eastAsia" w:ascii="宋体" w:hAnsi="宋体"/>
          <w:color w:val="auto"/>
        </w:rPr>
        <w:t>（2）在免费质量保修期内，如货物非因</w:t>
      </w:r>
      <w:r>
        <w:rPr>
          <w:rFonts w:hint="eastAsia" w:ascii="宋体" w:hAnsi="宋体"/>
          <w:color w:val="auto"/>
          <w:lang w:eastAsia="zh-CN"/>
        </w:rPr>
        <w:t>甲方</w:t>
      </w:r>
      <w:r>
        <w:rPr>
          <w:rFonts w:hint="eastAsia" w:ascii="宋体" w:hAnsi="宋体"/>
          <w:color w:val="auto"/>
        </w:rPr>
        <w:t>的人为原因而出现质量问题，</w:t>
      </w:r>
      <w:r>
        <w:rPr>
          <w:rFonts w:hint="eastAsia" w:ascii="宋体" w:hAnsi="宋体"/>
          <w:color w:val="auto"/>
          <w:lang w:eastAsia="zh-CN"/>
        </w:rPr>
        <w:t>乙方</w:t>
      </w:r>
      <w:r>
        <w:rPr>
          <w:rFonts w:hint="eastAsia" w:ascii="宋体" w:hAnsi="宋体"/>
          <w:color w:val="auto"/>
        </w:rPr>
        <w:t>承诺全额免费包维修、包更换；如确属</w:t>
      </w:r>
      <w:r>
        <w:rPr>
          <w:rFonts w:hint="eastAsia" w:ascii="宋体" w:hAnsi="宋体"/>
          <w:color w:val="auto"/>
          <w:lang w:eastAsia="zh-CN"/>
        </w:rPr>
        <w:t>甲方</w:t>
      </w:r>
      <w:r>
        <w:rPr>
          <w:rFonts w:hint="eastAsia" w:ascii="宋体" w:hAnsi="宋体"/>
          <w:color w:val="auto"/>
        </w:rPr>
        <w:t>人为原因损坏，亦须无条件维修、更换或退换，但</w:t>
      </w:r>
      <w:r>
        <w:rPr>
          <w:rFonts w:hint="eastAsia" w:ascii="宋体" w:hAnsi="宋体"/>
          <w:color w:val="auto"/>
          <w:lang w:eastAsia="zh-CN"/>
        </w:rPr>
        <w:t>甲方</w:t>
      </w:r>
      <w:r>
        <w:rPr>
          <w:rFonts w:hint="eastAsia" w:ascii="宋体" w:hAnsi="宋体"/>
          <w:color w:val="auto"/>
        </w:rPr>
        <w:t>应给予合理费用。</w:t>
      </w:r>
    </w:p>
    <w:p>
      <w:pPr>
        <w:pStyle w:val="51"/>
        <w:spacing w:after="0" w:line="360" w:lineRule="auto"/>
        <w:ind w:left="6" w:firstLine="472" w:firstLineChars="197"/>
        <w:jc w:val="left"/>
        <w:rPr>
          <w:rFonts w:ascii="宋体" w:hAnsi="宋体"/>
          <w:color w:val="auto"/>
        </w:rPr>
      </w:pPr>
      <w:r>
        <w:rPr>
          <w:rFonts w:hint="eastAsia" w:ascii="宋体" w:hAnsi="宋体"/>
          <w:color w:val="auto"/>
        </w:rPr>
        <w:t>（3）提供24小时服务热线和长期免费技术支持，接到</w:t>
      </w:r>
      <w:r>
        <w:rPr>
          <w:rFonts w:hint="eastAsia" w:ascii="宋体" w:hAnsi="宋体"/>
          <w:color w:val="auto"/>
          <w:lang w:eastAsia="zh-CN"/>
        </w:rPr>
        <w:t>甲方</w:t>
      </w:r>
      <w:r>
        <w:rPr>
          <w:rFonts w:hint="eastAsia" w:ascii="宋体" w:hAnsi="宋体"/>
          <w:color w:val="auto"/>
        </w:rPr>
        <w:t>维修通知后要即时电话响应，如电话响应无法解决，3小时到达现场进行维修，24小时内修复。如24小时内无法修复，则必须免费提供相同档次的设备予</w:t>
      </w:r>
      <w:r>
        <w:rPr>
          <w:rFonts w:hint="eastAsia" w:ascii="宋体" w:hAnsi="宋体"/>
          <w:color w:val="auto"/>
          <w:lang w:eastAsia="zh-CN"/>
        </w:rPr>
        <w:t>甲方</w:t>
      </w:r>
      <w:r>
        <w:rPr>
          <w:rFonts w:hint="eastAsia" w:ascii="宋体" w:hAnsi="宋体"/>
          <w:color w:val="auto"/>
        </w:rPr>
        <w:t>临时使用或采取应急措施解决，不得影响</w:t>
      </w:r>
      <w:r>
        <w:rPr>
          <w:rFonts w:hint="eastAsia" w:ascii="宋体" w:hAnsi="宋体"/>
          <w:color w:val="auto"/>
          <w:lang w:eastAsia="zh-CN"/>
        </w:rPr>
        <w:t>甲方</w:t>
      </w:r>
      <w:r>
        <w:rPr>
          <w:rFonts w:hint="eastAsia" w:ascii="宋体" w:hAnsi="宋体"/>
          <w:color w:val="auto"/>
        </w:rPr>
        <w:t>正常工作。</w:t>
      </w:r>
    </w:p>
    <w:p>
      <w:pPr>
        <w:spacing w:line="360" w:lineRule="auto"/>
        <w:ind w:firstLine="0" w:firstLineChars="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ind w:firstLine="2400" w:firstLineChars="1000"/>
        <w:rPr>
          <w:rFonts w:ascii="宋体" w:hAnsi="宋体"/>
          <w:color w:val="auto"/>
          <w:sz w:val="24"/>
        </w:rPr>
      </w:pPr>
    </w:p>
    <w:p>
      <w:pPr>
        <w:spacing w:line="360" w:lineRule="auto"/>
        <w:rPr>
          <w:rFonts w:ascii="宋体" w:hAnsi="宋体"/>
          <w:color w:val="auto"/>
          <w:sz w:val="24"/>
        </w:rPr>
      </w:pPr>
    </w:p>
    <w:p>
      <w:pPr>
        <w:pStyle w:val="5"/>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第五部分　响应文件格式</w:t>
      </w:r>
    </w:p>
    <w:p>
      <w:pPr>
        <w:pStyle w:val="13"/>
        <w:tabs>
          <w:tab w:val="left" w:pos="1260"/>
        </w:tabs>
        <w:spacing w:line="360" w:lineRule="auto"/>
        <w:jc w:val="center"/>
        <w:rPr>
          <w:rFonts w:hint="eastAsia" w:ascii="仿宋_GB2312" w:hAnsi="仿宋_GB2312" w:eastAsia="仿宋_GB2312" w:cs="仿宋_GB2312"/>
          <w:b/>
          <w:bCs w:val="0"/>
          <w:color w:val="auto"/>
          <w:spacing w:val="100"/>
          <w:w w:val="110"/>
          <w:kern w:val="0"/>
          <w:sz w:val="28"/>
          <w:szCs w:val="28"/>
        </w:rPr>
      </w:pPr>
      <w:r>
        <w:rPr>
          <w:rFonts w:hint="eastAsia" w:ascii="仿宋_GB2312" w:hAnsi="仿宋_GB2312" w:eastAsia="仿宋_GB2312" w:cs="仿宋_GB2312"/>
          <w:b/>
          <w:bCs w:val="0"/>
          <w:color w:val="auto"/>
          <w:spacing w:val="100"/>
          <w:w w:val="110"/>
          <w:kern w:val="0"/>
          <w:sz w:val="28"/>
          <w:szCs w:val="28"/>
        </w:rPr>
        <w:t>广州水务环保技术有限公司</w:t>
      </w:r>
    </w:p>
    <w:p>
      <w:pPr>
        <w:pStyle w:val="13"/>
        <w:tabs>
          <w:tab w:val="left" w:pos="1260"/>
        </w:tabs>
        <w:spacing w:line="360" w:lineRule="auto"/>
        <w:jc w:val="center"/>
        <w:rPr>
          <w:rFonts w:hint="eastAsia" w:ascii="仿宋_GB2312" w:hAnsi="仿宋_GB2312" w:eastAsia="仿宋_GB2312" w:cs="仿宋_GB2312"/>
          <w:b/>
          <w:bCs w:val="0"/>
          <w:color w:val="auto"/>
          <w:spacing w:val="100"/>
          <w:w w:val="110"/>
          <w:kern w:val="0"/>
          <w:sz w:val="28"/>
          <w:szCs w:val="28"/>
          <w:lang w:val="en-US" w:eastAsia="zh-CN"/>
        </w:rPr>
      </w:pPr>
      <w:r>
        <w:rPr>
          <w:rFonts w:hint="eastAsia" w:ascii="仿宋_GB2312" w:hAnsi="仿宋_GB2312" w:eastAsia="仿宋_GB2312" w:cs="仿宋_GB2312"/>
          <w:b/>
          <w:bCs w:val="0"/>
          <w:color w:val="auto"/>
          <w:spacing w:val="100"/>
          <w:w w:val="110"/>
          <w:kern w:val="0"/>
          <w:sz w:val="28"/>
          <w:szCs w:val="28"/>
          <w:lang w:val="en-US" w:eastAsia="zh-CN"/>
        </w:rPr>
        <w:t>自卸货车轮胎采购项目</w:t>
      </w:r>
    </w:p>
    <w:p>
      <w:pPr>
        <w:pStyle w:val="13"/>
        <w:spacing w:line="360" w:lineRule="auto"/>
        <w:jc w:val="center"/>
        <w:rPr>
          <w:rFonts w:ascii="仿宋_GB2312" w:hAnsi="仿宋_GB2312" w:eastAsia="仿宋_GB2312" w:cs="仿宋_GB2312"/>
          <w:b/>
          <w:color w:val="auto"/>
          <w:sz w:val="28"/>
          <w:szCs w:val="28"/>
        </w:rPr>
      </w:pPr>
    </w:p>
    <w:p>
      <w:pPr>
        <w:pStyle w:val="13"/>
        <w:tabs>
          <w:tab w:val="left" w:pos="1260"/>
        </w:tabs>
        <w:spacing w:line="360" w:lineRule="auto"/>
        <w:jc w:val="center"/>
        <w:rPr>
          <w:rFonts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13"/>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13"/>
        <w:spacing w:line="360" w:lineRule="auto"/>
        <w:jc w:val="center"/>
        <w:rPr>
          <w:rFonts w:ascii="仿宋_GB2312" w:hAnsi="仿宋_GB2312" w:eastAsia="仿宋_GB2312" w:cs="仿宋_GB2312"/>
          <w:b/>
          <w:color w:val="auto"/>
          <w:sz w:val="28"/>
          <w:szCs w:val="28"/>
        </w:rPr>
      </w:pPr>
    </w:p>
    <w:p>
      <w:pPr>
        <w:pStyle w:val="13"/>
        <w:spacing w:line="360" w:lineRule="auto"/>
        <w:jc w:val="center"/>
        <w:rPr>
          <w:rFonts w:ascii="仿宋_GB2312" w:hAnsi="仿宋_GB2312" w:eastAsia="仿宋_GB2312" w:cs="仿宋_GB2312"/>
          <w:b/>
          <w:color w:val="auto"/>
          <w:sz w:val="28"/>
          <w:szCs w:val="28"/>
        </w:rPr>
      </w:pPr>
    </w:p>
    <w:p>
      <w:pPr>
        <w:pStyle w:val="13"/>
        <w:spacing w:line="360" w:lineRule="auto"/>
        <w:ind w:firstLine="2626" w:firstLineChars="938"/>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项目编号（包、组号）：</w:t>
      </w:r>
      <w:r>
        <w:rPr>
          <w:rFonts w:hint="eastAsia" w:ascii="仿宋_GB2312" w:hAnsi="仿宋_GB2312" w:eastAsia="仿宋_GB2312" w:cs="仿宋_GB2312"/>
          <w:b/>
          <w:color w:val="auto"/>
          <w:sz w:val="28"/>
          <w:szCs w:val="28"/>
          <w:u w:val="single"/>
        </w:rPr>
        <w:t xml:space="preserve">                       </w:t>
      </w:r>
    </w:p>
    <w:p>
      <w:pPr>
        <w:pStyle w:val="12"/>
        <w:spacing w:line="360" w:lineRule="auto"/>
        <w:ind w:firstLine="2626" w:firstLineChars="938"/>
        <w:rPr>
          <w:rFonts w:hAnsi="仿宋_GB2312" w:cs="仿宋_GB2312"/>
          <w:color w:val="auto"/>
          <w:sz w:val="28"/>
          <w:szCs w:val="28"/>
          <w:u w:val="single"/>
        </w:rPr>
      </w:pPr>
      <w:r>
        <w:rPr>
          <w:rFonts w:hint="eastAsia" w:hAnsi="仿宋_GB2312" w:cs="仿宋_GB2312"/>
          <w:color w:val="auto"/>
          <w:sz w:val="28"/>
          <w:szCs w:val="28"/>
        </w:rPr>
        <w:t>项目名称：</w:t>
      </w:r>
      <w:r>
        <w:rPr>
          <w:rFonts w:hint="eastAsia" w:hAnsi="仿宋_GB2312" w:cs="仿宋_GB2312"/>
          <w:b/>
          <w:color w:val="auto"/>
          <w:sz w:val="28"/>
          <w:szCs w:val="28"/>
          <w:u w:val="single"/>
        </w:rPr>
        <w:t xml:space="preserve">                               </w:t>
      </w:r>
    </w:p>
    <w:p>
      <w:pPr>
        <w:pStyle w:val="13"/>
        <w:spacing w:line="360" w:lineRule="auto"/>
        <w:ind w:firstLine="843" w:firstLineChars="300"/>
        <w:rPr>
          <w:rFonts w:ascii="仿宋_GB2312" w:hAnsi="仿宋_GB2312" w:eastAsia="仿宋_GB2312" w:cs="仿宋_GB2312"/>
          <w:b/>
          <w:color w:val="auto"/>
          <w:sz w:val="28"/>
          <w:szCs w:val="28"/>
        </w:rPr>
      </w:pPr>
    </w:p>
    <w:p>
      <w:pPr>
        <w:pStyle w:val="13"/>
        <w:spacing w:line="360" w:lineRule="auto"/>
        <w:ind w:firstLine="843" w:firstLineChars="300"/>
        <w:rPr>
          <w:rFonts w:ascii="仿宋_GB2312" w:hAnsi="仿宋_GB2312" w:eastAsia="仿宋_GB2312" w:cs="仿宋_GB2312"/>
          <w:b/>
          <w:color w:val="auto"/>
          <w:sz w:val="28"/>
          <w:szCs w:val="28"/>
        </w:rPr>
      </w:pPr>
    </w:p>
    <w:p>
      <w:pPr>
        <w:pStyle w:val="13"/>
        <w:spacing w:line="360" w:lineRule="auto"/>
        <w:ind w:firstLine="843" w:firstLineChars="300"/>
        <w:rPr>
          <w:rFonts w:ascii="仿宋_GB2312" w:hAnsi="仿宋_GB2312" w:eastAsia="仿宋_GB2312" w:cs="仿宋_GB2312"/>
          <w:b/>
          <w:color w:val="auto"/>
          <w:sz w:val="28"/>
          <w:szCs w:val="28"/>
        </w:rPr>
      </w:pPr>
    </w:p>
    <w:p>
      <w:pPr>
        <w:pStyle w:val="13"/>
        <w:spacing w:line="360" w:lineRule="auto"/>
        <w:ind w:firstLine="843" w:firstLineChars="300"/>
        <w:rPr>
          <w:rFonts w:ascii="仿宋_GB2312" w:hAnsi="仿宋_GB2312" w:eastAsia="仿宋_GB2312" w:cs="仿宋_GB2312"/>
          <w:b/>
          <w:color w:val="auto"/>
          <w:sz w:val="28"/>
          <w:szCs w:val="28"/>
        </w:rPr>
      </w:pPr>
    </w:p>
    <w:p>
      <w:pPr>
        <w:pStyle w:val="13"/>
        <w:spacing w:line="360" w:lineRule="auto"/>
        <w:ind w:firstLine="843" w:firstLineChars="300"/>
        <w:rPr>
          <w:rFonts w:ascii="仿宋_GB2312" w:hAnsi="仿宋_GB2312" w:eastAsia="仿宋_GB2312" w:cs="仿宋_GB2312"/>
          <w:b/>
          <w:color w:val="auto"/>
          <w:sz w:val="28"/>
          <w:szCs w:val="28"/>
        </w:rPr>
      </w:pPr>
    </w:p>
    <w:p>
      <w:pPr>
        <w:pStyle w:val="13"/>
        <w:spacing w:line="360" w:lineRule="auto"/>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r>
        <w:rPr>
          <w:rFonts w:hint="eastAsia" w:ascii="仿宋_GB2312" w:hAnsi="仿宋_GB2312" w:eastAsia="仿宋_GB2312" w:cs="仿宋_GB2312"/>
          <w:b/>
          <w:color w:val="auto"/>
          <w:sz w:val="28"/>
          <w:szCs w:val="28"/>
          <w:u w:val="single"/>
        </w:rPr>
        <w:t xml:space="preserve">                </w:t>
      </w:r>
    </w:p>
    <w:p>
      <w:pPr>
        <w:autoSpaceDE w:val="0"/>
        <w:autoSpaceDN w:val="0"/>
        <w:spacing w:line="360" w:lineRule="auto"/>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spacing w:line="360" w:lineRule="auto"/>
        <w:jc w:val="center"/>
        <w:rPr>
          <w:rFonts w:ascii="仿宋_GB2312" w:hAnsi="仿宋_GB2312" w:eastAsia="仿宋_GB2312" w:cs="仿宋_GB2312"/>
          <w:color w:val="auto"/>
          <w:szCs w:val="21"/>
        </w:rPr>
        <w:sectPr>
          <w:headerReference r:id="rId6" w:type="default"/>
          <w:footerReference r:id="rId7" w:type="default"/>
          <w:pgSz w:w="11906" w:h="16838"/>
          <w:pgMar w:top="1089" w:right="1466" w:bottom="1089" w:left="1077" w:header="851" w:footer="992" w:gutter="0"/>
          <w:cols w:space="720" w:num="1"/>
          <w:docGrid w:type="lines" w:linePitch="312" w:charSpace="0"/>
        </w:sectPr>
      </w:pPr>
    </w:p>
    <w:p>
      <w:pPr>
        <w:pStyle w:val="6"/>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1、法定代表人/负责人资格证明书及授权委托书</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（1）法定代表人/负责人资格证明书</w:t>
      </w:r>
    </w:p>
    <w:p>
      <w:pPr>
        <w:spacing w:line="360" w:lineRule="auto"/>
        <w:rPr>
          <w:rFonts w:ascii="仿宋_GB2312" w:hAnsi="仿宋_GB2312" w:eastAsia="仿宋_GB2312" w:cs="仿宋_GB2312"/>
          <w:color w:val="auto"/>
          <w:sz w:val="28"/>
          <w:szCs w:val="28"/>
        </w:rPr>
      </w:pPr>
    </w:p>
    <w:p>
      <w:pPr>
        <w:spacing w:line="360"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lang w:val="en-US" w:eastAsia="zh-CN"/>
        </w:rPr>
        <w:t>广州水务环保技术有限公司</w:t>
      </w:r>
    </w:p>
    <w:p>
      <w:pPr>
        <w:spacing w:line="360" w:lineRule="auto"/>
        <w:rPr>
          <w:rFonts w:ascii="仿宋_GB2312" w:hAnsi="仿宋_GB2312" w:eastAsia="仿宋_GB2312" w:cs="仿宋_GB2312"/>
          <w:color w:val="auto"/>
          <w:sz w:val="28"/>
          <w:szCs w:val="28"/>
        </w:rPr>
      </w:pP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同志为本单位法定代表人，特此证明。</w:t>
      </w:r>
    </w:p>
    <w:p>
      <w:pPr>
        <w:spacing w:line="360" w:lineRule="auto"/>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签发日期：           单位：           （盖单位公章）</w:t>
      </w:r>
    </w:p>
    <w:p>
      <w:pPr>
        <w:spacing w:line="360" w:lineRule="auto"/>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附：代表人性别：            年龄：           身份证号码：</w:t>
      </w:r>
    </w:p>
    <w:p>
      <w:pPr>
        <w:spacing w:line="360" w:lineRule="auto"/>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p>
      <w:pPr>
        <w:spacing w:line="360" w:lineRule="auto"/>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营业执照号码：                       经济性质：</w:t>
      </w:r>
    </w:p>
    <w:p>
      <w:pPr>
        <w:spacing w:line="360" w:lineRule="auto"/>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机构代码：                           机构性质：</w:t>
      </w:r>
    </w:p>
    <w:p>
      <w:pPr>
        <w:spacing w:line="360" w:lineRule="auto"/>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主营：</w:t>
      </w:r>
    </w:p>
    <w:p>
      <w:pPr>
        <w:spacing w:line="360" w:lineRule="auto"/>
        <w:ind w:firstLine="280" w:firstLineChars="1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兼营：</w:t>
      </w:r>
    </w:p>
    <w:p>
      <w:pPr>
        <w:spacing w:line="360" w:lineRule="auto"/>
        <w:ind w:firstLine="280" w:firstLineChars="100"/>
        <w:rPr>
          <w:rFonts w:ascii="仿宋_GB2312" w:hAnsi="仿宋_GB2312" w:eastAsia="仿宋_GB2312" w:cs="仿宋_GB2312"/>
          <w:color w:val="auto"/>
          <w:sz w:val="28"/>
          <w:szCs w:val="28"/>
        </w:rPr>
      </w:pP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说明：1.内容必须填写真实、清楚、涂改无效，不得转让、买卖。</w:t>
      </w:r>
    </w:p>
    <w:p>
      <w:pPr>
        <w:spacing w:line="360" w:lineRule="auto"/>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 xml:space="preserve">      2.将此证明书提交对方作为合同附件</w:t>
      </w:r>
      <w:r>
        <w:rPr>
          <w:rFonts w:hint="eastAsia" w:ascii="仿宋_GB2312" w:hAnsi="仿宋_GB2312" w:eastAsia="仿宋_GB2312" w:cs="仿宋_GB2312"/>
          <w:b/>
          <w:color w:val="auto"/>
          <w:sz w:val="28"/>
          <w:szCs w:val="28"/>
        </w:rPr>
        <w:t>。</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2"/>
              <w:rPr>
                <w:rFonts w:hint="eastAsia"/>
                <w:color w:val="auto"/>
              </w:rPr>
            </w:pPr>
          </w:p>
          <w:p>
            <w:pPr>
              <w:spacing w:line="360" w:lineRule="auto"/>
              <w:jc w:val="left"/>
              <w:rPr>
                <w:rFonts w:ascii="宋体" w:hAnsi="宋体"/>
                <w:color w:val="auto"/>
                <w:sz w:val="24"/>
                <w:szCs w:val="24"/>
              </w:rPr>
            </w:pPr>
          </w:p>
        </w:tc>
      </w:tr>
    </w:tbl>
    <w:p>
      <w:pPr>
        <w:spacing w:line="360" w:lineRule="auto"/>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（2）法定代表人/负责人授权委托书</w:t>
      </w:r>
    </w:p>
    <w:p>
      <w:pPr>
        <w:spacing w:line="360" w:lineRule="auto"/>
        <w:rPr>
          <w:rFonts w:ascii="仿宋_GB2312" w:hAnsi="仿宋_GB2312" w:eastAsia="仿宋_GB2312" w:cs="仿宋_GB2312"/>
          <w:color w:val="auto"/>
          <w:sz w:val="28"/>
          <w:szCs w:val="28"/>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 w:hAnsi="仿宋" w:eastAsia="仿宋" w:cs="仿宋_GB2312"/>
          <w:bCs w:val="0"/>
          <w:color w:val="auto"/>
          <w:sz w:val="28"/>
          <w:szCs w:val="28"/>
          <w:highlight w:val="none"/>
          <w:lang w:val="en-US" w:eastAsia="zh-CN"/>
        </w:rPr>
        <w:t>广州水务环保技术有限公司</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 xml:space="preserve">（姓名）（法人签字或盖私章） </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lang w:val="en-US" w:eastAsia="zh-CN"/>
        </w:rPr>
        <w:t xml:space="preserve">                      广州水务环保技术有限公司自卸货车轮胎采购</w:t>
      </w:r>
      <w:r>
        <w:rPr>
          <w:rFonts w:hint="eastAsia" w:ascii="仿宋" w:hAnsi="仿宋" w:eastAsia="仿宋" w:cs="仿宋_GB2312"/>
          <w:color w:val="auto"/>
          <w:sz w:val="28"/>
          <w:szCs w:val="28"/>
          <w:highlight w:val="none"/>
        </w:rPr>
        <w:t>项目(项目编号：</w:t>
      </w:r>
      <w:r>
        <w:rPr>
          <w:rFonts w:hint="eastAsia" w:ascii="仿宋" w:hAnsi="仿宋" w:eastAsia="仿宋" w:cs="仿宋_GB2312"/>
          <w:b w:val="0"/>
          <w:bCs w:val="0"/>
          <w:color w:val="auto"/>
          <w:kern w:val="2"/>
          <w:sz w:val="28"/>
          <w:szCs w:val="28"/>
          <w:highlight w:val="none"/>
          <w:u w:val="none"/>
        </w:rPr>
        <w:t>SWHB-XJ-2021-</w:t>
      </w:r>
      <w:r>
        <w:rPr>
          <w:rFonts w:hint="eastAsia" w:ascii="仿宋" w:hAnsi="仿宋" w:eastAsia="仿宋" w:cs="仿宋_GB2312"/>
          <w:b w:val="0"/>
          <w:bCs w:val="0"/>
          <w:color w:val="auto"/>
          <w:kern w:val="2"/>
          <w:sz w:val="28"/>
          <w:szCs w:val="28"/>
          <w:highlight w:val="none"/>
          <w:u w:val="none"/>
        </w:rPr>
        <w:fldChar w:fldCharType="begin"/>
      </w:r>
      <w:r>
        <w:rPr>
          <w:rFonts w:hint="eastAsia" w:ascii="仿宋" w:hAnsi="仿宋" w:eastAsia="仿宋" w:cs="仿宋_GB2312"/>
          <w:b w:val="0"/>
          <w:bCs w:val="0"/>
          <w:color w:val="auto"/>
          <w:kern w:val="2"/>
          <w:sz w:val="28"/>
          <w:szCs w:val="28"/>
          <w:highlight w:val="none"/>
          <w:u w:val="none"/>
        </w:rPr>
        <w:instrText xml:space="preserve"> DOCVARIABLE  采购编号  \* MERGEFORMAT </w:instrText>
      </w:r>
      <w:r>
        <w:rPr>
          <w:rFonts w:hint="eastAsia" w:ascii="仿宋" w:hAnsi="仿宋" w:eastAsia="仿宋" w:cs="仿宋_GB2312"/>
          <w:b w:val="0"/>
          <w:bCs w:val="0"/>
          <w:color w:val="auto"/>
          <w:kern w:val="2"/>
          <w:sz w:val="28"/>
          <w:szCs w:val="28"/>
          <w:highlight w:val="none"/>
          <w:u w:val="none"/>
        </w:rPr>
        <w:fldChar w:fldCharType="end"/>
      </w:r>
      <w:r>
        <w:rPr>
          <w:rFonts w:hint="eastAsia" w:ascii="仿宋" w:hAnsi="仿宋" w:eastAsia="仿宋" w:cs="仿宋_GB2312"/>
          <w:b w:val="0"/>
          <w:bCs w:val="0"/>
          <w:color w:val="auto"/>
          <w:kern w:val="2"/>
          <w:sz w:val="28"/>
          <w:szCs w:val="28"/>
          <w:highlight w:val="none"/>
          <w:u w:val="none"/>
        </w:rPr>
        <w:t>010</w:t>
      </w:r>
      <w:r>
        <w:rPr>
          <w:rFonts w:hint="eastAsia" w:ascii="仿宋" w:hAnsi="仿宋" w:eastAsia="仿宋" w:cs="仿宋_GB2312"/>
          <w:color w:val="auto"/>
          <w:kern w:val="2"/>
          <w:sz w:val="28"/>
          <w:szCs w:val="28"/>
          <w:highlight w:val="none"/>
          <w:u w:val="none"/>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（营业执照等）注册号码：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经营范围：</w:t>
      </w:r>
    </w:p>
    <w:p>
      <w:pPr>
        <w:spacing w:line="480" w:lineRule="exact"/>
        <w:ind w:firstLine="280" w:firstLineChars="100"/>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说明：</w:t>
      </w:r>
      <w:r>
        <w:rPr>
          <w:rFonts w:hint="eastAsia" w:ascii="仿宋" w:hAnsi="仿宋" w:eastAsia="仿宋" w:cs="仿宋_GB2312"/>
          <w:color w:val="auto"/>
          <w:sz w:val="24"/>
          <w:szCs w:val="24"/>
          <w:highlight w:val="none"/>
          <w:lang w:val="en-US" w:eastAsia="zh-CN"/>
        </w:rPr>
        <w:t>1</w:t>
      </w:r>
      <w:r>
        <w:rPr>
          <w:rFonts w:hint="eastAsia" w:ascii="仿宋" w:hAnsi="仿宋" w:eastAsia="仿宋" w:cs="仿宋_GB2312"/>
          <w:color w:val="auto"/>
          <w:sz w:val="24"/>
          <w:szCs w:val="24"/>
          <w:highlight w:val="none"/>
        </w:rPr>
        <w:t>.内容必须填写真实、清楚、涂改无效，不得转让、买卖。</w:t>
      </w:r>
    </w:p>
    <w:p>
      <w:pPr>
        <w:spacing w:line="480" w:lineRule="exact"/>
        <w:ind w:firstLine="720" w:firstLineChars="300"/>
        <w:rPr>
          <w:rFonts w:hint="eastAsia"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lang w:val="en-US" w:eastAsia="zh-CN"/>
        </w:rPr>
        <w:t>2</w:t>
      </w:r>
      <w:r>
        <w:rPr>
          <w:rFonts w:hint="eastAsia" w:ascii="仿宋" w:hAnsi="仿宋" w:eastAsia="仿宋" w:cs="仿宋_GB2312"/>
          <w:color w:val="auto"/>
          <w:sz w:val="24"/>
          <w:szCs w:val="24"/>
          <w:highlight w:val="none"/>
        </w:rPr>
        <w:t>.将此证明书提交对方作为合同附件</w:t>
      </w:r>
      <w:r>
        <w:rPr>
          <w:rFonts w:hint="eastAsia" w:ascii="仿宋" w:hAnsi="仿宋" w:eastAsia="仿宋" w:cs="仿宋_GB2312"/>
          <w:b/>
          <w:color w:val="auto"/>
          <w:sz w:val="24"/>
          <w:szCs w:val="24"/>
          <w:highlight w:val="none"/>
        </w:rPr>
        <w:t>。</w:t>
      </w:r>
    </w:p>
    <w:p>
      <w:pPr>
        <w:pStyle w:val="2"/>
        <w:ind w:firstLine="720" w:firstLineChars="300"/>
        <w:rPr>
          <w:rFonts w:hint="eastAsia" w:ascii="仿宋" w:hAnsi="仿宋" w:eastAsia="仿宋" w:cs="仿宋_GB2312"/>
          <w:b w:val="0"/>
          <w:color w:val="auto"/>
          <w:kern w:val="2"/>
          <w:sz w:val="24"/>
          <w:szCs w:val="24"/>
          <w:highlight w:val="none"/>
        </w:rPr>
      </w:pPr>
      <w:r>
        <w:rPr>
          <w:rFonts w:hint="eastAsia" w:ascii="仿宋" w:hAnsi="仿宋" w:eastAsia="仿宋" w:cs="仿宋_GB2312"/>
          <w:b w:val="0"/>
          <w:color w:val="auto"/>
          <w:kern w:val="2"/>
          <w:sz w:val="24"/>
          <w:szCs w:val="24"/>
          <w:highlight w:val="none"/>
          <w:lang w:val="en-US" w:eastAsia="zh-CN"/>
        </w:rPr>
        <w:t>3.</w:t>
      </w:r>
      <w:r>
        <w:rPr>
          <w:rFonts w:hint="eastAsia" w:ascii="仿宋" w:hAnsi="仿宋" w:eastAsia="仿宋" w:cs="仿宋_GB2312"/>
          <w:b w:val="0"/>
          <w:color w:val="auto"/>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4</w:t>
      </w:r>
      <w:r>
        <w:rPr>
          <w:rFonts w:hint="eastAsia" w:ascii="仿宋" w:hAnsi="仿宋" w:eastAsia="仿宋" w:cs="仿宋_GB2312"/>
          <w:color w:val="auto"/>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rPr>
        <w:t>.谈判签字代表为法定代表人，则本表不适用。</w:t>
      </w:r>
    </w:p>
    <w:p>
      <w:pPr>
        <w:spacing w:line="440" w:lineRule="exact"/>
        <w:ind w:firstLine="736" w:firstLineChars="307"/>
        <w:rPr>
          <w:rFonts w:ascii="仿宋_GB2312" w:hAnsi="仿宋_GB2312" w:eastAsia="仿宋_GB2312" w:cs="仿宋_GB2312"/>
          <w:color w:val="auto"/>
          <w:sz w:val="28"/>
          <w:szCs w:val="28"/>
          <w:highlight w:val="none"/>
        </w:rPr>
      </w:pPr>
      <w:r>
        <w:rPr>
          <w:rFonts w:hint="eastAsia" w:ascii="仿宋" w:hAnsi="仿宋" w:eastAsia="仿宋" w:cs="仿宋_GB2312"/>
          <w:b w:val="0"/>
          <w:color w:val="auto"/>
          <w:sz w:val="24"/>
          <w:szCs w:val="24"/>
          <w:highlight w:val="none"/>
          <w:lang w:val="en-US" w:eastAsia="zh-CN"/>
        </w:rPr>
        <w:t>6.提供授权代理人在本单位近三个月社保记录（以加盖社会保险基金管理中心印章的《缴费历史明细表》或《社会保险参保人员证明》为准），否则为无效代理人，询价响应文件无效。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spacing w:line="360" w:lineRule="auto"/>
              <w:jc w:val="center"/>
              <w:rPr>
                <w:rFonts w:hint="eastAsia" w:ascii="仿宋" w:hAnsi="仿宋" w:eastAsia="仿宋" w:cs="仿宋_GB2312"/>
                <w:color w:val="auto"/>
                <w:sz w:val="24"/>
                <w:szCs w:val="24"/>
                <w:highlight w:val="none"/>
              </w:rPr>
            </w:pPr>
          </w:p>
          <w:p>
            <w:pPr>
              <w:spacing w:line="360" w:lineRule="auto"/>
              <w:jc w:val="both"/>
              <w:rPr>
                <w:rFonts w:hint="eastAsia"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spacing w:line="360" w:lineRule="auto"/>
        <w:ind w:firstLine="843" w:firstLineChars="300"/>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color w:val="auto"/>
          <w:sz w:val="28"/>
          <w:szCs w:val="28"/>
        </w:rPr>
      </w:pPr>
    </w:p>
    <w:p>
      <w:pPr>
        <w:spacing w:line="360" w:lineRule="auto"/>
        <w:jc w:val="center"/>
        <w:rPr>
          <w:rFonts w:ascii="仿宋_GB2312" w:hAnsi="仿宋_GB2312" w:eastAsia="仿宋_GB2312" w:cs="仿宋_GB2312"/>
          <w:color w:val="auto"/>
          <w:sz w:val="28"/>
          <w:szCs w:val="28"/>
        </w:rPr>
      </w:pPr>
    </w:p>
    <w:p>
      <w:pPr>
        <w:spacing w:line="360" w:lineRule="auto"/>
        <w:ind w:firstLine="420"/>
        <w:rPr>
          <w:rFonts w:ascii="仿宋_GB2312" w:hAnsi="仿宋_GB2312" w:eastAsia="仿宋_GB2312" w:cs="仿宋_GB2312"/>
          <w:color w:val="auto"/>
          <w:sz w:val="28"/>
          <w:szCs w:val="28"/>
          <w:u w:val="single"/>
        </w:rPr>
      </w:pPr>
    </w:p>
    <w:p>
      <w:pPr>
        <w:spacing w:line="360" w:lineRule="auto"/>
        <w:rPr>
          <w:rFonts w:ascii="仿宋_GB2312" w:hAnsi="仿宋_GB2312" w:eastAsia="仿宋_GB2312" w:cs="仿宋_GB2312"/>
          <w:b/>
          <w:bCs/>
          <w:color w:val="auto"/>
          <w:sz w:val="28"/>
          <w:szCs w:val="28"/>
        </w:rPr>
      </w:pPr>
    </w:p>
    <w:p>
      <w:pPr>
        <w:spacing w:line="360" w:lineRule="auto"/>
        <w:rPr>
          <w:rFonts w:ascii="仿宋_GB2312" w:hAnsi="仿宋_GB2312" w:eastAsia="仿宋_GB2312" w:cs="仿宋_GB2312"/>
          <w:b/>
          <w:bCs/>
          <w:color w:val="auto"/>
          <w:sz w:val="28"/>
          <w:szCs w:val="28"/>
        </w:rPr>
      </w:pPr>
    </w:p>
    <w:p>
      <w:pPr>
        <w:spacing w:line="360" w:lineRule="auto"/>
        <w:rPr>
          <w:rFonts w:ascii="仿宋_GB2312" w:hAnsi="仿宋_GB2312" w:eastAsia="仿宋_GB2312" w:cs="仿宋_GB2312"/>
          <w:b/>
          <w:bCs/>
          <w:color w:val="auto"/>
          <w:sz w:val="28"/>
          <w:szCs w:val="28"/>
        </w:rPr>
      </w:pPr>
    </w:p>
    <w:p>
      <w:pPr>
        <w:spacing w:line="360" w:lineRule="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（3）联合体共同报价协议书（可选）</w:t>
      </w:r>
    </w:p>
    <w:p>
      <w:pPr>
        <w:widowControl/>
        <w:spacing w:line="360" w:lineRule="auto"/>
        <w:jc w:val="center"/>
        <w:rPr>
          <w:rFonts w:ascii="仿宋_GB2312" w:hAnsi="仿宋_GB2312" w:eastAsia="仿宋_GB2312" w:cs="仿宋_GB2312"/>
          <w:b/>
          <w:color w:val="auto"/>
          <w:kern w:val="0"/>
          <w:sz w:val="28"/>
          <w:szCs w:val="28"/>
        </w:rPr>
      </w:pPr>
    </w:p>
    <w:p>
      <w:pPr>
        <w:widowControl/>
        <w:spacing w:line="360" w:lineRule="auto"/>
        <w:jc w:val="center"/>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联合体共同报价协议书</w:t>
      </w:r>
    </w:p>
    <w:p>
      <w:pPr>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kern w:val="10"/>
          <w:sz w:val="24"/>
        </w:rPr>
        <w:t>立约方：</w:t>
      </w:r>
      <w:r>
        <w:rPr>
          <w:rFonts w:hint="eastAsia" w:ascii="仿宋_GB2312" w:hAnsi="仿宋_GB2312" w:eastAsia="仿宋_GB2312" w:cs="仿宋_GB2312"/>
          <w:color w:val="auto"/>
          <w:sz w:val="24"/>
          <w:u w:val="single"/>
        </w:rPr>
        <w:t>（甲公司全称）</w:t>
      </w:r>
    </w:p>
    <w:p>
      <w:pPr>
        <w:spacing w:line="360" w:lineRule="auto"/>
        <w:ind w:firstLine="1080" w:firstLineChars="450"/>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u w:val="single"/>
        </w:rPr>
        <w:t>（乙公司全称）</w:t>
      </w:r>
    </w:p>
    <w:p>
      <w:pPr>
        <w:spacing w:line="360" w:lineRule="auto"/>
        <w:ind w:firstLine="960" w:firstLineChars="400"/>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u w:val="single"/>
        </w:rPr>
        <w:t>（……公司全称）</w:t>
      </w:r>
    </w:p>
    <w:p>
      <w:pPr>
        <w:spacing w:line="360" w:lineRule="auto"/>
        <w:rPr>
          <w:rFonts w:ascii="仿宋_GB2312" w:hAnsi="仿宋_GB2312" w:eastAsia="仿宋_GB2312" w:cs="仿宋_GB2312"/>
          <w:color w:val="auto"/>
          <w:sz w:val="24"/>
        </w:rPr>
      </w:pPr>
    </w:p>
    <w:p>
      <w:pPr>
        <w:spacing w:line="360" w:lineRule="auto"/>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u w:val="single"/>
        </w:rPr>
        <w:t>（甲公司全称）</w:t>
      </w:r>
      <w:r>
        <w:rPr>
          <w:rFonts w:hint="eastAsia" w:ascii="仿宋_GB2312" w:hAnsi="仿宋_GB2312" w:eastAsia="仿宋_GB2312" w:cs="仿宋_GB2312"/>
          <w:color w:val="auto"/>
          <w:kern w:val="0"/>
          <w:sz w:val="24"/>
        </w:rPr>
        <w:t xml:space="preserve"> 、 </w:t>
      </w:r>
      <w:r>
        <w:rPr>
          <w:rFonts w:hint="eastAsia" w:ascii="仿宋_GB2312" w:hAnsi="仿宋_GB2312" w:eastAsia="仿宋_GB2312" w:cs="仿宋_GB2312"/>
          <w:color w:val="auto"/>
          <w:kern w:val="0"/>
          <w:sz w:val="24"/>
          <w:u w:val="single"/>
        </w:rPr>
        <w:t>（乙公司全称）</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u w:val="single"/>
        </w:rPr>
        <w:t>（……公司全称）</w:t>
      </w:r>
      <w:r>
        <w:rPr>
          <w:rFonts w:hint="eastAsia" w:ascii="仿宋_GB2312" w:hAnsi="仿宋_GB2312" w:eastAsia="仿宋_GB2312" w:cs="仿宋_GB2312"/>
          <w:color w:val="auto"/>
          <w:kern w:val="0"/>
          <w:sz w:val="24"/>
        </w:rPr>
        <w:t>自愿组成联合体，</w:t>
      </w:r>
      <w:r>
        <w:rPr>
          <w:rFonts w:hint="eastAsia" w:ascii="仿宋_GB2312" w:hAnsi="仿宋_GB2312" w:eastAsia="仿宋_GB2312" w:cs="仿宋_GB2312"/>
          <w:color w:val="auto"/>
          <w:kern w:val="10"/>
          <w:sz w:val="24"/>
        </w:rPr>
        <w:t>以一个报价单位的身份共同</w:t>
      </w:r>
      <w:r>
        <w:rPr>
          <w:rFonts w:hint="eastAsia" w:ascii="仿宋_GB2312" w:hAnsi="仿宋_GB2312" w:eastAsia="仿宋_GB2312" w:cs="仿宋_GB2312"/>
          <w:color w:val="auto"/>
          <w:kern w:val="0"/>
          <w:sz w:val="24"/>
        </w:rPr>
        <w:t>参加</w:t>
      </w:r>
      <w:r>
        <w:rPr>
          <w:rFonts w:hint="eastAsia" w:ascii="仿宋_GB2312" w:hAnsi="仿宋_GB2312" w:eastAsia="仿宋_GB2312" w:cs="仿宋_GB2312"/>
          <w:color w:val="auto"/>
          <w:kern w:val="0"/>
          <w:sz w:val="24"/>
          <w:u w:val="single"/>
        </w:rPr>
        <w:t>（项目名称）</w:t>
      </w: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（项目标号）</w:t>
      </w:r>
      <w:r>
        <w:rPr>
          <w:rFonts w:hint="eastAsia" w:ascii="仿宋_GB2312" w:hAnsi="仿宋_GB2312" w:eastAsia="仿宋_GB2312" w:cs="仿宋_GB2312"/>
          <w:color w:val="auto"/>
          <w:kern w:val="0"/>
          <w:sz w:val="24"/>
        </w:rPr>
        <w:t>的询价活动。</w:t>
      </w:r>
      <w:r>
        <w:rPr>
          <w:rFonts w:hint="eastAsia" w:ascii="仿宋_GB2312" w:hAnsi="仿宋_GB2312" w:eastAsia="仿宋_GB2312" w:cs="仿宋_GB2312"/>
          <w:color w:val="auto"/>
          <w:sz w:val="24"/>
        </w:rPr>
        <w:t>经各方充分协商一致，</w:t>
      </w:r>
      <w:r>
        <w:rPr>
          <w:rFonts w:hint="eastAsia" w:ascii="仿宋_GB2312" w:hAnsi="仿宋_GB2312" w:eastAsia="仿宋_GB2312" w:cs="仿宋_GB2312"/>
          <w:color w:val="auto"/>
          <w:kern w:val="10"/>
          <w:sz w:val="24"/>
        </w:rPr>
        <w:t>就工程的报价和合同实施阶段的有关事务协商一致</w:t>
      </w:r>
      <w:r>
        <w:rPr>
          <w:rFonts w:hint="eastAsia" w:ascii="仿宋_GB2312" w:hAnsi="仿宋_GB2312" w:eastAsia="仿宋_GB2312" w:cs="仿宋_GB2312"/>
          <w:color w:val="auto"/>
          <w:kern w:val="0"/>
          <w:sz w:val="24"/>
        </w:rPr>
        <w:t>订立协议如下</w:t>
      </w:r>
      <w:r>
        <w:rPr>
          <w:rFonts w:hint="eastAsia" w:ascii="仿宋_GB2312" w:hAnsi="仿宋_GB2312" w:eastAsia="仿宋_GB2312" w:cs="仿宋_GB2312"/>
          <w:color w:val="auto"/>
          <w:sz w:val="24"/>
        </w:rPr>
        <w:t>：</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一、联合体各方方关系</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u w:val="single"/>
        </w:rPr>
        <w:t>（甲公司全称）</w:t>
      </w:r>
      <w:r>
        <w:rPr>
          <w:rFonts w:hint="eastAsia" w:ascii="仿宋_GB2312" w:hAnsi="仿宋_GB2312" w:eastAsia="仿宋_GB2312" w:cs="仿宋_GB2312"/>
          <w:color w:val="auto"/>
          <w:kern w:val="0"/>
          <w:sz w:val="24"/>
        </w:rPr>
        <w:t xml:space="preserve"> 、 </w:t>
      </w:r>
      <w:r>
        <w:rPr>
          <w:rFonts w:hint="eastAsia" w:ascii="仿宋_GB2312" w:hAnsi="仿宋_GB2312" w:eastAsia="仿宋_GB2312" w:cs="仿宋_GB2312"/>
          <w:color w:val="auto"/>
          <w:kern w:val="0"/>
          <w:sz w:val="24"/>
          <w:u w:val="single"/>
        </w:rPr>
        <w:t>（乙公司全称）</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u w:val="single"/>
        </w:rPr>
        <w:t>（……公司全称）</w:t>
      </w:r>
      <w:r>
        <w:rPr>
          <w:rFonts w:hint="eastAsia" w:ascii="仿宋_GB2312" w:hAnsi="仿宋_GB2312" w:eastAsia="仿宋_GB2312" w:cs="仿宋_GB2312"/>
          <w:color w:val="auto"/>
          <w:sz w:val="24"/>
        </w:rPr>
        <w:t>共同组成一个联合体，以一个谈判供应商的身份共同参加本项目的报价。</w:t>
      </w:r>
      <w:r>
        <w:rPr>
          <w:rFonts w:hint="eastAsia" w:ascii="仿宋_GB2312" w:hAnsi="仿宋_GB2312" w:eastAsia="仿宋_GB2312" w:cs="仿宋_GB2312"/>
          <w:color w:val="auto"/>
          <w:kern w:val="0"/>
          <w:sz w:val="24"/>
          <w:u w:val="single"/>
        </w:rPr>
        <w:t>（甲公司全称）</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kern w:val="0"/>
          <w:sz w:val="24"/>
          <w:u w:val="single"/>
        </w:rPr>
        <w:t>（乙公司全称）</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u w:val="single"/>
        </w:rPr>
        <w:t>（……公司全称）</w:t>
      </w:r>
      <w:r>
        <w:rPr>
          <w:rFonts w:hint="eastAsia" w:ascii="仿宋_GB2312" w:hAnsi="仿宋_GB2312" w:eastAsia="仿宋_GB2312" w:cs="仿宋_GB2312"/>
          <w:color w:val="auto"/>
          <w:sz w:val="24"/>
        </w:rPr>
        <w:t>作为联合体成员,若成交，联合体各方共同与</w:t>
      </w:r>
      <w:r>
        <w:rPr>
          <w:rFonts w:hint="eastAsia" w:ascii="仿宋_GB2312" w:hAnsi="仿宋_GB2312" w:eastAsia="仿宋_GB2312" w:cs="仿宋_GB2312"/>
          <w:color w:val="auto"/>
          <w:sz w:val="24"/>
          <w:u w:val="single"/>
        </w:rPr>
        <w:t>询价人</w:t>
      </w:r>
      <w:r>
        <w:rPr>
          <w:rFonts w:hint="eastAsia" w:ascii="仿宋_GB2312" w:hAnsi="仿宋_GB2312" w:eastAsia="仿宋_GB2312" w:cs="仿宋_GB2312"/>
          <w:color w:val="auto"/>
          <w:sz w:val="24"/>
        </w:rPr>
        <w:t>签订承包合同。</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二、联合体内部有关事项约定如下：</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1.联合体由联合体共同授权人员负责与询价人联系。</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2.联合体谈判工作由联合体共同负责，由联合体各方具体实施。</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3.联合体将严格按照询价文件的各项要求，递交报价响应文件，切实执行一切合同文件，共同承担合同规定的一切义务和责任，同时按照内部职责的划分，承担自身所负的责任和风险，在法律在承担连带责任。</w:t>
      </w:r>
    </w:p>
    <w:p>
      <w:pPr>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4.如成交，联合体各方共同与</w:t>
      </w:r>
      <w:r>
        <w:rPr>
          <w:rFonts w:hint="eastAsia" w:ascii="仿宋_GB2312" w:hAnsi="仿宋_GB2312" w:eastAsia="仿宋_GB2312" w:cs="仿宋_GB2312"/>
          <w:color w:val="auto"/>
          <w:sz w:val="24"/>
          <w:u w:val="single"/>
        </w:rPr>
        <w:t>询价人</w:t>
      </w:r>
      <w:r>
        <w:rPr>
          <w:rFonts w:hint="eastAsia" w:ascii="仿宋_GB2312" w:hAnsi="仿宋_GB2312" w:eastAsia="仿宋_GB2312" w:cs="仿宋_GB2312"/>
          <w:color w:val="auto"/>
          <w:sz w:val="24"/>
        </w:rPr>
        <w:t>签订合同书，并就成交项目向询价人负责有连带的和各自的法律责任；</w:t>
      </w:r>
    </w:p>
    <w:p>
      <w:pPr>
        <w:spacing w:line="360" w:lineRule="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三、联合体各方不得再以自己名义参与本项目谈判，联合体各方不能作为其它联合体或单独报价单位的项目组成员参加本项目报价。因发生上述问题导致联合体的报价响应作无效响应处理，联合体的其他成员可追究其违约责任和经济损失。</w:t>
      </w:r>
    </w:p>
    <w:p>
      <w:pPr>
        <w:spacing w:line="360" w:lineRule="auto"/>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四、联合体如因违约过失责任而导致询价人经济损失或被索赔时，本联合体任何一方均同意无条件优先清偿询价人的一切债务和经济赔偿。</w:t>
      </w:r>
    </w:p>
    <w:p>
      <w:pPr>
        <w:spacing w:line="360" w:lineRule="auto"/>
        <w:ind w:left="23" w:leftChars="11"/>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五、</w:t>
      </w:r>
      <w:r>
        <w:rPr>
          <w:rFonts w:hint="eastAsia" w:ascii="仿宋_GB2312" w:hAnsi="仿宋_GB2312" w:eastAsia="仿宋_GB2312" w:cs="仿宋_GB2312"/>
          <w:color w:val="auto"/>
          <w:sz w:val="24"/>
        </w:rPr>
        <w:t>本协议在</w:t>
      </w:r>
      <w:r>
        <w:rPr>
          <w:rFonts w:hint="eastAsia" w:ascii="仿宋_GB2312" w:hAnsi="仿宋_GB2312" w:eastAsia="仿宋_GB2312" w:cs="仿宋_GB2312"/>
          <w:color w:val="auto"/>
          <w:kern w:val="0"/>
          <w:sz w:val="24"/>
        </w:rPr>
        <w:t>自签署之日起生效，</w:t>
      </w:r>
      <w:r>
        <w:rPr>
          <w:rFonts w:hint="eastAsia" w:ascii="仿宋_GB2312" w:hAnsi="仿宋_GB2312" w:eastAsia="仿宋_GB2312" w:cs="仿宋_GB2312"/>
          <w:color w:val="auto"/>
          <w:sz w:val="24"/>
        </w:rPr>
        <w:t>报价有效期内有效，如获成交资格，合同有效期延续至合同履行完毕之日。</w:t>
      </w:r>
    </w:p>
    <w:p>
      <w:pPr>
        <w:widowControl/>
        <w:spacing w:line="360" w:lineRule="auto"/>
        <w:ind w:left="34" w:leftChars="16"/>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六、本协议书正本一式  份，随报价响应文件装订</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份，送询价人</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份，联合体成员各一份；副本一式</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份，联合体成员各执</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 xml:space="preserve"> 份。</w:t>
      </w:r>
      <w:r>
        <w:rPr>
          <w:rFonts w:hint="eastAsia" w:ascii="仿宋_GB2312" w:hAnsi="仿宋_GB2312" w:eastAsia="仿宋_GB2312" w:cs="仿宋_GB2312"/>
          <w:color w:val="auto"/>
          <w:kern w:val="0"/>
          <w:sz w:val="24"/>
        </w:rPr>
        <w:br w:type="textWrapping"/>
      </w:r>
    </w:p>
    <w:p>
      <w:pPr>
        <w:widowControl/>
        <w:spacing w:line="360" w:lineRule="auto"/>
        <w:jc w:val="left"/>
        <w:rPr>
          <w:rFonts w:ascii="仿宋_GB2312" w:hAnsi="仿宋_GB2312" w:eastAsia="仿宋_GB2312" w:cs="仿宋_GB2312"/>
          <w:color w:val="auto"/>
          <w:kern w:val="0"/>
          <w:sz w:val="24"/>
        </w:rPr>
      </w:pPr>
    </w:p>
    <w:p>
      <w:pPr>
        <w:widowControl/>
        <w:spacing w:line="360" w:lineRule="auto"/>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甲公司全称：（盖章）  乙公司全称：（盖章）……公司全称（盖章）法定代表人：（签字）  法定代表人（签字） 法定代表人（签字）</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        年   月   日              年   月   日       年   月   日</w:t>
      </w:r>
    </w:p>
    <w:p>
      <w:pPr>
        <w:spacing w:line="360" w:lineRule="auto"/>
        <w:ind w:left="706" w:hanging="705" w:hangingChars="294"/>
        <w:rPr>
          <w:rFonts w:ascii="仿宋_GB2312" w:hAnsi="仿宋_GB2312" w:eastAsia="仿宋_GB2312" w:cs="仿宋_GB2312"/>
          <w:color w:val="auto"/>
          <w:sz w:val="24"/>
        </w:rPr>
      </w:pPr>
      <w:r>
        <w:rPr>
          <w:rFonts w:hint="eastAsia" w:ascii="仿宋_GB2312" w:hAnsi="仿宋_GB2312" w:eastAsia="仿宋_GB2312" w:cs="仿宋_GB2312"/>
          <w:color w:val="auto"/>
          <w:sz w:val="24"/>
        </w:rPr>
        <w:t>注：1．联合体响应的应签订本协议，联合体各方成员应在本协议上共同盖章确认。</w:t>
      </w:r>
    </w:p>
    <w:p>
      <w:pPr>
        <w:spacing w:line="360" w:lineRule="auto"/>
        <w:ind w:firstLine="470" w:firstLineChars="196"/>
        <w:rPr>
          <w:rFonts w:ascii="仿宋_GB2312" w:hAnsi="仿宋_GB2312" w:eastAsia="仿宋_GB2312" w:cs="仿宋_GB2312"/>
          <w:b/>
          <w:color w:val="auto"/>
          <w:sz w:val="24"/>
        </w:rPr>
      </w:pPr>
      <w:r>
        <w:rPr>
          <w:rFonts w:hint="eastAsia" w:ascii="仿宋_GB2312" w:hAnsi="仿宋_GB2312" w:eastAsia="仿宋_GB2312" w:cs="仿宋_GB2312"/>
          <w:color w:val="auto"/>
          <w:sz w:val="24"/>
        </w:rPr>
        <w:t>2．本协议是合同的附件之一。</w:t>
      </w:r>
    </w:p>
    <w:p>
      <w:pPr>
        <w:spacing w:line="360" w:lineRule="auto"/>
        <w:jc w:val="center"/>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p>
    <w:p>
      <w:pPr>
        <w:spacing w:line="360" w:lineRule="auto"/>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p>
    <w:p>
      <w:pPr>
        <w:spacing w:line="360" w:lineRule="auto"/>
        <w:rPr>
          <w:rFonts w:ascii="仿宋_GB2312" w:hAnsi="仿宋_GB2312" w:eastAsia="仿宋_GB2312" w:cs="仿宋_GB2312"/>
          <w:color w:val="auto"/>
          <w:sz w:val="28"/>
          <w:szCs w:val="28"/>
        </w:rPr>
      </w:pPr>
    </w:p>
    <w:p>
      <w:pPr>
        <w:spacing w:line="360" w:lineRule="auto"/>
        <w:rPr>
          <w:rFonts w:ascii="仿宋_GB2312" w:hAnsi="仿宋_GB2312" w:eastAsia="仿宋_GB2312" w:cs="仿宋_GB2312"/>
          <w:color w:val="auto"/>
          <w:sz w:val="28"/>
          <w:szCs w:val="28"/>
        </w:rPr>
      </w:pP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br w:type="page"/>
      </w:r>
      <w:r>
        <w:rPr>
          <w:rFonts w:hint="eastAsia" w:ascii="仿宋_GB2312" w:hAnsi="仿宋_GB2312" w:eastAsia="仿宋_GB2312" w:cs="仿宋_GB2312"/>
          <w:b/>
          <w:color w:val="auto"/>
          <w:sz w:val="28"/>
          <w:szCs w:val="28"/>
        </w:rPr>
        <w:t>2资格证明文件</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360"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致：</w:t>
      </w:r>
      <w:r>
        <w:rPr>
          <w:rFonts w:hint="eastAsia" w:ascii="仿宋_GB2312" w:hAnsi="仿宋_GB2312" w:eastAsia="仿宋_GB2312" w:cs="仿宋_GB2312"/>
          <w:color w:val="auto"/>
          <w:sz w:val="28"/>
          <w:szCs w:val="28"/>
          <w:lang w:val="en-US" w:eastAsia="zh-CN"/>
        </w:rPr>
        <w:t>广州水务环保技术有限公司</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w:t>
      </w:r>
      <w:r>
        <w:rPr>
          <w:rFonts w:hint="eastAsia" w:ascii="仿宋_GB2312" w:hAnsi="仿宋_GB2312" w:eastAsia="仿宋_GB2312" w:cs="仿宋_GB2312"/>
          <w:b w:val="0"/>
          <w:bCs w:val="0"/>
          <w:color w:val="auto"/>
          <w:sz w:val="28"/>
          <w:szCs w:val="28"/>
        </w:rPr>
        <w:t>广州水务环保技术有限公司自卸货车轮胎采购</w:t>
      </w: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b w:val="0"/>
          <w:bCs w:val="0"/>
          <w:color w:val="auto"/>
          <w:sz w:val="28"/>
          <w:szCs w:val="28"/>
        </w:rPr>
        <w:t>SWHB-XJ-2021-</w:t>
      </w:r>
      <w:r>
        <w:rPr>
          <w:rFonts w:hint="eastAsia" w:ascii="仿宋_GB2312" w:hAnsi="仿宋_GB2312" w:eastAsia="仿宋_GB2312" w:cs="仿宋_GB2312"/>
          <w:b w:val="0"/>
          <w:bCs w:val="0"/>
          <w:color w:val="auto"/>
          <w:sz w:val="28"/>
          <w:szCs w:val="28"/>
        </w:rPr>
        <w:fldChar w:fldCharType="begin"/>
      </w:r>
      <w:r>
        <w:rPr>
          <w:rFonts w:hint="eastAsia" w:ascii="仿宋_GB2312" w:hAnsi="仿宋_GB2312" w:eastAsia="仿宋_GB2312" w:cs="仿宋_GB2312"/>
          <w:b w:val="0"/>
          <w:bCs w:val="0"/>
          <w:color w:val="auto"/>
          <w:sz w:val="28"/>
          <w:szCs w:val="28"/>
        </w:rPr>
        <w:instrText xml:space="preserve"> DOCVARIABLE  采购编号  \* MERGEFORMAT </w:instrText>
      </w:r>
      <w:r>
        <w:rPr>
          <w:rFonts w:hint="eastAsia" w:ascii="仿宋_GB2312" w:hAnsi="仿宋_GB2312" w:eastAsia="仿宋_GB2312" w:cs="仿宋_GB2312"/>
          <w:b w:val="0"/>
          <w:bCs w:val="0"/>
          <w:color w:val="auto"/>
          <w:sz w:val="28"/>
          <w:szCs w:val="28"/>
        </w:rPr>
        <w:fldChar w:fldCharType="end"/>
      </w:r>
      <w:r>
        <w:rPr>
          <w:rFonts w:hint="eastAsia" w:ascii="仿宋_GB2312" w:hAnsi="仿宋_GB2312" w:eastAsia="仿宋_GB2312" w:cs="仿宋_GB2312"/>
          <w:b w:val="0"/>
          <w:bCs w:val="0"/>
          <w:color w:val="auto"/>
          <w:sz w:val="28"/>
          <w:szCs w:val="28"/>
        </w:rPr>
        <w:t>010</w:t>
      </w:r>
      <w:r>
        <w:rPr>
          <w:rFonts w:hint="eastAsia" w:ascii="仿宋_GB2312" w:hAnsi="仿宋_GB2312" w:eastAsia="仿宋_GB2312" w:cs="仿宋_GB2312"/>
          <w:color w:val="auto"/>
          <w:sz w:val="28"/>
          <w:szCs w:val="28"/>
        </w:rPr>
        <w:t>询价项目，本单位愿意提交报价响应文件，并证明提交的下列文件和说明是准确的和真实的。</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360" w:lineRule="auto"/>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360" w:lineRule="auto"/>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60" w:lineRule="auto"/>
        <w:ind w:firstLine="560" w:firstLineChars="200"/>
        <w:rPr>
          <w:rFonts w:ascii="仿宋_GB2312" w:hAnsi="仿宋_GB2312" w:eastAsia="仿宋_GB2312" w:cs="仿宋_GB2312"/>
          <w:color w:val="auto"/>
          <w:sz w:val="28"/>
          <w:szCs w:val="28"/>
        </w:rPr>
      </w:pPr>
    </w:p>
    <w:p>
      <w:pPr>
        <w:adjustRightInd w:val="0"/>
        <w:snapToGrid w:val="0"/>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60" w:lineRule="auto"/>
        <w:rPr>
          <w:rFonts w:ascii="仿宋_GB2312" w:hAnsi="仿宋_GB2312" w:eastAsia="仿宋_GB2312" w:cs="仿宋_GB2312"/>
          <w:color w:val="auto"/>
          <w:sz w:val="28"/>
          <w:szCs w:val="28"/>
        </w:rPr>
      </w:pPr>
    </w:p>
    <w:p>
      <w:pPr>
        <w:adjustRightInd w:val="0"/>
        <w:snapToGrid w:val="0"/>
        <w:spacing w:line="360" w:lineRule="auto"/>
        <w:rPr>
          <w:rFonts w:ascii="仿宋_GB2312" w:hAnsi="仿宋_GB2312" w:eastAsia="仿宋_GB2312" w:cs="仿宋_GB2312"/>
          <w:color w:val="auto"/>
          <w:sz w:val="28"/>
          <w:szCs w:val="28"/>
        </w:rPr>
      </w:pPr>
    </w:p>
    <w:p>
      <w:pPr>
        <w:adjustRightInd w:val="0"/>
        <w:snapToGrid w:val="0"/>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rPr>
          <w:rFonts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 报价意向承诺及声明函</w:t>
      </w:r>
    </w:p>
    <w:p>
      <w:pPr>
        <w:spacing w:line="360" w:lineRule="auto"/>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报 价 意 向 承 诺 及 声 明 函</w:t>
      </w:r>
    </w:p>
    <w:p>
      <w:pPr>
        <w:pStyle w:val="36"/>
        <w:adjustRightInd w:val="0"/>
        <w:snapToGrid w:val="0"/>
        <w:spacing w:line="360" w:lineRule="auto"/>
        <w:ind w:right="-1" w:firstLine="0"/>
        <w:jc w:val="left"/>
        <w:rPr>
          <w:rFonts w:hint="eastAsia" w:hAnsi="仿宋_GB2312" w:eastAsia="仿宋_GB2312" w:cs="仿宋_GB2312"/>
          <w:color w:val="auto"/>
          <w:sz w:val="24"/>
          <w:szCs w:val="24"/>
          <w:lang w:eastAsia="zh-CN"/>
        </w:rPr>
      </w:pPr>
      <w:r>
        <w:rPr>
          <w:rFonts w:hint="eastAsia" w:hAnsi="仿宋_GB2312" w:cs="仿宋_GB2312"/>
          <w:color w:val="auto"/>
          <w:sz w:val="24"/>
          <w:szCs w:val="24"/>
        </w:rPr>
        <w:t>致：</w:t>
      </w:r>
      <w:r>
        <w:rPr>
          <w:rFonts w:hint="eastAsia" w:hAnsi="仿宋_GB2312" w:cs="仿宋_GB2312"/>
          <w:color w:val="auto"/>
          <w:sz w:val="24"/>
          <w:szCs w:val="24"/>
          <w:u w:val="single"/>
          <w:lang w:val="en-US" w:eastAsia="zh-CN"/>
        </w:rPr>
        <w:t xml:space="preserve">广州水务环保技术有限公司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r>
        <w:rPr>
          <w:rFonts w:hint="eastAsia" w:ascii="仿宋_GB2312" w:hAnsi="仿宋_GB2312" w:eastAsia="仿宋_GB2312" w:cs="仿宋_GB2312"/>
          <w:color w:val="auto"/>
          <w:sz w:val="24"/>
        </w:rPr>
        <w:t>根据询价人发出的项目编号为</w:t>
      </w:r>
      <w:r>
        <w:rPr>
          <w:rFonts w:hint="eastAsia" w:ascii="仿宋_GB2312" w:hAnsi="仿宋_GB2312" w:eastAsia="仿宋_GB2312" w:cs="仿宋_GB2312"/>
          <w:b w:val="0"/>
          <w:bCs w:val="0"/>
          <w:color w:val="auto"/>
          <w:kern w:val="0"/>
          <w:sz w:val="24"/>
          <w:szCs w:val="24"/>
          <w:u w:val="single"/>
        </w:rPr>
        <w:t>SWHB-XJ-2021-</w:t>
      </w:r>
      <w:r>
        <w:rPr>
          <w:rFonts w:hint="eastAsia" w:ascii="仿宋_GB2312" w:hAnsi="仿宋_GB2312" w:eastAsia="仿宋_GB2312" w:cs="仿宋_GB2312"/>
          <w:b w:val="0"/>
          <w:bCs w:val="0"/>
          <w:color w:val="auto"/>
          <w:kern w:val="0"/>
          <w:sz w:val="24"/>
          <w:szCs w:val="24"/>
          <w:u w:val="single"/>
        </w:rPr>
        <w:fldChar w:fldCharType="begin"/>
      </w:r>
      <w:r>
        <w:rPr>
          <w:rFonts w:hint="eastAsia" w:ascii="仿宋_GB2312" w:hAnsi="仿宋_GB2312" w:eastAsia="仿宋_GB2312" w:cs="仿宋_GB2312"/>
          <w:b w:val="0"/>
          <w:bCs w:val="0"/>
          <w:color w:val="auto"/>
          <w:kern w:val="0"/>
          <w:sz w:val="24"/>
          <w:szCs w:val="24"/>
          <w:u w:val="single"/>
        </w:rPr>
        <w:instrText xml:space="preserve"> DOCVARIABLE  采购编号  \* MERGEFORMAT </w:instrText>
      </w:r>
      <w:r>
        <w:rPr>
          <w:rFonts w:hint="eastAsia" w:ascii="仿宋_GB2312" w:hAnsi="仿宋_GB2312" w:eastAsia="仿宋_GB2312" w:cs="仿宋_GB2312"/>
          <w:b w:val="0"/>
          <w:bCs w:val="0"/>
          <w:color w:val="auto"/>
          <w:kern w:val="0"/>
          <w:sz w:val="24"/>
          <w:szCs w:val="24"/>
          <w:u w:val="single"/>
        </w:rPr>
        <w:fldChar w:fldCharType="end"/>
      </w:r>
      <w:r>
        <w:rPr>
          <w:rFonts w:hint="eastAsia" w:ascii="仿宋_GB2312" w:hAnsi="仿宋_GB2312" w:eastAsia="仿宋_GB2312" w:cs="仿宋_GB2312"/>
          <w:b w:val="0"/>
          <w:bCs w:val="0"/>
          <w:color w:val="auto"/>
          <w:kern w:val="0"/>
          <w:sz w:val="24"/>
          <w:szCs w:val="24"/>
          <w:u w:val="single"/>
        </w:rPr>
        <w:t>010</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sz w:val="24"/>
        </w:rPr>
        <w:t>的</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广州水务环保技术有限公司自卸货车轮胎采购项目</w:t>
      </w:r>
      <w:r>
        <w:rPr>
          <w:rFonts w:hint="eastAsia" w:ascii="仿宋_GB2312" w:hAnsi="仿宋_GB2312" w:eastAsia="仿宋_GB2312" w:cs="仿宋_GB2312"/>
          <w:color w:val="auto"/>
          <w:sz w:val="24"/>
        </w:rPr>
        <w:t>的询价文件，我方已详细审查了全部内容，并无异议。</w:t>
      </w:r>
    </w:p>
    <w:p>
      <w:pPr>
        <w:widowControl/>
        <w:spacing w:line="360" w:lineRule="auto"/>
        <w:ind w:left="-619" w:leftChars="-295" w:firstLine="619" w:firstLineChars="258"/>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2.现我方承诺：</w:t>
      </w:r>
      <w:r>
        <w:rPr>
          <w:rFonts w:hint="eastAsia" w:ascii="仿宋_GB2312" w:hAnsi="仿宋_GB2312" w:eastAsia="仿宋_GB2312" w:cs="仿宋_GB2312"/>
          <w:color w:val="auto"/>
          <w:kern w:val="0"/>
          <w:sz w:val="24"/>
        </w:rPr>
        <w:t>愿以</w:t>
      </w:r>
      <w:r>
        <w:rPr>
          <w:rFonts w:hint="eastAsia" w:ascii="仿宋_GB2312" w:hAnsi="仿宋_GB2312" w:eastAsia="仿宋_GB2312" w:cs="仿宋_GB2312"/>
          <w:color w:val="auto"/>
          <w:kern w:val="0"/>
          <w:sz w:val="24"/>
          <w:lang w:val="en-US" w:eastAsia="zh-CN"/>
        </w:rPr>
        <w:t>下表中</w:t>
      </w:r>
      <w:r>
        <w:rPr>
          <w:rFonts w:hint="eastAsia" w:ascii="仿宋_GB2312" w:hAnsi="仿宋_GB2312" w:eastAsia="仿宋_GB2312" w:cs="仿宋_GB2312"/>
          <w:color w:val="auto"/>
          <w:kern w:val="0"/>
          <w:sz w:val="24"/>
        </w:rPr>
        <w:t>的报价，承包本次交易所包含的所有工作，并承担任何质量缺陷责任。</w:t>
      </w:r>
    </w:p>
    <w:tbl>
      <w:tblPr>
        <w:tblStyle w:val="23"/>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705"/>
        <w:gridCol w:w="542"/>
        <w:gridCol w:w="1085"/>
        <w:gridCol w:w="906"/>
        <w:gridCol w:w="1080"/>
        <w:gridCol w:w="1428"/>
        <w:gridCol w:w="125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16"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序号</w:t>
            </w:r>
          </w:p>
        </w:tc>
        <w:tc>
          <w:tcPr>
            <w:tcW w:w="705" w:type="dxa"/>
            <w:noWrap/>
            <w:vAlign w:val="center"/>
          </w:tcPr>
          <w:p>
            <w:pPr>
              <w:pStyle w:val="51"/>
              <w:widowControl/>
              <w:spacing w:line="360" w:lineRule="auto"/>
              <w:jc w:val="center"/>
              <w:rPr>
                <w:rFonts w:hint="eastAsia" w:ascii="宋体" w:hAnsi="宋体" w:eastAsia="宋体" w:cs="Tahoma"/>
                <w:b/>
                <w:bCs/>
                <w:color w:val="auto"/>
                <w:kern w:val="0"/>
                <w:sz w:val="22"/>
                <w:szCs w:val="22"/>
                <w:lang w:val="en-US" w:eastAsia="zh-CN" w:bidi="ar-SA"/>
              </w:rPr>
            </w:pPr>
            <w:r>
              <w:rPr>
                <w:rFonts w:hint="eastAsia" w:ascii="宋体" w:hAnsi="宋体"/>
                <w:b/>
                <w:bCs/>
                <w:color w:val="auto"/>
                <w:kern w:val="0"/>
                <w:sz w:val="22"/>
                <w:szCs w:val="22"/>
              </w:rPr>
              <w:t>名称</w:t>
            </w:r>
          </w:p>
        </w:tc>
        <w:tc>
          <w:tcPr>
            <w:tcW w:w="542" w:type="dxa"/>
            <w:noWrap/>
            <w:vAlign w:val="center"/>
          </w:tcPr>
          <w:p>
            <w:pPr>
              <w:pStyle w:val="51"/>
              <w:widowControl/>
              <w:spacing w:line="360" w:lineRule="auto"/>
              <w:jc w:val="center"/>
              <w:rPr>
                <w:rFonts w:hint="eastAsia"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品牌</w:t>
            </w:r>
          </w:p>
        </w:tc>
        <w:tc>
          <w:tcPr>
            <w:tcW w:w="1085"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规格</w:t>
            </w:r>
          </w:p>
        </w:tc>
        <w:tc>
          <w:tcPr>
            <w:tcW w:w="906" w:type="dxa"/>
            <w:noWrap/>
            <w:vAlign w:val="center"/>
          </w:tcPr>
          <w:p>
            <w:pPr>
              <w:pStyle w:val="51"/>
              <w:widowControl/>
              <w:spacing w:line="360" w:lineRule="auto"/>
              <w:jc w:val="center"/>
              <w:rPr>
                <w:rFonts w:hint="eastAsia" w:ascii="宋体" w:hAnsi="宋体" w:eastAsia="宋体" w:cs="Tahoma"/>
                <w:b/>
                <w:bCs/>
                <w:color w:val="auto"/>
                <w:kern w:val="0"/>
                <w:sz w:val="22"/>
                <w:szCs w:val="22"/>
                <w:lang w:val="en-US" w:eastAsia="zh-CN" w:bidi="ar-SA"/>
              </w:rPr>
            </w:pPr>
            <w:r>
              <w:rPr>
                <w:rFonts w:hint="eastAsia" w:ascii="宋体" w:hAnsi="宋体"/>
                <w:b/>
                <w:bCs/>
                <w:color w:val="auto"/>
                <w:kern w:val="0"/>
                <w:sz w:val="22"/>
                <w:szCs w:val="22"/>
                <w:lang w:val="en-US" w:eastAsia="zh-CN"/>
              </w:rPr>
              <w:t>型号</w:t>
            </w:r>
          </w:p>
        </w:tc>
        <w:tc>
          <w:tcPr>
            <w:tcW w:w="1080"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单位</w:t>
            </w:r>
          </w:p>
        </w:tc>
        <w:tc>
          <w:tcPr>
            <w:tcW w:w="1428" w:type="dxa"/>
            <w:noWrap/>
            <w:vAlign w:val="center"/>
          </w:tcPr>
          <w:p>
            <w:pPr>
              <w:pStyle w:val="51"/>
              <w:widowControl/>
              <w:spacing w:line="360" w:lineRule="auto"/>
              <w:jc w:val="center"/>
              <w:rPr>
                <w:rFonts w:hint="default"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数量（暂定）</w:t>
            </w:r>
          </w:p>
        </w:tc>
        <w:tc>
          <w:tcPr>
            <w:tcW w:w="1256"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单价（元）</w:t>
            </w:r>
          </w:p>
        </w:tc>
        <w:tc>
          <w:tcPr>
            <w:tcW w:w="1195" w:type="dxa"/>
            <w:noWrap/>
            <w:vAlign w:val="center"/>
          </w:tcPr>
          <w:p>
            <w:pPr>
              <w:pStyle w:val="51"/>
              <w:widowControl/>
              <w:spacing w:line="360" w:lineRule="auto"/>
              <w:ind w:firstLine="0"/>
              <w:jc w:val="center"/>
              <w:rPr>
                <w:rFonts w:hint="eastAsia"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1</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542"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玲珑</w:t>
            </w:r>
          </w:p>
        </w:tc>
        <w:tc>
          <w:tcPr>
            <w:tcW w:w="108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1</w:t>
            </w:r>
            <w:r>
              <w:rPr>
                <w:rFonts w:hint="eastAsia" w:ascii="宋体" w:hAnsi="宋体"/>
                <w:color w:val="auto"/>
                <w:kern w:val="0"/>
                <w:lang w:val="en-US" w:eastAsia="zh-CN"/>
              </w:rPr>
              <w:t>1</w:t>
            </w:r>
            <w:r>
              <w:rPr>
                <w:rFonts w:hint="eastAsia" w:ascii="宋体" w:hAnsi="宋体"/>
                <w:color w:val="auto"/>
                <w:kern w:val="0"/>
              </w:rPr>
              <w:t>R22.5-18</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p>
        </w:tc>
        <w:tc>
          <w:tcPr>
            <w:tcW w:w="1080"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 xml:space="preserve">套 </w:t>
            </w:r>
          </w:p>
        </w:tc>
        <w:tc>
          <w:tcPr>
            <w:tcW w:w="1428"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4</w:t>
            </w:r>
          </w:p>
        </w:tc>
        <w:tc>
          <w:tcPr>
            <w:tcW w:w="1256" w:type="dxa"/>
            <w:noWrap/>
            <w:vAlign w:val="center"/>
          </w:tcPr>
          <w:p>
            <w:pPr>
              <w:pStyle w:val="51"/>
              <w:widowControl/>
              <w:spacing w:line="360" w:lineRule="auto"/>
              <w:jc w:val="center"/>
              <w:rPr>
                <w:rFonts w:hint="default" w:ascii="宋体" w:hAnsi="宋体" w:eastAsia="宋体" w:cs="Tahoma"/>
                <w:color w:val="auto"/>
                <w:kern w:val="0"/>
                <w:sz w:val="24"/>
                <w:szCs w:val="24"/>
                <w:lang w:val="en-US" w:eastAsia="zh-CN" w:bidi="ar-SA"/>
              </w:rPr>
            </w:pPr>
          </w:p>
        </w:tc>
        <w:tc>
          <w:tcPr>
            <w:tcW w:w="1195" w:type="dxa"/>
            <w:vMerge w:val="restart"/>
            <w:noWrap/>
            <w:vAlign w:val="center"/>
          </w:tcPr>
          <w:p>
            <w:pPr>
              <w:pStyle w:val="51"/>
              <w:widowControl/>
              <w:spacing w:line="360" w:lineRule="auto"/>
              <w:jc w:val="center"/>
              <w:rPr>
                <w:rFonts w:hint="default" w:ascii="宋体" w:hAnsi="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2</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542" w:type="dxa"/>
            <w:noWrap/>
            <w:vAlign w:val="center"/>
          </w:tcPr>
          <w:p>
            <w:pPr>
              <w:pStyle w:val="51"/>
              <w:widowControl/>
              <w:spacing w:line="360" w:lineRule="auto"/>
              <w:jc w:val="center"/>
              <w:rPr>
                <w:rFonts w:hint="eastAsia" w:ascii="宋体" w:hAnsi="宋体"/>
                <w:color w:val="auto"/>
                <w:kern w:val="0"/>
              </w:rPr>
            </w:pPr>
            <w:r>
              <w:rPr>
                <w:rFonts w:hint="eastAsia" w:ascii="宋体" w:hAnsi="宋体"/>
                <w:color w:val="auto"/>
                <w:kern w:val="0"/>
                <w:lang w:val="en-US" w:eastAsia="zh-CN"/>
              </w:rPr>
              <w:t>玲珑</w:t>
            </w:r>
          </w:p>
        </w:tc>
        <w:tc>
          <w:tcPr>
            <w:tcW w:w="1085"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12R22.5-18</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p>
        </w:tc>
        <w:tc>
          <w:tcPr>
            <w:tcW w:w="1080"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 xml:space="preserve">套 </w:t>
            </w:r>
          </w:p>
        </w:tc>
        <w:tc>
          <w:tcPr>
            <w:tcW w:w="1428"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4</w:t>
            </w:r>
          </w:p>
        </w:tc>
        <w:tc>
          <w:tcPr>
            <w:tcW w:w="1256" w:type="dxa"/>
            <w:noWrap/>
            <w:vAlign w:val="center"/>
          </w:tcPr>
          <w:p>
            <w:pPr>
              <w:pStyle w:val="51"/>
              <w:widowControl/>
              <w:spacing w:line="360" w:lineRule="auto"/>
              <w:jc w:val="center"/>
              <w:rPr>
                <w:rFonts w:hint="default" w:ascii="宋体" w:hAnsi="宋体" w:eastAsia="宋体"/>
                <w:color w:val="auto"/>
                <w:kern w:val="0"/>
                <w:lang w:val="en-US" w:eastAsia="zh-CN"/>
              </w:rPr>
            </w:pPr>
          </w:p>
        </w:tc>
        <w:tc>
          <w:tcPr>
            <w:tcW w:w="1195" w:type="dxa"/>
            <w:vMerge w:val="continue"/>
            <w:noWrap/>
            <w:vAlign w:val="center"/>
          </w:tcPr>
          <w:p>
            <w:pPr>
              <w:pStyle w:val="51"/>
              <w:widowControl/>
              <w:spacing w:line="360" w:lineRule="auto"/>
              <w:jc w:val="center"/>
              <w:rPr>
                <w:rFonts w:hint="default" w:ascii="宋体" w:hAnsi="宋体" w:eastAsia="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lang w:val="en-US" w:eastAsia="zh-CN"/>
              </w:rPr>
              <w:t>3</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542" w:type="dxa"/>
            <w:noWrap/>
            <w:vAlign w:val="center"/>
          </w:tcPr>
          <w:p>
            <w:pPr>
              <w:pStyle w:val="51"/>
              <w:widowControl/>
              <w:spacing w:line="360" w:lineRule="auto"/>
              <w:jc w:val="center"/>
              <w:rPr>
                <w:rFonts w:hint="eastAsia" w:ascii="宋体" w:hAnsi="宋体"/>
                <w:color w:val="auto"/>
                <w:kern w:val="0"/>
              </w:rPr>
            </w:pPr>
            <w:r>
              <w:rPr>
                <w:rFonts w:hint="eastAsia" w:ascii="宋体" w:hAnsi="宋体"/>
                <w:color w:val="auto"/>
                <w:kern w:val="0"/>
                <w:lang w:val="en-US" w:eastAsia="zh-CN"/>
              </w:rPr>
              <w:t>玲珑</w:t>
            </w:r>
          </w:p>
        </w:tc>
        <w:tc>
          <w:tcPr>
            <w:tcW w:w="1085"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1100R20-18</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p>
        </w:tc>
        <w:tc>
          <w:tcPr>
            <w:tcW w:w="1080"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套 (含内胎及胎垫）</w:t>
            </w:r>
          </w:p>
        </w:tc>
        <w:tc>
          <w:tcPr>
            <w:tcW w:w="1428"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92</w:t>
            </w:r>
          </w:p>
        </w:tc>
        <w:tc>
          <w:tcPr>
            <w:tcW w:w="1256" w:type="dxa"/>
            <w:noWrap/>
            <w:vAlign w:val="center"/>
          </w:tcPr>
          <w:p>
            <w:pPr>
              <w:pStyle w:val="51"/>
              <w:widowControl/>
              <w:spacing w:line="360" w:lineRule="auto"/>
              <w:jc w:val="center"/>
              <w:rPr>
                <w:rFonts w:hint="default" w:ascii="宋体" w:hAnsi="宋体" w:eastAsia="宋体"/>
                <w:color w:val="auto"/>
                <w:kern w:val="0"/>
                <w:lang w:val="en-US" w:eastAsia="zh-CN"/>
              </w:rPr>
            </w:pPr>
          </w:p>
        </w:tc>
        <w:tc>
          <w:tcPr>
            <w:tcW w:w="1195" w:type="dxa"/>
            <w:vMerge w:val="continue"/>
            <w:noWrap/>
            <w:vAlign w:val="center"/>
          </w:tcPr>
          <w:p>
            <w:pPr>
              <w:pStyle w:val="51"/>
              <w:widowControl/>
              <w:spacing w:line="360" w:lineRule="auto"/>
              <w:jc w:val="center"/>
              <w:rPr>
                <w:rFonts w:hint="default" w:ascii="宋体" w:hAnsi="宋体" w:eastAsia="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4</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调位费</w:t>
            </w:r>
          </w:p>
        </w:tc>
        <w:tc>
          <w:tcPr>
            <w:tcW w:w="542" w:type="dxa"/>
            <w:noWrap/>
            <w:vAlign w:val="center"/>
          </w:tcPr>
          <w:p>
            <w:pPr>
              <w:pStyle w:val="51"/>
              <w:widowControl/>
              <w:spacing w:line="360" w:lineRule="auto"/>
              <w:jc w:val="center"/>
              <w:rPr>
                <w:rFonts w:hint="default" w:ascii="宋体" w:hAnsi="宋体"/>
                <w:color w:val="auto"/>
                <w:kern w:val="0"/>
                <w:lang w:val="en-US" w:eastAsia="zh-CN"/>
              </w:rPr>
            </w:pPr>
            <w:r>
              <w:rPr>
                <w:rFonts w:hint="eastAsia" w:ascii="宋体" w:hAnsi="宋体"/>
                <w:color w:val="auto"/>
                <w:kern w:val="0"/>
                <w:lang w:val="en-US" w:eastAsia="zh-CN"/>
              </w:rPr>
              <w:t>/</w:t>
            </w:r>
          </w:p>
        </w:tc>
        <w:tc>
          <w:tcPr>
            <w:tcW w:w="1085"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w:t>
            </w:r>
          </w:p>
        </w:tc>
        <w:tc>
          <w:tcPr>
            <w:tcW w:w="1080"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1428" w:type="dxa"/>
            <w:noWrap/>
            <w:vAlign w:val="center"/>
          </w:tcPr>
          <w:p>
            <w:pPr>
              <w:pStyle w:val="51"/>
              <w:widowControl/>
              <w:spacing w:line="360" w:lineRule="auto"/>
              <w:jc w:val="center"/>
              <w:rPr>
                <w:rFonts w:hint="default" w:ascii="宋体" w:hAnsi="宋体"/>
                <w:color w:val="auto"/>
                <w:kern w:val="0"/>
                <w:lang w:val="en-US" w:eastAsia="zh-CN"/>
              </w:rPr>
            </w:pPr>
            <w:r>
              <w:rPr>
                <w:rFonts w:hint="eastAsia" w:ascii="宋体" w:hAnsi="宋体"/>
                <w:color w:val="auto"/>
                <w:kern w:val="0"/>
                <w:lang w:val="en-US" w:eastAsia="zh-CN"/>
              </w:rPr>
              <w:t>100</w:t>
            </w:r>
          </w:p>
        </w:tc>
        <w:tc>
          <w:tcPr>
            <w:tcW w:w="1256" w:type="dxa"/>
            <w:noWrap/>
            <w:vAlign w:val="center"/>
          </w:tcPr>
          <w:p>
            <w:pPr>
              <w:pStyle w:val="51"/>
              <w:widowControl/>
              <w:spacing w:line="360" w:lineRule="auto"/>
              <w:jc w:val="center"/>
              <w:rPr>
                <w:rFonts w:hint="default" w:ascii="宋体" w:hAnsi="宋体" w:eastAsia="宋体"/>
                <w:color w:val="auto"/>
                <w:kern w:val="0"/>
                <w:lang w:val="en-US" w:eastAsia="zh-CN"/>
              </w:rPr>
            </w:pPr>
          </w:p>
        </w:tc>
        <w:tc>
          <w:tcPr>
            <w:tcW w:w="1195" w:type="dxa"/>
            <w:vMerge w:val="continue"/>
            <w:noWrap/>
            <w:vAlign w:val="center"/>
          </w:tcPr>
          <w:p>
            <w:pPr>
              <w:pStyle w:val="51"/>
              <w:widowControl/>
              <w:spacing w:line="360" w:lineRule="auto"/>
              <w:jc w:val="center"/>
              <w:rPr>
                <w:rFonts w:hint="default" w:ascii="宋体" w:hAnsi="宋体"/>
                <w:color w:val="auto"/>
                <w:kern w:val="0"/>
                <w:lang w:val="en-US" w:eastAsia="zh-CN"/>
              </w:rPr>
            </w:pPr>
          </w:p>
        </w:tc>
      </w:tr>
    </w:tbl>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4.我方同意承包意向在询价文件规定的交易有效期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5.如果我方获得承包资格，我方保证将</w:t>
      </w:r>
      <w:r>
        <w:rPr>
          <w:rFonts w:hint="eastAsia" w:ascii="仿宋_GB2312" w:hAnsi="仿宋_GB2312"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6.如果我方获得承包资格，我方将实行项目经理负责制，我方拟委派的项目负责人为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（证书编号为：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 本公司及其有隶属关系的机构没有参加本项目的前期工作编写工作。</w:t>
      </w:r>
    </w:p>
    <w:p>
      <w:pPr>
        <w:pStyle w:val="38"/>
        <w:spacing w:line="360" w:lineRule="auto"/>
        <w:ind w:left="-539" w:leftChars="-257" w:firstLine="496"/>
        <w:rPr>
          <w:rFonts w:ascii="仿宋_GB2312" w:hAnsi="仿宋_GB2312" w:eastAsia="仿宋_GB2312" w:cs="仿宋_GB2312"/>
          <w:color w:val="auto"/>
        </w:rPr>
      </w:pPr>
      <w:r>
        <w:rPr>
          <w:rFonts w:hint="eastAsia" w:ascii="仿宋_GB2312" w:hAnsi="仿宋_GB2312" w:eastAsia="仿宋_GB2312" w:cs="仿宋_GB2312"/>
          <w:color w:val="auto"/>
        </w:rPr>
        <w:t>本公司违反上述承诺，或本声明陈述与事实不符，经查实，本公司愿意接受公开通报，承担由此带来的法律后果。</w:t>
      </w:r>
    </w:p>
    <w:p>
      <w:pPr>
        <w:pStyle w:val="38"/>
        <w:ind w:firstLine="496"/>
        <w:rPr>
          <w:rFonts w:ascii="仿宋_GB2312" w:hAnsi="仿宋_GB2312" w:eastAsia="仿宋_GB2312" w:cs="仿宋_GB2312"/>
          <w:color w:val="auto"/>
          <w:u w:val="single"/>
        </w:rPr>
      </w:pPr>
      <w:r>
        <w:rPr>
          <w:rFonts w:hint="eastAsia" w:ascii="仿宋_GB2312" w:hAnsi="仿宋_GB2312" w:eastAsia="仿宋_GB2312" w:cs="仿宋_GB2312"/>
          <w:color w:val="auto"/>
        </w:rPr>
        <w:t>承包意向人：(盖公章)</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法定代表人（签名或盖章）：</w:t>
      </w:r>
      <w:r>
        <w:rPr>
          <w:rFonts w:hint="eastAsia" w:ascii="仿宋_GB2312" w:hAnsi="仿宋_GB2312" w:eastAsia="仿宋_GB2312" w:cs="仿宋_GB2312"/>
          <w:color w:val="auto"/>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rPr>
      </w:pPr>
      <w:r>
        <w:rPr>
          <w:rFonts w:hint="eastAsia" w:ascii="仿宋_GB2312" w:hAnsi="仿宋_GB2312" w:eastAsia="仿宋_GB2312" w:cs="仿宋_GB2312"/>
          <w:snapToGrid w:val="0"/>
          <w:color w:val="auto"/>
          <w:spacing w:val="4"/>
          <w:kern w:val="0"/>
          <w:sz w:val="24"/>
        </w:rPr>
        <w:t xml:space="preserve">日    期：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年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月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日    </w:t>
      </w:r>
    </w:p>
    <w:p>
      <w:pPr>
        <w:pStyle w:val="38"/>
        <w:ind w:firstLine="496"/>
        <w:rPr>
          <w:rFonts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 拟投入本项目的项目负责人情况表</w:t>
      </w:r>
    </w:p>
    <w:tbl>
      <w:tblPr>
        <w:tblStyle w:val="23"/>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742" w:type="dxa"/>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姓名</w:t>
            </w:r>
          </w:p>
        </w:tc>
        <w:tc>
          <w:tcPr>
            <w:tcW w:w="1742" w:type="dxa"/>
            <w:gridSpan w:val="2"/>
          </w:tcPr>
          <w:p>
            <w:pPr>
              <w:spacing w:line="360" w:lineRule="auto"/>
              <w:jc w:val="center"/>
              <w:rPr>
                <w:rFonts w:ascii="仿宋_GB2312" w:hAnsi="仿宋_GB2312" w:eastAsia="仿宋_GB2312" w:cs="仿宋_GB2312"/>
                <w:b/>
                <w:color w:val="auto"/>
                <w:sz w:val="24"/>
              </w:rPr>
            </w:pPr>
          </w:p>
        </w:tc>
        <w:tc>
          <w:tcPr>
            <w:tcW w:w="1742"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出生年月</w:t>
            </w:r>
          </w:p>
        </w:tc>
        <w:tc>
          <w:tcPr>
            <w:tcW w:w="1742" w:type="dxa"/>
            <w:gridSpan w:val="2"/>
          </w:tcPr>
          <w:p>
            <w:pPr>
              <w:spacing w:line="360" w:lineRule="auto"/>
              <w:jc w:val="center"/>
              <w:rPr>
                <w:rFonts w:ascii="仿宋_GB2312" w:hAnsi="仿宋_GB2312" w:eastAsia="仿宋_GB2312" w:cs="仿宋_GB2312"/>
                <w:b/>
                <w:color w:val="auto"/>
                <w:sz w:val="24"/>
              </w:rPr>
            </w:pPr>
          </w:p>
        </w:tc>
        <w:tc>
          <w:tcPr>
            <w:tcW w:w="1929"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学历</w:t>
            </w:r>
          </w:p>
        </w:tc>
        <w:tc>
          <w:tcPr>
            <w:tcW w:w="1558" w:type="dxa"/>
          </w:tcPr>
          <w:p>
            <w:pPr>
              <w:spacing w:line="360" w:lineRule="auto"/>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742" w:type="dxa"/>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职称</w:t>
            </w:r>
          </w:p>
        </w:tc>
        <w:tc>
          <w:tcPr>
            <w:tcW w:w="1742" w:type="dxa"/>
            <w:gridSpan w:val="2"/>
          </w:tcPr>
          <w:p>
            <w:pPr>
              <w:spacing w:line="360" w:lineRule="auto"/>
              <w:jc w:val="center"/>
              <w:rPr>
                <w:rFonts w:ascii="仿宋_GB2312" w:hAnsi="仿宋_GB2312" w:eastAsia="仿宋_GB2312" w:cs="仿宋_GB2312"/>
                <w:b/>
                <w:color w:val="auto"/>
                <w:sz w:val="24"/>
              </w:rPr>
            </w:pPr>
          </w:p>
        </w:tc>
        <w:tc>
          <w:tcPr>
            <w:tcW w:w="1742"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职务</w:t>
            </w:r>
          </w:p>
        </w:tc>
        <w:tc>
          <w:tcPr>
            <w:tcW w:w="1742" w:type="dxa"/>
            <w:gridSpan w:val="2"/>
          </w:tcPr>
          <w:p>
            <w:pPr>
              <w:spacing w:line="360" w:lineRule="auto"/>
              <w:jc w:val="center"/>
              <w:rPr>
                <w:rFonts w:ascii="仿宋_GB2312" w:hAnsi="仿宋_GB2312" w:eastAsia="仿宋_GB2312" w:cs="仿宋_GB2312"/>
                <w:b/>
                <w:color w:val="auto"/>
                <w:sz w:val="24"/>
              </w:rPr>
            </w:pPr>
          </w:p>
        </w:tc>
        <w:tc>
          <w:tcPr>
            <w:tcW w:w="1929"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从事本工作时间</w:t>
            </w:r>
          </w:p>
        </w:tc>
        <w:tc>
          <w:tcPr>
            <w:tcW w:w="1558" w:type="dxa"/>
          </w:tcPr>
          <w:p>
            <w:pPr>
              <w:spacing w:line="360" w:lineRule="auto"/>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742" w:type="dxa"/>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毕业院校</w:t>
            </w:r>
          </w:p>
        </w:tc>
        <w:tc>
          <w:tcPr>
            <w:tcW w:w="1742" w:type="dxa"/>
            <w:gridSpan w:val="2"/>
          </w:tcPr>
          <w:p>
            <w:pPr>
              <w:spacing w:line="360" w:lineRule="auto"/>
              <w:jc w:val="center"/>
              <w:rPr>
                <w:rFonts w:ascii="仿宋_GB2312" w:hAnsi="仿宋_GB2312" w:eastAsia="仿宋_GB2312" w:cs="仿宋_GB2312"/>
                <w:b/>
                <w:color w:val="auto"/>
                <w:sz w:val="24"/>
              </w:rPr>
            </w:pPr>
          </w:p>
        </w:tc>
        <w:tc>
          <w:tcPr>
            <w:tcW w:w="1742"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毕业时间</w:t>
            </w:r>
          </w:p>
        </w:tc>
        <w:tc>
          <w:tcPr>
            <w:tcW w:w="1742" w:type="dxa"/>
            <w:gridSpan w:val="2"/>
          </w:tcPr>
          <w:p>
            <w:pPr>
              <w:spacing w:line="360" w:lineRule="auto"/>
              <w:jc w:val="center"/>
              <w:rPr>
                <w:rFonts w:ascii="仿宋_GB2312" w:hAnsi="仿宋_GB2312" w:eastAsia="仿宋_GB2312" w:cs="仿宋_GB2312"/>
                <w:b/>
                <w:color w:val="auto"/>
                <w:sz w:val="24"/>
              </w:rPr>
            </w:pPr>
          </w:p>
        </w:tc>
        <w:tc>
          <w:tcPr>
            <w:tcW w:w="1929"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专业</w:t>
            </w:r>
          </w:p>
        </w:tc>
        <w:tc>
          <w:tcPr>
            <w:tcW w:w="1558" w:type="dxa"/>
          </w:tcPr>
          <w:p>
            <w:pPr>
              <w:spacing w:line="360" w:lineRule="auto"/>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484" w:type="dxa"/>
            <w:gridSpan w:val="3"/>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注册证书等级</w:t>
            </w:r>
          </w:p>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和专业</w:t>
            </w:r>
          </w:p>
        </w:tc>
        <w:tc>
          <w:tcPr>
            <w:tcW w:w="3484" w:type="dxa"/>
            <w:gridSpan w:val="4"/>
          </w:tcPr>
          <w:p>
            <w:pPr>
              <w:spacing w:line="360" w:lineRule="auto"/>
              <w:jc w:val="center"/>
              <w:rPr>
                <w:rFonts w:ascii="仿宋_GB2312" w:hAnsi="仿宋_GB2312" w:eastAsia="仿宋_GB2312" w:cs="仿宋_GB2312"/>
                <w:b/>
                <w:color w:val="auto"/>
                <w:sz w:val="24"/>
              </w:rPr>
            </w:pPr>
          </w:p>
        </w:tc>
        <w:tc>
          <w:tcPr>
            <w:tcW w:w="1929"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证书编号</w:t>
            </w:r>
          </w:p>
        </w:tc>
        <w:tc>
          <w:tcPr>
            <w:tcW w:w="1558" w:type="dxa"/>
          </w:tcPr>
          <w:p>
            <w:pPr>
              <w:spacing w:line="360" w:lineRule="auto"/>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484" w:type="dxa"/>
            <w:gridSpan w:val="3"/>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职称证专业</w:t>
            </w:r>
          </w:p>
        </w:tc>
        <w:tc>
          <w:tcPr>
            <w:tcW w:w="3484" w:type="dxa"/>
            <w:gridSpan w:val="4"/>
          </w:tcPr>
          <w:p>
            <w:pPr>
              <w:spacing w:line="360" w:lineRule="auto"/>
              <w:jc w:val="center"/>
              <w:rPr>
                <w:rFonts w:ascii="仿宋_GB2312" w:hAnsi="仿宋_GB2312" w:eastAsia="仿宋_GB2312" w:cs="仿宋_GB2312"/>
                <w:b/>
                <w:color w:val="auto"/>
                <w:sz w:val="24"/>
              </w:rPr>
            </w:pPr>
          </w:p>
        </w:tc>
        <w:tc>
          <w:tcPr>
            <w:tcW w:w="1929"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证书编号</w:t>
            </w:r>
          </w:p>
        </w:tc>
        <w:tc>
          <w:tcPr>
            <w:tcW w:w="1558" w:type="dxa"/>
          </w:tcPr>
          <w:p>
            <w:pPr>
              <w:spacing w:line="360" w:lineRule="auto"/>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0455" w:type="dxa"/>
            <w:gridSpan w:val="10"/>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2090"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项目名称</w:t>
            </w:r>
          </w:p>
        </w:tc>
        <w:tc>
          <w:tcPr>
            <w:tcW w:w="2090"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合同金额</w:t>
            </w:r>
          </w:p>
        </w:tc>
        <w:tc>
          <w:tcPr>
            <w:tcW w:w="2090"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开、竣工时间</w:t>
            </w:r>
          </w:p>
        </w:tc>
        <w:tc>
          <w:tcPr>
            <w:tcW w:w="2090"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担任职务</w:t>
            </w:r>
          </w:p>
        </w:tc>
        <w:tc>
          <w:tcPr>
            <w:tcW w:w="2095" w:type="dxa"/>
            <w:gridSpan w:val="2"/>
          </w:tcPr>
          <w:p>
            <w:pPr>
              <w:spacing w:line="360" w:lineRule="auto"/>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90" w:type="dxa"/>
            <w:gridSpan w:val="2"/>
          </w:tcPr>
          <w:p>
            <w:pPr>
              <w:spacing w:line="360" w:lineRule="auto"/>
              <w:jc w:val="center"/>
              <w:rPr>
                <w:rFonts w:ascii="仿宋_GB2312" w:hAnsi="仿宋_GB2312" w:eastAsia="仿宋_GB2312" w:cs="仿宋_GB2312"/>
                <w:b/>
                <w:color w:val="auto"/>
                <w:sz w:val="24"/>
              </w:rPr>
            </w:pPr>
          </w:p>
        </w:tc>
        <w:tc>
          <w:tcPr>
            <w:tcW w:w="2090" w:type="dxa"/>
            <w:gridSpan w:val="2"/>
          </w:tcPr>
          <w:p>
            <w:pPr>
              <w:spacing w:line="360" w:lineRule="auto"/>
              <w:jc w:val="center"/>
              <w:rPr>
                <w:rFonts w:ascii="仿宋_GB2312" w:hAnsi="仿宋_GB2312" w:eastAsia="仿宋_GB2312" w:cs="仿宋_GB2312"/>
                <w:b/>
                <w:color w:val="auto"/>
                <w:sz w:val="24"/>
              </w:rPr>
            </w:pPr>
          </w:p>
        </w:tc>
        <w:tc>
          <w:tcPr>
            <w:tcW w:w="2090" w:type="dxa"/>
            <w:gridSpan w:val="2"/>
          </w:tcPr>
          <w:p>
            <w:pPr>
              <w:spacing w:line="360" w:lineRule="auto"/>
              <w:jc w:val="center"/>
              <w:rPr>
                <w:rFonts w:ascii="仿宋_GB2312" w:hAnsi="仿宋_GB2312" w:eastAsia="仿宋_GB2312" w:cs="仿宋_GB2312"/>
                <w:b/>
                <w:color w:val="auto"/>
                <w:sz w:val="24"/>
              </w:rPr>
            </w:pPr>
          </w:p>
        </w:tc>
        <w:tc>
          <w:tcPr>
            <w:tcW w:w="2090" w:type="dxa"/>
            <w:gridSpan w:val="2"/>
          </w:tcPr>
          <w:p>
            <w:pPr>
              <w:spacing w:line="360" w:lineRule="auto"/>
              <w:jc w:val="center"/>
              <w:rPr>
                <w:rFonts w:ascii="仿宋_GB2312" w:hAnsi="仿宋_GB2312" w:eastAsia="仿宋_GB2312" w:cs="仿宋_GB2312"/>
                <w:b/>
                <w:color w:val="auto"/>
                <w:sz w:val="24"/>
              </w:rPr>
            </w:pPr>
          </w:p>
        </w:tc>
        <w:tc>
          <w:tcPr>
            <w:tcW w:w="2095" w:type="dxa"/>
            <w:gridSpan w:val="2"/>
          </w:tcPr>
          <w:p>
            <w:pPr>
              <w:spacing w:line="360" w:lineRule="auto"/>
              <w:jc w:val="center"/>
              <w:rPr>
                <w:rFonts w:ascii="仿宋_GB2312" w:hAnsi="仿宋_GB2312" w:eastAsia="仿宋_GB2312" w:cs="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090" w:type="dxa"/>
            <w:gridSpan w:val="2"/>
          </w:tcPr>
          <w:p>
            <w:pPr>
              <w:spacing w:line="360" w:lineRule="auto"/>
              <w:jc w:val="center"/>
              <w:rPr>
                <w:rFonts w:ascii="仿宋_GB2312" w:hAnsi="仿宋_GB2312" w:eastAsia="仿宋_GB2312" w:cs="仿宋_GB2312"/>
                <w:b/>
                <w:color w:val="auto"/>
                <w:sz w:val="24"/>
              </w:rPr>
            </w:pPr>
          </w:p>
        </w:tc>
        <w:tc>
          <w:tcPr>
            <w:tcW w:w="2090" w:type="dxa"/>
            <w:gridSpan w:val="2"/>
          </w:tcPr>
          <w:p>
            <w:pPr>
              <w:spacing w:line="360" w:lineRule="auto"/>
              <w:jc w:val="center"/>
              <w:rPr>
                <w:rFonts w:ascii="仿宋_GB2312" w:hAnsi="仿宋_GB2312" w:eastAsia="仿宋_GB2312" w:cs="仿宋_GB2312"/>
                <w:b/>
                <w:color w:val="auto"/>
                <w:sz w:val="24"/>
              </w:rPr>
            </w:pPr>
          </w:p>
        </w:tc>
        <w:tc>
          <w:tcPr>
            <w:tcW w:w="2090" w:type="dxa"/>
            <w:gridSpan w:val="2"/>
          </w:tcPr>
          <w:p>
            <w:pPr>
              <w:spacing w:line="360" w:lineRule="auto"/>
              <w:jc w:val="center"/>
              <w:rPr>
                <w:rFonts w:ascii="仿宋_GB2312" w:hAnsi="仿宋_GB2312" w:eastAsia="仿宋_GB2312" w:cs="仿宋_GB2312"/>
                <w:b/>
                <w:color w:val="auto"/>
                <w:sz w:val="24"/>
              </w:rPr>
            </w:pPr>
          </w:p>
        </w:tc>
        <w:tc>
          <w:tcPr>
            <w:tcW w:w="2090" w:type="dxa"/>
            <w:gridSpan w:val="2"/>
          </w:tcPr>
          <w:p>
            <w:pPr>
              <w:spacing w:line="360" w:lineRule="auto"/>
              <w:jc w:val="center"/>
              <w:rPr>
                <w:rFonts w:ascii="仿宋_GB2312" w:hAnsi="仿宋_GB2312" w:eastAsia="仿宋_GB2312" w:cs="仿宋_GB2312"/>
                <w:b/>
                <w:color w:val="auto"/>
                <w:sz w:val="24"/>
              </w:rPr>
            </w:pPr>
          </w:p>
        </w:tc>
        <w:tc>
          <w:tcPr>
            <w:tcW w:w="2095" w:type="dxa"/>
            <w:gridSpan w:val="2"/>
          </w:tcPr>
          <w:p>
            <w:pPr>
              <w:spacing w:line="360" w:lineRule="auto"/>
              <w:jc w:val="center"/>
              <w:rPr>
                <w:rFonts w:ascii="仿宋_GB2312" w:hAnsi="仿宋_GB2312" w:eastAsia="仿宋_GB2312" w:cs="仿宋_GB2312"/>
                <w:b/>
                <w:color w:val="auto"/>
                <w:sz w:val="24"/>
              </w:rPr>
            </w:pPr>
          </w:p>
        </w:tc>
      </w:tr>
    </w:tbl>
    <w:p>
      <w:pPr>
        <w:adjustRightInd w:val="0"/>
        <w:snapToGrid w:val="0"/>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60" w:lineRule="auto"/>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jc w:val="center"/>
        <w:rPr>
          <w:rFonts w:hint="eastAsia" w:ascii="仿宋_GB2312" w:hAnsi="仿宋_GB2312" w:eastAsia="仿宋_GB2312" w:cs="仿宋_GB2312"/>
          <w:b/>
          <w:color w:val="auto"/>
          <w:sz w:val="28"/>
          <w:szCs w:val="28"/>
          <w:u w:val="none"/>
          <w:lang w:val="en-US" w:eastAsia="zh-CN"/>
        </w:rPr>
      </w:pPr>
      <w:r>
        <w:rPr>
          <w:rFonts w:hint="eastAsia" w:ascii="仿宋_GB2312" w:hAnsi="仿宋_GB2312" w:eastAsia="仿宋_GB2312" w:cs="仿宋_GB2312"/>
          <w:b/>
          <w:color w:val="auto"/>
          <w:sz w:val="28"/>
          <w:szCs w:val="28"/>
          <w:u w:val="none"/>
          <w:lang w:val="en-US" w:eastAsia="zh-CN"/>
        </w:rPr>
        <w:t>5 工程量清单</w:t>
      </w:r>
    </w:p>
    <w:tbl>
      <w:tblPr>
        <w:tblStyle w:val="23"/>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705"/>
        <w:gridCol w:w="542"/>
        <w:gridCol w:w="1085"/>
        <w:gridCol w:w="906"/>
        <w:gridCol w:w="1080"/>
        <w:gridCol w:w="1428"/>
        <w:gridCol w:w="125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16"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序号</w:t>
            </w:r>
          </w:p>
        </w:tc>
        <w:tc>
          <w:tcPr>
            <w:tcW w:w="705" w:type="dxa"/>
            <w:noWrap/>
            <w:vAlign w:val="center"/>
          </w:tcPr>
          <w:p>
            <w:pPr>
              <w:pStyle w:val="51"/>
              <w:widowControl/>
              <w:spacing w:line="360" w:lineRule="auto"/>
              <w:jc w:val="center"/>
              <w:rPr>
                <w:rFonts w:hint="eastAsia" w:ascii="宋体" w:hAnsi="宋体" w:eastAsia="宋体" w:cs="Tahoma"/>
                <w:b/>
                <w:bCs/>
                <w:color w:val="auto"/>
                <w:kern w:val="0"/>
                <w:sz w:val="22"/>
                <w:szCs w:val="22"/>
                <w:lang w:val="en-US" w:eastAsia="zh-CN" w:bidi="ar-SA"/>
              </w:rPr>
            </w:pPr>
            <w:r>
              <w:rPr>
                <w:rFonts w:hint="eastAsia" w:ascii="宋体" w:hAnsi="宋体"/>
                <w:b/>
                <w:bCs/>
                <w:color w:val="auto"/>
                <w:kern w:val="0"/>
                <w:sz w:val="22"/>
                <w:szCs w:val="22"/>
              </w:rPr>
              <w:t>名称</w:t>
            </w:r>
          </w:p>
        </w:tc>
        <w:tc>
          <w:tcPr>
            <w:tcW w:w="542" w:type="dxa"/>
            <w:noWrap/>
            <w:vAlign w:val="center"/>
          </w:tcPr>
          <w:p>
            <w:pPr>
              <w:pStyle w:val="51"/>
              <w:widowControl/>
              <w:spacing w:line="360" w:lineRule="auto"/>
              <w:jc w:val="center"/>
              <w:rPr>
                <w:rFonts w:hint="eastAsia"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品牌</w:t>
            </w:r>
          </w:p>
        </w:tc>
        <w:tc>
          <w:tcPr>
            <w:tcW w:w="1085"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规格</w:t>
            </w:r>
          </w:p>
        </w:tc>
        <w:tc>
          <w:tcPr>
            <w:tcW w:w="906" w:type="dxa"/>
            <w:noWrap/>
            <w:vAlign w:val="center"/>
          </w:tcPr>
          <w:p>
            <w:pPr>
              <w:pStyle w:val="51"/>
              <w:widowControl/>
              <w:spacing w:line="360" w:lineRule="auto"/>
              <w:jc w:val="center"/>
              <w:rPr>
                <w:rFonts w:hint="eastAsia" w:ascii="宋体" w:hAnsi="宋体" w:eastAsia="宋体" w:cs="Tahoma"/>
                <w:b/>
                <w:bCs/>
                <w:color w:val="auto"/>
                <w:kern w:val="0"/>
                <w:sz w:val="22"/>
                <w:szCs w:val="22"/>
                <w:lang w:val="en-US" w:eastAsia="zh-CN" w:bidi="ar-SA"/>
              </w:rPr>
            </w:pPr>
            <w:r>
              <w:rPr>
                <w:rFonts w:hint="eastAsia" w:ascii="宋体" w:hAnsi="宋体"/>
                <w:b/>
                <w:bCs/>
                <w:color w:val="auto"/>
                <w:kern w:val="0"/>
                <w:sz w:val="22"/>
                <w:szCs w:val="22"/>
                <w:lang w:val="en-US" w:eastAsia="zh-CN"/>
              </w:rPr>
              <w:t>型号</w:t>
            </w:r>
          </w:p>
        </w:tc>
        <w:tc>
          <w:tcPr>
            <w:tcW w:w="1080"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单位</w:t>
            </w:r>
          </w:p>
        </w:tc>
        <w:tc>
          <w:tcPr>
            <w:tcW w:w="1428" w:type="dxa"/>
            <w:noWrap/>
            <w:vAlign w:val="center"/>
          </w:tcPr>
          <w:p>
            <w:pPr>
              <w:pStyle w:val="51"/>
              <w:widowControl/>
              <w:spacing w:line="360" w:lineRule="auto"/>
              <w:jc w:val="center"/>
              <w:rPr>
                <w:rFonts w:hint="default"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数量（暂定）</w:t>
            </w:r>
          </w:p>
        </w:tc>
        <w:tc>
          <w:tcPr>
            <w:tcW w:w="1256" w:type="dxa"/>
            <w:noWrap/>
            <w:vAlign w:val="center"/>
          </w:tcPr>
          <w:p>
            <w:pPr>
              <w:pStyle w:val="51"/>
              <w:widowControl/>
              <w:spacing w:line="360" w:lineRule="auto"/>
              <w:jc w:val="center"/>
              <w:rPr>
                <w:rFonts w:ascii="宋体" w:hAnsi="宋体"/>
                <w:b/>
                <w:bCs/>
                <w:color w:val="auto"/>
                <w:kern w:val="0"/>
                <w:sz w:val="22"/>
                <w:szCs w:val="22"/>
              </w:rPr>
            </w:pPr>
            <w:r>
              <w:rPr>
                <w:rFonts w:hint="eastAsia" w:ascii="宋体" w:hAnsi="宋体"/>
                <w:b/>
                <w:bCs/>
                <w:color w:val="auto"/>
                <w:kern w:val="0"/>
                <w:sz w:val="22"/>
                <w:szCs w:val="22"/>
              </w:rPr>
              <w:t>单价（元）</w:t>
            </w:r>
          </w:p>
        </w:tc>
        <w:tc>
          <w:tcPr>
            <w:tcW w:w="1195" w:type="dxa"/>
            <w:noWrap/>
            <w:vAlign w:val="center"/>
          </w:tcPr>
          <w:p>
            <w:pPr>
              <w:pStyle w:val="51"/>
              <w:widowControl/>
              <w:spacing w:line="360" w:lineRule="auto"/>
              <w:ind w:firstLine="0"/>
              <w:jc w:val="center"/>
              <w:rPr>
                <w:rFonts w:hint="eastAsia" w:ascii="宋体" w:hAnsi="宋体" w:eastAsia="宋体"/>
                <w:b/>
                <w:bCs/>
                <w:color w:val="auto"/>
                <w:kern w:val="0"/>
                <w:sz w:val="22"/>
                <w:szCs w:val="22"/>
                <w:lang w:val="en-US" w:eastAsia="zh-CN"/>
              </w:rPr>
            </w:pPr>
            <w:r>
              <w:rPr>
                <w:rFonts w:hint="eastAsia" w:ascii="宋体" w:hAnsi="宋体"/>
                <w:b/>
                <w:bCs/>
                <w:color w:val="auto"/>
                <w:kern w:val="0"/>
                <w:sz w:val="22"/>
                <w:szCs w:val="22"/>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1</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542"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玲珑</w:t>
            </w:r>
          </w:p>
        </w:tc>
        <w:tc>
          <w:tcPr>
            <w:tcW w:w="108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1</w:t>
            </w:r>
            <w:r>
              <w:rPr>
                <w:rFonts w:hint="eastAsia" w:ascii="宋体" w:hAnsi="宋体"/>
                <w:color w:val="auto"/>
                <w:kern w:val="0"/>
                <w:lang w:val="en-US" w:eastAsia="zh-CN"/>
              </w:rPr>
              <w:t>1</w:t>
            </w:r>
            <w:r>
              <w:rPr>
                <w:rFonts w:hint="eastAsia" w:ascii="宋体" w:hAnsi="宋体"/>
                <w:color w:val="auto"/>
                <w:kern w:val="0"/>
              </w:rPr>
              <w:t>R22.5-18</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p>
        </w:tc>
        <w:tc>
          <w:tcPr>
            <w:tcW w:w="1080"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 xml:space="preserve">套 </w:t>
            </w:r>
          </w:p>
        </w:tc>
        <w:tc>
          <w:tcPr>
            <w:tcW w:w="1428"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4</w:t>
            </w:r>
          </w:p>
        </w:tc>
        <w:tc>
          <w:tcPr>
            <w:tcW w:w="1256" w:type="dxa"/>
            <w:noWrap/>
            <w:vAlign w:val="center"/>
          </w:tcPr>
          <w:p>
            <w:pPr>
              <w:pStyle w:val="51"/>
              <w:widowControl/>
              <w:spacing w:line="360" w:lineRule="auto"/>
              <w:jc w:val="center"/>
              <w:rPr>
                <w:rFonts w:hint="default" w:ascii="宋体" w:hAnsi="宋体" w:eastAsia="宋体" w:cs="Tahoma"/>
                <w:color w:val="auto"/>
                <w:kern w:val="0"/>
                <w:sz w:val="24"/>
                <w:szCs w:val="24"/>
                <w:lang w:val="en-US" w:eastAsia="zh-CN" w:bidi="ar-SA"/>
              </w:rPr>
            </w:pPr>
          </w:p>
        </w:tc>
        <w:tc>
          <w:tcPr>
            <w:tcW w:w="1195" w:type="dxa"/>
            <w:vMerge w:val="restart"/>
            <w:noWrap/>
            <w:vAlign w:val="center"/>
          </w:tcPr>
          <w:p>
            <w:pPr>
              <w:pStyle w:val="51"/>
              <w:widowControl/>
              <w:spacing w:line="360" w:lineRule="auto"/>
              <w:jc w:val="center"/>
              <w:rPr>
                <w:rFonts w:hint="default" w:ascii="宋体" w:hAnsi="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2</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542" w:type="dxa"/>
            <w:noWrap/>
            <w:vAlign w:val="center"/>
          </w:tcPr>
          <w:p>
            <w:pPr>
              <w:pStyle w:val="51"/>
              <w:widowControl/>
              <w:spacing w:line="360" w:lineRule="auto"/>
              <w:jc w:val="center"/>
              <w:rPr>
                <w:rFonts w:hint="eastAsia" w:ascii="宋体" w:hAnsi="宋体"/>
                <w:color w:val="auto"/>
                <w:kern w:val="0"/>
              </w:rPr>
            </w:pPr>
            <w:r>
              <w:rPr>
                <w:rFonts w:hint="eastAsia" w:ascii="宋体" w:hAnsi="宋体"/>
                <w:color w:val="auto"/>
                <w:kern w:val="0"/>
                <w:lang w:val="en-US" w:eastAsia="zh-CN"/>
              </w:rPr>
              <w:t>玲珑</w:t>
            </w:r>
          </w:p>
        </w:tc>
        <w:tc>
          <w:tcPr>
            <w:tcW w:w="1085"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12R22.5-18</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p>
        </w:tc>
        <w:tc>
          <w:tcPr>
            <w:tcW w:w="1080"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 xml:space="preserve">套 </w:t>
            </w:r>
          </w:p>
        </w:tc>
        <w:tc>
          <w:tcPr>
            <w:tcW w:w="1428"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4</w:t>
            </w:r>
          </w:p>
        </w:tc>
        <w:tc>
          <w:tcPr>
            <w:tcW w:w="1256" w:type="dxa"/>
            <w:noWrap/>
            <w:vAlign w:val="center"/>
          </w:tcPr>
          <w:p>
            <w:pPr>
              <w:pStyle w:val="51"/>
              <w:widowControl/>
              <w:spacing w:line="360" w:lineRule="auto"/>
              <w:jc w:val="center"/>
              <w:rPr>
                <w:rFonts w:hint="default" w:ascii="宋体" w:hAnsi="宋体" w:eastAsia="宋体"/>
                <w:color w:val="auto"/>
                <w:kern w:val="0"/>
                <w:lang w:val="en-US" w:eastAsia="zh-CN"/>
              </w:rPr>
            </w:pPr>
          </w:p>
        </w:tc>
        <w:tc>
          <w:tcPr>
            <w:tcW w:w="1195" w:type="dxa"/>
            <w:vMerge w:val="continue"/>
            <w:noWrap/>
            <w:vAlign w:val="center"/>
          </w:tcPr>
          <w:p>
            <w:pPr>
              <w:pStyle w:val="51"/>
              <w:widowControl/>
              <w:spacing w:line="360" w:lineRule="auto"/>
              <w:jc w:val="center"/>
              <w:rPr>
                <w:rFonts w:hint="default" w:ascii="宋体" w:hAnsi="宋体" w:eastAsia="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lang w:val="en-US" w:eastAsia="zh-CN"/>
              </w:rPr>
              <w:t>3</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rPr>
              <w:t>轮胎</w:t>
            </w:r>
          </w:p>
        </w:tc>
        <w:tc>
          <w:tcPr>
            <w:tcW w:w="542" w:type="dxa"/>
            <w:noWrap/>
            <w:vAlign w:val="center"/>
          </w:tcPr>
          <w:p>
            <w:pPr>
              <w:pStyle w:val="51"/>
              <w:widowControl/>
              <w:spacing w:line="360" w:lineRule="auto"/>
              <w:jc w:val="center"/>
              <w:rPr>
                <w:rFonts w:hint="eastAsia" w:ascii="宋体" w:hAnsi="宋体"/>
                <w:color w:val="auto"/>
                <w:kern w:val="0"/>
              </w:rPr>
            </w:pPr>
            <w:r>
              <w:rPr>
                <w:rFonts w:hint="eastAsia" w:ascii="宋体" w:hAnsi="宋体"/>
                <w:color w:val="auto"/>
                <w:kern w:val="0"/>
                <w:lang w:val="en-US" w:eastAsia="zh-CN"/>
              </w:rPr>
              <w:t>玲珑</w:t>
            </w:r>
          </w:p>
        </w:tc>
        <w:tc>
          <w:tcPr>
            <w:tcW w:w="1085"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1100R20-18</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p>
        </w:tc>
        <w:tc>
          <w:tcPr>
            <w:tcW w:w="1080" w:type="dxa"/>
            <w:noWrap/>
            <w:vAlign w:val="center"/>
          </w:tcPr>
          <w:p>
            <w:pPr>
              <w:pStyle w:val="51"/>
              <w:widowControl/>
              <w:spacing w:line="360" w:lineRule="auto"/>
              <w:jc w:val="center"/>
              <w:rPr>
                <w:rFonts w:ascii="宋体" w:hAnsi="宋体"/>
                <w:color w:val="auto"/>
                <w:kern w:val="0"/>
              </w:rPr>
            </w:pPr>
            <w:r>
              <w:rPr>
                <w:rFonts w:hint="eastAsia" w:ascii="宋体" w:hAnsi="宋体"/>
                <w:color w:val="auto"/>
                <w:kern w:val="0"/>
              </w:rPr>
              <w:t>套 (含内胎及胎垫）</w:t>
            </w:r>
          </w:p>
        </w:tc>
        <w:tc>
          <w:tcPr>
            <w:tcW w:w="1428" w:type="dxa"/>
            <w:noWrap/>
            <w:vAlign w:val="center"/>
          </w:tcPr>
          <w:p>
            <w:pPr>
              <w:pStyle w:val="51"/>
              <w:widowControl/>
              <w:spacing w:line="360" w:lineRule="auto"/>
              <w:jc w:val="center"/>
              <w:rPr>
                <w:rFonts w:hint="default" w:ascii="宋体" w:hAnsi="宋体" w:eastAsia="宋体"/>
                <w:color w:val="auto"/>
                <w:kern w:val="0"/>
                <w:lang w:val="en-US" w:eastAsia="zh-CN"/>
              </w:rPr>
            </w:pPr>
            <w:r>
              <w:rPr>
                <w:rFonts w:hint="eastAsia" w:ascii="宋体" w:hAnsi="宋体"/>
                <w:color w:val="auto"/>
                <w:kern w:val="0"/>
                <w:lang w:val="en-US" w:eastAsia="zh-CN"/>
              </w:rPr>
              <w:t>92</w:t>
            </w:r>
          </w:p>
        </w:tc>
        <w:tc>
          <w:tcPr>
            <w:tcW w:w="1256" w:type="dxa"/>
            <w:noWrap/>
            <w:vAlign w:val="center"/>
          </w:tcPr>
          <w:p>
            <w:pPr>
              <w:pStyle w:val="51"/>
              <w:widowControl/>
              <w:spacing w:line="360" w:lineRule="auto"/>
              <w:jc w:val="center"/>
              <w:rPr>
                <w:rFonts w:hint="default" w:ascii="宋体" w:hAnsi="宋体" w:eastAsia="宋体"/>
                <w:color w:val="auto"/>
                <w:kern w:val="0"/>
                <w:lang w:val="en-US" w:eastAsia="zh-CN"/>
              </w:rPr>
            </w:pPr>
          </w:p>
        </w:tc>
        <w:tc>
          <w:tcPr>
            <w:tcW w:w="1195" w:type="dxa"/>
            <w:vMerge w:val="continue"/>
            <w:noWrap/>
            <w:vAlign w:val="center"/>
          </w:tcPr>
          <w:p>
            <w:pPr>
              <w:pStyle w:val="51"/>
              <w:widowControl/>
              <w:spacing w:line="360" w:lineRule="auto"/>
              <w:jc w:val="center"/>
              <w:rPr>
                <w:rFonts w:hint="default" w:ascii="宋体" w:hAnsi="宋体" w:eastAsia="宋体"/>
                <w:color w:val="auto"/>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16"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4</w:t>
            </w:r>
          </w:p>
        </w:tc>
        <w:tc>
          <w:tcPr>
            <w:tcW w:w="705"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调位费</w:t>
            </w:r>
          </w:p>
        </w:tc>
        <w:tc>
          <w:tcPr>
            <w:tcW w:w="542" w:type="dxa"/>
            <w:noWrap/>
            <w:vAlign w:val="center"/>
          </w:tcPr>
          <w:p>
            <w:pPr>
              <w:pStyle w:val="51"/>
              <w:widowControl/>
              <w:spacing w:line="360" w:lineRule="auto"/>
              <w:jc w:val="center"/>
              <w:rPr>
                <w:rFonts w:hint="default" w:ascii="宋体" w:hAnsi="宋体"/>
                <w:color w:val="auto"/>
                <w:kern w:val="0"/>
                <w:lang w:val="en-US" w:eastAsia="zh-CN"/>
              </w:rPr>
            </w:pPr>
            <w:r>
              <w:rPr>
                <w:rFonts w:hint="eastAsia" w:ascii="宋体" w:hAnsi="宋体"/>
                <w:color w:val="auto"/>
                <w:kern w:val="0"/>
                <w:lang w:val="en-US" w:eastAsia="zh-CN"/>
              </w:rPr>
              <w:t>/</w:t>
            </w:r>
          </w:p>
        </w:tc>
        <w:tc>
          <w:tcPr>
            <w:tcW w:w="1085"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906" w:type="dxa"/>
            <w:noWrap/>
            <w:vAlign w:val="center"/>
          </w:tcPr>
          <w:p>
            <w:pPr>
              <w:pStyle w:val="51"/>
              <w:widowControl/>
              <w:spacing w:line="360" w:lineRule="auto"/>
              <w:jc w:val="center"/>
              <w:rPr>
                <w:rFonts w:hint="eastAsia" w:ascii="宋体" w:hAnsi="宋体" w:eastAsia="宋体" w:cs="Tahoma"/>
                <w:color w:val="auto"/>
                <w:kern w:val="0"/>
                <w:sz w:val="24"/>
                <w:szCs w:val="24"/>
                <w:lang w:val="en-US" w:eastAsia="zh-CN" w:bidi="ar-SA"/>
              </w:rPr>
            </w:pPr>
            <w:r>
              <w:rPr>
                <w:rFonts w:hint="eastAsia" w:ascii="宋体" w:hAnsi="宋体"/>
                <w:color w:val="auto"/>
                <w:kern w:val="0"/>
                <w:lang w:val="en-US" w:eastAsia="zh-CN"/>
              </w:rPr>
              <w:t>/</w:t>
            </w:r>
          </w:p>
        </w:tc>
        <w:tc>
          <w:tcPr>
            <w:tcW w:w="1080" w:type="dxa"/>
            <w:noWrap/>
            <w:vAlign w:val="center"/>
          </w:tcPr>
          <w:p>
            <w:pPr>
              <w:pStyle w:val="51"/>
              <w:widowControl/>
              <w:spacing w:line="360" w:lineRule="auto"/>
              <w:jc w:val="center"/>
              <w:rPr>
                <w:rFonts w:hint="eastAsia" w:ascii="宋体" w:hAnsi="宋体" w:eastAsia="宋体"/>
                <w:color w:val="auto"/>
                <w:kern w:val="0"/>
                <w:lang w:val="en-US" w:eastAsia="zh-CN"/>
              </w:rPr>
            </w:pPr>
            <w:r>
              <w:rPr>
                <w:rFonts w:hint="eastAsia" w:ascii="宋体" w:hAnsi="宋体"/>
                <w:color w:val="auto"/>
                <w:kern w:val="0"/>
                <w:lang w:val="en-US" w:eastAsia="zh-CN"/>
              </w:rPr>
              <w:t>/</w:t>
            </w:r>
          </w:p>
        </w:tc>
        <w:tc>
          <w:tcPr>
            <w:tcW w:w="1428" w:type="dxa"/>
            <w:noWrap/>
            <w:vAlign w:val="center"/>
          </w:tcPr>
          <w:p>
            <w:pPr>
              <w:pStyle w:val="51"/>
              <w:widowControl/>
              <w:spacing w:line="360" w:lineRule="auto"/>
              <w:jc w:val="center"/>
              <w:rPr>
                <w:rFonts w:hint="default" w:ascii="宋体" w:hAnsi="宋体"/>
                <w:color w:val="auto"/>
                <w:kern w:val="0"/>
                <w:lang w:val="en-US" w:eastAsia="zh-CN"/>
              </w:rPr>
            </w:pPr>
            <w:r>
              <w:rPr>
                <w:rFonts w:hint="eastAsia" w:ascii="宋体" w:hAnsi="宋体"/>
                <w:color w:val="auto"/>
                <w:kern w:val="0"/>
                <w:lang w:val="en-US" w:eastAsia="zh-CN"/>
              </w:rPr>
              <w:t>100</w:t>
            </w:r>
          </w:p>
        </w:tc>
        <w:tc>
          <w:tcPr>
            <w:tcW w:w="1256" w:type="dxa"/>
            <w:noWrap/>
            <w:vAlign w:val="center"/>
          </w:tcPr>
          <w:p>
            <w:pPr>
              <w:pStyle w:val="51"/>
              <w:widowControl/>
              <w:spacing w:line="360" w:lineRule="auto"/>
              <w:jc w:val="center"/>
              <w:rPr>
                <w:rFonts w:hint="default" w:ascii="宋体" w:hAnsi="宋体" w:eastAsia="宋体"/>
                <w:color w:val="auto"/>
                <w:kern w:val="0"/>
                <w:lang w:val="en-US" w:eastAsia="zh-CN"/>
              </w:rPr>
            </w:pPr>
          </w:p>
        </w:tc>
        <w:tc>
          <w:tcPr>
            <w:tcW w:w="1195" w:type="dxa"/>
            <w:vMerge w:val="continue"/>
            <w:noWrap/>
            <w:vAlign w:val="center"/>
          </w:tcPr>
          <w:p>
            <w:pPr>
              <w:pStyle w:val="51"/>
              <w:widowControl/>
              <w:spacing w:line="360" w:lineRule="auto"/>
              <w:jc w:val="center"/>
              <w:rPr>
                <w:rFonts w:hint="default" w:ascii="宋体" w:hAnsi="宋体"/>
                <w:color w:val="auto"/>
                <w:kern w:val="0"/>
                <w:lang w:val="en-US" w:eastAsia="zh-CN"/>
              </w:rPr>
            </w:pPr>
          </w:p>
        </w:tc>
      </w:tr>
    </w:tbl>
    <w:p>
      <w:pPr>
        <w:pStyle w:val="2"/>
        <w:jc w:val="center"/>
        <w:rPr>
          <w:rFonts w:hint="default"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pStyle w:val="2"/>
        <w:jc w:val="center"/>
        <w:rPr>
          <w:rFonts w:hint="eastAsia" w:ascii="仿宋_GB2312" w:hAnsi="仿宋_GB2312" w:cs="仿宋_GB2312"/>
          <w:color w:val="auto"/>
          <w:sz w:val="28"/>
          <w:szCs w:val="28"/>
          <w:u w:val="single"/>
          <w:lang w:val="en-US" w:eastAsia="zh-CN"/>
        </w:rPr>
      </w:pPr>
    </w:p>
    <w:p>
      <w:pPr>
        <w:adjustRightInd w:val="0"/>
        <w:snapToGrid w:val="0"/>
        <w:spacing w:line="360" w:lineRule="auto"/>
        <w:rPr>
          <w:rFonts w:ascii="仿宋_GB2312" w:hAnsi="仿宋_GB2312" w:eastAsia="仿宋_GB2312" w:cs="仿宋_GB2312"/>
          <w:b/>
          <w:color w:val="auto"/>
          <w:sz w:val="28"/>
          <w:szCs w:val="28"/>
        </w:rPr>
      </w:pPr>
    </w:p>
    <w:p>
      <w:pPr>
        <w:jc w:val="center"/>
        <w:rPr>
          <w:rFonts w:hint="default"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6承诺函</w:t>
      </w:r>
    </w:p>
    <w:p>
      <w:pPr>
        <w:jc w:val="center"/>
        <w:rPr>
          <w:rFonts w:hint="eastAsia" w:ascii="仿宋_GB2312" w:hAnsi="仿宋_GB2312" w:eastAsia="仿宋_GB2312" w:cs="仿宋_GB2312"/>
          <w:b/>
          <w:color w:val="auto"/>
          <w:sz w:val="28"/>
          <w:szCs w:val="28"/>
          <w:lang w:val="en-US" w:eastAsia="zh-CN"/>
        </w:rPr>
      </w:pPr>
    </w:p>
    <w:p>
      <w:pPr>
        <w:pStyle w:val="2"/>
        <w:ind w:firstLine="560" w:firstLineChars="200"/>
        <w:rPr>
          <w:rFonts w:hint="eastAsia" w:hAnsi="宋体" w:cs="宋体"/>
          <w:bCs/>
          <w:color w:val="auto"/>
          <w:sz w:val="28"/>
          <w:szCs w:val="28"/>
          <w:lang w:val="en-US" w:eastAsia="zh-CN"/>
        </w:rPr>
      </w:pPr>
      <w:r>
        <w:rPr>
          <w:rFonts w:hint="eastAsia" w:hAnsi="宋体" w:cs="宋体"/>
          <w:bCs/>
          <w:color w:val="auto"/>
          <w:sz w:val="28"/>
          <w:szCs w:val="28"/>
          <w:lang w:val="en-US" w:eastAsia="zh-CN"/>
        </w:rPr>
        <w:t>致：广州水务环保技术有限公司</w:t>
      </w:r>
    </w:p>
    <w:p>
      <w:pPr>
        <w:pStyle w:val="13"/>
        <w:adjustRightInd w:val="0"/>
        <w:snapToGrid w:val="0"/>
        <w:spacing w:line="300" w:lineRule="auto"/>
        <w:ind w:left="558" w:leftChars="266" w:firstLine="560" w:firstLineChars="0"/>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我司承诺，我司所供货物皆为山东玲珑轮胎股份有限公司原装全新、质量合格的产品；质保期如有质量问题，我司24小时内派技术人员免费到现场进行维修。</w:t>
      </w:r>
    </w:p>
    <w:p>
      <w:pPr>
        <w:pStyle w:val="13"/>
        <w:adjustRightInd w:val="0"/>
        <w:snapToGrid w:val="0"/>
        <w:spacing w:line="300" w:lineRule="auto"/>
        <w:ind w:left="558" w:leftChars="266" w:firstLine="560" w:firstLineChars="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承诺</w:t>
      </w:r>
      <w:r>
        <w:rPr>
          <w:rFonts w:hint="eastAsia" w:ascii="仿宋_GB2312" w:hAnsi="仿宋_GB2312" w:eastAsia="仿宋_GB2312" w:cs="仿宋_GB2312"/>
          <w:color w:val="auto"/>
          <w:sz w:val="28"/>
          <w:szCs w:val="28"/>
          <w:u w:val="none"/>
          <w:lang w:val="en-US" w:eastAsia="zh-CN"/>
        </w:rPr>
        <w:t>我司所供货物符合询价要求；</w:t>
      </w:r>
      <w:r>
        <w:rPr>
          <w:rFonts w:hint="eastAsia" w:ascii="仿宋_GB2312" w:hAnsi="仿宋_GB2312" w:eastAsia="仿宋_GB2312" w:cs="仿宋_GB2312"/>
          <w:b w:val="0"/>
          <w:bCs/>
          <w:color w:val="auto"/>
          <w:sz w:val="28"/>
          <w:szCs w:val="28"/>
          <w:lang w:val="en-US" w:eastAsia="zh-CN"/>
        </w:rPr>
        <w:t>交货时间以签订合同之日开始算起，按清单所要求的时间到货。</w:t>
      </w:r>
    </w:p>
    <w:p>
      <w:pPr>
        <w:autoSpaceDE w:val="0"/>
        <w:autoSpaceDN w:val="0"/>
        <w:ind w:left="560"/>
        <w:rPr>
          <w:rFonts w:hint="eastAsia" w:ascii="仿宋_GB2312" w:hAnsi="仿宋_GB2312" w:eastAsia="仿宋_GB2312" w:cs="仿宋_GB2312"/>
          <w:color w:val="auto"/>
          <w:sz w:val="28"/>
          <w:szCs w:val="28"/>
          <w:u w:val="none"/>
          <w:lang w:val="en-US" w:eastAsia="zh-CN"/>
        </w:rPr>
      </w:pPr>
    </w:p>
    <w:p>
      <w:pPr>
        <w:pStyle w:val="2"/>
        <w:ind w:firstLine="0" w:firstLineChars="0"/>
        <w:rPr>
          <w:rFonts w:hint="eastAsia" w:ascii="仿宋_GB2312" w:hAnsi="仿宋_GB2312" w:eastAsia="仿宋_GB2312" w:cs="仿宋_GB2312"/>
          <w:color w:val="auto"/>
          <w:sz w:val="28"/>
          <w:szCs w:val="28"/>
          <w:u w:val="none"/>
          <w:lang w:val="en-US" w:eastAsia="zh-CN"/>
        </w:rPr>
      </w:pPr>
    </w:p>
    <w:p>
      <w:pPr>
        <w:pStyle w:val="2"/>
        <w:ind w:firstLine="280" w:firstLineChars="100"/>
        <w:rPr>
          <w:rFonts w:hint="eastAsia" w:hAnsi="宋体" w:cs="宋体"/>
          <w:bCs/>
          <w:color w:val="auto"/>
          <w:sz w:val="28"/>
          <w:szCs w:val="28"/>
          <w:lang w:val="en-US" w:eastAsia="zh-CN"/>
        </w:rPr>
      </w:pPr>
      <w:r>
        <w:rPr>
          <w:rFonts w:hint="eastAsia" w:hAnsi="宋体" w:cs="宋体"/>
          <w:bCs/>
          <w:color w:val="auto"/>
          <w:sz w:val="28"/>
          <w:szCs w:val="28"/>
          <w:lang w:val="en-US" w:eastAsia="zh-CN"/>
        </w:rPr>
        <w:t xml:space="preserve">                               </w:t>
      </w:r>
      <w:r>
        <w:rPr>
          <w:rFonts w:hint="eastAsia" w:hAnsi="宋体" w:cs="宋体"/>
          <w:bCs/>
          <w:color w:val="auto"/>
          <w:sz w:val="28"/>
          <w:szCs w:val="28"/>
          <w:u w:val="single"/>
          <w:lang w:val="en-US" w:eastAsia="zh-CN"/>
        </w:rPr>
        <w:t xml:space="preserve"> （报价单位）</w:t>
      </w:r>
      <w:r>
        <w:rPr>
          <w:rFonts w:hint="eastAsia" w:hAnsi="宋体" w:cs="宋体"/>
          <w:bCs/>
          <w:color w:val="auto"/>
          <w:sz w:val="28"/>
          <w:szCs w:val="28"/>
          <w:lang w:val="en-US" w:eastAsia="zh-CN"/>
        </w:rPr>
        <w:t>公司（盖单位公章）</w:t>
      </w:r>
    </w:p>
    <w:p>
      <w:pPr>
        <w:pStyle w:val="2"/>
        <w:rPr>
          <w:rFonts w:hint="eastAsia" w:hAnsi="宋体" w:cs="宋体"/>
          <w:bCs/>
          <w:color w:val="auto"/>
          <w:sz w:val="28"/>
          <w:szCs w:val="28"/>
          <w:lang w:val="en-US" w:eastAsia="zh-CN"/>
        </w:rPr>
      </w:pPr>
      <w:r>
        <w:rPr>
          <w:rFonts w:hint="eastAsia" w:hAnsi="宋体" w:cs="宋体"/>
          <w:bCs/>
          <w:color w:val="auto"/>
          <w:sz w:val="28"/>
          <w:szCs w:val="28"/>
          <w:lang w:val="en-US" w:eastAsia="zh-CN"/>
        </w:rPr>
        <w:t xml:space="preserve">                                              年  月  日 </w:t>
      </w:r>
    </w:p>
    <w:p>
      <w:pPr>
        <w:adjustRightInd w:val="0"/>
        <w:snapToGrid w:val="0"/>
        <w:spacing w:line="360" w:lineRule="auto"/>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pStyle w:val="2"/>
        <w:rPr>
          <w:rFonts w:ascii="仿宋_GB2312" w:hAnsi="仿宋_GB2312" w:eastAsia="仿宋_GB2312" w:cs="仿宋_GB2312"/>
          <w:b/>
          <w:color w:val="auto"/>
          <w:sz w:val="28"/>
          <w:szCs w:val="28"/>
        </w:rPr>
      </w:pPr>
    </w:p>
    <w:p>
      <w:pPr>
        <w:jc w:val="center"/>
        <w:rPr>
          <w:rFonts w:hint="eastAsia" w:ascii="仿宋_GB2312" w:hAnsi="仿宋_GB2312" w:eastAsia="仿宋_GB2312" w:cs="仿宋_GB2312"/>
          <w:b/>
          <w:color w:val="auto"/>
          <w:sz w:val="28"/>
          <w:szCs w:val="28"/>
          <w:lang w:val="en-US" w:eastAsia="zh-CN"/>
        </w:rPr>
      </w:pPr>
    </w:p>
    <w:p>
      <w:pPr>
        <w:jc w:val="center"/>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lang w:val="en-US" w:eastAsia="zh-CN"/>
        </w:rPr>
        <w:t>7</w:t>
      </w:r>
      <w:r>
        <w:rPr>
          <w:rFonts w:hint="eastAsia" w:ascii="仿宋_GB2312" w:hAnsi="仿宋_GB2312" w:eastAsia="仿宋_GB2312" w:cs="仿宋_GB2312"/>
          <w:b/>
          <w:color w:val="auto"/>
          <w:sz w:val="28"/>
          <w:szCs w:val="28"/>
        </w:rPr>
        <w:t>项目单位、人员资格情况证明</w:t>
      </w:r>
    </w:p>
    <w:sectPr>
      <w:headerReference r:id="rId8" w:type="default"/>
      <w:footerReference r:id="rId9"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45</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29</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90209B"/>
    <w:multiLevelType w:val="singleLevel"/>
    <w:tmpl w:val="0A90209B"/>
    <w:lvl w:ilvl="0" w:tentative="0">
      <w:start w:val="4"/>
      <w:numFmt w:val="chineseCounting"/>
      <w:suff w:val="nothing"/>
      <w:lvlText w:val="（%1）"/>
      <w:lvlJc w:val="left"/>
      <w:rPr>
        <w:rFonts w:hint="eastAsia"/>
      </w:rPr>
    </w:lvl>
  </w:abstractNum>
  <w:abstractNum w:abstractNumId="2">
    <w:nsid w:val="534B5C71"/>
    <w:multiLevelType w:val="multilevel"/>
    <w:tmpl w:val="534B5C71"/>
    <w:lvl w:ilvl="0" w:tentative="0">
      <w:start w:val="2"/>
      <w:numFmt w:val="decimal"/>
      <w:suff w:val="nothing"/>
      <w:lvlText w:val="%1、"/>
      <w:lvlJc w:val="left"/>
    </w:lvl>
    <w:lvl w:ilvl="1" w:tentative="0">
      <w:start w:val="1"/>
      <w:numFmt w:val="decimal"/>
      <w:lvlText w:val="%2)"/>
      <w:lvlJc w:val="left"/>
      <w:pPr>
        <w:tabs>
          <w:tab w:val="left" w:pos="1267"/>
        </w:tabs>
        <w:ind w:left="1267" w:hanging="420"/>
      </w:pPr>
      <w:rPr>
        <w:b w:val="0"/>
      </w:rPr>
    </w:lvl>
    <w:lvl w:ilvl="2" w:tentative="0">
      <w:start w:val="1"/>
      <w:numFmt w:val="decimal"/>
      <w:lvlText w:val="%3."/>
      <w:lvlJc w:val="left"/>
      <w:pPr>
        <w:tabs>
          <w:tab w:val="left" w:pos="1927"/>
        </w:tabs>
        <w:ind w:left="1927" w:hanging="360"/>
      </w:pPr>
    </w:lvl>
    <w:lvl w:ilvl="3" w:tentative="0">
      <w:start w:val="1"/>
      <w:numFmt w:val="decimal"/>
      <w:lvlText w:val="%4."/>
      <w:lvlJc w:val="left"/>
      <w:pPr>
        <w:tabs>
          <w:tab w:val="left" w:pos="2647"/>
        </w:tabs>
        <w:ind w:left="2647" w:hanging="360"/>
      </w:pPr>
    </w:lvl>
    <w:lvl w:ilvl="4" w:tentative="0">
      <w:start w:val="1"/>
      <w:numFmt w:val="decimal"/>
      <w:lvlText w:val="%5."/>
      <w:lvlJc w:val="left"/>
      <w:pPr>
        <w:tabs>
          <w:tab w:val="left" w:pos="3367"/>
        </w:tabs>
        <w:ind w:left="3367" w:hanging="360"/>
      </w:pPr>
    </w:lvl>
    <w:lvl w:ilvl="5" w:tentative="0">
      <w:start w:val="1"/>
      <w:numFmt w:val="decimal"/>
      <w:lvlText w:val="%6."/>
      <w:lvlJc w:val="left"/>
      <w:pPr>
        <w:tabs>
          <w:tab w:val="left" w:pos="4087"/>
        </w:tabs>
        <w:ind w:left="4087" w:hanging="360"/>
      </w:pPr>
    </w:lvl>
    <w:lvl w:ilvl="6" w:tentative="0">
      <w:start w:val="1"/>
      <w:numFmt w:val="decimal"/>
      <w:lvlText w:val="%7."/>
      <w:lvlJc w:val="left"/>
      <w:pPr>
        <w:tabs>
          <w:tab w:val="left" w:pos="4807"/>
        </w:tabs>
        <w:ind w:left="4807" w:hanging="360"/>
      </w:pPr>
    </w:lvl>
    <w:lvl w:ilvl="7" w:tentative="0">
      <w:start w:val="1"/>
      <w:numFmt w:val="decimal"/>
      <w:lvlText w:val="%8."/>
      <w:lvlJc w:val="left"/>
      <w:pPr>
        <w:tabs>
          <w:tab w:val="left" w:pos="5527"/>
        </w:tabs>
        <w:ind w:left="5527" w:hanging="360"/>
      </w:pPr>
    </w:lvl>
    <w:lvl w:ilvl="8" w:tentative="0">
      <w:start w:val="1"/>
      <w:numFmt w:val="decimal"/>
      <w:lvlText w:val="%9."/>
      <w:lvlJc w:val="left"/>
      <w:pPr>
        <w:tabs>
          <w:tab w:val="left" w:pos="6247"/>
        </w:tabs>
        <w:ind w:left="6247" w:hanging="360"/>
      </w:pPr>
    </w:lvl>
  </w:abstractNum>
  <w:abstractNum w:abstractNumId="3">
    <w:nsid w:val="7E2206EE"/>
    <w:multiLevelType w:val="singleLevel"/>
    <w:tmpl w:val="7E2206EE"/>
    <w:lvl w:ilvl="0" w:tentative="0">
      <w:start w:val="8"/>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娜 叶">
    <w15:presenceInfo w15:providerId="Windows Live" w15:userId="7cfb93f5d512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B3"/>
    <w:rsid w:val="00020EC1"/>
    <w:rsid w:val="00040A74"/>
    <w:rsid w:val="00044C67"/>
    <w:rsid w:val="00054B71"/>
    <w:rsid w:val="00055E2C"/>
    <w:rsid w:val="00055FE0"/>
    <w:rsid w:val="0005610B"/>
    <w:rsid w:val="00065DCA"/>
    <w:rsid w:val="00066381"/>
    <w:rsid w:val="000869C1"/>
    <w:rsid w:val="00090FB1"/>
    <w:rsid w:val="000B09CA"/>
    <w:rsid w:val="000B2DC7"/>
    <w:rsid w:val="000B764D"/>
    <w:rsid w:val="000C090A"/>
    <w:rsid w:val="000D2D2C"/>
    <w:rsid w:val="000F3CEF"/>
    <w:rsid w:val="000F671E"/>
    <w:rsid w:val="000F6E83"/>
    <w:rsid w:val="001139F8"/>
    <w:rsid w:val="00154BCA"/>
    <w:rsid w:val="001564A7"/>
    <w:rsid w:val="001603F3"/>
    <w:rsid w:val="00160BB5"/>
    <w:rsid w:val="00172A27"/>
    <w:rsid w:val="0018412D"/>
    <w:rsid w:val="0018607B"/>
    <w:rsid w:val="00186F2A"/>
    <w:rsid w:val="001B1679"/>
    <w:rsid w:val="001C043B"/>
    <w:rsid w:val="001C52A4"/>
    <w:rsid w:val="001E1929"/>
    <w:rsid w:val="00212715"/>
    <w:rsid w:val="0023311E"/>
    <w:rsid w:val="00235211"/>
    <w:rsid w:val="00254ED9"/>
    <w:rsid w:val="00270782"/>
    <w:rsid w:val="0028204F"/>
    <w:rsid w:val="002934D6"/>
    <w:rsid w:val="002B4DCD"/>
    <w:rsid w:val="002D44C7"/>
    <w:rsid w:val="002D5178"/>
    <w:rsid w:val="00307590"/>
    <w:rsid w:val="00316BC9"/>
    <w:rsid w:val="003312D1"/>
    <w:rsid w:val="003361D4"/>
    <w:rsid w:val="0034788A"/>
    <w:rsid w:val="00351F42"/>
    <w:rsid w:val="00352AD3"/>
    <w:rsid w:val="00360645"/>
    <w:rsid w:val="003629C7"/>
    <w:rsid w:val="003636AB"/>
    <w:rsid w:val="00364F6D"/>
    <w:rsid w:val="00365C73"/>
    <w:rsid w:val="00382708"/>
    <w:rsid w:val="003A185C"/>
    <w:rsid w:val="003A6448"/>
    <w:rsid w:val="003B70E6"/>
    <w:rsid w:val="003C2F20"/>
    <w:rsid w:val="003C4E2D"/>
    <w:rsid w:val="003D1066"/>
    <w:rsid w:val="003D306D"/>
    <w:rsid w:val="003D50EB"/>
    <w:rsid w:val="003E2BC1"/>
    <w:rsid w:val="003F0E47"/>
    <w:rsid w:val="003F1781"/>
    <w:rsid w:val="00404E79"/>
    <w:rsid w:val="00404F3D"/>
    <w:rsid w:val="004053D9"/>
    <w:rsid w:val="004202E9"/>
    <w:rsid w:val="00442071"/>
    <w:rsid w:val="004612DC"/>
    <w:rsid w:val="00476A5F"/>
    <w:rsid w:val="004A0C91"/>
    <w:rsid w:val="004A6E60"/>
    <w:rsid w:val="004D42B6"/>
    <w:rsid w:val="004D5498"/>
    <w:rsid w:val="00530520"/>
    <w:rsid w:val="00537C3F"/>
    <w:rsid w:val="00541A88"/>
    <w:rsid w:val="005425AD"/>
    <w:rsid w:val="005432E3"/>
    <w:rsid w:val="00550416"/>
    <w:rsid w:val="005542AC"/>
    <w:rsid w:val="00557EB6"/>
    <w:rsid w:val="00565B27"/>
    <w:rsid w:val="0057390C"/>
    <w:rsid w:val="005755E4"/>
    <w:rsid w:val="00583C82"/>
    <w:rsid w:val="005A0587"/>
    <w:rsid w:val="005A22EE"/>
    <w:rsid w:val="005D0A41"/>
    <w:rsid w:val="00621E3B"/>
    <w:rsid w:val="00634B0A"/>
    <w:rsid w:val="00643B94"/>
    <w:rsid w:val="00655F90"/>
    <w:rsid w:val="00656E00"/>
    <w:rsid w:val="00657C5D"/>
    <w:rsid w:val="00660CCE"/>
    <w:rsid w:val="006718FA"/>
    <w:rsid w:val="0069292B"/>
    <w:rsid w:val="006C3CFB"/>
    <w:rsid w:val="006F3877"/>
    <w:rsid w:val="006F54D1"/>
    <w:rsid w:val="007036F5"/>
    <w:rsid w:val="007268BF"/>
    <w:rsid w:val="00730316"/>
    <w:rsid w:val="0074513E"/>
    <w:rsid w:val="00750B2F"/>
    <w:rsid w:val="00753B5A"/>
    <w:rsid w:val="00754F95"/>
    <w:rsid w:val="00757217"/>
    <w:rsid w:val="00786BEB"/>
    <w:rsid w:val="00815BA6"/>
    <w:rsid w:val="00822E84"/>
    <w:rsid w:val="008302C2"/>
    <w:rsid w:val="0084791D"/>
    <w:rsid w:val="00854BD7"/>
    <w:rsid w:val="00872D97"/>
    <w:rsid w:val="00877165"/>
    <w:rsid w:val="008A1925"/>
    <w:rsid w:val="008A2E75"/>
    <w:rsid w:val="008B0087"/>
    <w:rsid w:val="008B1A97"/>
    <w:rsid w:val="008B673E"/>
    <w:rsid w:val="008D6806"/>
    <w:rsid w:val="008E44B7"/>
    <w:rsid w:val="008E61E7"/>
    <w:rsid w:val="008E6DA0"/>
    <w:rsid w:val="00904B7D"/>
    <w:rsid w:val="009065B0"/>
    <w:rsid w:val="0092447E"/>
    <w:rsid w:val="00931329"/>
    <w:rsid w:val="0093441A"/>
    <w:rsid w:val="00942325"/>
    <w:rsid w:val="0094688C"/>
    <w:rsid w:val="00947051"/>
    <w:rsid w:val="009521BC"/>
    <w:rsid w:val="0096574E"/>
    <w:rsid w:val="00970CF4"/>
    <w:rsid w:val="00971CD1"/>
    <w:rsid w:val="00973525"/>
    <w:rsid w:val="00974D75"/>
    <w:rsid w:val="00982E35"/>
    <w:rsid w:val="00986AED"/>
    <w:rsid w:val="00986FB1"/>
    <w:rsid w:val="009964E5"/>
    <w:rsid w:val="009A0E77"/>
    <w:rsid w:val="009A6DD7"/>
    <w:rsid w:val="009B11FF"/>
    <w:rsid w:val="009B6D5F"/>
    <w:rsid w:val="009B760E"/>
    <w:rsid w:val="009C4843"/>
    <w:rsid w:val="009C6639"/>
    <w:rsid w:val="009E049F"/>
    <w:rsid w:val="009E159B"/>
    <w:rsid w:val="009F0CE1"/>
    <w:rsid w:val="00A11CB9"/>
    <w:rsid w:val="00A22859"/>
    <w:rsid w:val="00A34EF4"/>
    <w:rsid w:val="00A3746D"/>
    <w:rsid w:val="00A4328E"/>
    <w:rsid w:val="00A74116"/>
    <w:rsid w:val="00A74E87"/>
    <w:rsid w:val="00A9183D"/>
    <w:rsid w:val="00A91E17"/>
    <w:rsid w:val="00A966D0"/>
    <w:rsid w:val="00AB19F4"/>
    <w:rsid w:val="00AB3675"/>
    <w:rsid w:val="00AB78BB"/>
    <w:rsid w:val="00AC20F9"/>
    <w:rsid w:val="00AF5E5B"/>
    <w:rsid w:val="00B0248C"/>
    <w:rsid w:val="00B25A59"/>
    <w:rsid w:val="00B4121F"/>
    <w:rsid w:val="00B60CBC"/>
    <w:rsid w:val="00B93B09"/>
    <w:rsid w:val="00BA79E6"/>
    <w:rsid w:val="00BB201C"/>
    <w:rsid w:val="00BC161E"/>
    <w:rsid w:val="00BD2088"/>
    <w:rsid w:val="00BD3F41"/>
    <w:rsid w:val="00BD49D6"/>
    <w:rsid w:val="00BE0F70"/>
    <w:rsid w:val="00C02E07"/>
    <w:rsid w:val="00C14E09"/>
    <w:rsid w:val="00C257EA"/>
    <w:rsid w:val="00C3362A"/>
    <w:rsid w:val="00C42231"/>
    <w:rsid w:val="00C449D2"/>
    <w:rsid w:val="00C47419"/>
    <w:rsid w:val="00C503AB"/>
    <w:rsid w:val="00C57058"/>
    <w:rsid w:val="00C632DC"/>
    <w:rsid w:val="00C664F9"/>
    <w:rsid w:val="00C7071F"/>
    <w:rsid w:val="00C77D6B"/>
    <w:rsid w:val="00C941DD"/>
    <w:rsid w:val="00CD1DF4"/>
    <w:rsid w:val="00CD6B2D"/>
    <w:rsid w:val="00CF7677"/>
    <w:rsid w:val="00D041DF"/>
    <w:rsid w:val="00D1283A"/>
    <w:rsid w:val="00D15433"/>
    <w:rsid w:val="00D214A4"/>
    <w:rsid w:val="00D2640E"/>
    <w:rsid w:val="00D3304F"/>
    <w:rsid w:val="00D45A73"/>
    <w:rsid w:val="00D710C5"/>
    <w:rsid w:val="00D72E72"/>
    <w:rsid w:val="00D87A22"/>
    <w:rsid w:val="00DC27CC"/>
    <w:rsid w:val="00DC75DF"/>
    <w:rsid w:val="00DE2537"/>
    <w:rsid w:val="00DE5427"/>
    <w:rsid w:val="00DF298B"/>
    <w:rsid w:val="00E04978"/>
    <w:rsid w:val="00E17245"/>
    <w:rsid w:val="00E17819"/>
    <w:rsid w:val="00E23C15"/>
    <w:rsid w:val="00E30FA4"/>
    <w:rsid w:val="00E34176"/>
    <w:rsid w:val="00E5100F"/>
    <w:rsid w:val="00E53877"/>
    <w:rsid w:val="00E60A24"/>
    <w:rsid w:val="00E6204D"/>
    <w:rsid w:val="00E65D95"/>
    <w:rsid w:val="00E861CB"/>
    <w:rsid w:val="00E87855"/>
    <w:rsid w:val="00E908A9"/>
    <w:rsid w:val="00EA1568"/>
    <w:rsid w:val="00EB5B7B"/>
    <w:rsid w:val="00EC0EE6"/>
    <w:rsid w:val="00EC7860"/>
    <w:rsid w:val="00EC7BD2"/>
    <w:rsid w:val="00ED2B07"/>
    <w:rsid w:val="00ED4E08"/>
    <w:rsid w:val="00ED6A09"/>
    <w:rsid w:val="00EE6CE1"/>
    <w:rsid w:val="00EE7736"/>
    <w:rsid w:val="00EF5C07"/>
    <w:rsid w:val="00EF6B46"/>
    <w:rsid w:val="00F012FF"/>
    <w:rsid w:val="00F05413"/>
    <w:rsid w:val="00F17999"/>
    <w:rsid w:val="00F21492"/>
    <w:rsid w:val="00F342D6"/>
    <w:rsid w:val="00F413EB"/>
    <w:rsid w:val="00F46ECF"/>
    <w:rsid w:val="00F51BD6"/>
    <w:rsid w:val="00F72973"/>
    <w:rsid w:val="00F72E56"/>
    <w:rsid w:val="00F80DCB"/>
    <w:rsid w:val="00FA1D42"/>
    <w:rsid w:val="00FB4BFB"/>
    <w:rsid w:val="00FC4449"/>
    <w:rsid w:val="00FD64B4"/>
    <w:rsid w:val="00FF2D5D"/>
    <w:rsid w:val="011736CF"/>
    <w:rsid w:val="011B07E9"/>
    <w:rsid w:val="016360EF"/>
    <w:rsid w:val="01DA3534"/>
    <w:rsid w:val="02302946"/>
    <w:rsid w:val="036D7D36"/>
    <w:rsid w:val="03D46DC6"/>
    <w:rsid w:val="03E45B5E"/>
    <w:rsid w:val="042D31CB"/>
    <w:rsid w:val="04760CA7"/>
    <w:rsid w:val="048B63EE"/>
    <w:rsid w:val="05203FB4"/>
    <w:rsid w:val="05673398"/>
    <w:rsid w:val="05F54825"/>
    <w:rsid w:val="061E0EF0"/>
    <w:rsid w:val="06CA06E2"/>
    <w:rsid w:val="074A565B"/>
    <w:rsid w:val="086128D7"/>
    <w:rsid w:val="087C782F"/>
    <w:rsid w:val="089F31ED"/>
    <w:rsid w:val="09736C84"/>
    <w:rsid w:val="09D62E40"/>
    <w:rsid w:val="0A243A83"/>
    <w:rsid w:val="0AB67243"/>
    <w:rsid w:val="0B533DAA"/>
    <w:rsid w:val="0BD21144"/>
    <w:rsid w:val="0C1C1AAB"/>
    <w:rsid w:val="0C310D23"/>
    <w:rsid w:val="0C5A5A26"/>
    <w:rsid w:val="0CCE0FB7"/>
    <w:rsid w:val="0D4F189B"/>
    <w:rsid w:val="0D7F1EC0"/>
    <w:rsid w:val="0DA12249"/>
    <w:rsid w:val="0DD72F96"/>
    <w:rsid w:val="0DE05D15"/>
    <w:rsid w:val="0E3F6C80"/>
    <w:rsid w:val="0E5A0293"/>
    <w:rsid w:val="0ED370C8"/>
    <w:rsid w:val="0F336963"/>
    <w:rsid w:val="10005F6F"/>
    <w:rsid w:val="102C3571"/>
    <w:rsid w:val="10315B4A"/>
    <w:rsid w:val="10B82010"/>
    <w:rsid w:val="10BE6A86"/>
    <w:rsid w:val="113019E4"/>
    <w:rsid w:val="120A20BB"/>
    <w:rsid w:val="121C093B"/>
    <w:rsid w:val="12E42AA4"/>
    <w:rsid w:val="13483DFB"/>
    <w:rsid w:val="13BF045E"/>
    <w:rsid w:val="14111E0F"/>
    <w:rsid w:val="14512134"/>
    <w:rsid w:val="14E00634"/>
    <w:rsid w:val="14E76EC5"/>
    <w:rsid w:val="14F672B9"/>
    <w:rsid w:val="15223D3B"/>
    <w:rsid w:val="15702DB8"/>
    <w:rsid w:val="159D0FDF"/>
    <w:rsid w:val="15D04AAF"/>
    <w:rsid w:val="17086242"/>
    <w:rsid w:val="170F4640"/>
    <w:rsid w:val="181D2173"/>
    <w:rsid w:val="187F3241"/>
    <w:rsid w:val="19007786"/>
    <w:rsid w:val="196A1E16"/>
    <w:rsid w:val="19C5111F"/>
    <w:rsid w:val="1ACD59AC"/>
    <w:rsid w:val="1B361355"/>
    <w:rsid w:val="1C663C41"/>
    <w:rsid w:val="1CF46E84"/>
    <w:rsid w:val="1E1268FB"/>
    <w:rsid w:val="1EA90D89"/>
    <w:rsid w:val="1EC26090"/>
    <w:rsid w:val="1F3536C6"/>
    <w:rsid w:val="1F384077"/>
    <w:rsid w:val="1FCC52BD"/>
    <w:rsid w:val="20072747"/>
    <w:rsid w:val="20193ED7"/>
    <w:rsid w:val="205C4EDB"/>
    <w:rsid w:val="20765890"/>
    <w:rsid w:val="20926171"/>
    <w:rsid w:val="21990D50"/>
    <w:rsid w:val="222935EA"/>
    <w:rsid w:val="2243035F"/>
    <w:rsid w:val="22A75CA2"/>
    <w:rsid w:val="22D450A2"/>
    <w:rsid w:val="22F20087"/>
    <w:rsid w:val="23551C37"/>
    <w:rsid w:val="23D84ECB"/>
    <w:rsid w:val="24251FD7"/>
    <w:rsid w:val="24383131"/>
    <w:rsid w:val="24B83834"/>
    <w:rsid w:val="252C6BB6"/>
    <w:rsid w:val="26220910"/>
    <w:rsid w:val="266F064A"/>
    <w:rsid w:val="27301847"/>
    <w:rsid w:val="278753F4"/>
    <w:rsid w:val="27DE70E4"/>
    <w:rsid w:val="281E58FB"/>
    <w:rsid w:val="284D267B"/>
    <w:rsid w:val="29550536"/>
    <w:rsid w:val="2A600449"/>
    <w:rsid w:val="2A716681"/>
    <w:rsid w:val="2ADE44C7"/>
    <w:rsid w:val="2AF17081"/>
    <w:rsid w:val="2B1E081F"/>
    <w:rsid w:val="2B3A6143"/>
    <w:rsid w:val="2BE62730"/>
    <w:rsid w:val="2C3C3102"/>
    <w:rsid w:val="2C852943"/>
    <w:rsid w:val="2CE25F06"/>
    <w:rsid w:val="2D11777C"/>
    <w:rsid w:val="2D1B3B26"/>
    <w:rsid w:val="2DD6676A"/>
    <w:rsid w:val="2E752EA9"/>
    <w:rsid w:val="2E7F04B0"/>
    <w:rsid w:val="2F483958"/>
    <w:rsid w:val="30242685"/>
    <w:rsid w:val="31D95E36"/>
    <w:rsid w:val="32600295"/>
    <w:rsid w:val="32613088"/>
    <w:rsid w:val="33CD6D0B"/>
    <w:rsid w:val="349412E5"/>
    <w:rsid w:val="34D93CC3"/>
    <w:rsid w:val="34EA1C42"/>
    <w:rsid w:val="35476CF5"/>
    <w:rsid w:val="35665A63"/>
    <w:rsid w:val="35773CBE"/>
    <w:rsid w:val="358975E8"/>
    <w:rsid w:val="35D17466"/>
    <w:rsid w:val="360348FE"/>
    <w:rsid w:val="3614255E"/>
    <w:rsid w:val="366F75DC"/>
    <w:rsid w:val="367E3F04"/>
    <w:rsid w:val="37513202"/>
    <w:rsid w:val="38335938"/>
    <w:rsid w:val="3834074B"/>
    <w:rsid w:val="38940019"/>
    <w:rsid w:val="38DD3F43"/>
    <w:rsid w:val="38E90BB9"/>
    <w:rsid w:val="38F72783"/>
    <w:rsid w:val="391C3E56"/>
    <w:rsid w:val="39532B2D"/>
    <w:rsid w:val="39535A3E"/>
    <w:rsid w:val="398C2312"/>
    <w:rsid w:val="399D722A"/>
    <w:rsid w:val="39D85D64"/>
    <w:rsid w:val="3A4E45EF"/>
    <w:rsid w:val="3A5C0BAD"/>
    <w:rsid w:val="3A5E64B9"/>
    <w:rsid w:val="3ABF71E2"/>
    <w:rsid w:val="3AD22EF3"/>
    <w:rsid w:val="3ADA2D14"/>
    <w:rsid w:val="3AFA175A"/>
    <w:rsid w:val="3B6A1484"/>
    <w:rsid w:val="3B750440"/>
    <w:rsid w:val="3C05786A"/>
    <w:rsid w:val="3C2E11F4"/>
    <w:rsid w:val="3C7A5562"/>
    <w:rsid w:val="3D721AA9"/>
    <w:rsid w:val="3E0113FE"/>
    <w:rsid w:val="3EC66A31"/>
    <w:rsid w:val="3FA72816"/>
    <w:rsid w:val="403E348A"/>
    <w:rsid w:val="412841CF"/>
    <w:rsid w:val="41991871"/>
    <w:rsid w:val="41BF2582"/>
    <w:rsid w:val="41C461BB"/>
    <w:rsid w:val="42FD02B1"/>
    <w:rsid w:val="43AD2632"/>
    <w:rsid w:val="443E6A82"/>
    <w:rsid w:val="445C48CA"/>
    <w:rsid w:val="44946A3C"/>
    <w:rsid w:val="44D91A51"/>
    <w:rsid w:val="45431B9F"/>
    <w:rsid w:val="45E41304"/>
    <w:rsid w:val="462429E7"/>
    <w:rsid w:val="46503AB9"/>
    <w:rsid w:val="46606491"/>
    <w:rsid w:val="47E056EE"/>
    <w:rsid w:val="4814070B"/>
    <w:rsid w:val="482227E7"/>
    <w:rsid w:val="48493FF7"/>
    <w:rsid w:val="48512DAB"/>
    <w:rsid w:val="48B57FA4"/>
    <w:rsid w:val="48EC4A08"/>
    <w:rsid w:val="498F5975"/>
    <w:rsid w:val="49C93D88"/>
    <w:rsid w:val="49CB7CDF"/>
    <w:rsid w:val="4A1B64F7"/>
    <w:rsid w:val="4A6E6D56"/>
    <w:rsid w:val="4AF23D2D"/>
    <w:rsid w:val="4C8733EA"/>
    <w:rsid w:val="4D4F1010"/>
    <w:rsid w:val="4D5449D6"/>
    <w:rsid w:val="4DEB1497"/>
    <w:rsid w:val="4E2B507F"/>
    <w:rsid w:val="4E573B0F"/>
    <w:rsid w:val="4EDB38BA"/>
    <w:rsid w:val="4EF16899"/>
    <w:rsid w:val="4FDE02E5"/>
    <w:rsid w:val="50773B4D"/>
    <w:rsid w:val="50E04C76"/>
    <w:rsid w:val="516E2CD2"/>
    <w:rsid w:val="52A82C2C"/>
    <w:rsid w:val="53106730"/>
    <w:rsid w:val="537F2CF5"/>
    <w:rsid w:val="53BB1F95"/>
    <w:rsid w:val="542F1C40"/>
    <w:rsid w:val="54664456"/>
    <w:rsid w:val="54A759BE"/>
    <w:rsid w:val="55023363"/>
    <w:rsid w:val="556406FC"/>
    <w:rsid w:val="5583432C"/>
    <w:rsid w:val="56493AF6"/>
    <w:rsid w:val="565227B5"/>
    <w:rsid w:val="57986954"/>
    <w:rsid w:val="58842508"/>
    <w:rsid w:val="589F5E44"/>
    <w:rsid w:val="595241AE"/>
    <w:rsid w:val="59C70B24"/>
    <w:rsid w:val="5A0513D5"/>
    <w:rsid w:val="5A07170A"/>
    <w:rsid w:val="5A2745B4"/>
    <w:rsid w:val="5A893C23"/>
    <w:rsid w:val="5C5C1D90"/>
    <w:rsid w:val="5CA53DF7"/>
    <w:rsid w:val="5CB30794"/>
    <w:rsid w:val="5CB8397A"/>
    <w:rsid w:val="5CCD46F2"/>
    <w:rsid w:val="5CFD2410"/>
    <w:rsid w:val="5DA1619D"/>
    <w:rsid w:val="5DB6328D"/>
    <w:rsid w:val="5EA710F9"/>
    <w:rsid w:val="5EB112E2"/>
    <w:rsid w:val="5EFE4609"/>
    <w:rsid w:val="5F512964"/>
    <w:rsid w:val="5F8E14A6"/>
    <w:rsid w:val="606229AC"/>
    <w:rsid w:val="606B4361"/>
    <w:rsid w:val="60C5701E"/>
    <w:rsid w:val="60E6779C"/>
    <w:rsid w:val="61755523"/>
    <w:rsid w:val="61773E3D"/>
    <w:rsid w:val="62313496"/>
    <w:rsid w:val="62482315"/>
    <w:rsid w:val="640B2310"/>
    <w:rsid w:val="641F6439"/>
    <w:rsid w:val="64375BA0"/>
    <w:rsid w:val="64477F18"/>
    <w:rsid w:val="6482551C"/>
    <w:rsid w:val="64995C97"/>
    <w:rsid w:val="653C769D"/>
    <w:rsid w:val="655B4219"/>
    <w:rsid w:val="65952F50"/>
    <w:rsid w:val="65E34532"/>
    <w:rsid w:val="67A969DA"/>
    <w:rsid w:val="68086323"/>
    <w:rsid w:val="684A2978"/>
    <w:rsid w:val="69373225"/>
    <w:rsid w:val="693F70D8"/>
    <w:rsid w:val="6995204D"/>
    <w:rsid w:val="69BB167F"/>
    <w:rsid w:val="6A094674"/>
    <w:rsid w:val="6A6B68F9"/>
    <w:rsid w:val="6A93267A"/>
    <w:rsid w:val="6AC60B89"/>
    <w:rsid w:val="6B2A57C6"/>
    <w:rsid w:val="6B580426"/>
    <w:rsid w:val="6CD67B1E"/>
    <w:rsid w:val="6D0D1366"/>
    <w:rsid w:val="6D35673B"/>
    <w:rsid w:val="6E0322DD"/>
    <w:rsid w:val="6EA33246"/>
    <w:rsid w:val="6F1E5C8C"/>
    <w:rsid w:val="6F30378E"/>
    <w:rsid w:val="6F5E4A99"/>
    <w:rsid w:val="6F723C6F"/>
    <w:rsid w:val="6F9634D1"/>
    <w:rsid w:val="6FD433E9"/>
    <w:rsid w:val="6FDB2CB6"/>
    <w:rsid w:val="700B3622"/>
    <w:rsid w:val="70DD3276"/>
    <w:rsid w:val="70FF5ED4"/>
    <w:rsid w:val="71616EBE"/>
    <w:rsid w:val="71BB7291"/>
    <w:rsid w:val="73265741"/>
    <w:rsid w:val="73D32085"/>
    <w:rsid w:val="73FB3DD1"/>
    <w:rsid w:val="748B1E58"/>
    <w:rsid w:val="75876790"/>
    <w:rsid w:val="77557A02"/>
    <w:rsid w:val="776B37F0"/>
    <w:rsid w:val="77EA34CA"/>
    <w:rsid w:val="78B83C5C"/>
    <w:rsid w:val="79335D44"/>
    <w:rsid w:val="79501928"/>
    <w:rsid w:val="7A0F7BB3"/>
    <w:rsid w:val="7A224335"/>
    <w:rsid w:val="7B2C0261"/>
    <w:rsid w:val="7B3021FB"/>
    <w:rsid w:val="7B427092"/>
    <w:rsid w:val="7B874F34"/>
    <w:rsid w:val="7B8C2600"/>
    <w:rsid w:val="7BA3778B"/>
    <w:rsid w:val="7BEC39BC"/>
    <w:rsid w:val="7C272F5D"/>
    <w:rsid w:val="7C2C54B0"/>
    <w:rsid w:val="7C32768D"/>
    <w:rsid w:val="7C427233"/>
    <w:rsid w:val="7C447D67"/>
    <w:rsid w:val="7C577C7A"/>
    <w:rsid w:val="7D3706DF"/>
    <w:rsid w:val="7D5716BB"/>
    <w:rsid w:val="7D6153D4"/>
    <w:rsid w:val="7D7A7A47"/>
    <w:rsid w:val="7D7D5F7F"/>
    <w:rsid w:val="7D9A3AC9"/>
    <w:rsid w:val="7E1C2F79"/>
    <w:rsid w:val="7E3335B3"/>
    <w:rsid w:val="7E5307F2"/>
    <w:rsid w:val="7F007EC6"/>
    <w:rsid w:val="7F3E7E85"/>
    <w:rsid w:val="7F551F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semiHidden/>
    <w:unhideWhenUsed/>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99"/>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qFormat/>
    <w:uiPriority w:val="0"/>
    <w:rPr>
      <w:rFonts w:ascii="宋体" w:hAnsi="Courier New" w:cs="Courier New"/>
      <w:szCs w:val="21"/>
    </w:rPr>
  </w:style>
  <w:style w:type="paragraph" w:styleId="14">
    <w:name w:val="Body Text Indent 2"/>
    <w:basedOn w:val="1"/>
    <w:link w:val="48"/>
    <w:semiHidden/>
    <w:unhideWhenUsed/>
    <w:qFormat/>
    <w:uiPriority w:val="0"/>
    <w:pPr>
      <w:spacing w:after="120" w:line="480" w:lineRule="auto"/>
      <w:ind w:left="420" w:leftChars="200"/>
    </w:pPr>
  </w:style>
  <w:style w:type="paragraph" w:styleId="15">
    <w:name w:val="Balloon Text"/>
    <w:basedOn w:val="1"/>
    <w:link w:val="32"/>
    <w:qFormat/>
    <w:uiPriority w:val="0"/>
    <w:rPr>
      <w:sz w:val="18"/>
      <w:szCs w:val="18"/>
    </w:rPr>
  </w:style>
  <w:style w:type="paragraph" w:styleId="16">
    <w:name w:val="footer"/>
    <w:basedOn w:val="1"/>
    <w:link w:val="42"/>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List"/>
    <w:basedOn w:val="1"/>
    <w:semiHidden/>
    <w:unhideWhenUsed/>
    <w:qFormat/>
    <w:uiPriority w:val="0"/>
    <w:pPr>
      <w:ind w:left="200" w:hanging="200" w:hangingChars="200"/>
      <w:contextualSpacing/>
    </w:pPr>
  </w:style>
  <w:style w:type="paragraph" w:styleId="20">
    <w:name w:val="Body Text Indent 3"/>
    <w:basedOn w:val="1"/>
    <w:qFormat/>
    <w:uiPriority w:val="0"/>
    <w:pPr>
      <w:adjustRightInd w:val="0"/>
      <w:spacing w:after="120" w:line="312" w:lineRule="atLeast"/>
      <w:ind w:left="420"/>
      <w:textAlignment w:val="baseline"/>
    </w:pPr>
    <w:rPr>
      <w:kern w:val="0"/>
      <w:sz w:val="16"/>
      <w:szCs w:val="16"/>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table" w:styleId="24">
    <w:name w:val="Table Grid"/>
    <w:basedOn w:val="23"/>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Emphasis"/>
    <w:basedOn w:val="25"/>
    <w:qFormat/>
    <w:uiPriority w:val="20"/>
    <w:rPr>
      <w:i/>
      <w:iCs/>
    </w:rPr>
  </w:style>
  <w:style w:type="character" w:styleId="29">
    <w:name w:val="Hyperlink"/>
    <w:basedOn w:val="25"/>
    <w:qFormat/>
    <w:uiPriority w:val="0"/>
    <w:rPr>
      <w:color w:val="0000FF"/>
      <w:u w:val="single"/>
    </w:rPr>
  </w:style>
  <w:style w:type="character" w:customStyle="1" w:styleId="30">
    <w:name w:val="font11"/>
    <w:basedOn w:val="25"/>
    <w:qFormat/>
    <w:uiPriority w:val="0"/>
    <w:rPr>
      <w:rFonts w:hint="eastAsia" w:ascii="仿宋" w:hAnsi="仿宋" w:eastAsia="仿宋" w:cs="仿宋"/>
      <w:color w:val="000000"/>
      <w:sz w:val="24"/>
      <w:szCs w:val="24"/>
      <w:u w:val="none"/>
    </w:rPr>
  </w:style>
  <w:style w:type="character" w:customStyle="1" w:styleId="31">
    <w:name w:val="font01"/>
    <w:basedOn w:val="25"/>
    <w:qFormat/>
    <w:uiPriority w:val="0"/>
    <w:rPr>
      <w:rFonts w:ascii="Arial" w:hAnsi="Arial" w:cs="Arial"/>
      <w:color w:val="000000"/>
      <w:sz w:val="24"/>
      <w:szCs w:val="24"/>
      <w:u w:val="none"/>
    </w:rPr>
  </w:style>
  <w:style w:type="character" w:customStyle="1" w:styleId="32">
    <w:name w:val="批注框文本 字符"/>
    <w:basedOn w:val="25"/>
    <w:link w:val="15"/>
    <w:qFormat/>
    <w:uiPriority w:val="0"/>
    <w:rPr>
      <w:sz w:val="18"/>
      <w:szCs w:val="18"/>
    </w:rPr>
  </w:style>
  <w:style w:type="paragraph" w:customStyle="1" w:styleId="33">
    <w:name w:val="Char Char Char Char"/>
    <w:basedOn w:val="1"/>
    <w:qFormat/>
    <w:uiPriority w:val="99"/>
  </w:style>
  <w:style w:type="paragraph" w:customStyle="1" w:styleId="3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5">
    <w:name w:val="Char"/>
    <w:basedOn w:val="1"/>
    <w:qFormat/>
    <w:uiPriority w:val="0"/>
    <w:pPr>
      <w:spacing w:line="480" w:lineRule="exact"/>
    </w:pPr>
    <w:rPr>
      <w:sz w:val="24"/>
    </w:rPr>
  </w:style>
  <w:style w:type="paragraph" w:customStyle="1" w:styleId="3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7">
    <w:name w:val="Char Char2 Char"/>
    <w:basedOn w:val="1"/>
    <w:qFormat/>
    <w:uiPriority w:val="0"/>
  </w:style>
  <w:style w:type="paragraph" w:customStyle="1" w:styleId="3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9">
    <w:name w:val="表格文字"/>
    <w:basedOn w:val="1"/>
    <w:qFormat/>
    <w:uiPriority w:val="0"/>
    <w:pPr>
      <w:spacing w:before="25" w:after="25"/>
      <w:jc w:val="left"/>
    </w:pPr>
    <w:rPr>
      <w:bCs/>
      <w:spacing w:val="10"/>
      <w:kern w:val="0"/>
      <w:sz w:val="24"/>
      <w:szCs w:val="20"/>
    </w:rPr>
  </w:style>
  <w:style w:type="paragraph" w:customStyle="1" w:styleId="40">
    <w:name w:val="题注4"/>
    <w:basedOn w:val="1"/>
    <w:next w:val="8"/>
    <w:qFormat/>
    <w:uiPriority w:val="0"/>
    <w:pPr>
      <w:ind w:left="-132" w:leftChars="-64" w:right="-105" w:rightChars="-50" w:hanging="2"/>
      <w:jc w:val="center"/>
    </w:pPr>
    <w:rPr>
      <w:b/>
      <w:color w:val="FF0000"/>
      <w:szCs w:val="21"/>
      <w:lang w:val="en-GB"/>
    </w:rPr>
  </w:style>
  <w:style w:type="paragraph" w:customStyle="1" w:styleId="4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2">
    <w:name w:val="页脚 字符"/>
    <w:basedOn w:val="25"/>
    <w:link w:val="16"/>
    <w:qFormat/>
    <w:uiPriority w:val="0"/>
    <w:rPr>
      <w:rFonts w:ascii="Times New Roman" w:hAnsi="Times New Roman"/>
      <w:kern w:val="2"/>
      <w:sz w:val="18"/>
      <w:szCs w:val="24"/>
    </w:rPr>
  </w:style>
  <w:style w:type="paragraph" w:styleId="4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4">
    <w:name w:val="List Paragraph"/>
    <w:basedOn w:val="1"/>
    <w:unhideWhenUsed/>
    <w:qFormat/>
    <w:uiPriority w:val="99"/>
    <w:pPr>
      <w:ind w:firstLine="420" w:firstLineChars="200"/>
    </w:pPr>
  </w:style>
  <w:style w:type="character" w:customStyle="1" w:styleId="45">
    <w:name w:val="ng-binding"/>
    <w:basedOn w:val="25"/>
    <w:qFormat/>
    <w:uiPriority w:val="0"/>
  </w:style>
  <w:style w:type="paragraph" w:customStyle="1" w:styleId="46">
    <w:name w:val="_Style 40"/>
    <w:basedOn w:val="1"/>
    <w:next w:val="44"/>
    <w:qFormat/>
    <w:uiPriority w:val="34"/>
    <w:pPr>
      <w:spacing w:after="200" w:line="276" w:lineRule="auto"/>
      <w:ind w:firstLine="420" w:firstLineChars="200"/>
    </w:pPr>
    <w:rPr>
      <w:rFonts w:ascii="Calibri" w:hAnsi="Calibri"/>
      <w:szCs w:val="22"/>
    </w:rPr>
  </w:style>
  <w:style w:type="paragraph" w:customStyle="1" w:styleId="47">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8">
    <w:name w:val="正文文本缩进 2 字符"/>
    <w:basedOn w:val="25"/>
    <w:link w:val="14"/>
    <w:semiHidden/>
    <w:qFormat/>
    <w:uiPriority w:val="0"/>
    <w:rPr>
      <w:kern w:val="2"/>
      <w:sz w:val="21"/>
      <w:szCs w:val="24"/>
    </w:rPr>
  </w:style>
  <w:style w:type="character" w:customStyle="1" w:styleId="49">
    <w:name w:val="font81"/>
    <w:basedOn w:val="25"/>
    <w:qFormat/>
    <w:uiPriority w:val="0"/>
    <w:rPr>
      <w:rFonts w:hint="eastAsia" w:ascii="宋体" w:hAnsi="宋体" w:eastAsia="宋体" w:cs="宋体"/>
      <w:b/>
      <w:bCs/>
      <w:color w:val="000000"/>
      <w:sz w:val="18"/>
      <w:szCs w:val="18"/>
      <w:u w:val="none"/>
    </w:rPr>
  </w:style>
  <w:style w:type="paragraph" w:customStyle="1" w:styleId="50">
    <w:name w:val="_Style 4"/>
    <w:basedOn w:val="3"/>
    <w:next w:val="1"/>
    <w:qFormat/>
    <w:uiPriority w:val="0"/>
    <w:pPr>
      <w:keepNext w:val="0"/>
      <w:keepLines w:val="0"/>
      <w:spacing w:after="0" w:line="576" w:lineRule="auto"/>
      <w:jc w:val="left"/>
      <w:outlineLvl w:val="9"/>
    </w:pPr>
    <w:rPr>
      <w:rFonts w:ascii="Calibri" w:hAnsi="Calibri"/>
      <w:kern w:val="0"/>
      <w:lang w:eastAsia="en-US"/>
    </w:rPr>
  </w:style>
  <w:style w:type="paragraph" w:customStyle="1" w:styleId="51">
    <w:name w:val="正文_0"/>
    <w:basedOn w:val="52"/>
    <w:qFormat/>
    <w:uiPriority w:val="0"/>
    <w:rPr>
      <w:rFonts w:cs="Tahoma"/>
    </w:rPr>
  </w:style>
  <w:style w:type="paragraph" w:customStyle="1" w:styleId="52">
    <w:name w:val="正文_1"/>
    <w:qFormat/>
    <w:uiPriority w:val="0"/>
    <w:pPr>
      <w:widowControl w:val="0"/>
      <w:spacing w:after="200" w:line="276" w:lineRule="auto"/>
      <w:jc w:val="both"/>
    </w:pPr>
    <w:rPr>
      <w:rFonts w:ascii="Tahoma" w:hAnsi="Tahoma" w:eastAsia="宋体" w:cs="Times New Roman"/>
      <w:kern w:val="2"/>
      <w:sz w:val="24"/>
      <w:szCs w:val="24"/>
      <w:lang w:val="en-US" w:eastAsia="zh-CN" w:bidi="ar-SA"/>
    </w:rPr>
  </w:style>
  <w:style w:type="paragraph" w:customStyle="1" w:styleId="53">
    <w:name w:val="正文_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customStyle="1" w:styleId="54">
    <w:name w:val="普通(网站)_0"/>
    <w:basedOn w:val="53"/>
    <w:unhideWhenUsed/>
    <w:qFormat/>
    <w:uiPriority w:val="99"/>
    <w:pPr>
      <w:widowControl/>
      <w:spacing w:before="58" w:after="58"/>
      <w:jc w:val="left"/>
    </w:pPr>
    <w:rPr>
      <w:rFonts w:ascii="宋体" w:hAnsi="宋体" w:cs="宋体"/>
      <w:kern w:val="0"/>
      <w:sz w:val="24"/>
    </w:rPr>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6">
    <w:name w:val="正文_1_0"/>
    <w:basedOn w:val="53"/>
    <w:qFormat/>
    <w:uiPriority w:val="0"/>
    <w:pPr>
      <w:spacing w:after="0" w:line="240" w:lineRule="auto"/>
    </w:pPr>
    <w:rPr>
      <w:rFonts w:cs="宋体"/>
      <w:szCs w:val="21"/>
    </w:rPr>
  </w:style>
  <w:style w:type="character" w:customStyle="1" w:styleId="57">
    <w:name w:val="10"/>
    <w:qFormat/>
    <w:uiPriority w:val="0"/>
    <w:rPr>
      <w:rFonts w:hint="default" w:ascii="Times New Roman" w:hAnsi="Times New Roman" w:cs="Times New Roman"/>
    </w:rPr>
  </w:style>
  <w:style w:type="paragraph" w:customStyle="1" w:styleId="58">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中国平安保险(集团)股份有限公司</Company>
  <Pages>1</Pages>
  <Words>3163</Words>
  <Characters>18031</Characters>
  <Lines>150</Lines>
  <Paragraphs>42</Paragraphs>
  <TotalTime>1</TotalTime>
  <ScaleCrop>false</ScaleCrop>
  <LinksUpToDate>false</LinksUpToDate>
  <CharactersWithSpaces>21152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2020-01-06T10:36:00Z</dcterms:created>
  <dc:creator>李继能</dc:creator>
  <cp:lastModifiedBy>StefWy89</cp:lastModifiedBy>
  <cp:lastPrinted>2021-07-22T08:50:00Z</cp:lastPrinted>
  <dcterms:modified xsi:type="dcterms:W3CDTF">2021-07-27T10:36:46Z</dcterms:modified>
  <dc:title>询价文件</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A0F44FCB8E224C36B3D3F9204AB7A759</vt:lpwstr>
  </property>
</Properties>
</file>