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XJ-20210723-2</w:t>
      </w:r>
    </w:p>
    <w:p>
      <w:pPr>
        <w:spacing w:line="500" w:lineRule="exact"/>
        <w:ind w:left="2240" w:hanging="2240" w:hangingChars="700"/>
        <w:jc w:val="left"/>
        <w:rPr>
          <w:rFonts w:ascii="仿宋_GB2312" w:hAnsi="仿宋_GB2312" w:eastAsia="仿宋_GB2312" w:cs="仿宋_GB2312"/>
          <w:b/>
          <w:bCs/>
          <w:color w:val="000000" w:themeColor="text1"/>
          <w:sz w:val="24"/>
          <w:szCs w:val="28"/>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 xml:space="preserve">    项目名称：</w:t>
      </w:r>
      <w:r>
        <w:rPr>
          <w:rFonts w:hint="eastAsia" w:ascii="仿宋_GB2312" w:hAnsi="仿宋_GB2312" w:eastAsia="仿宋_GB2312" w:cs="仿宋_GB2312"/>
          <w:b/>
          <w:bCs/>
          <w:color w:val="000000" w:themeColor="text1"/>
          <w:sz w:val="32"/>
          <w:szCs w:val="32"/>
          <w14:textFill>
            <w14:solidFill>
              <w14:schemeClr w14:val="tx1"/>
            </w14:solidFill>
          </w14:textFill>
        </w:rPr>
        <w:t>广州市净水有限公司大沙地污水处理厂片区</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控规修改技术服务项目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highlight w:val="none"/>
          <w14:textFill>
            <w14:solidFill>
              <w14:schemeClr w14:val="tx1"/>
            </w14:solidFill>
          </w14:textFill>
        </w:rPr>
        <w:t>202</w:t>
      </w:r>
      <w:r>
        <w:rPr>
          <w:rFonts w:hint="eastAsia" w:ascii="仿宋_GB2312" w:hAnsi="仿宋_GB2312" w:eastAsia="仿宋_GB2312" w:cs="仿宋_GB2312"/>
          <w:b/>
          <w:bCs/>
          <w:color w:val="000000" w:themeColor="text1"/>
          <w:sz w:val="28"/>
          <w:highlight w:val="none"/>
          <w14:textFill>
            <w14:solidFill>
              <w14:schemeClr w14:val="tx1"/>
            </w14:solidFill>
          </w14:textFill>
        </w:rPr>
        <w:t>1</w:t>
      </w:r>
      <w:r>
        <w:rPr>
          <w:rFonts w:ascii="仿宋_GB2312" w:hAnsi="仿宋_GB2312" w:eastAsia="仿宋_GB2312" w:cs="仿宋_GB2312"/>
          <w:b/>
          <w:bCs/>
          <w:color w:val="000000" w:themeColor="text1"/>
          <w:sz w:val="28"/>
          <w:highlight w:val="none"/>
          <w14:textFill>
            <w14:solidFill>
              <w14:schemeClr w14:val="tx1"/>
            </w14:solidFill>
          </w14:textFill>
        </w:rPr>
        <w:t>年</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7</w:t>
      </w:r>
      <w:r>
        <w:rPr>
          <w:rFonts w:ascii="仿宋_GB2312" w:hAnsi="仿宋_GB2312" w:eastAsia="仿宋_GB2312" w:cs="仿宋_GB2312"/>
          <w:b/>
          <w:bCs/>
          <w:color w:val="000000" w:themeColor="text1"/>
          <w:sz w:val="28"/>
          <w:highlight w:val="none"/>
          <w14:textFill>
            <w14:solidFill>
              <w14:schemeClr w14:val="tx1"/>
            </w14:solidFill>
          </w14:textFill>
        </w:rPr>
        <w:t>月</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23</w:t>
      </w:r>
      <w:r>
        <w:rPr>
          <w:rFonts w:ascii="仿宋_GB2312" w:hAnsi="仿宋_GB2312" w:eastAsia="仿宋_GB2312" w:cs="仿宋_GB2312"/>
          <w:b/>
          <w:bCs/>
          <w:color w:val="000000" w:themeColor="text1"/>
          <w:sz w:val="28"/>
          <w:highlight w:val="none"/>
          <w14:textFill>
            <w14:solidFill>
              <w14:schemeClr w14:val="tx1"/>
            </w14:solidFill>
          </w14:textFill>
        </w:rPr>
        <w:t>日</w:t>
      </w:r>
    </w:p>
    <w:p>
      <w:pPr>
        <w:rPr>
          <w:rFonts w:ascii="仿宋_GB2312" w:hAnsi="仿宋_GB2312" w:eastAsia="仿宋_GB2312" w:cs="仿宋_GB2312"/>
          <w:color w:val="000000" w:themeColor="text1"/>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目录</w:t>
      </w:r>
      <w:r>
        <w:rPr>
          <w:rFonts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5"/>
        <w:tabs>
          <w:tab w:val="right" w:leader="dot" w:pos="9174"/>
        </w:tabs>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第一部分报价邀请函</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第二部分项目内容</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第三部分报价须知</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第四部分合同书格式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第一部分报价邀请函</w:t>
      </w:r>
    </w:p>
    <w:p>
      <w:pPr>
        <w:ind w:firstLine="478" w:firstLineChars="171"/>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各报价单位</w:t>
      </w:r>
      <w:r>
        <w:rPr>
          <w:rFonts w:ascii="仿宋_GB2312" w:hAnsi="仿宋_GB2312" w:eastAsia="仿宋_GB2312" w:cs="仿宋_GB2312"/>
          <w:color w:val="000000" w:themeColor="text1"/>
          <w:kern w:val="0"/>
          <w:sz w:val="28"/>
          <w:szCs w:val="28"/>
          <w14:textFill>
            <w14:solidFill>
              <w14:schemeClr w14:val="tx1"/>
            </w14:solidFill>
          </w14:textFill>
        </w:rPr>
        <w:t>:</w:t>
      </w:r>
    </w:p>
    <w:p>
      <w:pPr>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现我公司对</w:t>
      </w:r>
      <w:r>
        <w:rPr>
          <w:rFonts w:hint="eastAsia" w:ascii="仿宋" w:hAnsi="仿宋" w:eastAsia="仿宋" w:cs="仿宋_GB2312"/>
          <w:bCs/>
          <w:sz w:val="28"/>
          <w:szCs w:val="28"/>
          <w:u w:val="single"/>
        </w:rPr>
        <w:t>大沙地污水处理厂片区控规修改技术服务项目</w:t>
      </w:r>
      <w:r>
        <w:rPr>
          <w:rFonts w:hint="eastAsia" w:ascii="仿宋_GB2312" w:hAnsi="仿宋_GB2312" w:eastAsia="仿宋_GB2312" w:cs="仿宋_GB2312"/>
          <w:color w:val="000000" w:themeColor="text1"/>
          <w:sz w:val="28"/>
          <w:szCs w:val="28"/>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14:textFill>
            <w14:solidFill>
              <w14:schemeClr w14:val="tx1"/>
            </w14:solidFill>
          </w14:textFill>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一、资金计划：</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企业</w:t>
      </w:r>
      <w:r>
        <w:rPr>
          <w:rFonts w:hint="eastAsia" w:ascii="仿宋" w:hAnsi="仿宋" w:eastAsia="仿宋" w:cs="仿宋_GB2312"/>
          <w:sz w:val="28"/>
          <w:szCs w:val="28"/>
        </w:rPr>
        <w:t>自筹资金</w:t>
      </w:r>
    </w:p>
    <w:p>
      <w:pPr>
        <w:autoSpaceDE w:val="0"/>
        <w:autoSpaceDN w:val="0"/>
        <w:ind w:firstLine="560" w:firstLineChars="200"/>
        <w:rPr>
          <w:rFonts w:hint="default" w:ascii="仿宋_GB2312" w:hAnsi="仿宋_GB2312" w:eastAsia="仿宋_GB2312" w:cs="仿宋_GB2312"/>
          <w:color w:val="000000" w:themeColor="text1"/>
          <w:sz w:val="28"/>
          <w:szCs w:val="28"/>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CN"/>
          <w14:textFill>
            <w14:solidFill>
              <w14:schemeClr w14:val="tx1"/>
            </w14:solidFill>
          </w14:textFill>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XJ-20210723-2</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14:textFill>
            <w14:solidFill>
              <w14:schemeClr w14:val="tx1"/>
            </w14:solidFill>
          </w14:textFill>
        </w:rPr>
        <w:t>广州市净水有限公司大沙地污水处理厂片区控规修改技术服务项目</w:t>
      </w:r>
    </w:p>
    <w:p>
      <w:pPr>
        <w:autoSpaceDE w:val="0"/>
        <w:autoSpaceDN w:val="0"/>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四、最高限价</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235万元</w:t>
      </w:r>
    </w:p>
    <w:p>
      <w:pPr>
        <w:ind w:firstLine="602" w:firstLineChars="215"/>
        <w:rPr>
          <w:rFonts w:ascii="仿宋_GB2312" w:hAnsi="仿宋_GB2312" w:eastAsia="仿宋_GB2312" w:cs="仿宋_GB2312"/>
          <w:color w:val="FF000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五</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项目内容及需求：本项目所述的大沙地污水处理厂片区控规调整技术服务项目（下简称“项目”），其工作范围西至石化南路，南至珠江，东至文船路，北至黄埔东路，</w:t>
      </w:r>
      <w:r>
        <w:rPr>
          <w:rFonts w:hint="eastAsia" w:ascii="仿宋_GB2312" w:hAnsi="仿宋_GB2312" w:eastAsia="仿宋_GB2312" w:cs="仿宋_GB2312"/>
          <w:color w:val="000000" w:themeColor="text1"/>
          <w:sz w:val="28"/>
          <w:szCs w:val="28"/>
          <w:highlight w:val="none"/>
          <w14:textFill>
            <w14:solidFill>
              <w14:schemeClr w14:val="tx1"/>
            </w14:solidFill>
          </w14:textFill>
        </w:rPr>
        <w:t>控规调整用地面积约33.9公顷。工作内容涵盖控规修改方案编制、生态廊道专章、交通影响评估、环境影响评估、市政基础设施承载力评估</w:t>
      </w:r>
      <w:r>
        <w:rPr>
          <w:rFonts w:hint="eastAsia" w:ascii="仿宋_GB2312" w:hAnsi="仿宋_GB2312" w:eastAsia="仿宋_GB2312" w:cs="仿宋_GB2312"/>
          <w:color w:val="000000" w:themeColor="text1"/>
          <w:sz w:val="28"/>
          <w:szCs w:val="28"/>
          <w14:textFill>
            <w14:solidFill>
              <w14:schemeClr w14:val="tx1"/>
            </w14:solidFill>
          </w14:textFill>
        </w:rPr>
        <w:t>等工作。</w:t>
      </w:r>
    </w:p>
    <w:p>
      <w:pPr>
        <w:autoSpaceDE w:val="0"/>
        <w:autoSpaceDN w:val="0"/>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六、报价单位资格要求：</w:t>
      </w:r>
    </w:p>
    <w:p>
      <w:pPr>
        <w:pStyle w:val="28"/>
        <w:autoSpaceDE w:val="0"/>
        <w:autoSpaceDN w:val="0"/>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sz w:val="28"/>
          <w:szCs w:val="28"/>
          <w:u w:val="single"/>
        </w:rPr>
        <w:t>报价单位须是中华人民共和国境内的法人或者其他组织，具有独立法人资格，能开具增值税专用发票，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持有工商行政管理部门核发的法人营业执照或各级登记管理机关颁发的事业单位法定代表人证。</w:t>
      </w:r>
    </w:p>
    <w:p>
      <w:pPr>
        <w:pStyle w:val="28"/>
        <w:autoSpaceDE w:val="0"/>
        <w:autoSpaceDN w:val="0"/>
        <w:ind w:firstLine="560"/>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持有建设行政主管部门颁发的城市（乡）规划编制甲级资质证书。</w:t>
      </w:r>
    </w:p>
    <w:p>
      <w:pPr>
        <w:pStyle w:val="28"/>
        <w:autoSpaceDE w:val="0"/>
        <w:autoSpaceDN w:val="0"/>
        <w:ind w:firstLine="560"/>
        <w:jc w:val="left"/>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拟派项目负责人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具备城市（乡）规划高级（或以上）工程师职称或注册城市（乡）规划师资格。</w:t>
      </w:r>
    </w:p>
    <w:p>
      <w:pPr>
        <w:pStyle w:val="28"/>
        <w:autoSpaceDE w:val="0"/>
        <w:autoSpaceDN w:val="0"/>
        <w:ind w:firstLine="560"/>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w:t>
      </w:r>
      <w:bookmarkStart w:id="0" w:name="OLE_LINK3"/>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bookmarkStart w:id="16" w:name="_GoBack"/>
      <w:bookmarkEnd w:id="16"/>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2018年1月1日至今，</w:t>
      </w:r>
      <w:bookmarkEnd w:id="0"/>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最少完成一项合同金额不少于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150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万元的广州市控规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修改方案</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业绩</w:t>
      </w:r>
      <w:r>
        <w:rPr>
          <w:rFonts w:hint="eastAsia" w:ascii="仿宋_GB2312" w:hAnsi="仿宋_GB2312" w:eastAsia="仿宋_GB2312" w:cs="仿宋_GB2312"/>
          <w:sz w:val="28"/>
          <w:szCs w:val="28"/>
          <w:highlight w:val="none"/>
          <w:u w:val="single"/>
        </w:rPr>
        <w:t>（提供合同复印件证明，包括但不限于项目名称、金额及实施内容、合同双方签字盖章、签订日期，并加盖单位公章）。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七</w:t>
      </w:r>
      <w:r>
        <w:rPr>
          <w:rFonts w:hint="eastAsia" w:ascii="仿宋_GB2312" w:hAnsi="仿宋_GB2312" w:eastAsia="仿宋_GB2312" w:cs="仿宋_GB2312"/>
          <w:sz w:val="28"/>
          <w:szCs w:val="28"/>
          <w:highlight w:val="none"/>
          <w:lang w:val="zh-CN"/>
        </w:rPr>
        <w:t>、现场踏勘(答疑会)时间、地点（也可由</w:t>
      </w:r>
      <w:r>
        <w:rPr>
          <w:rFonts w:hint="eastAsia" w:ascii="仿宋_GB2312" w:hAnsi="仿宋_GB2312" w:eastAsia="仿宋_GB2312" w:cs="仿宋_GB2312"/>
          <w:sz w:val="28"/>
          <w:szCs w:val="28"/>
          <w:highlight w:val="none"/>
        </w:rPr>
        <w:t>报价</w:t>
      </w:r>
      <w:r>
        <w:rPr>
          <w:rFonts w:hint="eastAsia" w:ascii="仿宋_GB2312" w:hAnsi="仿宋_GB2312" w:eastAsia="仿宋_GB2312" w:cs="仿宋_GB2312"/>
          <w:sz w:val="28"/>
          <w:szCs w:val="28"/>
          <w:highlight w:val="none"/>
          <w:lang w:val="zh-CN"/>
        </w:rPr>
        <w:t>人自行踏勘现场）：</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1. 现场踏勘(答疑会)集合时间：</w:t>
      </w:r>
      <w:r>
        <w:rPr>
          <w:rFonts w:hint="eastAsia" w:ascii="仿宋_GB2312" w:hAnsi="仿宋_GB2312" w:eastAsia="仿宋_GB2312" w:cs="仿宋_GB2312"/>
          <w:sz w:val="28"/>
          <w:szCs w:val="28"/>
          <w:highlight w:val="none"/>
        </w:rPr>
        <w:t>/</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zh-CN"/>
        </w:rPr>
        <w:t>2. 现场踏勘(答疑会)集合地点：</w:t>
      </w:r>
      <w:r>
        <w:rPr>
          <w:rFonts w:hint="eastAsia" w:ascii="仿宋_GB2312" w:hAnsi="仿宋_GB2312" w:eastAsia="仿宋_GB2312" w:cs="仿宋_GB2312"/>
          <w:sz w:val="28"/>
          <w:szCs w:val="28"/>
          <w:highlight w:val="none"/>
        </w:rPr>
        <w:t>/</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八、询价文件的获取：在</w:t>
      </w:r>
      <w:r>
        <w:rPr>
          <w:rFonts w:hint="eastAsia" w:ascii="仿宋" w:hAnsi="仿宋" w:eastAsia="仿宋" w:cs="仿宋_GB2312"/>
          <w:sz w:val="28"/>
          <w:szCs w:val="28"/>
          <w:highlight w:val="none"/>
          <w:lang w:val="en-US" w:eastAsia="zh-CN"/>
        </w:rPr>
        <w:t>2021</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29</w:t>
      </w:r>
      <w:r>
        <w:rPr>
          <w:rFonts w:hint="eastAsia" w:ascii="仿宋" w:hAnsi="仿宋" w:eastAsia="仿宋" w:cs="仿宋_GB2312"/>
          <w:sz w:val="28"/>
          <w:szCs w:val="28"/>
          <w:highlight w:val="none"/>
        </w:rPr>
        <w:t>日10时00分前，在广州市净水有限公司门户网站免费下载。</w:t>
      </w:r>
    </w:p>
    <w:p>
      <w:pPr>
        <w:ind w:firstLine="588" w:firstLineChars="210"/>
        <w:rPr>
          <w:rFonts w:eastAsia="仿宋"/>
          <w:highlight w:val="none"/>
        </w:rPr>
      </w:pPr>
      <w:r>
        <w:rPr>
          <w:rFonts w:hint="eastAsia" w:ascii="仿宋" w:hAnsi="仿宋" w:eastAsia="仿宋" w:cs="仿宋_GB2312"/>
          <w:sz w:val="28"/>
          <w:szCs w:val="28"/>
          <w:highlight w:val="none"/>
        </w:rPr>
        <w:t>九、询价响应文件递交时间：2021年</w:t>
      </w: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29</w:t>
      </w:r>
      <w:r>
        <w:rPr>
          <w:rFonts w:hint="eastAsia" w:ascii="仿宋" w:hAnsi="仿宋" w:eastAsia="仿宋" w:cs="仿宋_GB2312"/>
          <w:sz w:val="28"/>
          <w:szCs w:val="28"/>
          <w:highlight w:val="none"/>
        </w:rPr>
        <w:t>日9时30分至10时00分；询价响应文件截止时间：2021年</w:t>
      </w: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29</w:t>
      </w:r>
      <w:r>
        <w:rPr>
          <w:rFonts w:hint="eastAsia" w:ascii="仿宋" w:hAnsi="仿宋" w:eastAsia="仿宋" w:cs="仿宋_GB2312"/>
          <w:sz w:val="28"/>
          <w:szCs w:val="28"/>
          <w:highlight w:val="none"/>
        </w:rPr>
        <w:t>日10时00分。</w:t>
      </w:r>
      <w:r>
        <w:rPr>
          <w:rFonts w:hint="eastAsia" w:ascii="仿宋_GB2312" w:hAnsi="仿宋_GB2312" w:eastAsia="仿宋_GB2312" w:cs="仿宋_GB2312"/>
          <w:color w:val="000000"/>
          <w:sz w:val="28"/>
          <w:szCs w:val="28"/>
          <w:highlight w:val="none"/>
        </w:rPr>
        <w:t>递交响应文件时须提供授权委托人身份证原件备查。</w:t>
      </w:r>
      <w:r>
        <w:rPr>
          <w:rFonts w:hint="eastAsia" w:ascii="仿宋" w:hAnsi="仿宋" w:eastAsia="仿宋" w:cs="仿宋_GB2312"/>
          <w:sz w:val="28"/>
          <w:szCs w:val="28"/>
          <w:highlight w:val="none"/>
        </w:rPr>
        <w:t xml:space="preserve"> </w:t>
      </w:r>
    </w:p>
    <w:p>
      <w:pPr>
        <w:ind w:firstLine="588" w:firstLineChars="21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rPr>
        <w:t>十、询价响应文件送达地点：广州市天河区临江大道501号广州市净水有限公司招标办</w:t>
      </w:r>
      <w:r>
        <w:rPr>
          <w:rFonts w:hint="eastAsia" w:ascii="仿宋" w:hAnsi="仿宋" w:eastAsia="仿宋" w:cs="仿宋_GB2312"/>
          <w:sz w:val="28"/>
          <w:szCs w:val="28"/>
          <w:highlight w:val="none"/>
          <w:lang w:eastAsia="zh-CN"/>
        </w:rPr>
        <w:t>。</w:t>
      </w:r>
      <w:r>
        <w:rPr>
          <w:rFonts w:hint="eastAsia" w:ascii="仿宋_GB2312" w:hAnsi="仿宋_GB2312" w:eastAsia="仿宋_GB2312" w:cs="仿宋_GB2312"/>
          <w:color w:val="000000"/>
          <w:sz w:val="28"/>
          <w:szCs w:val="28"/>
          <w:highlight w:val="none"/>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十一、评审时间：2021年</w:t>
      </w: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29</w:t>
      </w:r>
      <w:r>
        <w:rPr>
          <w:rFonts w:hint="eastAsia" w:ascii="仿宋" w:hAnsi="仿宋" w:eastAsia="仿宋" w:cs="仿宋_GB2312"/>
          <w:sz w:val="28"/>
          <w:szCs w:val="28"/>
          <w:highlight w:val="none"/>
        </w:rPr>
        <w:t>日10时00分</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十二、评审地点：广州市净水有限公司六楼招标办                   </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十三、联系方式</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询价人：广州市净水有限公司</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联系地址：广州市天河区临江大道501号            </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联系人：</w:t>
      </w:r>
      <w:r>
        <w:rPr>
          <w:rFonts w:hint="eastAsia" w:ascii="仿宋" w:hAnsi="仿宋" w:eastAsia="仿宋" w:cs="仿宋_GB2312"/>
          <w:sz w:val="28"/>
          <w:szCs w:val="28"/>
          <w:highlight w:val="none"/>
          <w:lang w:val="en-US" w:eastAsia="zh-CN"/>
        </w:rPr>
        <w:t>黄</w:t>
      </w:r>
      <w:r>
        <w:rPr>
          <w:rFonts w:hint="eastAsia" w:ascii="仿宋" w:hAnsi="仿宋" w:eastAsia="仿宋" w:cs="仿宋_GB2312"/>
          <w:sz w:val="28"/>
          <w:szCs w:val="28"/>
          <w:highlight w:val="none"/>
        </w:rPr>
        <w:t>工             联系方式：020-</w:t>
      </w:r>
      <w:r>
        <w:rPr>
          <w:rFonts w:hint="eastAsia" w:ascii="仿宋" w:hAnsi="仿宋" w:eastAsia="仿宋" w:cs="仿宋_GB2312"/>
          <w:sz w:val="28"/>
          <w:szCs w:val="28"/>
          <w:highlight w:val="none"/>
          <w:lang w:val="en-US" w:eastAsia="zh-CN"/>
        </w:rPr>
        <w:t>62315524</w:t>
      </w:r>
      <w:r>
        <w:rPr>
          <w:rFonts w:hint="eastAsia" w:ascii="仿宋" w:hAnsi="仿宋" w:eastAsia="仿宋" w:cs="仿宋_GB2312"/>
          <w:sz w:val="28"/>
          <w:szCs w:val="28"/>
          <w:highlight w:val="none"/>
        </w:rPr>
        <w:t xml:space="preserve">   </w:t>
      </w:r>
    </w:p>
    <w:p>
      <w:pPr>
        <w:ind w:firstLine="5460" w:firstLineChars="1950"/>
        <w:rPr>
          <w:rFonts w:ascii="仿宋" w:hAnsi="仿宋" w:eastAsia="仿宋" w:cs="仿宋"/>
          <w:sz w:val="28"/>
          <w:szCs w:val="28"/>
          <w:highlight w:val="none"/>
        </w:rPr>
      </w:pPr>
      <w:r>
        <w:rPr>
          <w:rFonts w:hint="eastAsia" w:ascii="仿宋" w:hAnsi="仿宋" w:eastAsia="仿宋" w:cs="仿宋"/>
          <w:sz w:val="28"/>
          <w:szCs w:val="28"/>
          <w:highlight w:val="none"/>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
          <w:sz w:val="28"/>
          <w:szCs w:val="28"/>
          <w:highlight w:val="none"/>
        </w:rPr>
        <w:t xml:space="preserve">                                </w:t>
      </w:r>
      <w:r>
        <w:rPr>
          <w:rFonts w:hint="eastAsia" w:ascii="仿宋" w:hAnsi="仿宋" w:eastAsia="仿宋" w:cs="仿宋_GB2312"/>
          <w:sz w:val="28"/>
          <w:szCs w:val="28"/>
          <w:highlight w:val="none"/>
        </w:rPr>
        <w:t>2021年</w:t>
      </w: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23</w:t>
      </w:r>
      <w:r>
        <w:rPr>
          <w:rFonts w:hint="eastAsia" w:ascii="仿宋" w:hAnsi="仿宋" w:eastAsia="仿宋" w:cs="仿宋_GB2312"/>
          <w:sz w:val="28"/>
          <w:szCs w:val="28"/>
          <w:highlight w:val="none"/>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项目内容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正值鱼珠片区旧厂搬迁改造、大沙地污水处理厂周边更新改造正加速开展契机，大沙地污水处理厂现状用地性质为环境卫生设施用地，与鱼珠片区整体发展定位不符，建议开展大沙地污水处理厂片区控规修改工作，以加快推动广州人工智能与数字经济试验区鱼珠片区建设，释放污水处理厂片区存量空间，提升土地价值。</w:t>
      </w:r>
    </w:p>
    <w:p>
      <w:pPr>
        <w:spacing w:line="360" w:lineRule="auto"/>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highlight w:val="none"/>
        </w:rPr>
        <w:t>本次控规修改技术服务拟对污水厂红线范围内用地进行调整，由于场地西侧位于城市黄线内，因此近期仅对场地东侧进行开发建设。控规修改技术服务工作需包含现控规修改方案编制、生态廊道专章、交通影响评估、环境影响评估、市政基础设施承载力评估等内容。</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1.</w:t>
      </w:r>
      <w:r>
        <w:rPr>
          <w:rFonts w:hint="eastAsia" w:ascii="仿宋" w:hAnsi="仿宋" w:eastAsia="仿宋" w:cs="仿宋_GB2312"/>
          <w:sz w:val="28"/>
          <w:szCs w:val="28"/>
        </w:rPr>
        <w:t>规划制定必须符合《中华人民共和国城乡规划法》、《城市规划编制办法》、《广州市城市规划管理标准与准则》、《广州市城乡规划技术规定（试行）》等有关国家和地方的法律、法规、规章、标准和技术要求。</w:t>
      </w:r>
    </w:p>
    <w:p>
      <w:pPr>
        <w:pStyle w:val="10"/>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2.规划内容、深度必须符合并满足规划主管部门的有关要求，进行技术指导控制，落实所需配套项目等。</w:t>
      </w:r>
    </w:p>
    <w:p>
      <w:pPr>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本合同采用总价包干，工作内容包括完成本合同项下的所有工作（包含但不限于报告编制和报审、现状展示视频制作及公示期间相关工作的配合）。整个项目主要工作内容包括：</w:t>
      </w:r>
    </w:p>
    <w:p>
      <w:pPr>
        <w:spacing w:line="360" w:lineRule="auto"/>
        <w:ind w:firstLine="560" w:firstLineChars="200"/>
        <w:rPr>
          <w:rFonts w:ascii="仿宋_GB2312" w:hAnsi="仿宋_GB2312" w:eastAsia="仿宋_GB2312" w:cs="仿宋_GB2312"/>
          <w:sz w:val="28"/>
          <w:szCs w:val="28"/>
          <w:highlight w:val="none"/>
        </w:rPr>
      </w:pPr>
      <w:bookmarkStart w:id="1" w:name="_Toc62667714"/>
      <w:r>
        <w:rPr>
          <w:rFonts w:hint="eastAsia" w:ascii="仿宋_GB2312" w:hAnsi="仿宋_GB2312" w:eastAsia="仿宋_GB2312" w:cs="仿宋_GB2312"/>
          <w:sz w:val="28"/>
          <w:szCs w:val="28"/>
          <w:highlight w:val="none"/>
        </w:rPr>
        <w:t>（1）</w:t>
      </w:r>
      <w:bookmarkEnd w:id="1"/>
      <w:r>
        <w:rPr>
          <w:rFonts w:hint="eastAsia" w:ascii="仿宋_GB2312" w:hAnsi="仿宋_GB2312" w:eastAsia="仿宋_GB2312" w:cs="仿宋_GB2312"/>
          <w:sz w:val="28"/>
          <w:szCs w:val="28"/>
          <w:highlight w:val="none"/>
        </w:rPr>
        <w:t>编制控规修改方案</w:t>
      </w:r>
    </w:p>
    <w:p>
      <w:pPr>
        <w:spacing w:line="360" w:lineRule="auto"/>
        <w:ind w:firstLine="560" w:firstLineChars="200"/>
        <w:rPr>
          <w:rFonts w:ascii="仿宋_GB2312" w:hAnsi="仿宋_GB2312" w:eastAsia="仿宋_GB2312" w:cs="仿宋_GB2312"/>
          <w:sz w:val="28"/>
          <w:szCs w:val="28"/>
          <w:highlight w:val="none"/>
        </w:rPr>
      </w:pPr>
      <w:bookmarkStart w:id="2" w:name="_Toc62667715"/>
      <w:bookmarkStart w:id="3" w:name="OLE_LINK2"/>
      <w:bookmarkStart w:id="4" w:name="OLE_LINK1"/>
      <w:r>
        <w:rPr>
          <w:rFonts w:hint="eastAsia" w:ascii="仿宋_GB2312" w:hAnsi="仿宋_GB2312" w:eastAsia="仿宋_GB2312" w:cs="仿宋_GB2312"/>
          <w:sz w:val="28"/>
          <w:szCs w:val="28"/>
          <w:highlight w:val="none"/>
        </w:rPr>
        <w:t>根据项目实际需求开展控规修改方案编制，包括控规修改必要性论证专题及控规修改报告，具体包括：项目概况、申请控规修改的原因、申请控规修改的内容、公示情况及部门意见落实情况及提请会议审议内容等。</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bookmarkEnd w:id="2"/>
      <w:r>
        <w:rPr>
          <w:rFonts w:hint="eastAsia" w:ascii="仿宋_GB2312" w:hAnsi="仿宋_GB2312" w:eastAsia="仿宋_GB2312" w:cs="仿宋_GB2312"/>
          <w:sz w:val="28"/>
          <w:szCs w:val="28"/>
          <w:highlight w:val="none"/>
        </w:rPr>
        <w:t>生态廊道专章</w:t>
      </w:r>
    </w:p>
    <w:p>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结合现状生态廊道等级及其相关技术要求，对生态廊道内容进行论证。</w:t>
      </w:r>
    </w:p>
    <w:bookmarkEnd w:id="3"/>
    <w:bookmarkEnd w:id="4"/>
    <w:p>
      <w:pPr>
        <w:spacing w:line="360" w:lineRule="auto"/>
        <w:ind w:firstLine="560" w:firstLineChars="200"/>
        <w:rPr>
          <w:rFonts w:ascii="仿宋_GB2312" w:hAnsi="仿宋_GB2312" w:eastAsia="仿宋_GB2312" w:cs="仿宋_GB2312"/>
          <w:sz w:val="28"/>
          <w:szCs w:val="28"/>
          <w:highlight w:val="none"/>
        </w:rPr>
      </w:pPr>
      <w:bookmarkStart w:id="5" w:name="_Toc62667716"/>
      <w:r>
        <w:rPr>
          <w:rFonts w:hint="eastAsia" w:ascii="仿宋_GB2312" w:hAnsi="仿宋_GB2312" w:eastAsia="仿宋_GB2312" w:cs="仿宋_GB2312"/>
          <w:sz w:val="28"/>
          <w:szCs w:val="28"/>
          <w:highlight w:val="none"/>
        </w:rPr>
        <w:t>（3）</w:t>
      </w:r>
      <w:bookmarkEnd w:id="5"/>
      <w:r>
        <w:rPr>
          <w:rFonts w:hint="eastAsia" w:ascii="仿宋_GB2312" w:hAnsi="仿宋_GB2312" w:eastAsia="仿宋_GB2312" w:cs="仿宋_GB2312"/>
          <w:sz w:val="28"/>
          <w:szCs w:val="28"/>
          <w:highlight w:val="none"/>
        </w:rPr>
        <w:t>其它专项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highlight w:val="none"/>
        </w:rPr>
        <w:t>包括对交通影响、环境影响、市政基础设施承载力等专项提出评估结论和改善建议措施。</w:t>
      </w:r>
    </w:p>
    <w:p>
      <w:pPr>
        <w:spacing w:line="360" w:lineRule="auto"/>
        <w:ind w:firstLine="420" w:firstLineChars="200"/>
        <w:rPr>
          <w:rFonts w:ascii="仿宋_GB2312" w:hAnsi="仿宋_GB2312" w:eastAsia="仿宋_GB2312" w:cs="仿宋_GB2312"/>
          <w:sz w:val="28"/>
          <w:szCs w:val="28"/>
        </w:rPr>
      </w:pPr>
      <w:r>
        <w:rPr>
          <w:rFonts w:hint="eastAsia"/>
        </w:rPr>
        <w:t xml:space="preserve"> </w:t>
      </w:r>
      <w:r>
        <w:rPr>
          <w:rFonts w:hint="eastAsia" w:ascii="仿宋_GB2312" w:hAnsi="仿宋_GB2312" w:eastAsia="仿宋_GB2312" w:cs="仿宋_GB2312"/>
          <w:sz w:val="28"/>
          <w:szCs w:val="28"/>
        </w:rPr>
        <w:t>（4）文件公示</w:t>
      </w:r>
    </w:p>
    <w:p>
      <w:pPr>
        <w:tabs>
          <w:tab w:val="left" w:pos="1620"/>
        </w:tabs>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制做公示图件，打印公示图板，协助进行现场公示挂牌及拍照存证，对其公示结果展开说明。</w:t>
      </w:r>
    </w:p>
    <w:p>
      <w:pPr>
        <w:spacing w:line="360" w:lineRule="auto"/>
        <w:ind w:firstLine="560" w:firstLineChars="200"/>
        <w:rPr>
          <w:rFonts w:ascii="仿宋_GB2312" w:hAnsi="仿宋_GB2312" w:eastAsia="仿宋_GB2312" w:cs="仿宋_GB2312"/>
          <w:sz w:val="28"/>
          <w:szCs w:val="28"/>
        </w:rPr>
      </w:pPr>
      <w:bookmarkStart w:id="6" w:name="_Toc62667717"/>
      <w:r>
        <w:rPr>
          <w:rFonts w:hint="eastAsia" w:ascii="仿宋_GB2312" w:hAnsi="仿宋_GB2312" w:eastAsia="仿宋_GB2312" w:cs="仿宋_GB2312"/>
          <w:sz w:val="28"/>
          <w:szCs w:val="28"/>
        </w:rPr>
        <w:t>（</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bookmarkEnd w:id="6"/>
      <w:r>
        <w:rPr>
          <w:rFonts w:hint="eastAsia" w:ascii="仿宋_GB2312" w:hAnsi="仿宋_GB2312" w:eastAsia="仿宋_GB2312" w:cs="仿宋_GB2312"/>
          <w:sz w:val="28"/>
          <w:szCs w:val="28"/>
        </w:rPr>
        <w:t>文件提交</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提交成果包括纸质版和电子版的文本及相关图件，其中：文本文件采用pdf或word格式文件，图形文件采用DWG或JPG格式文件，汇报演示文件采用PPT格式，政府部门有其他要求时，按照要求提交。</w:t>
      </w: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hint="eastAsia" w:ascii="仿宋" w:hAnsi="仿宋" w:eastAsia="仿宋" w:cs="仿宋_GB2312"/>
          <w:b/>
          <w:color w:val="000000" w:themeColor="text1"/>
          <w:sz w:val="28"/>
          <w:szCs w:val="28"/>
          <w:lang w:val="zh-CN"/>
          <w14:textFill>
            <w14:solidFill>
              <w14:schemeClr w14:val="tx1"/>
            </w14:solidFill>
          </w14:textFill>
        </w:rPr>
      </w:pPr>
    </w:p>
    <w:p>
      <w:pPr>
        <w:pStyle w:val="10"/>
        <w:adjustRightInd w:val="0"/>
        <w:snapToGrid w:val="0"/>
        <w:spacing w:line="30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10"/>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10"/>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10"/>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10"/>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10"/>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10"/>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10"/>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10"/>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10"/>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4"/>
      </w:pPr>
      <w:bookmarkStart w:id="7" w:name="_Toc144974548"/>
      <w:bookmarkStart w:id="8" w:name="_Toc247085739"/>
      <w:bookmarkStart w:id="9" w:name="_Toc371433002"/>
      <w:bookmarkStart w:id="10" w:name="_Toc152042358"/>
      <w:bookmarkStart w:id="11" w:name="_Toc152045581"/>
      <w:bookmarkStart w:id="12" w:name="_Toc179632599"/>
      <w:r>
        <w:rPr>
          <w:rFonts w:hint="eastAsia"/>
        </w:rPr>
        <w:t>附件一报价记录表</w:t>
      </w:r>
      <w:bookmarkEnd w:id="7"/>
      <w:bookmarkEnd w:id="8"/>
      <w:bookmarkEnd w:id="9"/>
      <w:bookmarkEnd w:id="10"/>
      <w:bookmarkEnd w:id="11"/>
      <w:bookmarkEnd w:id="12"/>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广州市净水有限公司大沙地污水处理厂片区控规修改技术服务</w:t>
      </w:r>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项目</w:t>
      </w: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0"/>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 xml:space="preserve">项目名称:广州市净水有限公司大沙地污水处理厂片区控规修改技术服务项目 </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广州市净水有限公司大沙地污水处理厂片区控规修改技术服务项目的承包单位，承包内容为询价文件所规定的发包内容，报价为人民币×拾×万×仟×佰元（￥元）。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8"/>
        <w:numPr>
          <w:ilvl w:val="0"/>
          <w:numId w:val="3"/>
        </w:numPr>
      </w:pPr>
      <w:r>
        <w:rPr>
          <w:rFonts w:hint="eastAsia"/>
        </w:rPr>
        <w:t>合同书格式</w:t>
      </w:r>
    </w:p>
    <w:p>
      <w:pPr>
        <w:pStyle w:val="5"/>
        <w:jc w:val="center"/>
        <w:rPr>
          <w:rFonts w:hint="eastAsia" w:eastAsiaTheme="minorEastAsia"/>
          <w:lang w:val="en-US" w:eastAsia="zh-CN"/>
        </w:rPr>
      </w:pPr>
      <w:r>
        <w:rPr>
          <w:rFonts w:hint="eastAsia"/>
        </w:rPr>
        <w:t>大沙地污水处理厂片区控规修改技术服务</w:t>
      </w:r>
      <w:r>
        <w:rPr>
          <w:rFonts w:hint="eastAsia"/>
          <w:lang w:val="en-US" w:eastAsia="zh-CN"/>
        </w:rPr>
        <w:t>合同</w:t>
      </w: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single"/>
        </w:rPr>
        <w:t>广州市</w:t>
      </w:r>
      <w:r>
        <w:rPr>
          <w:rFonts w:hint="eastAsia" w:ascii="宋体" w:hAnsi="宋体" w:cs="宋体"/>
          <w:bCs/>
          <w:color w:val="000000"/>
          <w:sz w:val="24"/>
          <w:szCs w:val="24"/>
          <w:u w:val="singl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10"/>
        <w:spacing w:line="360" w:lineRule="auto"/>
        <w:ind w:firstLine="480" w:firstLineChars="200"/>
        <w:rPr>
          <w:rFonts w:hAnsi="宋体" w:cs="宋体"/>
          <w:color w:val="000000"/>
          <w:sz w:val="24"/>
          <w:szCs w:val="24"/>
        </w:rPr>
      </w:pPr>
      <w:r>
        <w:rPr>
          <w:rFonts w:hint="eastAsia" w:hAnsi="宋体" w:cs="宋体"/>
          <w:color w:val="000000"/>
          <w:sz w:val="24"/>
          <w:szCs w:val="24"/>
        </w:rPr>
        <w:t>甲方就</w:t>
      </w:r>
      <w:r>
        <w:rPr>
          <w:rFonts w:hint="eastAsia" w:hAnsi="宋体" w:cs="宋体"/>
          <w:sz w:val="24"/>
          <w:szCs w:val="24"/>
          <w:u w:val="single"/>
        </w:rPr>
        <w:t>大沙地污水处理厂片区控规修改技术服务项目</w:t>
      </w:r>
      <w:r>
        <w:rPr>
          <w:rFonts w:hint="eastAsia" w:hAnsi="宋体" w:cs="宋体"/>
          <w:color w:val="000000"/>
          <w:sz w:val="24"/>
          <w:szCs w:val="24"/>
        </w:rPr>
        <w:t>委托乙方提供相应工作成果。经双方协商一致，签订本合同。</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1.1《中华人民共和国民法典》、《中华人民共和国城乡规划法》、《中华人民共和国建筑法》、《建设工程勘察设计管理条例》、《广州市城乡规划条例》</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国家及地方有关规划、建设工程勘察设计管理法规和规章。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1.3 建设工程批准文件。</w:t>
      </w:r>
    </w:p>
    <w:p>
      <w:pPr>
        <w:pStyle w:val="2"/>
        <w:rPr>
          <w:rFonts w:hAnsi="宋体"/>
        </w:rPr>
      </w:pP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2.3 乙方采用的主要技术标准包括但不限于：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《城市规划编制办法》</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《城市用地分类与规划建设用地标准》（GBJ137-2011）</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《村镇规划标准》（GB50188-93）</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《城市居住区规划设计规范》（GB50180-93)</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《城市道路交通规划设计规范》（GB50220-95)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大沙地污水处理厂片区控规修改技术服务</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highlight w:val="yellow"/>
        </w:rPr>
      </w:pPr>
      <w:r>
        <w:rPr>
          <w:rFonts w:hint="eastAsia" w:asciiTheme="minorEastAsia" w:hAnsiTheme="minorEastAsia" w:cstheme="minorEastAsia"/>
          <w:sz w:val="24"/>
          <w:szCs w:val="24"/>
        </w:rPr>
        <w:t>项目地点：</w:t>
      </w:r>
      <w:r>
        <w:rPr>
          <w:rFonts w:hint="eastAsia" w:asciiTheme="minorEastAsia" w:hAnsiTheme="minorEastAsia" w:cstheme="minorEastAsia"/>
          <w:sz w:val="24"/>
          <w:szCs w:val="24"/>
          <w:u w:val="single"/>
        </w:rPr>
        <w:t xml:space="preserve">  广州市黄埔区大沙地污水处理厂。</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用地面积：</w:t>
      </w:r>
      <w:r>
        <w:rPr>
          <w:rFonts w:hint="eastAsia" w:asciiTheme="minorEastAsia" w:hAnsiTheme="minorEastAsia" w:cstheme="minorEastAsia"/>
          <w:sz w:val="24"/>
          <w:szCs w:val="24"/>
          <w:u w:val="single"/>
        </w:rPr>
        <w:t xml:space="preserve">  本项目地块用地面积33.9公顷。</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建筑面积：</w:t>
      </w:r>
      <w:r>
        <w:rPr>
          <w:rFonts w:hint="eastAsia" w:asciiTheme="minorEastAsia" w:hAnsiTheme="minorEastAsia" w:cstheme="minorEastAsia"/>
          <w:sz w:val="24"/>
          <w:szCs w:val="24"/>
          <w:u w:val="single"/>
        </w:rPr>
        <w:t xml:space="preserve">  以相关职能部门审批文件为准</w:t>
      </w:r>
      <w:r>
        <w:rPr>
          <w:rFonts w:hint="eastAsia" w:asciiTheme="minorEastAsia" w:hAnsiTheme="minorEastAsia" w:cstheme="minorEastAsia"/>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正值鱼珠片区旧厂搬迁改造、大沙地污水处理厂周边更新改造正加速开展契机，大沙地污水处理厂现状用地性质为环境卫生设施用地，与鱼珠片区整体发展定位不符，拟开展大沙地污水处理厂片区控规修改工作，以加快推动广州人工智能与数字经济试验区鱼珠片区建设，释放污水处理厂片区存量空间，提升土地价值。工作内容如下：</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4</w:t>
      </w:r>
      <w:r>
        <w:rPr>
          <w:rFonts w:asciiTheme="minorEastAsia" w:hAnsiTheme="minorEastAsia" w:cstheme="minorEastAsia"/>
          <w:sz w:val="24"/>
          <w:szCs w:val="24"/>
        </w:rPr>
        <w:t>.1</w:t>
      </w:r>
      <w:r>
        <w:rPr>
          <w:rFonts w:hint="eastAsia" w:asciiTheme="minorEastAsia" w:hAnsiTheme="minorEastAsia" w:cstheme="minorEastAsia"/>
          <w:sz w:val="24"/>
          <w:szCs w:val="24"/>
        </w:rPr>
        <w:t>编制控规修改方案</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根据项目实际需求开展控规修改方案编制，包括控规修改必要性论证专题及控规修改报告，具体包括：项目概况、申请控规修改的原因、申请控规修改的内容、公示情况及部门意见落实情况及提请会议审议内容等。</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4</w:t>
      </w:r>
      <w:r>
        <w:rPr>
          <w:rFonts w:asciiTheme="minorEastAsia" w:hAnsiTheme="minorEastAsia" w:cstheme="minorEastAsia"/>
          <w:sz w:val="24"/>
          <w:szCs w:val="24"/>
        </w:rPr>
        <w:t>.2</w:t>
      </w:r>
      <w:r>
        <w:rPr>
          <w:rFonts w:hint="eastAsia" w:asciiTheme="minorEastAsia" w:hAnsiTheme="minorEastAsia" w:cstheme="minorEastAsia"/>
          <w:sz w:val="24"/>
          <w:szCs w:val="24"/>
        </w:rPr>
        <w:t>生态廊道专章</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结合现状生态廊道等级及其相关技术要求，对生态廊道内容进行论证。</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4</w:t>
      </w:r>
      <w:r>
        <w:rPr>
          <w:rFonts w:asciiTheme="minorEastAsia" w:hAnsiTheme="minorEastAsia" w:cstheme="minorEastAsia"/>
          <w:sz w:val="24"/>
          <w:szCs w:val="24"/>
        </w:rPr>
        <w:t>.3</w:t>
      </w:r>
      <w:r>
        <w:rPr>
          <w:rFonts w:hint="eastAsia" w:asciiTheme="minorEastAsia" w:hAnsiTheme="minorEastAsia" w:cstheme="minorEastAsia"/>
          <w:sz w:val="24"/>
          <w:szCs w:val="24"/>
        </w:rPr>
        <w:t>其它专项</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包括对交通影响、环境影响、市政基础设施承载力等专项提出评估结论和改善建议措施。</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 4</w:t>
      </w:r>
      <w:r>
        <w:rPr>
          <w:rFonts w:asciiTheme="minorEastAsia" w:hAnsiTheme="minorEastAsia" w:cstheme="minorEastAsia"/>
          <w:sz w:val="24"/>
          <w:szCs w:val="24"/>
        </w:rPr>
        <w:t>.4</w:t>
      </w:r>
      <w:r>
        <w:rPr>
          <w:rFonts w:hint="eastAsia" w:asciiTheme="minorEastAsia" w:hAnsiTheme="minorEastAsia" w:cstheme="minorEastAsia"/>
          <w:sz w:val="24"/>
          <w:szCs w:val="24"/>
        </w:rPr>
        <w:t>文件公示</w:t>
      </w:r>
    </w:p>
    <w:p>
      <w:pPr>
        <w:tabs>
          <w:tab w:val="left" w:pos="1620"/>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制做公示图件，打印公示图板，协助进行现场公示挂牌及拍照存证，对其公示结果展开说明。</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4.</w:t>
      </w:r>
      <w:r>
        <w:rPr>
          <w:rFonts w:asciiTheme="minorEastAsia" w:hAnsiTheme="minorEastAsia" w:cstheme="minorEastAsia"/>
          <w:sz w:val="24"/>
          <w:szCs w:val="24"/>
        </w:rPr>
        <w:t>5</w:t>
      </w:r>
      <w:r>
        <w:rPr>
          <w:rFonts w:hint="eastAsia" w:asciiTheme="minorEastAsia" w:hAnsiTheme="minorEastAsia" w:cstheme="minorEastAsia"/>
          <w:sz w:val="24"/>
          <w:szCs w:val="24"/>
        </w:rPr>
        <w:t>文件提交</w:t>
      </w:r>
    </w:p>
    <w:p>
      <w:pPr>
        <w:adjustRightInd w:val="0"/>
        <w:spacing w:line="360" w:lineRule="auto"/>
        <w:ind w:firstLine="480" w:firstLineChars="200"/>
        <w:jc w:val="left"/>
        <w:textAlignment w:val="baseline"/>
        <w:outlineLvl w:val="0"/>
        <w:rPr>
          <w:rFonts w:asciiTheme="minorEastAsia" w:hAnsiTheme="minorEastAsia" w:cstheme="minorEastAsia"/>
          <w:sz w:val="24"/>
          <w:szCs w:val="24"/>
        </w:rPr>
      </w:pPr>
      <w:r>
        <w:rPr>
          <w:rFonts w:hint="eastAsia" w:asciiTheme="minorEastAsia" w:hAnsiTheme="minorEastAsia" w:cstheme="minorEastAsia"/>
          <w:sz w:val="24"/>
          <w:szCs w:val="24"/>
        </w:rPr>
        <w:t>提交成果包括纸质版和电子版的文本及相关图件，其中：文本文件采用pdf或word格式文件，图形文件采用DWG或JPG格式文件，汇报演示文件采用PPT格式，政府部门有其他要求时，按照要求提交。</w:t>
      </w:r>
    </w:p>
    <w:p>
      <w:pPr>
        <w:adjustRightInd w:val="0"/>
        <w:spacing w:line="360" w:lineRule="auto"/>
        <w:jc w:val="left"/>
        <w:textAlignment w:val="baseline"/>
        <w:rPr>
          <w:rFonts w:ascii="宋体" w:hAnsi="宋体" w:cs="宋体"/>
          <w:b/>
          <w:bCs/>
          <w:sz w:val="24"/>
          <w:szCs w:val="24"/>
          <w:highlight w:val="none"/>
        </w:rPr>
      </w:pPr>
      <w:r>
        <w:rPr>
          <w:rFonts w:hint="eastAsia" w:ascii="宋体" w:hAnsi="宋体" w:cs="宋体"/>
          <w:b/>
          <w:bCs/>
          <w:sz w:val="24"/>
          <w:szCs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sz w:val="24"/>
          <w:szCs w:val="24"/>
          <w:highlight w:val="yellow"/>
        </w:rPr>
      </w:pPr>
      <w:r>
        <w:rPr>
          <w:rFonts w:hint="eastAsia" w:ascii="宋体" w:hAnsi="宋体" w:cs="宋体"/>
          <w:sz w:val="24"/>
          <w:szCs w:val="24"/>
          <w:highlight w:val="none"/>
        </w:rPr>
        <w:t>5.1本合同签订后，乙方应在3工作日内提交编制计划及参编人员名单。合同执行中，乙方如需更换设计人员的，需征得甲方书面同意。控规修改初步方案(第一次成果)应按编制计划所列时间提交，用于与甲方前期沟通。编制计划所列的控规修改初步方案(第一次成果)提交时间应不晚于本合同签署后</w:t>
      </w:r>
      <w:r>
        <w:rPr>
          <w:rFonts w:ascii="宋体" w:hAnsi="宋体" w:cs="宋体"/>
          <w:sz w:val="24"/>
          <w:szCs w:val="24"/>
          <w:highlight w:val="none"/>
        </w:rPr>
        <w:t>7</w:t>
      </w:r>
      <w:r>
        <w:rPr>
          <w:rFonts w:hint="eastAsia" w:ascii="宋体" w:hAnsi="宋体" w:cs="宋体"/>
          <w:sz w:val="24"/>
          <w:szCs w:val="24"/>
          <w:highlight w:val="none"/>
        </w:rPr>
        <w:t>日，且控规修改方案内需包含初步设计方案成果。</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5.2自收到甲方反馈的书面意见意见后3</w:t>
      </w:r>
      <w:r>
        <w:rPr>
          <w:rFonts w:ascii="宋体" w:hAnsi="宋体" w:cs="宋体"/>
          <w:sz w:val="24"/>
          <w:szCs w:val="24"/>
          <w:highlight w:val="none"/>
        </w:rPr>
        <w:t>0</w:t>
      </w:r>
      <w:r>
        <w:rPr>
          <w:rFonts w:hint="eastAsia" w:ascii="宋体" w:hAnsi="宋体" w:cs="宋体"/>
          <w:sz w:val="24"/>
          <w:szCs w:val="24"/>
          <w:highlight w:val="none"/>
        </w:rPr>
        <w:t>日内，乙方向甲方交付控规修改深化方案（第二次成果），该成果用于征求市、区各相关部门意见，并根据各部门意见修改完善控规修改方案后，排期上区规划和自然资源局行政审查会。</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5.3通过行政审查会后，进行为期30日的控规修改公示。乙方结合各公示意见后，于15日内进行深化完善，报区规划和自然资源局，排期上控规修改专家会。</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w:t>
      </w:r>
      <w:r>
        <w:rPr>
          <w:rFonts w:ascii="宋体" w:hAnsi="宋体" w:cs="宋体"/>
          <w:sz w:val="24"/>
          <w:szCs w:val="24"/>
          <w:highlight w:val="none"/>
        </w:rPr>
        <w:t xml:space="preserve">.4 </w:t>
      </w:r>
      <w:r>
        <w:rPr>
          <w:rFonts w:hint="eastAsia" w:ascii="宋体" w:hAnsi="宋体" w:cs="宋体"/>
          <w:sz w:val="24"/>
          <w:szCs w:val="24"/>
          <w:highlight w:val="none"/>
        </w:rPr>
        <w:t>乙方依据控规修改专家会结果，于15日内进行进一步完善，报送区规划和自然资源局，排期上控规修改规划委员会，形成报批成果，并向甲方交付正式的最终规划设计成果报告书（第三次成果）。暂定纸质打印成果一式八份（彩色硬壳封面，铜版纸或者专用纸等），电子档一份（未加密且可编辑格式），具体以甲方通知为准。</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5.5取得批复后，制作控制性详细规划上网技术文件，完成控规上网。</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5.6其它专项评估与控规修改报告同步编制。</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5.7如有必要提供上述第5.3条以外的规划成果时，超出份数规划成果的制作成本费由甲方另行支付。成本费具体数额根据当时市场行情由甲方和乙方协商确定。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highlight w:val="none"/>
        </w:rPr>
        <w:t>5.8乙方应配合甲方开展结算工作并提交结算的相关资料,若乙方在接到甲方通知后逾期超过30天未提交完整的结算资料和结算报告等，甲方有权单方自行结算，由此产生的一切责任由乙方承担。</w:t>
      </w:r>
    </w:p>
    <w:p>
      <w:pPr>
        <w:pStyle w:val="19"/>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6.1本合同总价包干暂定为人民币XX万元（大写：人民币XXX），含税率。甲、乙双方同意，对属于《广州市财政投资评审管理办法》评审范围的财政性资金投资项目，财政投资评审结果作为该项目价款结算的依据。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6.2本合同采用总价包干，工作内容包括完成本合同项下的所有工作（包含但不限于报告编制和报审、现状展示视频制作及公示期间相关工作的配合）。</w:t>
      </w:r>
    </w:p>
    <w:p>
      <w:pPr>
        <w:pStyle w:val="19"/>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支付办法：本合同生效后，甲方按照</w:t>
      </w:r>
      <w:r>
        <w:rPr>
          <w:rFonts w:hint="eastAsia" w:ascii="宋体" w:hAnsi="宋体" w:cs="宋体"/>
          <w:sz w:val="24"/>
          <w:szCs w:val="24"/>
          <w:u w:val="single"/>
        </w:rPr>
        <w:t>《广州市净水有限公司资金集中支付管理办法》（穗净水[2015]278号）（见附件1）的</w:t>
      </w:r>
      <w:r>
        <w:rPr>
          <w:rFonts w:hint="eastAsia" w:ascii="宋体" w:hAnsi="宋体" w:cs="宋体"/>
          <w:sz w:val="24"/>
          <w:szCs w:val="24"/>
        </w:rPr>
        <w:t>操作程序，向乙方支付合同费用。</w:t>
      </w:r>
    </w:p>
    <w:p>
      <w:pPr>
        <w:pStyle w:val="2"/>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720" w:firstLineChars="300"/>
        <w:rPr>
          <w:rFonts w:ascii="宋体" w:hAnsi="宋体" w:cs="宋体"/>
          <w:sz w:val="24"/>
        </w:rPr>
      </w:pP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7.2 本合同生效后，乙方向甲方提出定金支付申请，甲方向乙方支付合同包干价的20％作为定金，计</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7.3 乙方应于当月20日前将工程支付申请书一式四份报送给甲方，规划设计费按照以下方式予以支付：</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 xml:space="preserve">7.3.1 乙方提交本合同5.2所述规划设计成果报告书（第二次成果）至甲方审议，并通过行政审查会后，甲方向乙方支付至合同包干价的60%（含定金）。 </w:t>
      </w:r>
    </w:p>
    <w:p>
      <w:pPr>
        <w:overflowPunct w:val="0"/>
        <w:adjustRightInd w:val="0"/>
        <w:spacing w:line="360" w:lineRule="auto"/>
        <w:ind w:firstLine="480" w:firstLineChars="200"/>
        <w:jc w:val="left"/>
        <w:textAlignment w:val="baseline"/>
        <w:rPr>
          <w:rFonts w:ascii="宋体" w:hAnsi="宋体" w:cs="宋体"/>
          <w:color w:val="FF0000"/>
          <w:sz w:val="24"/>
          <w:szCs w:val="24"/>
          <w:highlight w:val="none"/>
        </w:rPr>
      </w:pPr>
      <w:r>
        <w:rPr>
          <w:rFonts w:hint="eastAsia" w:ascii="宋体" w:hAnsi="宋体" w:cs="宋体"/>
          <w:sz w:val="24"/>
          <w:szCs w:val="24"/>
          <w:highlight w:val="none"/>
        </w:rPr>
        <w:t>7.3.2 乙方提交本合同5.</w:t>
      </w:r>
      <w:r>
        <w:rPr>
          <w:rFonts w:ascii="宋体" w:hAnsi="宋体" w:cs="宋体"/>
          <w:sz w:val="24"/>
          <w:szCs w:val="24"/>
          <w:highlight w:val="none"/>
        </w:rPr>
        <w:t>4</w:t>
      </w:r>
      <w:r>
        <w:rPr>
          <w:rFonts w:hint="eastAsia" w:ascii="宋体" w:hAnsi="宋体" w:cs="宋体"/>
          <w:sz w:val="24"/>
          <w:szCs w:val="24"/>
          <w:highlight w:val="none"/>
        </w:rPr>
        <w:t>所述最终规划设计成果报告书（第三次成果）并通过区规委会后，甲方向乙方支付至合同包干价的80%（含定金）。</w:t>
      </w:r>
    </w:p>
    <w:p>
      <w:pPr>
        <w:overflowPunct w:val="0"/>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7.3.3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highlight w:val="none"/>
        </w:rPr>
        <w:t>7.3.4</w:t>
      </w:r>
      <w:r>
        <w:rPr>
          <w:rFonts w:hint="eastAsia" w:ascii="宋体" w:hAnsi="宋体"/>
          <w:sz w:val="24"/>
          <w:szCs w:val="24"/>
          <w:highlight w:val="none"/>
        </w:rPr>
        <w:t>如合同项目非财政性资金投资项目，待完成上网文件制作且相关部门终审结算后，甲方支付至合同结算价的100%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7.5乙方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8.1.3甲方要求乙方比合同规定时间提前交付编制文件时，需提前通知乙方，且征得乙方同意，不得严重背离合理编制周期。</w:t>
      </w:r>
    </w:p>
    <w:p>
      <w:pPr>
        <w:pStyle w:val="5"/>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w:t>
      </w:r>
      <w:r>
        <w:rPr>
          <w:rFonts w:ascii="宋体" w:hAnsi="宋体" w:cs="宋体"/>
          <w:sz w:val="24"/>
          <w:szCs w:val="24"/>
        </w:rPr>
        <w:t>2</w:t>
      </w:r>
      <w:r>
        <w:rPr>
          <w:rFonts w:hint="eastAsia" w:ascii="宋体" w:hAnsi="宋体" w:cs="宋体"/>
          <w:sz w:val="24"/>
          <w:szCs w:val="24"/>
        </w:rPr>
        <w:t>由于乙方自身原因，延误了按本合同第五条规定的规划设计成果交付时间，每延误一天应减收该项目合同价的2‰，</w:t>
      </w:r>
      <w:r>
        <w:rPr>
          <w:rFonts w:hint="eastAsia"/>
          <w:sz w:val="24"/>
          <w:szCs w:val="24"/>
        </w:rPr>
        <w:t>逾期超过30天，甲方有权解除合同，要求乙方返还已收取的费用</w:t>
      </w:r>
      <w:r>
        <w:rPr>
          <w:rFonts w:hint="eastAsia" w:ascii="宋体" w:hAnsi="宋体" w:cs="宋体"/>
          <w:sz w:val="24"/>
          <w:szCs w:val="24"/>
        </w:rPr>
        <w:t>。由此给甲方造成损失的，乙方应承担赔偿责任。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w:t>
      </w:r>
      <w:r>
        <w:rPr>
          <w:rFonts w:ascii="宋体" w:hAnsi="宋体" w:cs="宋体"/>
          <w:sz w:val="24"/>
          <w:szCs w:val="24"/>
        </w:rPr>
        <w:t>3</w:t>
      </w:r>
      <w:r>
        <w:rPr>
          <w:rFonts w:hint="eastAsia" w:ascii="宋体" w:hAnsi="宋体" w:cs="宋体"/>
          <w:sz w:val="24"/>
          <w:szCs w:val="24"/>
        </w:rPr>
        <w:t>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w:t>
      </w:r>
      <w:r>
        <w:rPr>
          <w:rFonts w:ascii="宋体" w:hAnsi="宋体" w:cs="宋体"/>
          <w:sz w:val="24"/>
          <w:szCs w:val="24"/>
        </w:rPr>
        <w:t>4</w:t>
      </w:r>
      <w:r>
        <w:rPr>
          <w:rFonts w:hint="eastAsia" w:ascii="宋体" w:hAnsi="宋体" w:cs="宋体"/>
          <w:sz w:val="24"/>
          <w:szCs w:val="24"/>
        </w:rPr>
        <w:t>若标准或计划变更，经甲方同意，乙方可顺延期限。</w:t>
      </w:r>
    </w:p>
    <w:p>
      <w:pPr>
        <w:spacing w:line="360" w:lineRule="auto"/>
        <w:ind w:firstLine="480" w:firstLineChars="200"/>
        <w:rPr>
          <w:sz w:val="24"/>
          <w:szCs w:val="24"/>
        </w:rPr>
      </w:pPr>
      <w:r>
        <w:rPr>
          <w:rFonts w:hint="eastAsia" w:ascii="宋体" w:hAnsi="宋体" w:cs="宋体"/>
          <w:sz w:val="24"/>
          <w:szCs w:val="24"/>
        </w:rPr>
        <w:t>8.2.</w:t>
      </w:r>
      <w:r>
        <w:rPr>
          <w:rFonts w:ascii="宋体" w:hAnsi="宋体" w:cs="宋体"/>
          <w:sz w:val="24"/>
          <w:szCs w:val="24"/>
        </w:rPr>
        <w:t>5</w:t>
      </w:r>
      <w:r>
        <w:rPr>
          <w:rFonts w:hint="eastAsia" w:ascii="宋体" w:hAnsi="宋体" w:cs="宋体"/>
          <w:sz w:val="24"/>
          <w:szCs w:val="24"/>
        </w:rPr>
        <w:t>合同生效后，非甲方原因乙方要求解除合同的，</w:t>
      </w:r>
      <w:r>
        <w:rPr>
          <w:rFonts w:hint="eastAsia"/>
          <w:sz w:val="24"/>
          <w:szCs w:val="24"/>
        </w:rPr>
        <w:t>应向甲方返还已收取的费用，支付合同包干价20%的违约金，如给甲方造成损失的，应承担赔偿责任。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 乙方交付的成果不符合合同约定的，甲方有权要求乙方在指定的时间内重新提交，交付时间不顺延。乙方未能在指定时间内重新提交或重新提交的成果仍不符合合同约定的，甲方有权解除合同，要求乙方返还已收取的费用。</w:t>
      </w:r>
    </w:p>
    <w:p>
      <w:pPr>
        <w:adjustRightInd w:val="0"/>
        <w:spacing w:line="360" w:lineRule="auto"/>
        <w:jc w:val="left"/>
        <w:textAlignment w:val="baseline"/>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第九条</w:t>
      </w:r>
      <w:r>
        <w:rPr>
          <w:rFonts w:ascii="宋体" w:hAnsi="宋体" w:cs="宋体"/>
          <w:b/>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知识产权</w:t>
      </w:r>
    </w:p>
    <w:p>
      <w:pPr>
        <w:adjustRightInd w:val="0"/>
        <w:spacing w:line="360" w:lineRule="auto"/>
        <w:ind w:firstLine="480" w:firstLineChars="200"/>
        <w:jc w:val="lef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11"/>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11"/>
        <w:spacing w:line="360" w:lineRule="auto"/>
        <w:ind w:left="0" w:leftChars="0" w:firstLine="720" w:firstLineChars="300"/>
        <w:rPr>
          <w:rFonts w:ascii="宋体" w:hAnsi="宋体" w:cs="宋体"/>
          <w:color w:val="000000"/>
          <w:sz w:val="24"/>
          <w:szCs w:val="24"/>
        </w:rPr>
      </w:pPr>
      <w:r>
        <w:rPr>
          <w:rFonts w:hint="eastAsia" w:ascii="宋体" w:hAnsi="宋体" w:cs="宋体"/>
          <w:color w:val="000000"/>
          <w:sz w:val="24"/>
          <w:szCs w:val="24"/>
        </w:rPr>
        <w:t>附件1：</w:t>
      </w:r>
      <w:r>
        <w:rPr>
          <w:rFonts w:hint="eastAsia" w:ascii="宋体" w:hAnsi="宋体" w:cs="宋体"/>
          <w:b/>
          <w:bCs/>
          <w:szCs w:val="21"/>
        </w:rPr>
        <w:t>发包通知书</w:t>
      </w:r>
      <w:r>
        <w:rPr>
          <w:rFonts w:hint="eastAsia" w:ascii="宋体" w:hAnsi="宋体" w:cs="宋体"/>
          <w:color w:val="000000"/>
          <w:sz w:val="24"/>
          <w:szCs w:val="24"/>
        </w:rPr>
        <w:t xml:space="preserve"> </w:t>
      </w:r>
    </w:p>
    <w:p>
      <w:pPr>
        <w:pStyle w:val="11"/>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附件2：</w:t>
      </w:r>
      <w:r>
        <w:rPr>
          <w:rFonts w:hint="eastAsia" w:ascii="宋体" w:hAnsi="宋体" w:cs="宋体"/>
          <w:b/>
          <w:bCs/>
          <w:szCs w:val="21"/>
        </w:rPr>
        <w:t>廉洁协议</w:t>
      </w:r>
      <w:r>
        <w:rPr>
          <w:rFonts w:hint="eastAsia" w:ascii="宋体" w:hAnsi="宋体" w:cs="宋体"/>
          <w:color w:val="000000"/>
          <w:sz w:val="24"/>
          <w:szCs w:val="24"/>
        </w:rPr>
        <w:t xml:space="preserve"> </w:t>
      </w:r>
    </w:p>
    <w:p>
      <w:pPr>
        <w:pStyle w:val="11"/>
        <w:spacing w:line="360" w:lineRule="auto"/>
        <w:ind w:left="584" w:leftChars="278" w:firstLine="120" w:firstLineChars="50"/>
        <w:rPr>
          <w:rFonts w:ascii="宋体" w:hAnsi="宋体" w:cs="宋体"/>
          <w:color w:val="000000"/>
          <w:sz w:val="24"/>
          <w:szCs w:val="24"/>
        </w:rPr>
      </w:pPr>
      <w:r>
        <w:rPr>
          <w:rFonts w:hint="eastAsia" w:ascii="宋体" w:hAnsi="宋体" w:cs="宋体"/>
          <w:color w:val="000000"/>
          <w:sz w:val="24"/>
          <w:szCs w:val="24"/>
        </w:rPr>
        <w:t>（以下无正文）</w:t>
      </w:r>
    </w:p>
    <w:tbl>
      <w:tblPr>
        <w:tblStyle w:val="20"/>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w:t>
      </w:r>
      <w:r>
        <w:rPr>
          <w:rFonts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14:textFill>
            <w14:solidFill>
              <w14:schemeClr w14:val="tx1"/>
            </w14:solidFill>
          </w14:textFill>
        </w:rPr>
        <w:t>发包通知书</w:t>
      </w:r>
    </w:p>
    <w:p>
      <w:pPr>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w:t>
      </w:r>
      <w:r>
        <w:rPr>
          <w:rFonts w:ascii="宋体" w:hAnsi="宋体" w:cs="宋体"/>
          <w:b/>
          <w:bCs/>
          <w:color w:val="000000" w:themeColor="text1"/>
          <w:szCs w:val="21"/>
          <w14:textFill>
            <w14:solidFill>
              <w14:schemeClr w14:val="tx1"/>
            </w14:solidFill>
          </w14:textFill>
        </w:rPr>
        <w:t>2</w:t>
      </w:r>
      <w:r>
        <w:rPr>
          <w:rFonts w:hint="eastAsia" w:ascii="宋体" w:hAnsi="宋体" w:cs="宋体"/>
          <w:b/>
          <w:bCs/>
          <w:color w:val="000000" w:themeColor="text1"/>
          <w:szCs w:val="21"/>
          <w14:textFill>
            <w14:solidFill>
              <w14:schemeClr w14:val="tx1"/>
            </w14:solidFill>
          </w14:textFill>
        </w:rPr>
        <w:t>廉洁协议</w:t>
      </w:r>
    </w:p>
    <w:p>
      <w:pPr>
        <w:pStyle w:val="2"/>
        <w:rPr>
          <w:color w:val="000000" w:themeColor="text1"/>
          <w14:textFill>
            <w14:solidFill>
              <w14:schemeClr w14:val="tx1"/>
            </w14:solidFill>
          </w14:textFill>
        </w:rPr>
      </w:pPr>
    </w:p>
    <w:p>
      <w:pPr>
        <w:spacing w:line="360" w:lineRule="auto"/>
        <w:jc w:val="center"/>
        <w:rPr>
          <w:rFonts w:ascii="宋体" w:hAnsi="宋体"/>
          <w:b/>
          <w:color w:val="000000" w:themeColor="text1"/>
          <w:sz w:val="32"/>
          <w:szCs w:val="32"/>
          <w14:textFill>
            <w14:solidFill>
              <w14:schemeClr w14:val="tx1"/>
            </w14:solidFill>
          </w14:textFill>
        </w:rPr>
      </w:pPr>
      <w:bookmarkStart w:id="13" w:name="_Toc387080836"/>
      <w:bookmarkStart w:id="14" w:name="_Toc389815031"/>
      <w:bookmarkStart w:id="15" w:name="_Toc389815339"/>
      <w:r>
        <w:rPr>
          <w:rFonts w:hint="eastAsia" w:ascii="宋体" w:hAnsi="宋体"/>
          <w:b/>
          <w:color w:val="000000" w:themeColor="text1"/>
          <w:sz w:val="32"/>
          <w:szCs w:val="32"/>
          <w14:textFill>
            <w14:solidFill>
              <w14:schemeClr w14:val="tx1"/>
            </w14:solidFill>
          </w14:textFill>
        </w:rPr>
        <w:t>廉洁协议</w:t>
      </w:r>
    </w:p>
    <w:p>
      <w:pPr>
        <w:spacing w:line="360" w:lineRule="auto"/>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color w:val="000000" w:themeColor="text1"/>
          <w:sz w:val="24"/>
          <w:u w:val="single"/>
          <w14:textFill>
            <w14:solidFill>
              <w14:schemeClr w14:val="tx1"/>
            </w14:solidFill>
          </w14:textFill>
        </w:rPr>
        <w:t>广州市净水有限公司</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以下称甲方</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与</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以下称乙方</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，特此订立本协议共同遵照执行。</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第一条甲乙双方的权利和义务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（二）严格执行（以下简称：主合同），自觉履行合同约定的相关义务。</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（三）在业务活动中坚持公开、公正、诚信、透明的原则，不得损害国家、集体利益。</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（四）建立健全廉洁从业制度，开展廉洁教育，公布举报电话，监督并认真查处不廉洁及违法违纪行为。</w:t>
      </w:r>
    </w:p>
    <w:p>
      <w:pPr>
        <w:spacing w:line="360" w:lineRule="auto"/>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第二条甲方的义务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（七）甲方工作人员不得接受乙方给予或赠送的干股或红利。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第三条乙方的义务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（一）乙方不得以任何理由向甲方及其工作人员行贿或馈赠礼金、有价证券、贵重礼品。</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乙方不得以任何名义为甲方及其工作人员报销应由甲方单位或个人支付的任何费用。</w:t>
      </w:r>
    </w:p>
    <w:p>
      <w:pPr>
        <w:spacing w:line="360" w:lineRule="auto"/>
        <w:ind w:left="25" w:leftChars="12"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（三）乙方不得以任何理由安排甲方工作人员参加可能影响相关业务公开、公正、公平性的宴请及娱乐活动。</w:t>
      </w:r>
    </w:p>
    <w:p>
      <w:pPr>
        <w:pStyle w:val="11"/>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（七）乙方不得向甲方工作人员提供干股或红利。</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第四条违约责任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甲方举报投诉联系部门：广州市净水有限公司</w:t>
      </w:r>
      <w:r>
        <w:rPr>
          <w:rFonts w:hint="eastAsia" w:ascii="宋体" w:hAnsi="宋体"/>
          <w:color w:val="000000" w:themeColor="text1"/>
          <w:sz w:val="24"/>
          <w:u w:val="single"/>
          <w14:textFill>
            <w14:solidFill>
              <w14:schemeClr w14:val="tx1"/>
            </w14:solidFill>
          </w14:textFill>
        </w:rPr>
        <w:t>纪检室</w:t>
      </w:r>
      <w:r>
        <w:rPr>
          <w:rFonts w:hint="eastAsia" w:ascii="宋体" w:hAnsi="宋体"/>
          <w:color w:val="000000" w:themeColor="text1"/>
          <w:sz w:val="24"/>
          <w14:textFill>
            <w14:solidFill>
              <w14:schemeClr w14:val="tx1"/>
            </w14:solidFill>
          </w14:textFill>
        </w:rPr>
        <w:t>，联系电话：</w:t>
      </w:r>
      <w:r>
        <w:rPr>
          <w:rFonts w:ascii="宋体" w:hAnsi="宋体"/>
          <w:color w:val="000000" w:themeColor="text1"/>
          <w:sz w:val="24"/>
          <w:u w:val="single"/>
          <w14:textFill>
            <w14:solidFill>
              <w14:schemeClr w14:val="tx1"/>
            </w14:solidFill>
          </w14:textFill>
        </w:rPr>
        <w:t xml:space="preserve"> 020-38890265 </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、扣除乙方全部履约保证金；</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、解除主合同；</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、追究乙方合同其他违约责任；</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、根据甲方及其上级单位、主管部门的有关规定，对乙方违反廉洁协议的行为限制其参与招投标活动的资格。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color w:val="000000" w:themeColor="text1"/>
          <w:kern w:val="0"/>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第五条</w:t>
      </w:r>
      <w:r>
        <w:rPr>
          <w:rFonts w:ascii="宋体" w:hAnsi="宋体"/>
          <w:b/>
          <w:bCs/>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本协议执行情况，接受有管辖权的纪检、监察部门的监督，双方应予以配合检查调查。</w:t>
      </w:r>
      <w:r>
        <w:rPr>
          <w:rFonts w:ascii="宋体" w:hAnsi="宋体" w:cs="宋体"/>
          <w:color w:val="000000" w:themeColor="text1"/>
          <w:kern w:val="0"/>
          <w:sz w:val="24"/>
          <w14:textFill>
            <w14:solidFill>
              <w14:schemeClr w14:val="tx1"/>
            </w14:solidFill>
          </w14:textFill>
        </w:rPr>
        <w:t xml:space="preserve"> </w:t>
      </w:r>
    </w:p>
    <w:p>
      <w:pPr>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w:t>
      </w:r>
      <w:r>
        <w:rPr>
          <w:rFonts w:hint="eastAsia" w:ascii="宋体" w:hAnsi="宋体"/>
          <w:color w:val="000000" w:themeColor="text1"/>
          <w:sz w:val="24"/>
          <w14:textFill>
            <w14:solidFill>
              <w14:schemeClr w14:val="tx1"/>
            </w14:solidFill>
          </w14:textFill>
        </w:rPr>
        <w:t>本协议作为合同的附件，并具有同等的法律效力，本协议自双方签字盖章之日起生效，与主合同同时终止。</w:t>
      </w:r>
    </w:p>
    <w:p>
      <w:pPr>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甲方（盖章）：</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乙方（盖章）：</w:t>
      </w:r>
    </w:p>
    <w:p>
      <w:pPr>
        <w:pStyle w:val="33"/>
        <w:tabs>
          <w:tab w:val="left" w:pos="5100"/>
        </w:tabs>
        <w:spacing w:line="360" w:lineRule="auto"/>
        <w:ind w:left="7200" w:firstLine="0" w:firstLineChars="0"/>
        <w:jc w:val="left"/>
        <w:rPr>
          <w:rFonts w:ascii="宋体" w:hAnsi="宋体"/>
          <w:color w:val="000000" w:themeColor="text1"/>
          <w:sz w:val="24"/>
          <w14:textFill>
            <w14:solidFill>
              <w14:schemeClr w14:val="tx1"/>
            </w14:solidFill>
          </w14:textFill>
        </w:rPr>
      </w:pPr>
    </w:p>
    <w:p>
      <w:pPr>
        <w:tabs>
          <w:tab w:val="left" w:pos="5100"/>
        </w:tabs>
        <w:spacing w:line="360" w:lineRule="auto"/>
        <w:ind w:left="7200" w:hanging="7200" w:hangingChars="3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签约代表：</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签约代表：</w:t>
      </w:r>
    </w:p>
    <w:p>
      <w:pPr>
        <w:tabs>
          <w:tab w:val="left" w:pos="4170"/>
        </w:tabs>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 2021</w:t>
      </w:r>
      <w:r>
        <w:rPr>
          <w:rFonts w:hint="eastAsia" w:ascii="宋体" w:hAnsi="宋体"/>
          <w:color w:val="000000" w:themeColor="text1"/>
          <w:sz w:val="24"/>
          <w14:textFill>
            <w14:solidFill>
              <w14:schemeClr w14:val="tx1"/>
            </w14:solidFill>
          </w14:textFill>
        </w:rPr>
        <w:t>年月日</w:t>
      </w:r>
      <w:r>
        <w:rPr>
          <w:rFonts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14:textFill>
            <w14:solidFill>
              <w14:schemeClr w14:val="tx1"/>
            </w14:solidFill>
          </w14:textFill>
        </w:rPr>
        <w:t>2021</w:t>
      </w:r>
      <w:r>
        <w:rPr>
          <w:rFonts w:hint="eastAsia" w:ascii="宋体" w:hAnsi="宋体"/>
          <w:color w:val="000000" w:themeColor="text1"/>
          <w:sz w:val="24"/>
          <w14:textFill>
            <w14:solidFill>
              <w14:schemeClr w14:val="tx1"/>
            </w14:solidFill>
          </w14:textFill>
        </w:rPr>
        <w:t>年月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pStyle w:val="2"/>
        <w:rPr>
          <w:color w:val="000000" w:themeColor="text1"/>
          <w14:textFill>
            <w14:solidFill>
              <w14:schemeClr w14:val="tx1"/>
            </w14:solidFill>
          </w14:textFill>
        </w:rPr>
      </w:pPr>
    </w:p>
    <w:p>
      <w:pPr>
        <w:spacing w:line="560" w:lineRule="exact"/>
        <w:jc w:val="center"/>
        <w:rPr>
          <w:rFonts w:ascii="黑体" w:hAnsi="Batang" w:eastAsia="黑体" w:cs="Batang"/>
          <w:bCs/>
          <w:color w:val="000000" w:themeColor="text1"/>
          <w:kern w:val="0"/>
          <w:sz w:val="44"/>
          <w:szCs w:val="44"/>
          <w14:textFill>
            <w14:solidFill>
              <w14:schemeClr w14:val="tx1"/>
            </w14:solidFill>
          </w14:textFill>
        </w:rPr>
      </w:pPr>
    </w:p>
    <w:p>
      <w:pPr>
        <w:spacing w:line="560" w:lineRule="exact"/>
        <w:jc w:val="left"/>
        <w:rPr>
          <w:rFonts w:ascii="宋体" w:hAnsi="宋体" w:cs="宋体"/>
          <w:b/>
          <w:bCs/>
          <w:color w:val="000000" w:themeColor="text1"/>
          <w:szCs w:val="21"/>
          <w14:textFill>
            <w14:solidFill>
              <w14:schemeClr w14:val="tx1"/>
            </w14:solidFill>
          </w14:textFill>
        </w:rPr>
      </w:pPr>
    </w:p>
    <w:bookmarkEnd w:id="13"/>
    <w:bookmarkEnd w:id="14"/>
    <w:bookmarkEnd w:id="15"/>
    <w:p>
      <w:pPr>
        <w:pStyle w:val="5"/>
        <w:spacing w:line="360" w:lineRule="auto"/>
        <w:jc w:val="center"/>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14:textFill>
            <w14:solidFill>
              <w14:schemeClr w14:val="tx1"/>
            </w14:solidFill>
          </w14:textFill>
        </w:rPr>
        <w:t>第五部分　响应文件格式</w:t>
      </w: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10"/>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（项目名称）</w:t>
      </w: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jc w:val="center"/>
        <w:rPr>
          <w:rFonts w:ascii="仿宋" w:hAnsi="仿宋" w:eastAsia="仿宋" w:cs="仿宋_GB2312"/>
          <w:b/>
          <w:color w:val="000000" w:themeColor="text1"/>
          <w:sz w:val="24"/>
          <w:szCs w:val="24"/>
          <w14:textFill>
            <w14:solidFill>
              <w14:schemeClr w14:val="tx1"/>
            </w14:solidFill>
          </w14:textFill>
        </w:rPr>
      </w:pPr>
    </w:p>
    <w:p>
      <w:pPr>
        <w:pStyle w:val="10"/>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10"/>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w:t>
      </w:r>
      <w:r>
        <w:rPr>
          <w:rFonts w:hint="eastAsia" w:ascii="仿宋" w:hAnsi="仿宋" w:eastAsia="仿宋" w:cs="仿宋_GB2312"/>
          <w:b/>
          <w:color w:val="000000" w:themeColor="text1"/>
          <w:sz w:val="28"/>
          <w:szCs w:val="28"/>
          <w14:textFill>
            <w14:solidFill>
              <w14:schemeClr w14:val="tx1"/>
            </w14:solidFill>
          </w14:textFill>
        </w:rPr>
        <w:t>副本）</w:t>
      </w: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14:textFill>
            <w14:solidFill>
              <w14:schemeClr w14:val="tx1"/>
            </w14:solidFill>
          </w14:textFill>
        </w:rPr>
      </w:pPr>
    </w:p>
    <w:p>
      <w:pPr>
        <w:pStyle w:val="10"/>
        <w:jc w:val="center"/>
        <w:rPr>
          <w:rFonts w:ascii="仿宋" w:hAnsi="仿宋" w:eastAsia="仿宋" w:cs="仿宋_GB2312"/>
          <w:b/>
          <w:color w:val="000000" w:themeColor="text1"/>
          <w:sz w:val="28"/>
          <w:szCs w:val="28"/>
          <w14:textFill>
            <w14:solidFill>
              <w14:schemeClr w14:val="tx1"/>
            </w14:solidFill>
          </w14:textFill>
        </w:rPr>
      </w:pPr>
    </w:p>
    <w:p>
      <w:pPr>
        <w:pStyle w:val="10"/>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9"/>
        <w:spacing w:line="360" w:lineRule="auto"/>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项目名称：广州市净水有限公司大沙地污水处理厂片区控规修改技术服务项目</w:t>
      </w: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ind w:firstLine="632" w:firstLineChars="300"/>
        <w:rPr>
          <w:rFonts w:ascii="仿宋" w:hAnsi="仿宋" w:eastAsia="仿宋" w:cs="仿宋_GB2312"/>
          <w:b/>
          <w:color w:val="000000" w:themeColor="text1"/>
          <w14:textFill>
            <w14:solidFill>
              <w14:schemeClr w14:val="tx1"/>
            </w14:solidFill>
          </w14:textFill>
        </w:rPr>
      </w:pPr>
    </w:p>
    <w:p>
      <w:pPr>
        <w:pStyle w:val="10"/>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年</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月</w:t>
      </w:r>
      <w:r>
        <w:rPr>
          <w:rFonts w:ascii="仿宋" w:hAnsi="仿宋" w:eastAsia="仿宋" w:cs="仿宋_GB2312"/>
          <w:b/>
          <w:color w:val="000000" w:themeColor="text1"/>
          <w:sz w:val="28"/>
          <w:szCs w:val="28"/>
          <w14:textFill>
            <w14:solidFill>
              <w14:schemeClr w14:val="tx1"/>
            </w14:solidFill>
          </w14:textFill>
        </w:rPr>
        <w:t xml:space="preserve">      </w:t>
      </w:r>
      <w:r>
        <w:rPr>
          <w:rFonts w:hint="eastAsia" w:ascii="仿宋" w:hAnsi="仿宋" w:eastAsia="仿宋" w:cs="仿宋_GB2312"/>
          <w:b/>
          <w:color w:val="000000" w:themeColor="text1"/>
          <w:sz w:val="28"/>
          <w:szCs w:val="28"/>
          <w14:textFill>
            <w14:solidFill>
              <w14:schemeClr w14:val="tx1"/>
            </w14:solidFill>
          </w14:textFill>
        </w:rPr>
        <w:t>日</w:t>
      </w:r>
    </w:p>
    <w:p>
      <w:pPr>
        <w:widowControl/>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br w:type="page"/>
      </w:r>
    </w:p>
    <w:p>
      <w:pPr>
        <w:pStyle w:val="5"/>
        <w:jc w:val="left"/>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、法定代表人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w:t>
      </w:r>
      <w:r>
        <w:rPr>
          <w:rFonts w:hint="eastAsia" w:ascii="仿宋" w:hAnsi="仿宋" w:eastAsia="仿宋" w:cs="仿宋_GB2312"/>
          <w:b/>
          <w:color w:val="000000" w:themeColor="text1"/>
          <w:sz w:val="28"/>
          <w:szCs w:val="28"/>
          <w14:textFill>
            <w14:solidFill>
              <w14:schemeClr w14:val="tx1"/>
            </w14:solidFill>
          </w14:textFill>
        </w:rPr>
        <w:t>）法定代表人</w:t>
      </w:r>
      <w:r>
        <w:rPr>
          <w:rFonts w:ascii="仿宋" w:hAnsi="仿宋" w:eastAsia="仿宋" w:cs="仿宋_GB2312"/>
          <w:b/>
          <w:color w:val="000000" w:themeColor="text1"/>
          <w:sz w:val="28"/>
          <w:szCs w:val="28"/>
          <w14:textFill>
            <w14:solidFill>
              <w14:schemeClr w14:val="tx1"/>
            </w14:solidFill>
          </w14:textFill>
        </w:rPr>
        <w:t>/</w:t>
      </w:r>
      <w:r>
        <w:rPr>
          <w:rFonts w:hint="eastAsia" w:ascii="仿宋" w:hAnsi="仿宋" w:eastAsia="仿宋" w:cs="仿宋_GB2312"/>
          <w:b/>
          <w:color w:val="000000" w:themeColor="text1"/>
          <w:sz w:val="28"/>
          <w:szCs w:val="28"/>
          <w14:textFill>
            <w14:solidFill>
              <w14:schemeClr w14:val="tx1"/>
            </w14:solidFill>
          </w14:textFill>
        </w:rPr>
        <w:t>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p>
            <w:pPr>
              <w:pStyle w:val="2"/>
            </w:pPr>
          </w:p>
          <w:p>
            <w:pPr>
              <w:spacing w:line="360" w:lineRule="auto"/>
              <w:jc w:val="left"/>
              <w:rPr>
                <w:rFonts w:ascii="宋体" w:hAnsi="宋体"/>
                <w:sz w:val="24"/>
                <w:szCs w:val="24"/>
              </w:rPr>
            </w:pPr>
          </w:p>
        </w:tc>
      </w:tr>
    </w:tbl>
    <w:p>
      <w:pPr>
        <w:spacing w:line="440" w:lineRule="exact"/>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w:t>
      </w:r>
      <w:r>
        <w:rPr>
          <w:rFonts w:hint="eastAsia" w:ascii="仿宋" w:hAnsi="仿宋" w:eastAsia="仿宋" w:cs="仿宋_GB2312"/>
          <w:b/>
          <w:color w:val="000000" w:themeColor="text1"/>
          <w:sz w:val="28"/>
          <w:szCs w:val="28"/>
          <w14:textFill>
            <w14:solidFill>
              <w14:schemeClr w14:val="tx1"/>
            </w14:solidFill>
          </w14:textFill>
        </w:rPr>
        <w:t>）法定代表人</w:t>
      </w:r>
      <w:r>
        <w:rPr>
          <w:rFonts w:ascii="仿宋" w:hAnsi="仿宋" w:eastAsia="仿宋" w:cs="仿宋_GB2312"/>
          <w:b/>
          <w:color w:val="000000" w:themeColor="text1"/>
          <w:sz w:val="28"/>
          <w:szCs w:val="28"/>
          <w14:textFill>
            <w14:solidFill>
              <w14:schemeClr w14:val="tx1"/>
            </w14:solidFill>
          </w14:textFill>
        </w:rPr>
        <w:t>/</w:t>
      </w:r>
      <w:r>
        <w:rPr>
          <w:rFonts w:hint="eastAsia" w:ascii="仿宋" w:hAnsi="仿宋" w:eastAsia="仿宋" w:cs="仿宋_GB2312"/>
          <w:b/>
          <w:color w:val="000000" w:themeColor="text1"/>
          <w:sz w:val="28"/>
          <w:szCs w:val="28"/>
          <w14:textFill>
            <w14:solidFill>
              <w14:schemeClr w14:val="tx1"/>
            </w14:solidFill>
          </w14:textFill>
        </w:rPr>
        <w:t>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附：签发日期：</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hint="eastAsia"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p>
    <w:p>
      <w:pPr>
        <w:spacing w:line="480" w:lineRule="exact"/>
        <w:ind w:firstLine="720" w:firstLineChars="300"/>
        <w:rPr>
          <w:rFonts w:hint="eastAsia"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3.</w:t>
      </w:r>
      <w:r>
        <w:rPr>
          <w:rFonts w:hint="eastAsia" w:ascii="仿宋" w:hAnsi="仿宋" w:eastAsia="仿宋" w:cs="仿宋_GB2312"/>
          <w:color w:val="000000" w:themeColor="text1"/>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80" w:lineRule="exact"/>
        <w:ind w:firstLine="720" w:firstLineChars="300"/>
        <w:rPr>
          <w:rFonts w:hint="eastAsia"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80" w:lineRule="exact"/>
        <w:ind w:firstLine="720" w:firstLineChars="300"/>
        <w:rPr>
          <w:rFonts w:hint="eastAsia"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pStyle w:val="2"/>
        <w:rPr>
          <w:rFonts w:ascii="仿宋" w:hAnsi="仿宋" w:eastAsia="仿宋" w:cs="仿宋_GB2312"/>
          <w:color w:val="000000" w:themeColor="text1"/>
          <w14:textFill>
            <w14:solidFill>
              <w14:schemeClr w14:val="tx1"/>
            </w14:solidFill>
          </w14:textFill>
        </w:rPr>
      </w:pPr>
    </w:p>
    <w:p>
      <w:pPr>
        <w:pStyle w:val="2"/>
        <w:rPr>
          <w:rFonts w:ascii="仿宋" w:hAnsi="仿宋" w:eastAsia="仿宋" w:cs="仿宋_GB2312"/>
          <w:color w:val="000000" w:themeColor="text1"/>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ascii="宋体" w:hAnsi="宋体"/>
          <w:sz w:val="24"/>
          <w:szCs w:val="24"/>
        </w:rPr>
      </w:pPr>
      <w:r>
        <w:rPr>
          <w:rFonts w:hint="eastAsia" w:ascii="宋体" w:hAnsi="宋体" w:eastAsia="宋体" w:cs="Times New Roman"/>
          <w:sz w:val="24"/>
          <w:szCs w:val="24"/>
        </w:rPr>
        <w:t>授权代理人</w:t>
      </w:r>
      <w:r>
        <w:rPr>
          <w:rFonts w:hint="eastAsia" w:ascii="宋体" w:hAnsi="宋体"/>
          <w:sz w:val="24"/>
          <w:szCs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pStyle w:val="5"/>
        <w:rPr>
          <w:rFonts w:ascii="仿宋_GB2312" w:hAnsi="仿宋_GB2312" w:cs="仿宋_GB2312"/>
          <w:bCs w:val="0"/>
          <w:color w:val="000000" w:themeColor="text1"/>
          <w14:textFill>
            <w14:solidFill>
              <w14:schemeClr w14:val="tx1"/>
            </w14:solidFill>
          </w14:textFill>
        </w:rPr>
      </w:pPr>
    </w:p>
    <w:p/>
    <w:p>
      <w:pPr>
        <w:pStyle w:val="5"/>
        <w:ind w:firstLine="562"/>
        <w:jc w:val="center"/>
        <w:rPr>
          <w:rFonts w:ascii="仿宋_GB2312" w:hAnsi="仿宋_GB2312" w:cs="仿宋_GB2312"/>
          <w:bCs w:val="0"/>
          <w:color w:val="000000" w:themeColor="text1"/>
          <w14:textFill>
            <w14:solidFill>
              <w14:schemeClr w14:val="tx1"/>
            </w14:solidFill>
          </w14:textFill>
        </w:rPr>
      </w:pPr>
    </w:p>
    <w:p>
      <w:pPr>
        <w:pStyle w:val="5"/>
        <w:ind w:firstLine="562"/>
        <w:jc w:val="center"/>
        <w:rPr>
          <w:rFonts w:ascii="仿宋_GB2312" w:hAnsi="仿宋_GB2312" w:cs="仿宋_GB2312"/>
          <w:b w:val="0"/>
          <w:bCs w:val="0"/>
          <w:color w:val="000000" w:themeColor="text1"/>
          <w14:textFill>
            <w14:solidFill>
              <w14:schemeClr w14:val="tx1"/>
            </w14:solidFill>
          </w14:textFill>
        </w:rPr>
      </w:pPr>
      <w:r>
        <w:rPr>
          <w:rFonts w:ascii="仿宋_GB2312" w:hAnsi="仿宋_GB2312" w:cs="仿宋_GB2312"/>
          <w:bCs w:val="0"/>
          <w:color w:val="000000" w:themeColor="text1"/>
          <w14:textFill>
            <w14:solidFill>
              <w14:schemeClr w14:val="tx1"/>
            </w14:solidFill>
          </w14:textFill>
        </w:rPr>
        <w:t>2</w:t>
      </w:r>
      <w:r>
        <w:rPr>
          <w:rFonts w:hint="eastAsia" w:ascii="仿宋_GB2312" w:hAnsi="仿宋_GB2312" w:cs="仿宋_GB2312"/>
          <w:bCs w:val="0"/>
          <w:color w:val="000000" w:themeColor="text1"/>
          <w14:textFill>
            <w14:solidFill>
              <w14:schemeClr w14:val="tx1"/>
            </w14:solidFill>
          </w14:textFill>
        </w:rPr>
        <w:t>资格证明文件</w:t>
      </w:r>
    </w:p>
    <w:p>
      <w:pPr>
        <w:rPr>
          <w:color w:val="000000" w:themeColor="text1"/>
          <w14:textFill>
            <w14:solidFill>
              <w14:schemeClr w14:val="tx1"/>
            </w14:solidFill>
          </w14:textFill>
        </w:rPr>
      </w:pPr>
    </w:p>
    <w:p>
      <w:pPr>
        <w:spacing w:line="300" w:lineRule="auto"/>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关于资格的声明函</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致：（项目实施单位）</w:t>
      </w:r>
    </w:p>
    <w:p>
      <w:pPr>
        <w:spacing w:line="48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关于贵方项目名称</w:t>
      </w:r>
      <w:r>
        <w:rPr>
          <w:rFonts w:ascii="仿宋_GB2312" w:hAnsi="仿宋_GB2312" w:eastAsia="仿宋_GB2312" w:cs="仿宋_GB2312"/>
          <w:color w:val="000000" w:themeColor="text1"/>
          <w:sz w:val="28"/>
          <w:szCs w:val="28"/>
          <w14:textFill>
            <w14:solidFill>
              <w14:schemeClr w14:val="tx1"/>
            </w14:solidFill>
          </w14:textFill>
        </w:rPr>
        <w:t>:____________</w:t>
      </w:r>
      <w:r>
        <w:rPr>
          <w:rFonts w:hint="eastAsia" w:ascii="仿宋_GB2312" w:hAnsi="仿宋_GB2312" w:eastAsia="仿宋_GB2312" w:cs="仿宋_GB2312"/>
          <w:color w:val="000000" w:themeColor="text1"/>
          <w:sz w:val="28"/>
          <w:szCs w:val="28"/>
          <w14:textFill>
            <w14:solidFill>
              <w14:schemeClr w14:val="tx1"/>
            </w14:solidFill>
          </w14:textFill>
        </w:rPr>
        <w:t>项目编号：</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spacing w:line="480" w:lineRule="exact"/>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（相关证明文件附后）</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报价单位名称（盖单位公章）：</w:t>
      </w:r>
    </w:p>
    <w:p>
      <w:pPr>
        <w:adjustRightInd w:val="0"/>
        <w:snapToGrid w:val="0"/>
        <w:spacing w:line="300" w:lineRule="auto"/>
        <w:rPr>
          <w:rFonts w:ascii="仿宋_GB2312" w:hAnsi="仿宋_GB2312" w:eastAsia="仿宋_GB2312" w:cs="仿宋_GB2312"/>
          <w:color w:val="000000" w:themeColor="text1"/>
          <w:sz w:val="28"/>
          <w:szCs w:val="28"/>
          <w14:textFill>
            <w14:solidFill>
              <w14:schemeClr w14:val="tx1"/>
            </w14:solidFill>
          </w14:textFill>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日期：年</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41"/>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2.</w:t>
      </w:r>
      <w:r>
        <w:rPr>
          <w:rFonts w:hint="eastAsia" w:ascii="仿宋_GB2312" w:hAnsi="仿宋" w:eastAsia="仿宋_GB2312" w:cs="仿宋_GB2312"/>
          <w:color w:val="000000" w:themeColor="text1"/>
          <w:sz w:val="24"/>
          <w14:textFill>
            <w14:solidFill>
              <w14:schemeClr w14:val="tx1"/>
            </w14:solidFill>
          </w14:textFill>
        </w:rPr>
        <w:t>现我方承诺：</w:t>
      </w:r>
      <w:r>
        <w:rPr>
          <w:rFonts w:hint="eastAsia" w:ascii="仿宋_GB2312" w:hAnsi="仿宋" w:eastAsia="仿宋_GB2312" w:cs="仿宋_GB2312"/>
          <w:color w:val="000000" w:themeColor="text1"/>
          <w:kern w:val="0"/>
          <w:sz w:val="24"/>
          <w14:textFill>
            <w14:solidFill>
              <w14:schemeClr w14:val="tx1"/>
            </w14:solidFill>
          </w14:textFill>
        </w:rPr>
        <w:t>愿以人民币</w:t>
      </w:r>
      <w:r>
        <w:rPr>
          <w:rFonts w:hint="eastAsia" w:ascii="仿宋_GB2312" w:hAnsi="仿宋"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 w:eastAsia="仿宋_GB2312" w:cs="仿宋_GB2312"/>
          <w:color w:val="000000" w:themeColor="text1"/>
          <w:kern w:val="0"/>
          <w:sz w:val="24"/>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3.</w:t>
      </w:r>
      <w:r>
        <w:rPr>
          <w:rFonts w:hint="eastAsia" w:ascii="仿宋_GB2312" w:hAnsi="仿宋" w:eastAsia="仿宋_GB2312" w:cs="仿宋_GB2312"/>
          <w:color w:val="000000" w:themeColor="text1"/>
          <w:sz w:val="24"/>
          <w14:textFill>
            <w14:solidFill>
              <w14:schemeClr w14:val="tx1"/>
            </w14:solidFill>
          </w14:textFill>
        </w:rPr>
        <w:t>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4.</w:t>
      </w:r>
      <w:r>
        <w:rPr>
          <w:rFonts w:hint="eastAsia" w:ascii="仿宋_GB2312" w:hAnsi="仿宋" w:eastAsia="仿宋_GB2312" w:cs="仿宋_GB2312"/>
          <w:color w:val="000000" w:themeColor="text1"/>
          <w:sz w:val="24"/>
          <w14:textFill>
            <w14:solidFill>
              <w14:schemeClr w14:val="tx1"/>
            </w14:solidFill>
          </w14:textFill>
        </w:rPr>
        <w:t>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5.</w:t>
      </w:r>
      <w:r>
        <w:rPr>
          <w:rFonts w:hint="eastAsia" w:ascii="仿宋_GB2312" w:hAnsi="仿宋" w:eastAsia="仿宋_GB2312" w:cs="仿宋_GB2312"/>
          <w:color w:val="000000" w:themeColor="text1"/>
          <w:sz w:val="24"/>
          <w14:textFill>
            <w14:solidFill>
              <w14:schemeClr w14:val="tx1"/>
            </w14:solidFill>
          </w14:textFill>
        </w:rPr>
        <w:t>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6.</w:t>
      </w:r>
      <w:r>
        <w:rPr>
          <w:rFonts w:hint="eastAsia" w:ascii="仿宋_GB2312" w:hAnsi="仿宋" w:eastAsia="仿宋_GB2312" w:cs="仿宋_GB2312"/>
          <w:color w:val="000000" w:themeColor="text1"/>
          <w:sz w:val="24"/>
          <w14:textFill>
            <w14:solidFill>
              <w14:schemeClr w14:val="tx1"/>
            </w14:solidFill>
          </w14:textFill>
        </w:rPr>
        <w:t>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ascii="仿宋_GB2312" w:hAnsi="仿宋" w:eastAsia="仿宋_GB2312" w:cs="仿宋_GB2312"/>
          <w:color w:val="000000" w:themeColor="text1"/>
          <w:sz w:val="24"/>
          <w14:textFill>
            <w14:solidFill>
              <w14:schemeClr w14:val="tx1"/>
            </w14:solidFill>
          </w14:textFill>
        </w:rPr>
        <w:t>7.</w:t>
      </w:r>
      <w:r>
        <w:rPr>
          <w:rFonts w:hint="eastAsia" w:ascii="仿宋_GB2312" w:hAnsi="仿宋" w:eastAsia="仿宋_GB2312" w:cs="仿宋_GB2312"/>
          <w:color w:val="000000" w:themeColor="text1"/>
          <w:sz w:val="24"/>
          <w14:textFill>
            <w14:solidFill>
              <w14:schemeClr w14:val="tx1"/>
            </w14:solidFill>
          </w14:textFill>
        </w:rPr>
        <w:t>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4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40"/>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w:t>
      </w:r>
      <w:r>
        <w:rPr>
          <w:rFonts w:ascii="仿宋_GB2312" w:hAnsi="仿宋" w:eastAsia="仿宋_GB2312" w:cs="仿宋_GB2312"/>
          <w:color w:val="000000" w:themeColor="text1"/>
          <w14:textFill>
            <w14:solidFill>
              <w14:schemeClr w14:val="tx1"/>
            </w14:solidFill>
          </w14:textFill>
        </w:rPr>
        <w:t>(</w:t>
      </w:r>
      <w:r>
        <w:rPr>
          <w:rFonts w:hint="eastAsia" w:ascii="仿宋_GB2312" w:hAnsi="仿宋" w:eastAsia="仿宋_GB2312" w:cs="仿宋_GB2312"/>
          <w:color w:val="000000" w:themeColor="text1"/>
          <w14:textFill>
            <w14:solidFill>
              <w14:schemeClr w14:val="tx1"/>
            </w14:solidFill>
          </w14:textFill>
        </w:rPr>
        <w:t>盖公章</w:t>
      </w:r>
      <w:r>
        <w:rPr>
          <w:rFonts w:ascii="仿宋_GB2312" w:hAnsi="仿宋" w:eastAsia="仿宋_GB2312" w:cs="仿宋_GB2312"/>
          <w:color w:val="000000" w:themeColor="text1"/>
          <w14:textFill>
            <w14:solidFill>
              <w14:schemeClr w14:val="tx1"/>
            </w14:solidFill>
          </w14:textFill>
        </w:rPr>
        <w:t>)</w:t>
      </w:r>
    </w:p>
    <w:p>
      <w:pPr>
        <w:pStyle w:val="40"/>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法定代表人（签名或盖章）：</w:t>
      </w:r>
    </w:p>
    <w:p>
      <w:pPr>
        <w:pStyle w:val="40"/>
        <w:ind w:firstLine="496"/>
        <w:rPr>
          <w:rFonts w:ascii="仿宋_GB2312" w:hAnsi="仿宋_GB2312"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日</w:t>
      </w:r>
      <w:r>
        <w:rPr>
          <w:rFonts w:ascii="仿宋_GB2312" w:hAnsi="仿宋" w:eastAsia="仿宋_GB2312" w:cs="仿宋_GB2312"/>
          <w:color w:val="000000" w:themeColor="text1"/>
          <w14:textFill>
            <w14:solidFill>
              <w14:schemeClr w14:val="tx1"/>
            </w14:solidFill>
          </w14:textFill>
        </w:rPr>
        <w:t xml:space="preserve">    </w:t>
      </w:r>
      <w:r>
        <w:rPr>
          <w:rFonts w:hint="eastAsia" w:ascii="仿宋_GB2312" w:hAnsi="仿宋" w:eastAsia="仿宋_GB2312" w:cs="仿宋_GB2312"/>
          <w:color w:val="000000" w:themeColor="text1"/>
          <w14:textFill>
            <w14:solidFill>
              <w14:schemeClr w14:val="tx1"/>
            </w14:solidFill>
          </w14:textFill>
        </w:rPr>
        <w:t>期：</w:t>
      </w:r>
      <w:r>
        <w:rPr>
          <w:rFonts w:ascii="仿宋_GB2312" w:hAnsi="仿宋" w:eastAsia="仿宋_GB2312" w:cs="仿宋_GB2312"/>
          <w:color w:val="000000" w:themeColor="text1"/>
          <w14:textFill>
            <w14:solidFill>
              <w14:schemeClr w14:val="tx1"/>
            </w14:solidFill>
          </w14:textFill>
        </w:rPr>
        <w:t xml:space="preserve">  </w:t>
      </w:r>
      <w:r>
        <w:rPr>
          <w:rFonts w:hint="eastAsia" w:ascii="仿宋_GB2312" w:hAnsi="仿宋" w:eastAsia="仿宋_GB2312" w:cs="仿宋_GB2312"/>
          <w:color w:val="000000" w:themeColor="text1"/>
          <w14:textFill>
            <w14:solidFill>
              <w14:schemeClr w14:val="tx1"/>
            </w14:solidFill>
          </w14:textFill>
        </w:rPr>
        <w:t>年</w:t>
      </w:r>
      <w:r>
        <w:rPr>
          <w:rFonts w:ascii="仿宋_GB2312" w:hAnsi="仿宋" w:eastAsia="仿宋_GB2312" w:cs="仿宋_GB2312"/>
          <w:color w:val="000000" w:themeColor="text1"/>
          <w14:textFill>
            <w14:solidFill>
              <w14:schemeClr w14:val="tx1"/>
            </w14:solidFill>
          </w14:textFill>
        </w:rPr>
        <w:t xml:space="preserve"> </w:t>
      </w:r>
      <w:r>
        <w:rPr>
          <w:rFonts w:hint="eastAsia" w:ascii="仿宋_GB2312" w:hAnsi="仿宋" w:eastAsia="仿宋_GB2312" w:cs="仿宋_GB2312"/>
          <w:color w:val="000000" w:themeColor="text1"/>
          <w14:textFill>
            <w14:solidFill>
              <w14:schemeClr w14:val="tx1"/>
            </w14:solidFill>
          </w14:textFill>
        </w:rPr>
        <w:t>月</w:t>
      </w:r>
      <w:r>
        <w:rPr>
          <w:rFonts w:ascii="仿宋_GB2312" w:hAnsi="仿宋" w:eastAsia="仿宋_GB2312" w:cs="仿宋_GB2312"/>
          <w:color w:val="000000" w:themeColor="text1"/>
          <w14:textFill>
            <w14:solidFill>
              <w14:schemeClr w14:val="tx1"/>
            </w14:solidFill>
          </w14:textFill>
        </w:rPr>
        <w:t xml:space="preserve"> </w:t>
      </w:r>
      <w:r>
        <w:rPr>
          <w:rFonts w:hint="eastAsia" w:ascii="仿宋_GB2312" w:hAnsi="仿宋" w:eastAsia="仿宋_GB2312" w:cs="仿宋_GB2312"/>
          <w:color w:val="000000" w:themeColor="text1"/>
          <w14:textFill>
            <w14:solidFill>
              <w14:schemeClr w14:val="tx1"/>
            </w14:solidFill>
          </w14:textFill>
        </w:rPr>
        <w:t xml:space="preserve">日  </w:t>
      </w:r>
    </w:p>
    <w:p>
      <w:pPr>
        <w:pStyle w:val="40"/>
        <w:ind w:firstLine="496"/>
        <w:rPr>
          <w:rFonts w:ascii="仿宋_GB2312" w:hAnsi="仿宋_GB2312" w:eastAsia="仿宋_GB2312" w:cs="仿宋_GB2312"/>
          <w:color w:val="000000" w:themeColor="text1"/>
          <w14:textFill>
            <w14:solidFill>
              <w14:schemeClr w14:val="tx1"/>
            </w14:solidFill>
          </w14:textFill>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both"/>
        <w:rPr>
          <w:rFonts w:ascii="仿宋" w:hAnsi="仿宋" w:eastAsia="仿宋" w:cs="仿宋_GB2312"/>
          <w:color w:val="000000" w:themeColor="text1"/>
          <w:sz w:val="28"/>
          <w:szCs w:val="28"/>
          <w14:textFill>
            <w14:solidFill>
              <w14:schemeClr w14:val="tx1"/>
            </w14:solidFill>
          </w14:textFill>
        </w:rPr>
      </w:pP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ascii="仿宋" w:hAnsi="仿宋" w:eastAsia="仿宋" w:cs="仿宋_GB2312"/>
          <w:color w:val="000000" w:themeColor="text1"/>
          <w:sz w:val="28"/>
          <w:szCs w:val="28"/>
          <w14:textFill>
            <w14:solidFill>
              <w14:schemeClr w14:val="tx1"/>
            </w14:solidFill>
          </w14:textFill>
        </w:rPr>
      </w:pPr>
    </w:p>
    <w:p>
      <w:pPr>
        <w:pStyle w:val="2"/>
        <w:jc w:val="center"/>
        <w:rPr>
          <w:rFonts w:eastAsia="仿宋"/>
          <w:color w:val="000000" w:themeColor="text1"/>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 xml:space="preserve">5  </w:t>
      </w:r>
      <w:r>
        <w:rPr>
          <w:rFonts w:hint="eastAsia" w:ascii="仿宋" w:hAnsi="仿宋" w:eastAsia="仿宋" w:cs="仿宋_GB2312"/>
          <w:b/>
          <w:bCs/>
          <w:color w:val="000000" w:themeColor="text1"/>
          <w:sz w:val="28"/>
          <w:szCs w:val="28"/>
          <w14:textFill>
            <w14:solidFill>
              <w14:schemeClr w14:val="tx1"/>
            </w14:solidFill>
          </w14:textFill>
        </w:rPr>
        <w:t>项目单位、人员资格情况</w:t>
      </w:r>
    </w:p>
    <w:p>
      <w:pPr>
        <w:jc w:val="cente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left"/>
        <w:rPr>
          <w:rFonts w:ascii="仿宋" w:hAnsi="仿宋" w:eastAsia="仿宋" w:cs="仿宋_GB2312"/>
          <w:b/>
          <w:color w:val="000000" w:themeColor="text1"/>
          <w:sz w:val="28"/>
          <w:szCs w:val="28"/>
          <w14:textFill>
            <w14:solidFill>
              <w14:schemeClr w14:val="tx1"/>
            </w14:solidFill>
          </w14:textFill>
        </w:rPr>
      </w:pPr>
    </w:p>
    <w:p>
      <w:pPr>
        <w:pStyle w:val="2"/>
      </w:pPr>
    </w:p>
    <w:sectPr>
      <w:pgSz w:w="11906" w:h="16838"/>
      <w:pgMar w:top="1089" w:right="1469" w:bottom="1089"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FA"/>
    <w:rsid w:val="00006243"/>
    <w:rsid w:val="00023A0C"/>
    <w:rsid w:val="000428F8"/>
    <w:rsid w:val="00043C62"/>
    <w:rsid w:val="00054D07"/>
    <w:rsid w:val="000644E6"/>
    <w:rsid w:val="000657B9"/>
    <w:rsid w:val="00073926"/>
    <w:rsid w:val="0007449C"/>
    <w:rsid w:val="00085D41"/>
    <w:rsid w:val="000A46D5"/>
    <w:rsid w:val="000A513D"/>
    <w:rsid w:val="000B2E59"/>
    <w:rsid w:val="000B6E2A"/>
    <w:rsid w:val="000E45BC"/>
    <w:rsid w:val="000F0E33"/>
    <w:rsid w:val="00110C7B"/>
    <w:rsid w:val="00112127"/>
    <w:rsid w:val="00113A79"/>
    <w:rsid w:val="001166BB"/>
    <w:rsid w:val="001467CA"/>
    <w:rsid w:val="00156B9A"/>
    <w:rsid w:val="00163A61"/>
    <w:rsid w:val="00194425"/>
    <w:rsid w:val="00196351"/>
    <w:rsid w:val="001D0B35"/>
    <w:rsid w:val="001D159F"/>
    <w:rsid w:val="001D4C93"/>
    <w:rsid w:val="001F46A9"/>
    <w:rsid w:val="001F4B7D"/>
    <w:rsid w:val="001F5CC8"/>
    <w:rsid w:val="00203513"/>
    <w:rsid w:val="00204AB7"/>
    <w:rsid w:val="002144D7"/>
    <w:rsid w:val="0022487F"/>
    <w:rsid w:val="00235700"/>
    <w:rsid w:val="00236045"/>
    <w:rsid w:val="00243240"/>
    <w:rsid w:val="00250256"/>
    <w:rsid w:val="002670CC"/>
    <w:rsid w:val="002673F2"/>
    <w:rsid w:val="002743AC"/>
    <w:rsid w:val="002A21F8"/>
    <w:rsid w:val="002C14E3"/>
    <w:rsid w:val="002E23B2"/>
    <w:rsid w:val="002F588A"/>
    <w:rsid w:val="0031270B"/>
    <w:rsid w:val="00320FA9"/>
    <w:rsid w:val="00335D77"/>
    <w:rsid w:val="0033731E"/>
    <w:rsid w:val="003468E6"/>
    <w:rsid w:val="00352134"/>
    <w:rsid w:val="00356EFB"/>
    <w:rsid w:val="00365A96"/>
    <w:rsid w:val="00376CE9"/>
    <w:rsid w:val="003A0C70"/>
    <w:rsid w:val="003A30A6"/>
    <w:rsid w:val="003D205C"/>
    <w:rsid w:val="003D66E3"/>
    <w:rsid w:val="003E3A96"/>
    <w:rsid w:val="003F56E8"/>
    <w:rsid w:val="00413436"/>
    <w:rsid w:val="0042132B"/>
    <w:rsid w:val="004273C1"/>
    <w:rsid w:val="0043355A"/>
    <w:rsid w:val="0046764A"/>
    <w:rsid w:val="00477301"/>
    <w:rsid w:val="00481194"/>
    <w:rsid w:val="004814F2"/>
    <w:rsid w:val="0048211B"/>
    <w:rsid w:val="004B541E"/>
    <w:rsid w:val="004C5A85"/>
    <w:rsid w:val="004E1354"/>
    <w:rsid w:val="004F3212"/>
    <w:rsid w:val="0050227A"/>
    <w:rsid w:val="00504917"/>
    <w:rsid w:val="00523FFA"/>
    <w:rsid w:val="00525D06"/>
    <w:rsid w:val="00527A1E"/>
    <w:rsid w:val="005328FE"/>
    <w:rsid w:val="00536854"/>
    <w:rsid w:val="00540E65"/>
    <w:rsid w:val="0054171D"/>
    <w:rsid w:val="00555405"/>
    <w:rsid w:val="00562F86"/>
    <w:rsid w:val="00570096"/>
    <w:rsid w:val="00570D85"/>
    <w:rsid w:val="005840C1"/>
    <w:rsid w:val="005864CD"/>
    <w:rsid w:val="005A4EA8"/>
    <w:rsid w:val="005A6632"/>
    <w:rsid w:val="005C19D8"/>
    <w:rsid w:val="005F336B"/>
    <w:rsid w:val="0060163B"/>
    <w:rsid w:val="00602C8B"/>
    <w:rsid w:val="006077E7"/>
    <w:rsid w:val="00613B10"/>
    <w:rsid w:val="00623956"/>
    <w:rsid w:val="00647055"/>
    <w:rsid w:val="00653163"/>
    <w:rsid w:val="006604AC"/>
    <w:rsid w:val="006840DB"/>
    <w:rsid w:val="006A1734"/>
    <w:rsid w:val="006A51D0"/>
    <w:rsid w:val="006C69AA"/>
    <w:rsid w:val="006E0C83"/>
    <w:rsid w:val="00703691"/>
    <w:rsid w:val="00722792"/>
    <w:rsid w:val="00724C42"/>
    <w:rsid w:val="007263F2"/>
    <w:rsid w:val="007331F2"/>
    <w:rsid w:val="00737AFC"/>
    <w:rsid w:val="0074745F"/>
    <w:rsid w:val="00747A49"/>
    <w:rsid w:val="007550D7"/>
    <w:rsid w:val="00767C6F"/>
    <w:rsid w:val="00786097"/>
    <w:rsid w:val="00793FA2"/>
    <w:rsid w:val="007957B4"/>
    <w:rsid w:val="0079655F"/>
    <w:rsid w:val="007A6F35"/>
    <w:rsid w:val="007B6895"/>
    <w:rsid w:val="007D172A"/>
    <w:rsid w:val="007F6056"/>
    <w:rsid w:val="007F6D48"/>
    <w:rsid w:val="007F7F8F"/>
    <w:rsid w:val="008077D6"/>
    <w:rsid w:val="0083305F"/>
    <w:rsid w:val="00833F4E"/>
    <w:rsid w:val="008410FC"/>
    <w:rsid w:val="00850945"/>
    <w:rsid w:val="00854ED4"/>
    <w:rsid w:val="00855272"/>
    <w:rsid w:val="00866DB5"/>
    <w:rsid w:val="00876F4F"/>
    <w:rsid w:val="0088792B"/>
    <w:rsid w:val="008A3A31"/>
    <w:rsid w:val="008B03F8"/>
    <w:rsid w:val="008B089A"/>
    <w:rsid w:val="008C04B0"/>
    <w:rsid w:val="008C6A4D"/>
    <w:rsid w:val="008E4F0E"/>
    <w:rsid w:val="00933EEF"/>
    <w:rsid w:val="00940686"/>
    <w:rsid w:val="00943764"/>
    <w:rsid w:val="00944508"/>
    <w:rsid w:val="0095168A"/>
    <w:rsid w:val="009529EE"/>
    <w:rsid w:val="0095329C"/>
    <w:rsid w:val="00955A76"/>
    <w:rsid w:val="00974494"/>
    <w:rsid w:val="0098076A"/>
    <w:rsid w:val="009928C8"/>
    <w:rsid w:val="009A3A63"/>
    <w:rsid w:val="009B1F7B"/>
    <w:rsid w:val="009B4AEB"/>
    <w:rsid w:val="009C4E82"/>
    <w:rsid w:val="009C644D"/>
    <w:rsid w:val="009C7F95"/>
    <w:rsid w:val="009F6F6F"/>
    <w:rsid w:val="00A042A5"/>
    <w:rsid w:val="00A07297"/>
    <w:rsid w:val="00A10754"/>
    <w:rsid w:val="00A10F87"/>
    <w:rsid w:val="00A210E2"/>
    <w:rsid w:val="00A250FB"/>
    <w:rsid w:val="00A26B96"/>
    <w:rsid w:val="00A31845"/>
    <w:rsid w:val="00A37654"/>
    <w:rsid w:val="00A445EB"/>
    <w:rsid w:val="00A55510"/>
    <w:rsid w:val="00A611DB"/>
    <w:rsid w:val="00A66265"/>
    <w:rsid w:val="00A8277C"/>
    <w:rsid w:val="00A9730C"/>
    <w:rsid w:val="00AC7CE3"/>
    <w:rsid w:val="00AE2741"/>
    <w:rsid w:val="00AE53B3"/>
    <w:rsid w:val="00AF10EC"/>
    <w:rsid w:val="00AF1B68"/>
    <w:rsid w:val="00AF5C08"/>
    <w:rsid w:val="00B057D6"/>
    <w:rsid w:val="00B13E04"/>
    <w:rsid w:val="00B322B9"/>
    <w:rsid w:val="00B37725"/>
    <w:rsid w:val="00B71CFD"/>
    <w:rsid w:val="00B76342"/>
    <w:rsid w:val="00B87849"/>
    <w:rsid w:val="00B908B9"/>
    <w:rsid w:val="00B936D7"/>
    <w:rsid w:val="00BA63CA"/>
    <w:rsid w:val="00BB2915"/>
    <w:rsid w:val="00BC5308"/>
    <w:rsid w:val="00BC63F4"/>
    <w:rsid w:val="00BD0A61"/>
    <w:rsid w:val="00BD2540"/>
    <w:rsid w:val="00BD6CB0"/>
    <w:rsid w:val="00BF29CD"/>
    <w:rsid w:val="00C00DEE"/>
    <w:rsid w:val="00C2525F"/>
    <w:rsid w:val="00C351CD"/>
    <w:rsid w:val="00C40D7A"/>
    <w:rsid w:val="00C42EA9"/>
    <w:rsid w:val="00C45B09"/>
    <w:rsid w:val="00C61C02"/>
    <w:rsid w:val="00C669FA"/>
    <w:rsid w:val="00C95977"/>
    <w:rsid w:val="00CA61FE"/>
    <w:rsid w:val="00CA6577"/>
    <w:rsid w:val="00CC428A"/>
    <w:rsid w:val="00CC5D98"/>
    <w:rsid w:val="00CC688F"/>
    <w:rsid w:val="00CE721C"/>
    <w:rsid w:val="00CF1C8A"/>
    <w:rsid w:val="00CF213D"/>
    <w:rsid w:val="00CF62F7"/>
    <w:rsid w:val="00CF6AB1"/>
    <w:rsid w:val="00D0201F"/>
    <w:rsid w:val="00D141CE"/>
    <w:rsid w:val="00D30450"/>
    <w:rsid w:val="00D3072F"/>
    <w:rsid w:val="00D32BCA"/>
    <w:rsid w:val="00D4245C"/>
    <w:rsid w:val="00D43927"/>
    <w:rsid w:val="00D61CC7"/>
    <w:rsid w:val="00D61E8F"/>
    <w:rsid w:val="00D64756"/>
    <w:rsid w:val="00D70B32"/>
    <w:rsid w:val="00DB0C60"/>
    <w:rsid w:val="00DB58B7"/>
    <w:rsid w:val="00DC06EB"/>
    <w:rsid w:val="00DC64D9"/>
    <w:rsid w:val="00E057FF"/>
    <w:rsid w:val="00E135A3"/>
    <w:rsid w:val="00E17E7C"/>
    <w:rsid w:val="00E34772"/>
    <w:rsid w:val="00E75C97"/>
    <w:rsid w:val="00E77D21"/>
    <w:rsid w:val="00E85970"/>
    <w:rsid w:val="00EA6128"/>
    <w:rsid w:val="00EA7576"/>
    <w:rsid w:val="00ED6578"/>
    <w:rsid w:val="00EE09EB"/>
    <w:rsid w:val="00EE0EC7"/>
    <w:rsid w:val="00EE5DF6"/>
    <w:rsid w:val="00EE5E61"/>
    <w:rsid w:val="00F056F1"/>
    <w:rsid w:val="00F222B0"/>
    <w:rsid w:val="00F35C04"/>
    <w:rsid w:val="00F44C25"/>
    <w:rsid w:val="00F81A4F"/>
    <w:rsid w:val="00F83950"/>
    <w:rsid w:val="00F93911"/>
    <w:rsid w:val="00FC38AC"/>
    <w:rsid w:val="00FC4531"/>
    <w:rsid w:val="00FD2A30"/>
    <w:rsid w:val="00FE4A9E"/>
    <w:rsid w:val="01213C08"/>
    <w:rsid w:val="0215573E"/>
    <w:rsid w:val="024822B0"/>
    <w:rsid w:val="027951E6"/>
    <w:rsid w:val="02C45024"/>
    <w:rsid w:val="02CB58CB"/>
    <w:rsid w:val="03087985"/>
    <w:rsid w:val="03475D9E"/>
    <w:rsid w:val="035D56B7"/>
    <w:rsid w:val="03832948"/>
    <w:rsid w:val="03D06DBA"/>
    <w:rsid w:val="055C1B6B"/>
    <w:rsid w:val="05F767B7"/>
    <w:rsid w:val="06DB216C"/>
    <w:rsid w:val="0738668D"/>
    <w:rsid w:val="07945DCD"/>
    <w:rsid w:val="07966214"/>
    <w:rsid w:val="079E1868"/>
    <w:rsid w:val="07BF48E5"/>
    <w:rsid w:val="082D3A9F"/>
    <w:rsid w:val="0A4A2DA1"/>
    <w:rsid w:val="0A7C1258"/>
    <w:rsid w:val="0A810BB7"/>
    <w:rsid w:val="0A851038"/>
    <w:rsid w:val="0ACD703A"/>
    <w:rsid w:val="0BE458BE"/>
    <w:rsid w:val="0BEE4AD8"/>
    <w:rsid w:val="0BF7794B"/>
    <w:rsid w:val="0C056B63"/>
    <w:rsid w:val="0C165C1F"/>
    <w:rsid w:val="0CA010C8"/>
    <w:rsid w:val="0CD71487"/>
    <w:rsid w:val="0D4A2254"/>
    <w:rsid w:val="0D917F28"/>
    <w:rsid w:val="0DD442A4"/>
    <w:rsid w:val="0E0F34CE"/>
    <w:rsid w:val="0E105F13"/>
    <w:rsid w:val="0E8B1A39"/>
    <w:rsid w:val="0EA53D43"/>
    <w:rsid w:val="0F157AE7"/>
    <w:rsid w:val="0F2C21DE"/>
    <w:rsid w:val="0F390B28"/>
    <w:rsid w:val="0F5027BF"/>
    <w:rsid w:val="0F595CE1"/>
    <w:rsid w:val="0F5D2C98"/>
    <w:rsid w:val="0FB15B6E"/>
    <w:rsid w:val="0FE9290F"/>
    <w:rsid w:val="100551E5"/>
    <w:rsid w:val="10930A51"/>
    <w:rsid w:val="10A21193"/>
    <w:rsid w:val="10CC2CED"/>
    <w:rsid w:val="11436CB4"/>
    <w:rsid w:val="117C356D"/>
    <w:rsid w:val="117D701A"/>
    <w:rsid w:val="118C396D"/>
    <w:rsid w:val="11DD09DC"/>
    <w:rsid w:val="120339C7"/>
    <w:rsid w:val="122261D1"/>
    <w:rsid w:val="13D034D0"/>
    <w:rsid w:val="150D1150"/>
    <w:rsid w:val="166677CD"/>
    <w:rsid w:val="16774A77"/>
    <w:rsid w:val="16AD7949"/>
    <w:rsid w:val="16CB57E7"/>
    <w:rsid w:val="16CE05E6"/>
    <w:rsid w:val="16EE30E7"/>
    <w:rsid w:val="171B257B"/>
    <w:rsid w:val="17374AFE"/>
    <w:rsid w:val="175975CB"/>
    <w:rsid w:val="18341647"/>
    <w:rsid w:val="18576EA5"/>
    <w:rsid w:val="18832F1A"/>
    <w:rsid w:val="195E787B"/>
    <w:rsid w:val="198533A4"/>
    <w:rsid w:val="1999559C"/>
    <w:rsid w:val="19EE3322"/>
    <w:rsid w:val="1A3C59EA"/>
    <w:rsid w:val="1A5A050B"/>
    <w:rsid w:val="1B43354C"/>
    <w:rsid w:val="1B6C3A06"/>
    <w:rsid w:val="1BC51A48"/>
    <w:rsid w:val="1BE72C9D"/>
    <w:rsid w:val="1C440C1D"/>
    <w:rsid w:val="1C872D12"/>
    <w:rsid w:val="1CC63289"/>
    <w:rsid w:val="1D5F0996"/>
    <w:rsid w:val="1D7F5879"/>
    <w:rsid w:val="1D8D6C0F"/>
    <w:rsid w:val="1DDD2F7D"/>
    <w:rsid w:val="1DFD3E11"/>
    <w:rsid w:val="1E172573"/>
    <w:rsid w:val="1E75317E"/>
    <w:rsid w:val="1E8651E3"/>
    <w:rsid w:val="1F343091"/>
    <w:rsid w:val="1F626CBE"/>
    <w:rsid w:val="1FDA5354"/>
    <w:rsid w:val="201607F8"/>
    <w:rsid w:val="201C0EBB"/>
    <w:rsid w:val="2094043D"/>
    <w:rsid w:val="20E1358A"/>
    <w:rsid w:val="21197576"/>
    <w:rsid w:val="214B6BF0"/>
    <w:rsid w:val="21734A3E"/>
    <w:rsid w:val="221F635B"/>
    <w:rsid w:val="229B7230"/>
    <w:rsid w:val="23285357"/>
    <w:rsid w:val="2344568D"/>
    <w:rsid w:val="23CB38A6"/>
    <w:rsid w:val="23E76396"/>
    <w:rsid w:val="2411337A"/>
    <w:rsid w:val="24254283"/>
    <w:rsid w:val="24AF79E0"/>
    <w:rsid w:val="251A021B"/>
    <w:rsid w:val="25351C96"/>
    <w:rsid w:val="25A8156B"/>
    <w:rsid w:val="25C507A2"/>
    <w:rsid w:val="260038BC"/>
    <w:rsid w:val="26F56AC0"/>
    <w:rsid w:val="27520851"/>
    <w:rsid w:val="27B26870"/>
    <w:rsid w:val="27D50AB7"/>
    <w:rsid w:val="27EF76F4"/>
    <w:rsid w:val="28651E57"/>
    <w:rsid w:val="28B67AA9"/>
    <w:rsid w:val="28F033EC"/>
    <w:rsid w:val="291E1603"/>
    <w:rsid w:val="29221318"/>
    <w:rsid w:val="2926416B"/>
    <w:rsid w:val="292F68BD"/>
    <w:rsid w:val="29A441D3"/>
    <w:rsid w:val="29A67DDD"/>
    <w:rsid w:val="29B26E64"/>
    <w:rsid w:val="29BB24A0"/>
    <w:rsid w:val="29E47B0A"/>
    <w:rsid w:val="2A6E30F0"/>
    <w:rsid w:val="2A940D1D"/>
    <w:rsid w:val="2AB660C6"/>
    <w:rsid w:val="2AFA2A43"/>
    <w:rsid w:val="2B8F2CA4"/>
    <w:rsid w:val="2BF2732D"/>
    <w:rsid w:val="2C0F5B60"/>
    <w:rsid w:val="2C2E6EB5"/>
    <w:rsid w:val="2CD61190"/>
    <w:rsid w:val="2D19638F"/>
    <w:rsid w:val="2DAB1D7F"/>
    <w:rsid w:val="2DF2482E"/>
    <w:rsid w:val="2E234B22"/>
    <w:rsid w:val="2E9A7907"/>
    <w:rsid w:val="2EBA18AD"/>
    <w:rsid w:val="2F0B2C00"/>
    <w:rsid w:val="2FC067FF"/>
    <w:rsid w:val="2FCA12C3"/>
    <w:rsid w:val="312E0111"/>
    <w:rsid w:val="31343EAE"/>
    <w:rsid w:val="31D806F6"/>
    <w:rsid w:val="31FE415B"/>
    <w:rsid w:val="32207E65"/>
    <w:rsid w:val="325A4CD7"/>
    <w:rsid w:val="32D03ED3"/>
    <w:rsid w:val="338D3FB9"/>
    <w:rsid w:val="33B204B9"/>
    <w:rsid w:val="34243BE8"/>
    <w:rsid w:val="3427114C"/>
    <w:rsid w:val="349E71E6"/>
    <w:rsid w:val="34E92F2E"/>
    <w:rsid w:val="357836E7"/>
    <w:rsid w:val="358B4E40"/>
    <w:rsid w:val="35971342"/>
    <w:rsid w:val="35C75BE6"/>
    <w:rsid w:val="361B656E"/>
    <w:rsid w:val="368842E7"/>
    <w:rsid w:val="377E7997"/>
    <w:rsid w:val="37942F37"/>
    <w:rsid w:val="381E2730"/>
    <w:rsid w:val="38F70FAB"/>
    <w:rsid w:val="390B2FA5"/>
    <w:rsid w:val="394D21E7"/>
    <w:rsid w:val="395A5702"/>
    <w:rsid w:val="39C851DB"/>
    <w:rsid w:val="3A042CB3"/>
    <w:rsid w:val="3AB900A5"/>
    <w:rsid w:val="3B5E7FDD"/>
    <w:rsid w:val="3B6B6DD0"/>
    <w:rsid w:val="3BA305CB"/>
    <w:rsid w:val="3CE74F29"/>
    <w:rsid w:val="3D1F511B"/>
    <w:rsid w:val="3D564E23"/>
    <w:rsid w:val="3D5B310B"/>
    <w:rsid w:val="3E095BCA"/>
    <w:rsid w:val="3E0F351A"/>
    <w:rsid w:val="3E8A48B0"/>
    <w:rsid w:val="3EC8123A"/>
    <w:rsid w:val="3EEB1ACE"/>
    <w:rsid w:val="3EF42144"/>
    <w:rsid w:val="3F055128"/>
    <w:rsid w:val="3F54054D"/>
    <w:rsid w:val="3F7A5E74"/>
    <w:rsid w:val="3FFF4C38"/>
    <w:rsid w:val="401310ED"/>
    <w:rsid w:val="4093356C"/>
    <w:rsid w:val="41D14A55"/>
    <w:rsid w:val="41DF27B1"/>
    <w:rsid w:val="42093E84"/>
    <w:rsid w:val="425040BD"/>
    <w:rsid w:val="42BF01C5"/>
    <w:rsid w:val="42C17449"/>
    <w:rsid w:val="42F405F3"/>
    <w:rsid w:val="4310494B"/>
    <w:rsid w:val="432B6A98"/>
    <w:rsid w:val="43415061"/>
    <w:rsid w:val="43A4461F"/>
    <w:rsid w:val="441066A3"/>
    <w:rsid w:val="441A32F1"/>
    <w:rsid w:val="44600DBD"/>
    <w:rsid w:val="44C0299D"/>
    <w:rsid w:val="44E72CFC"/>
    <w:rsid w:val="44FD12C2"/>
    <w:rsid w:val="45D04201"/>
    <w:rsid w:val="45D12721"/>
    <w:rsid w:val="4611043A"/>
    <w:rsid w:val="46194FAB"/>
    <w:rsid w:val="461C0EF1"/>
    <w:rsid w:val="464B1280"/>
    <w:rsid w:val="46B34996"/>
    <w:rsid w:val="475A2186"/>
    <w:rsid w:val="477F4975"/>
    <w:rsid w:val="478B465D"/>
    <w:rsid w:val="47977170"/>
    <w:rsid w:val="47C65815"/>
    <w:rsid w:val="480139C4"/>
    <w:rsid w:val="481F5DE7"/>
    <w:rsid w:val="486D5DA4"/>
    <w:rsid w:val="4872361D"/>
    <w:rsid w:val="48DB21ED"/>
    <w:rsid w:val="4A2851B5"/>
    <w:rsid w:val="4A2F4E2F"/>
    <w:rsid w:val="4AD262D7"/>
    <w:rsid w:val="4AD9788D"/>
    <w:rsid w:val="4B093649"/>
    <w:rsid w:val="4BC82AC7"/>
    <w:rsid w:val="4C053F64"/>
    <w:rsid w:val="4CE82F0D"/>
    <w:rsid w:val="4CF350B3"/>
    <w:rsid w:val="4D284C9B"/>
    <w:rsid w:val="4D3840BE"/>
    <w:rsid w:val="4E725989"/>
    <w:rsid w:val="4E762343"/>
    <w:rsid w:val="4E8B4907"/>
    <w:rsid w:val="4F2F4D0F"/>
    <w:rsid w:val="4FCB1D63"/>
    <w:rsid w:val="500D4543"/>
    <w:rsid w:val="502E55DD"/>
    <w:rsid w:val="50532F3F"/>
    <w:rsid w:val="513E3034"/>
    <w:rsid w:val="5147038E"/>
    <w:rsid w:val="515A6194"/>
    <w:rsid w:val="51722D1F"/>
    <w:rsid w:val="5172393A"/>
    <w:rsid w:val="51734708"/>
    <w:rsid w:val="51A926EA"/>
    <w:rsid w:val="51B65006"/>
    <w:rsid w:val="52090955"/>
    <w:rsid w:val="5210640D"/>
    <w:rsid w:val="52253E41"/>
    <w:rsid w:val="522971FC"/>
    <w:rsid w:val="523A3295"/>
    <w:rsid w:val="52755A5B"/>
    <w:rsid w:val="52A50864"/>
    <w:rsid w:val="52FC3E3A"/>
    <w:rsid w:val="5375002C"/>
    <w:rsid w:val="537F7BFD"/>
    <w:rsid w:val="5428437A"/>
    <w:rsid w:val="54606D16"/>
    <w:rsid w:val="5489728D"/>
    <w:rsid w:val="54B057B0"/>
    <w:rsid w:val="54B91869"/>
    <w:rsid w:val="54BF3C9C"/>
    <w:rsid w:val="54FB7AE0"/>
    <w:rsid w:val="55461FCB"/>
    <w:rsid w:val="56447F87"/>
    <w:rsid w:val="567974A7"/>
    <w:rsid w:val="56A0149E"/>
    <w:rsid w:val="56E25835"/>
    <w:rsid w:val="56FE5A0A"/>
    <w:rsid w:val="57435AA6"/>
    <w:rsid w:val="57E2260A"/>
    <w:rsid w:val="57FC0614"/>
    <w:rsid w:val="582E1436"/>
    <w:rsid w:val="58363334"/>
    <w:rsid w:val="584222D3"/>
    <w:rsid w:val="58C8034C"/>
    <w:rsid w:val="595A6DAA"/>
    <w:rsid w:val="5A36592C"/>
    <w:rsid w:val="5A6155C2"/>
    <w:rsid w:val="5A9D2DFB"/>
    <w:rsid w:val="5ADD2268"/>
    <w:rsid w:val="5AFC4773"/>
    <w:rsid w:val="5B1E4FDA"/>
    <w:rsid w:val="5B3C1EDE"/>
    <w:rsid w:val="5B7758D0"/>
    <w:rsid w:val="5C955D81"/>
    <w:rsid w:val="5CF93944"/>
    <w:rsid w:val="5D7B4904"/>
    <w:rsid w:val="5DBE7965"/>
    <w:rsid w:val="5DD0123C"/>
    <w:rsid w:val="5E52450A"/>
    <w:rsid w:val="5E6C1EE2"/>
    <w:rsid w:val="5E784C84"/>
    <w:rsid w:val="5F2B4751"/>
    <w:rsid w:val="5F6F647E"/>
    <w:rsid w:val="5F7B439F"/>
    <w:rsid w:val="60AA6446"/>
    <w:rsid w:val="612F265F"/>
    <w:rsid w:val="61317F51"/>
    <w:rsid w:val="616A4354"/>
    <w:rsid w:val="61932D7D"/>
    <w:rsid w:val="62CD5B89"/>
    <w:rsid w:val="62E61AAB"/>
    <w:rsid w:val="6331176E"/>
    <w:rsid w:val="634D18EF"/>
    <w:rsid w:val="63526B3A"/>
    <w:rsid w:val="635D716A"/>
    <w:rsid w:val="63BE341B"/>
    <w:rsid w:val="64D4152E"/>
    <w:rsid w:val="65284570"/>
    <w:rsid w:val="655C3140"/>
    <w:rsid w:val="656D64FA"/>
    <w:rsid w:val="658052DD"/>
    <w:rsid w:val="6591059E"/>
    <w:rsid w:val="65C47416"/>
    <w:rsid w:val="661A359F"/>
    <w:rsid w:val="665C3C76"/>
    <w:rsid w:val="669D7E10"/>
    <w:rsid w:val="67057CC2"/>
    <w:rsid w:val="670D7173"/>
    <w:rsid w:val="673B2037"/>
    <w:rsid w:val="6785569E"/>
    <w:rsid w:val="67C72854"/>
    <w:rsid w:val="681869FD"/>
    <w:rsid w:val="690B6D7C"/>
    <w:rsid w:val="699C0231"/>
    <w:rsid w:val="6A091B6D"/>
    <w:rsid w:val="6A3320AF"/>
    <w:rsid w:val="6A525B89"/>
    <w:rsid w:val="6ABB5727"/>
    <w:rsid w:val="6B1A6F57"/>
    <w:rsid w:val="6B4026C8"/>
    <w:rsid w:val="6CD41863"/>
    <w:rsid w:val="6DA93AF7"/>
    <w:rsid w:val="6DFD1267"/>
    <w:rsid w:val="6F054145"/>
    <w:rsid w:val="6F0A4BA7"/>
    <w:rsid w:val="6F107D23"/>
    <w:rsid w:val="6F1A7372"/>
    <w:rsid w:val="6F2155D1"/>
    <w:rsid w:val="6F3B08A0"/>
    <w:rsid w:val="6F4D1D02"/>
    <w:rsid w:val="702E3856"/>
    <w:rsid w:val="70624653"/>
    <w:rsid w:val="710B10C2"/>
    <w:rsid w:val="71950079"/>
    <w:rsid w:val="71EA5114"/>
    <w:rsid w:val="71F37EA0"/>
    <w:rsid w:val="72411309"/>
    <w:rsid w:val="726957A9"/>
    <w:rsid w:val="72903204"/>
    <w:rsid w:val="72962E22"/>
    <w:rsid w:val="72A30DB4"/>
    <w:rsid w:val="72AD7B2C"/>
    <w:rsid w:val="72FC62D0"/>
    <w:rsid w:val="73AD6D3B"/>
    <w:rsid w:val="73B5332C"/>
    <w:rsid w:val="73F64AD6"/>
    <w:rsid w:val="745B0474"/>
    <w:rsid w:val="75664885"/>
    <w:rsid w:val="75FC5708"/>
    <w:rsid w:val="764515DD"/>
    <w:rsid w:val="76B414A3"/>
    <w:rsid w:val="76C057F2"/>
    <w:rsid w:val="77104A5B"/>
    <w:rsid w:val="774A16C1"/>
    <w:rsid w:val="774D5CEF"/>
    <w:rsid w:val="78033B32"/>
    <w:rsid w:val="795647F9"/>
    <w:rsid w:val="796543C2"/>
    <w:rsid w:val="79816561"/>
    <w:rsid w:val="79BE5874"/>
    <w:rsid w:val="79FE6F5F"/>
    <w:rsid w:val="7A052862"/>
    <w:rsid w:val="7AA856BE"/>
    <w:rsid w:val="7ADA653A"/>
    <w:rsid w:val="7C57001E"/>
    <w:rsid w:val="7C8912DD"/>
    <w:rsid w:val="7C8F63C8"/>
    <w:rsid w:val="7CE85461"/>
    <w:rsid w:val="7DCB439A"/>
    <w:rsid w:val="7E84642B"/>
    <w:rsid w:val="7EC07050"/>
    <w:rsid w:val="7ECE0477"/>
    <w:rsid w:val="7F0B2A41"/>
    <w:rsid w:val="7F4A7033"/>
    <w:rsid w:val="7F5F2D09"/>
    <w:rsid w:val="7F6053B4"/>
    <w:rsid w:val="7F8C2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5"/>
    <w:basedOn w:val="1"/>
    <w:next w:val="1"/>
    <w:link w:val="30"/>
    <w:unhideWhenUsed/>
    <w:qFormat/>
    <w:uiPriority w:val="9"/>
    <w:pPr>
      <w:keepNext/>
      <w:keepLines/>
      <w:widowControl/>
      <w:spacing w:before="40" w:line="259" w:lineRule="auto"/>
      <w:jc w:val="left"/>
      <w:outlineLvl w:val="4"/>
    </w:pPr>
    <w:rPr>
      <w:rFonts w:asciiTheme="majorHAnsi" w:hAnsiTheme="majorHAnsi" w:eastAsiaTheme="majorEastAsia" w:cstheme="majorBidi"/>
      <w:color w:val="376092" w:themeColor="accent1" w:themeShade="BF"/>
      <w:kern w:val="0"/>
      <w:sz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annotation text"/>
    <w:basedOn w:val="1"/>
    <w:link w:val="37"/>
    <w:qFormat/>
    <w:uiPriority w:val="0"/>
    <w:pPr>
      <w:jc w:val="left"/>
    </w:pPr>
    <w:rPr>
      <w:rFonts w:ascii="Times New Roman" w:hAnsi="Times New Roman" w:eastAsia="宋体" w:cs="Times New Roman"/>
      <w:szCs w:val="24"/>
    </w:rPr>
  </w:style>
  <w:style w:type="paragraph" w:styleId="8">
    <w:name w:val="Body Text"/>
    <w:basedOn w:val="1"/>
    <w:unhideWhenUsed/>
    <w:qFormat/>
    <w:uiPriority w:val="99"/>
    <w:rPr>
      <w:sz w:val="28"/>
    </w:rPr>
  </w:style>
  <w:style w:type="paragraph" w:styleId="9">
    <w:name w:val="Body Text Indent"/>
    <w:basedOn w:val="1"/>
    <w:link w:val="39"/>
    <w:semiHidden/>
    <w:unhideWhenUsed/>
    <w:qFormat/>
    <w:uiPriority w:val="99"/>
    <w:pPr>
      <w:spacing w:after="120"/>
      <w:ind w:left="420" w:leftChars="200"/>
    </w:pPr>
  </w:style>
  <w:style w:type="paragraph" w:styleId="10">
    <w:name w:val="Plain Text"/>
    <w:basedOn w:val="1"/>
    <w:link w:val="34"/>
    <w:qFormat/>
    <w:uiPriority w:val="0"/>
    <w:rPr>
      <w:rFonts w:ascii="宋体" w:hAnsi="Courier New" w:eastAsia="宋体" w:cs="Courier New"/>
      <w:szCs w:val="21"/>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43"/>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rPr>
      <w:rFonts w:ascii="Times New Roman" w:hAnsi="Times New Roman" w:eastAsia="宋体" w:cs="Times New Roman"/>
      <w:szCs w:val="24"/>
    </w:rPr>
  </w:style>
  <w:style w:type="paragraph" w:styleId="16">
    <w:name w:val="Body Text Indent 3"/>
    <w:basedOn w:val="1"/>
    <w:link w:val="32"/>
    <w:qFormat/>
    <w:uiPriority w:val="99"/>
    <w:pPr>
      <w:widowControl/>
      <w:spacing w:after="120" w:line="259" w:lineRule="auto"/>
      <w:ind w:left="420" w:leftChars="200"/>
      <w:jc w:val="left"/>
    </w:pPr>
    <w:rPr>
      <w:kern w:val="0"/>
      <w:sz w:val="16"/>
      <w:szCs w:val="16"/>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link w:val="36"/>
    <w:qFormat/>
    <w:uiPriority w:val="0"/>
    <w:pPr>
      <w:spacing w:before="240" w:after="60"/>
      <w:jc w:val="center"/>
      <w:outlineLvl w:val="0"/>
    </w:pPr>
    <w:rPr>
      <w:rFonts w:ascii="Cambria" w:hAnsi="Cambria" w:eastAsia="宋体" w:cs="Times New Roman"/>
      <w:b/>
      <w:bCs/>
      <w:sz w:val="32"/>
      <w:szCs w:val="32"/>
    </w:rPr>
  </w:style>
  <w:style w:type="paragraph" w:styleId="19">
    <w:name w:val="Body Text First Indent"/>
    <w:basedOn w:val="8"/>
    <w:unhideWhenUsed/>
    <w:qFormat/>
    <w:uiPriority w:val="99"/>
    <w:pPr>
      <w:spacing w:after="120"/>
      <w:ind w:firstLine="420"/>
    </w:pPr>
    <w:rPr>
      <w:sz w:val="21"/>
    </w:rPr>
  </w:style>
  <w:style w:type="table" w:styleId="21">
    <w:name w:val="Table Grid"/>
    <w:basedOn w:val="2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rFonts w:eastAsia="宋体"/>
      <w:b/>
      <w:bCs/>
      <w:kern w:val="2"/>
      <w:sz w:val="24"/>
      <w:szCs w:val="24"/>
      <w:lang w:val="en-US" w:eastAsia="zh-CN" w:bidi="ar-SA"/>
    </w:rPr>
  </w:style>
  <w:style w:type="character" w:styleId="24">
    <w:name w:val="page number"/>
    <w:basedOn w:val="22"/>
    <w:qFormat/>
    <w:uiPriority w:val="0"/>
  </w:style>
  <w:style w:type="character" w:styleId="25">
    <w:name w:val="annotation reference"/>
    <w:basedOn w:val="22"/>
    <w:qFormat/>
    <w:uiPriority w:val="0"/>
    <w:rPr>
      <w:sz w:val="21"/>
      <w:szCs w:val="21"/>
    </w:rPr>
  </w:style>
  <w:style w:type="character" w:customStyle="1" w:styleId="26">
    <w:name w:val="页眉 字符"/>
    <w:basedOn w:val="22"/>
    <w:link w:val="14"/>
    <w:qFormat/>
    <w:uiPriority w:val="99"/>
    <w:rPr>
      <w:sz w:val="18"/>
      <w:szCs w:val="18"/>
    </w:rPr>
  </w:style>
  <w:style w:type="character" w:customStyle="1" w:styleId="27">
    <w:name w:val="页脚 字符"/>
    <w:basedOn w:val="22"/>
    <w:link w:val="13"/>
    <w:qFormat/>
    <w:uiPriority w:val="99"/>
    <w:rPr>
      <w:sz w:val="18"/>
      <w:szCs w:val="18"/>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标题 5 Char"/>
    <w:basedOn w:val="22"/>
    <w:semiHidden/>
    <w:qFormat/>
    <w:uiPriority w:val="9"/>
    <w:rPr>
      <w:b/>
      <w:bCs/>
      <w:sz w:val="28"/>
      <w:szCs w:val="28"/>
    </w:rPr>
  </w:style>
  <w:style w:type="character" w:customStyle="1" w:styleId="30">
    <w:name w:val="标题 5 字符"/>
    <w:basedOn w:val="22"/>
    <w:link w:val="6"/>
    <w:qFormat/>
    <w:uiPriority w:val="9"/>
    <w:rPr>
      <w:rFonts w:asciiTheme="majorHAnsi" w:hAnsiTheme="majorHAnsi" w:eastAsiaTheme="majorEastAsia" w:cstheme="majorBidi"/>
      <w:color w:val="376092" w:themeColor="accent1" w:themeShade="BF"/>
      <w:kern w:val="0"/>
      <w:sz w:val="22"/>
    </w:rPr>
  </w:style>
  <w:style w:type="character" w:customStyle="1" w:styleId="31">
    <w:name w:val="正文文本缩进 3 Char"/>
    <w:basedOn w:val="22"/>
    <w:semiHidden/>
    <w:qFormat/>
    <w:uiPriority w:val="99"/>
    <w:rPr>
      <w:sz w:val="16"/>
      <w:szCs w:val="16"/>
    </w:rPr>
  </w:style>
  <w:style w:type="character" w:customStyle="1" w:styleId="32">
    <w:name w:val="正文文本缩进 3 字符"/>
    <w:basedOn w:val="22"/>
    <w:link w:val="16"/>
    <w:qFormat/>
    <w:uiPriority w:val="99"/>
    <w:rPr>
      <w:kern w:val="0"/>
      <w:sz w:val="16"/>
      <w:szCs w:val="16"/>
    </w:rPr>
  </w:style>
  <w:style w:type="paragraph" w:styleId="33">
    <w:name w:val="List Paragraph"/>
    <w:basedOn w:val="1"/>
    <w:qFormat/>
    <w:uiPriority w:val="99"/>
    <w:pPr>
      <w:ind w:firstLine="420" w:firstLineChars="200"/>
    </w:pPr>
  </w:style>
  <w:style w:type="character" w:customStyle="1" w:styleId="34">
    <w:name w:val="纯文本 字符"/>
    <w:basedOn w:val="22"/>
    <w:link w:val="10"/>
    <w:qFormat/>
    <w:uiPriority w:val="0"/>
    <w:rPr>
      <w:rFonts w:ascii="宋体" w:hAnsi="Courier New" w:eastAsia="宋体" w:cs="Courier New"/>
      <w:szCs w:val="21"/>
    </w:rPr>
  </w:style>
  <w:style w:type="character" w:customStyle="1" w:styleId="35">
    <w:name w:val="标题 2 字符"/>
    <w:basedOn w:val="22"/>
    <w:link w:val="4"/>
    <w:semiHidden/>
    <w:qFormat/>
    <w:uiPriority w:val="9"/>
    <w:rPr>
      <w:rFonts w:asciiTheme="majorHAnsi" w:hAnsiTheme="majorHAnsi" w:eastAsiaTheme="majorEastAsia" w:cstheme="majorBidi"/>
      <w:b/>
      <w:bCs/>
      <w:sz w:val="32"/>
      <w:szCs w:val="32"/>
    </w:rPr>
  </w:style>
  <w:style w:type="character" w:customStyle="1" w:styleId="36">
    <w:name w:val="标题 字符"/>
    <w:basedOn w:val="22"/>
    <w:link w:val="18"/>
    <w:qFormat/>
    <w:uiPriority w:val="0"/>
    <w:rPr>
      <w:rFonts w:ascii="Cambria" w:hAnsi="Cambria" w:eastAsia="宋体" w:cs="Times New Roman"/>
      <w:b/>
      <w:bCs/>
      <w:sz w:val="32"/>
      <w:szCs w:val="32"/>
    </w:rPr>
  </w:style>
  <w:style w:type="character" w:customStyle="1" w:styleId="37">
    <w:name w:val="批注文字 字符"/>
    <w:basedOn w:val="22"/>
    <w:link w:val="7"/>
    <w:qFormat/>
    <w:uiPriority w:val="0"/>
    <w:rPr>
      <w:rFonts w:ascii="Times New Roman" w:hAnsi="Times New Roman" w:eastAsia="宋体" w:cs="Times New Roman"/>
      <w:szCs w:val="24"/>
    </w:rPr>
  </w:style>
  <w:style w:type="character" w:customStyle="1" w:styleId="38">
    <w:name w:val="标题 3 字符"/>
    <w:basedOn w:val="22"/>
    <w:link w:val="5"/>
    <w:semiHidden/>
    <w:qFormat/>
    <w:uiPriority w:val="9"/>
    <w:rPr>
      <w:b/>
      <w:bCs/>
      <w:sz w:val="32"/>
      <w:szCs w:val="32"/>
    </w:rPr>
  </w:style>
  <w:style w:type="character" w:customStyle="1" w:styleId="39">
    <w:name w:val="正文文本缩进 字符"/>
    <w:basedOn w:val="22"/>
    <w:link w:val="9"/>
    <w:semiHidden/>
    <w:qFormat/>
    <w:uiPriority w:val="99"/>
  </w:style>
  <w:style w:type="paragraph" w:customStyle="1" w:styleId="40">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4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2">
    <w:name w:val="apple-converted-space"/>
    <w:basedOn w:val="22"/>
    <w:qFormat/>
    <w:uiPriority w:val="0"/>
  </w:style>
  <w:style w:type="character" w:customStyle="1" w:styleId="43">
    <w:name w:val="批注框文本 字符"/>
    <w:basedOn w:val="22"/>
    <w:link w:val="12"/>
    <w:semiHidden/>
    <w:qFormat/>
    <w:uiPriority w:val="99"/>
    <w:rPr>
      <w:kern w:val="2"/>
      <w:sz w:val="18"/>
      <w:szCs w:val="18"/>
    </w:r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Default"/>
    <w:link w:val="46"/>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character" w:customStyle="1" w:styleId="46">
    <w:name w:val="Default 字符"/>
    <w:basedOn w:val="22"/>
    <w:link w:val="45"/>
    <w:qFormat/>
    <w:uiPriority w:val="0"/>
    <w:rPr>
      <w:rFonts w:ascii="微软雅黑" w:hAnsi="Calibri" w:eastAsia="微软雅黑" w:cs="微软雅黑"/>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E409E-E83B-4AD8-B742-5019C54D3A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2311</Words>
  <Characters>13173</Characters>
  <Lines>109</Lines>
  <Paragraphs>30</Paragraphs>
  <TotalTime>0</TotalTime>
  <ScaleCrop>false</ScaleCrop>
  <LinksUpToDate>false</LinksUpToDate>
  <CharactersWithSpaces>15454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2021-06-11T01:34:00Z</dcterms:created>
  <dc:creator>李嘉雯</dc:creator>
  <cp:lastModifiedBy>林煜韩</cp:lastModifiedBy>
  <cp:lastPrinted>2021-04-13T01:04:00Z</cp:lastPrinted>
  <dcterms:modified xsi:type="dcterms:W3CDTF">2021-07-23T08:48:13Z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9FCDD6B33D9C47FC966785BD55E953E1</vt:lpwstr>
  </property>
</Properties>
</file>