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auto"/>
          <w:kern w:val="0"/>
        </w:rPr>
      </w:pPr>
      <w:bookmarkStart w:id="71" w:name="_GoBack"/>
      <w:bookmarkEnd w:id="71"/>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rPr>
      </w:pPr>
    </w:p>
    <w:p>
      <w:pPr>
        <w:spacing w:line="500" w:lineRule="exact"/>
        <w:jc w:val="left"/>
        <w:rPr>
          <w:rFonts w:hint="eastAsia" w:ascii="仿宋" w:hAnsi="仿宋" w:eastAsia="仿宋" w:cs="仿宋_GB2312"/>
          <w:b/>
          <w:bCs w:val="0"/>
          <w:color w:val="auto"/>
          <w:sz w:val="32"/>
          <w:szCs w:val="32"/>
        </w:rPr>
      </w:pPr>
    </w:p>
    <w:p>
      <w:pPr>
        <w:spacing w:line="500" w:lineRule="exact"/>
        <w:jc w:val="left"/>
        <w:rPr>
          <w:rFonts w:ascii="仿宋" w:hAnsi="仿宋" w:eastAsia="仿宋" w:cs="仿宋_GB2312"/>
          <w:b/>
          <w:bCs w:val="0"/>
          <w:color w:val="auto"/>
          <w:sz w:val="32"/>
          <w:szCs w:val="32"/>
        </w:rPr>
      </w:pPr>
      <w:r>
        <w:rPr>
          <w:rFonts w:hint="eastAsia" w:ascii="仿宋" w:hAnsi="仿宋" w:eastAsia="仿宋" w:cs="仿宋_GB2312"/>
          <w:b/>
          <w:bCs w:val="0"/>
          <w:color w:val="auto"/>
          <w:sz w:val="32"/>
          <w:szCs w:val="32"/>
        </w:rPr>
        <w:t>项目编号：</w:t>
      </w:r>
      <w:r>
        <w:rPr>
          <w:rFonts w:hint="eastAsia" w:ascii="仿宋" w:hAnsi="仿宋" w:eastAsia="仿宋" w:cs="仿宋_GB2312"/>
          <w:b/>
          <w:bCs w:val="0"/>
          <w:color w:val="auto"/>
          <w:sz w:val="32"/>
          <w:szCs w:val="32"/>
          <w:lang w:val="en-US" w:eastAsia="zh-CN"/>
        </w:rPr>
        <w:t>XJ-20210723-1</w:t>
      </w:r>
      <w:r>
        <w:rPr>
          <w:rFonts w:ascii="仿宋" w:hAnsi="仿宋" w:eastAsia="仿宋" w:cs="仿宋_GB2312"/>
          <w:b/>
          <w:bCs w:val="0"/>
          <w:color w:val="auto"/>
          <w:sz w:val="32"/>
          <w:szCs w:val="32"/>
        </w:rPr>
        <w:t xml:space="preserve"> </w:t>
      </w:r>
      <w:r>
        <w:rPr>
          <w:rFonts w:hint="eastAsia" w:ascii="仿宋" w:hAnsi="仿宋" w:eastAsia="仿宋" w:cs="仿宋_GB2312"/>
          <w:b/>
          <w:bCs w:val="0"/>
          <w:color w:val="auto"/>
          <w:sz w:val="32"/>
          <w:szCs w:val="32"/>
        </w:rPr>
        <w:t xml:space="preserve"> </w:t>
      </w:r>
      <w:r>
        <w:rPr>
          <w:b/>
          <w:bCs w:val="0"/>
          <w:color w:val="auto"/>
          <w:sz w:val="32"/>
          <w:szCs w:val="32"/>
        </w:rPr>
        <w:fldChar w:fldCharType="begin"/>
      </w:r>
      <w:r>
        <w:rPr>
          <w:b/>
          <w:bCs w:val="0"/>
          <w:color w:val="auto"/>
          <w:sz w:val="32"/>
          <w:szCs w:val="32"/>
        </w:rPr>
        <w:instrText xml:space="preserve"> DOCVARIABLE  采购编号  \* MERGEFORMAT </w:instrText>
      </w:r>
      <w:r>
        <w:rPr>
          <w:b/>
          <w:bCs w:val="0"/>
          <w:color w:val="auto"/>
          <w:sz w:val="32"/>
          <w:szCs w:val="32"/>
        </w:rPr>
        <w:fldChar w:fldCharType="end"/>
      </w:r>
    </w:p>
    <w:p>
      <w:pPr>
        <w:spacing w:line="500" w:lineRule="exact"/>
        <w:jc w:val="left"/>
        <w:rPr>
          <w:rFonts w:ascii="仿宋_GB2312" w:hAnsi="仿宋_GB2312" w:eastAsia="仿宋" w:cs="仿宋_GB2312"/>
          <w:b/>
          <w:bCs/>
          <w:color w:val="auto"/>
        </w:rPr>
      </w:pPr>
      <w:r>
        <w:rPr>
          <w:rFonts w:hint="eastAsia" w:ascii="仿宋" w:hAnsi="仿宋" w:eastAsia="仿宋" w:cs="仿宋_GB2312"/>
          <w:b/>
          <w:bCs w:val="0"/>
          <w:color w:val="auto"/>
          <w:sz w:val="32"/>
          <w:szCs w:val="32"/>
        </w:rPr>
        <w:t>项目名称：</w:t>
      </w:r>
      <w:r>
        <w:rPr>
          <w:rFonts w:hint="eastAsia" w:ascii="仿宋" w:hAnsi="仿宋" w:eastAsia="仿宋" w:cs="仿宋_GB2312"/>
          <w:b/>
          <w:bCs w:val="0"/>
          <w:color w:val="auto"/>
          <w:sz w:val="32"/>
          <w:szCs w:val="32"/>
          <w:lang w:val="en-US" w:eastAsia="zh-CN"/>
        </w:rPr>
        <w:t>广州市净水有限公司</w:t>
      </w:r>
      <w:r>
        <w:rPr>
          <w:rFonts w:hint="eastAsia" w:ascii="仿宋" w:hAnsi="仿宋" w:eastAsia="仿宋" w:cs="仿宋_GB2312"/>
          <w:b/>
          <w:bCs w:val="0"/>
          <w:color w:val="auto"/>
          <w:sz w:val="32"/>
          <w:szCs w:val="32"/>
        </w:rPr>
        <w:t>沥滘智慧安防系统工程</w:t>
      </w:r>
      <w:r>
        <w:rPr>
          <w:rFonts w:hint="eastAsia" w:ascii="仿宋" w:hAnsi="仿宋" w:eastAsia="仿宋" w:cs="仿宋_GB2312"/>
          <w:b/>
          <w:bCs w:val="0"/>
          <w:color w:val="auto"/>
          <w:sz w:val="32"/>
          <w:szCs w:val="32"/>
          <w:lang w:val="en-US" w:eastAsia="zh-CN"/>
        </w:rPr>
        <w:t>项目</w:t>
      </w: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广州市净水有限公司  编制</w:t>
      </w:r>
    </w:p>
    <w:p>
      <w:pPr>
        <w:spacing w:line="360" w:lineRule="auto"/>
        <w:jc w:val="center"/>
        <w:rPr>
          <w:rFonts w:ascii="仿宋_GB2312" w:hAnsi="仿宋_GB2312" w:eastAsia="仿宋_GB2312" w:cs="仿宋_GB2312"/>
          <w:b/>
          <w:bCs/>
          <w:color w:val="auto"/>
          <w:sz w:val="28"/>
          <w:szCs w:val="28"/>
        </w:rPr>
      </w:pP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发布日期：20</w:t>
      </w:r>
      <w:r>
        <w:rPr>
          <w:rFonts w:ascii="仿宋_GB2312" w:hAnsi="仿宋_GB2312" w:eastAsia="仿宋_GB2312" w:cs="仿宋_GB2312"/>
          <w:b/>
          <w:bCs/>
          <w:color w:val="auto"/>
          <w:sz w:val="28"/>
        </w:rPr>
        <w:t>2</w:t>
      </w:r>
      <w:r>
        <w:rPr>
          <w:rFonts w:hint="eastAsia" w:ascii="仿宋_GB2312" w:hAnsi="仿宋_GB2312" w:eastAsia="仿宋_GB2312" w:cs="仿宋_GB2312"/>
          <w:b/>
          <w:bCs/>
          <w:color w:val="auto"/>
          <w:sz w:val="28"/>
        </w:rPr>
        <w:t>1年</w:t>
      </w:r>
      <w:r>
        <w:rPr>
          <w:rFonts w:hint="eastAsia" w:ascii="仿宋_GB2312" w:hAnsi="仿宋_GB2312" w:eastAsia="仿宋_GB2312" w:cs="仿宋_GB2312"/>
          <w:b/>
          <w:bCs/>
          <w:color w:val="auto"/>
          <w:sz w:val="28"/>
          <w:lang w:val="en-US" w:eastAsia="zh-CN"/>
        </w:rPr>
        <w:t>7</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23</w:t>
      </w:r>
      <w:r>
        <w:rPr>
          <w:rFonts w:hint="eastAsia" w:ascii="仿宋_GB2312" w:hAnsi="仿宋_GB2312" w:eastAsia="仿宋_GB2312" w:cs="仿宋_GB2312"/>
          <w:b/>
          <w:bCs/>
          <w:color w:val="auto"/>
          <w:sz w:val="28"/>
        </w:rPr>
        <w:t>日</w:t>
      </w:r>
    </w:p>
    <w:p>
      <w:pPr>
        <w:pageBreakBefore/>
        <w:jc w:val="center"/>
        <w:rPr>
          <w:rFonts w:hint="eastAsia"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9"/>
        <w:tabs>
          <w:tab w:val="right" w:leader="dot" w:pos="9174"/>
        </w:tabs>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color w:val="auto"/>
          <w:sz w:val="28"/>
          <w:szCs w:val="28"/>
        </w:rPr>
      </w:pPr>
    </w:p>
    <w:p>
      <w:pPr>
        <w:ind w:firstLine="548" w:firstLineChars="196"/>
        <w:rPr>
          <w:rFonts w:hint="eastAsia"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p>
    <w:p>
      <w:pPr>
        <w:rPr>
          <w:rFonts w:hint="eastAsia" w:ascii="仿宋_GB2312" w:hAnsi="仿宋_GB2312" w:eastAsia="仿宋_GB2312" w:cs="仿宋_GB2312"/>
          <w:b/>
          <w:color w:val="auto"/>
          <w:sz w:val="28"/>
          <w:szCs w:val="28"/>
        </w:rPr>
      </w:pPr>
    </w:p>
    <w:p>
      <w:pPr>
        <w:rPr>
          <w:rFonts w:hint="eastAsia" w:ascii="仿宋_GB2312" w:hAnsi="仿宋_GB2312" w:eastAsia="仿宋_GB2312" w:cs="仿宋_GB2312"/>
          <w:b/>
          <w:color w:val="auto"/>
          <w:sz w:val="28"/>
          <w:szCs w:val="28"/>
        </w:rPr>
      </w:pPr>
    </w:p>
    <w:p>
      <w:pPr>
        <w:rPr>
          <w:rFonts w:hint="eastAsia" w:ascii="仿宋_GB2312" w:hAnsi="仿宋_GB2312" w:eastAsia="仿宋_GB2312" w:cs="仿宋_GB2312"/>
          <w:b/>
          <w:color w:val="auto"/>
          <w:sz w:val="28"/>
          <w:szCs w:val="28"/>
        </w:rPr>
      </w:pPr>
    </w:p>
    <w:p>
      <w:pPr>
        <w:rPr>
          <w:rFonts w:hint="eastAsia" w:ascii="仿宋_GB2312" w:hAnsi="仿宋_GB2312" w:eastAsia="仿宋_GB2312" w:cs="仿宋_GB2312"/>
          <w:b/>
          <w:color w:val="auto"/>
          <w:sz w:val="28"/>
          <w:szCs w:val="28"/>
        </w:rPr>
      </w:pPr>
    </w:p>
    <w:p>
      <w:pPr>
        <w:rPr>
          <w:rFonts w:hint="eastAsia" w:ascii="仿宋_GB2312" w:hAnsi="仿宋_GB2312" w:eastAsia="仿宋_GB2312" w:cs="仿宋_GB2312"/>
          <w:b/>
          <w:color w:val="auto"/>
          <w:sz w:val="28"/>
          <w:szCs w:val="28"/>
        </w:rPr>
      </w:pPr>
    </w:p>
    <w:p>
      <w:pPr>
        <w:pStyle w:val="32"/>
        <w:rPr>
          <w:rFonts w:hint="eastAsia" w:ascii="仿宋_GB2312" w:hAnsi="仿宋_GB2312" w:eastAsia="仿宋_GB2312" w:cs="仿宋_GB2312"/>
          <w:b/>
          <w:color w:val="auto"/>
          <w:sz w:val="28"/>
          <w:szCs w:val="28"/>
        </w:rPr>
      </w:pPr>
    </w:p>
    <w:p>
      <w:pPr>
        <w:pStyle w:val="32"/>
        <w:rPr>
          <w:rFonts w:hint="eastAsia" w:ascii="仿宋_GB2312" w:hAnsi="仿宋_GB2312" w:eastAsia="仿宋_GB2312" w:cs="仿宋_GB2312"/>
          <w:b/>
          <w:color w:val="auto"/>
          <w:sz w:val="28"/>
          <w:szCs w:val="28"/>
        </w:rPr>
      </w:pPr>
    </w:p>
    <w:p>
      <w:pPr>
        <w:pStyle w:val="23"/>
        <w:rPr>
          <w:rFonts w:hint="eastAsia" w:ascii="仿宋_GB2312" w:hAnsi="仿宋_GB2312" w:eastAsia="仿宋_GB2312" w:cs="仿宋_GB2312"/>
          <w:color w:val="auto"/>
          <w:kern w:val="0"/>
        </w:rPr>
      </w:pPr>
      <w:bookmarkStart w:id="0" w:name="_Toc24572_WPSOffice_Level1"/>
      <w:r>
        <w:rPr>
          <w:rFonts w:hint="eastAsia" w:ascii="仿宋_GB2312" w:hAnsi="仿宋_GB2312" w:eastAsia="仿宋_GB2312" w:cs="仿宋_GB2312"/>
          <w:color w:val="auto"/>
          <w:kern w:val="0"/>
        </w:rPr>
        <w:t>第一部分报价邀请函</w:t>
      </w:r>
      <w:bookmarkEnd w:id="0"/>
    </w:p>
    <w:p>
      <w:pPr>
        <w:ind w:firstLine="478" w:firstLineChars="171"/>
        <w:rPr>
          <w:rFonts w:hint="eastAsia" w:ascii="仿宋_GB2312" w:hAnsi="仿宋_GB2312" w:eastAsia="仿宋_GB2312" w:cs="仿宋_GB2312"/>
          <w:color w:val="auto"/>
          <w:kern w:val="0"/>
          <w:sz w:val="28"/>
          <w:szCs w:val="28"/>
        </w:rPr>
      </w:pPr>
    </w:p>
    <w:p>
      <w:pP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现我公司对</w:t>
      </w:r>
      <w:r>
        <w:rPr>
          <w:rFonts w:hint="eastAsia" w:ascii="仿宋_GB2312" w:hAnsi="仿宋_GB2312" w:eastAsia="仿宋_GB2312" w:cs="仿宋_GB2312"/>
          <w:bCs/>
          <w:color w:val="auto"/>
          <w:sz w:val="28"/>
          <w:szCs w:val="28"/>
          <w:u w:val="single"/>
          <w:lang w:val="zh-CN" w:eastAsia="zh-CN"/>
        </w:rPr>
        <w:t>沥滘智慧安防系统工程项目</w:t>
      </w:r>
      <w:r>
        <w:rPr>
          <w:rFonts w:hint="eastAsia" w:ascii="仿宋_GB2312" w:hAnsi="仿宋_GB2312" w:eastAsia="仿宋_GB2312" w:cs="仿宋_GB2312"/>
          <w:color w:val="auto"/>
          <w:sz w:val="28"/>
          <w:szCs w:val="28"/>
        </w:rPr>
        <w:t>进行询价，</w:t>
      </w:r>
      <w:r>
        <w:rPr>
          <w:rFonts w:hint="eastAsia" w:ascii="仿宋_GB2312" w:hAnsi="仿宋_GB2312" w:eastAsia="仿宋_GB2312" w:cs="仿宋_GB2312"/>
          <w:color w:val="auto"/>
          <w:sz w:val="28"/>
          <w:szCs w:val="28"/>
          <w:lang w:val="zh-CN"/>
        </w:rPr>
        <w:t>欢迎符合资格条件</w:t>
      </w:r>
      <w:r>
        <w:rPr>
          <w:rFonts w:hint="eastAsia" w:ascii="仿宋_GB2312" w:hAnsi="仿宋_GB2312" w:eastAsia="仿宋_GB2312" w:cs="仿宋_GB2312"/>
          <w:color w:val="auto"/>
          <w:sz w:val="28"/>
          <w:szCs w:val="28"/>
        </w:rPr>
        <w:t>的报价单位参加。</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u w:val="none"/>
          <w:lang w:val="en-US" w:eastAsia="zh-CN"/>
        </w:rPr>
        <w:t>企业自有资金</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lang w:val="en-US" w:eastAsia="zh-CN"/>
        </w:rPr>
        <w:t>XJ-20210723-1</w:t>
      </w:r>
      <w:r>
        <w:rPr>
          <w:rFonts w:hint="eastAsia" w:ascii="仿宋_GB2312" w:hAnsi="仿宋_GB2312" w:eastAsia="仿宋_GB2312" w:cs="仿宋_GB2312"/>
          <w:color w:val="auto"/>
          <w:sz w:val="28"/>
          <w:szCs w:val="28"/>
          <w:lang w:val="zh-CN"/>
        </w:rPr>
        <w:t xml:space="preserve"> </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u w:val="single"/>
          <w:lang w:val="zh-CN" w:eastAsia="zh-CN"/>
        </w:rPr>
        <w:t>沥滘智慧安防系统工程</w:t>
      </w:r>
      <w:r>
        <w:rPr>
          <w:rFonts w:hint="eastAsia" w:ascii="仿宋_GB2312" w:hAnsi="仿宋_GB2312" w:eastAsia="仿宋_GB2312" w:cs="仿宋_GB2312"/>
          <w:color w:val="auto"/>
          <w:sz w:val="28"/>
          <w:szCs w:val="28"/>
          <w:u w:val="single"/>
          <w:lang w:val="en-US" w:eastAsia="zh-CN"/>
        </w:rPr>
        <w:t>项目</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lang w:val="en-US" w:eastAsia="zh-CN"/>
        </w:rPr>
        <w:t>296.86079</w:t>
      </w:r>
      <w:r>
        <w:rPr>
          <w:rFonts w:hint="eastAsia" w:ascii="仿宋_GB2312" w:hAnsi="仿宋_GB2312" w:eastAsia="仿宋_GB2312" w:cs="仿宋_GB2312"/>
          <w:color w:val="auto"/>
          <w:sz w:val="28"/>
          <w:szCs w:val="28"/>
          <w:lang w:val="zh-CN" w:eastAsia="zh-CN"/>
        </w:rPr>
        <w:t>万元（人民币）</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其中税前造价限价为272.34935万元，税率9%</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w:t>
      </w:r>
    </w:p>
    <w:p>
      <w:pPr>
        <w:spacing w:line="600" w:lineRule="exact"/>
        <w:ind w:firstLine="560"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沥滘智慧安防系统工程</w:t>
      </w:r>
      <w:r>
        <w:rPr>
          <w:rFonts w:hint="eastAsia" w:ascii="仿宋_GB2312" w:hAnsi="仿宋_GB2312" w:eastAsia="仿宋_GB2312" w:cs="仿宋_GB2312"/>
          <w:color w:val="auto"/>
          <w:sz w:val="28"/>
          <w:szCs w:val="28"/>
          <w:lang w:val="en-US" w:eastAsia="zh-CN"/>
        </w:rPr>
        <w:t>项目内容包括</w:t>
      </w:r>
      <w:r>
        <w:rPr>
          <w:rFonts w:hint="eastAsia" w:ascii="仿宋_GB2312" w:hAnsi="仿宋_GB2312" w:eastAsia="仿宋_GB2312" w:cs="仿宋_GB2312"/>
          <w:color w:val="auto"/>
          <w:sz w:val="28"/>
          <w:szCs w:val="28"/>
          <w:lang w:val="zh-CN" w:eastAsia="zh-CN"/>
        </w:rPr>
        <w:t>：</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1.实景监测、访客管理、车辆管理、人脸门禁、入侵检测、智能周界、紧急对讲、安全帽识别、水火异动、安消联动等1</w:t>
      </w:r>
      <w:r>
        <w:rPr>
          <w:rFonts w:hint="eastAsia" w:ascii="仿宋_GB2312" w:hAnsi="仿宋_GB2312" w:eastAsia="仿宋_GB2312" w:cs="仿宋_GB2312"/>
          <w:color w:val="auto"/>
          <w:sz w:val="28"/>
          <w:szCs w:val="28"/>
          <w:u w:val="none"/>
          <w:lang w:val="en-US" w:eastAsia="zh-CN"/>
        </w:rPr>
        <w:t>0</w:t>
      </w:r>
      <w:r>
        <w:rPr>
          <w:rFonts w:hint="eastAsia" w:ascii="仿宋_GB2312" w:hAnsi="仿宋_GB2312" w:eastAsia="仿宋_GB2312" w:cs="仿宋_GB2312"/>
          <w:color w:val="auto"/>
          <w:sz w:val="28"/>
          <w:szCs w:val="28"/>
          <w:u w:val="none"/>
        </w:rPr>
        <w:t>个应用场景。</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2.基于AR实景监测平台，实现对各应用场景的整合、数据信息融合处理和控制，构成一套园区立体防控网络。</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rPr>
        <w:t>3.集成可视化实景地图、立体化视频监控、精细化预案规划、精准化布控告警、智能化告警联动、实景化指挥调度、全息化场景回溯等应用功能，为园区提供“统一告警、智能联动、精准指挥”的综合安防保障。</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sz w:val="28"/>
          <w:szCs w:val="28"/>
          <w:u w:val="single"/>
        </w:rPr>
        <w:t>1.报价单位须是在中华人民共和国境内注册的法人或其他组织，持有工商行政管理部门核发的营业执照，且能开具增值税发票。</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highlight w:val="cyan"/>
          <w:u w:val="single"/>
          <w:lang w:val="en-US" w:eastAsia="zh-CN"/>
        </w:rPr>
      </w:pP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lang w:val="zh-CN"/>
        </w:rPr>
        <w:t>报价单位</w:t>
      </w:r>
      <w:r>
        <w:rPr>
          <w:rFonts w:hint="eastAsia" w:ascii="仿宋_GB2312" w:hAnsi="仿宋_GB2312" w:eastAsia="仿宋_GB2312" w:cs="仿宋_GB2312"/>
          <w:color w:val="auto"/>
          <w:sz w:val="28"/>
          <w:szCs w:val="28"/>
          <w:u w:val="single"/>
          <w:lang w:val="en-US" w:eastAsia="zh-CN"/>
        </w:rPr>
        <w:t>须同时具有</w:t>
      </w:r>
      <w:r>
        <w:rPr>
          <w:rFonts w:hint="eastAsia" w:ascii="仿宋_GB2312" w:hAnsi="仿宋_GB2312" w:eastAsia="仿宋_GB2312" w:cs="仿宋_GB2312"/>
          <w:color w:val="auto"/>
          <w:sz w:val="28"/>
          <w:szCs w:val="28"/>
          <w:u w:val="single"/>
        </w:rPr>
        <w:t>电子与智能化工程专业承包二级（或以上）</w:t>
      </w:r>
      <w:r>
        <w:rPr>
          <w:rFonts w:hint="eastAsia" w:ascii="仿宋_GB2312" w:hAnsi="仿宋_GB2312" w:eastAsia="仿宋_GB2312" w:cs="仿宋_GB2312"/>
          <w:color w:val="auto"/>
          <w:sz w:val="28"/>
          <w:szCs w:val="28"/>
          <w:u w:val="single"/>
          <w:lang w:val="en-US" w:eastAsia="zh-CN"/>
        </w:rPr>
        <w:t>/建筑机电工程专业承包乙级（或以上）</w:t>
      </w:r>
      <w:r>
        <w:rPr>
          <w:rFonts w:hint="eastAsia" w:ascii="仿宋_GB2312" w:hAnsi="仿宋_GB2312" w:eastAsia="仿宋_GB2312" w:cs="仿宋_GB2312"/>
          <w:color w:val="auto"/>
          <w:sz w:val="28"/>
          <w:szCs w:val="28"/>
          <w:u w:val="single"/>
          <w:lang w:eastAsia="zh-CN"/>
        </w:rPr>
        <w:t>；</w:t>
      </w:r>
      <w:r>
        <w:rPr>
          <w:rFonts w:hint="default" w:ascii="仿宋" w:hAnsi="仿宋" w:eastAsia="仿宋" w:cs="仿宋_GB2312"/>
          <w:color w:val="000000" w:themeColor="text1"/>
          <w:sz w:val="28"/>
          <w:szCs w:val="28"/>
          <w:highlight w:val="none"/>
          <w:u w:val="single"/>
          <w14:textFill>
            <w14:solidFill>
              <w14:schemeClr w14:val="tx1"/>
            </w14:solidFill>
          </w14:textFill>
        </w:rPr>
        <w:t>持有效期内建设主管部门颁发的《安全生产许可证》</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zh-CN"/>
        </w:rPr>
        <w:t>报价单位</w:t>
      </w:r>
      <w:r>
        <w:rPr>
          <w:rFonts w:hint="eastAsia" w:ascii="仿宋_GB2312" w:hAnsi="仿宋_GB2312" w:eastAsia="仿宋_GB2312" w:cs="仿宋_GB2312"/>
          <w:color w:val="auto"/>
          <w:sz w:val="28"/>
          <w:szCs w:val="28"/>
          <w:u w:val="single"/>
        </w:rPr>
        <w:t>销售业绩要求</w:t>
      </w:r>
      <w:r>
        <w:rPr>
          <w:rFonts w:hint="eastAsia" w:ascii="仿宋_GB2312" w:hAnsi="仿宋_GB2312" w:eastAsia="仿宋_GB2312" w:cs="仿宋_GB2312"/>
          <w:color w:val="auto"/>
          <w:sz w:val="28"/>
          <w:szCs w:val="28"/>
          <w:u w:val="single"/>
          <w:lang w:val="zh-CN"/>
        </w:rPr>
        <w:t>：201</w:t>
      </w:r>
      <w:r>
        <w:rPr>
          <w:rFonts w:hint="eastAsia" w:ascii="仿宋_GB2312" w:hAnsi="仿宋_GB2312" w:eastAsia="仿宋_GB2312" w:cs="仿宋_GB2312"/>
          <w:color w:val="auto"/>
          <w:sz w:val="28"/>
          <w:szCs w:val="28"/>
          <w:u w:val="single"/>
          <w:lang w:val="en-US" w:eastAsia="zh-CN"/>
        </w:rPr>
        <w:t>8年</w:t>
      </w:r>
      <w:r>
        <w:rPr>
          <w:rFonts w:hint="eastAsia" w:ascii="仿宋_GB2312" w:hAnsi="仿宋_GB2312" w:eastAsia="仿宋_GB2312" w:cs="仿宋_GB2312"/>
          <w:color w:val="auto"/>
          <w:sz w:val="28"/>
          <w:szCs w:val="28"/>
          <w:u w:val="single"/>
        </w:rPr>
        <w:t>1月1日至今</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最少</w:t>
      </w:r>
      <w:r>
        <w:rPr>
          <w:rFonts w:hint="eastAsia" w:ascii="仿宋_GB2312" w:hAnsi="仿宋_GB2312" w:eastAsia="仿宋_GB2312" w:cs="仿宋_GB2312"/>
          <w:color w:val="auto"/>
          <w:sz w:val="28"/>
          <w:szCs w:val="28"/>
          <w:u w:val="single"/>
        </w:rPr>
        <w:t>具有</w:t>
      </w:r>
      <w:r>
        <w:rPr>
          <w:rFonts w:hint="eastAsia" w:ascii="仿宋_GB2312" w:hAnsi="仿宋_GB2312" w:eastAsia="仿宋_GB2312" w:cs="仿宋_GB2312"/>
          <w:color w:val="auto"/>
          <w:sz w:val="28"/>
          <w:szCs w:val="28"/>
          <w:u w:val="single"/>
          <w:lang w:val="en-US" w:eastAsia="zh-CN"/>
        </w:rPr>
        <w:t>一</w:t>
      </w:r>
      <w:r>
        <w:rPr>
          <w:rFonts w:hint="eastAsia" w:ascii="仿宋_GB2312" w:hAnsi="仿宋_GB2312" w:eastAsia="仿宋_GB2312" w:cs="仿宋_GB2312"/>
          <w:color w:val="auto"/>
          <w:sz w:val="28"/>
          <w:szCs w:val="28"/>
          <w:u w:val="single"/>
        </w:rPr>
        <w:t>项</w:t>
      </w:r>
      <w:r>
        <w:rPr>
          <w:rFonts w:hint="eastAsia" w:ascii="仿宋_GB2312" w:hAnsi="仿宋_GB2312" w:eastAsia="仿宋_GB2312" w:cs="仿宋_GB2312"/>
          <w:color w:val="auto"/>
          <w:sz w:val="28"/>
          <w:szCs w:val="28"/>
          <w:u w:val="single"/>
          <w:lang w:val="en-US" w:eastAsia="zh-CN"/>
        </w:rPr>
        <w:t>合同金额不低于1</w:t>
      </w:r>
      <w:r>
        <w:rPr>
          <w:rFonts w:hint="eastAsia" w:ascii="仿宋_GB2312" w:hAnsi="仿宋_GB2312" w:eastAsia="仿宋_GB2312" w:cs="仿宋_GB2312"/>
          <w:color w:val="auto"/>
          <w:sz w:val="28"/>
          <w:szCs w:val="28"/>
          <w:u w:val="single"/>
          <w:lang w:val="zh-CN"/>
        </w:rPr>
        <w:t>00万</w:t>
      </w:r>
      <w:r>
        <w:rPr>
          <w:rFonts w:hint="eastAsia" w:ascii="仿宋_GB2312" w:hAnsi="仿宋_GB2312" w:eastAsia="仿宋_GB2312" w:cs="仿宋_GB2312"/>
          <w:color w:val="auto"/>
          <w:sz w:val="28"/>
          <w:szCs w:val="28"/>
          <w:u w:val="single"/>
          <w:lang w:val="en-US" w:eastAsia="zh-CN"/>
        </w:rPr>
        <w:t>的</w:t>
      </w:r>
      <w:r>
        <w:rPr>
          <w:rFonts w:hint="eastAsia" w:ascii="仿宋_GB2312" w:hAnsi="仿宋_GB2312" w:eastAsia="仿宋_GB2312" w:cs="仿宋_GB2312"/>
          <w:color w:val="auto"/>
          <w:sz w:val="28"/>
          <w:szCs w:val="28"/>
          <w:u w:val="single"/>
          <w:lang w:val="zh-CN"/>
        </w:rPr>
        <w:t>信息系统集成类项目</w:t>
      </w:r>
      <w:r>
        <w:rPr>
          <w:rFonts w:hint="eastAsia" w:ascii="仿宋_GB2312" w:hAnsi="仿宋_GB2312" w:eastAsia="仿宋_GB2312" w:cs="仿宋_GB2312"/>
          <w:color w:val="auto"/>
          <w:sz w:val="28"/>
          <w:szCs w:val="28"/>
          <w:u w:val="single"/>
          <w:lang w:val="en-US" w:eastAsia="zh-CN"/>
        </w:rPr>
        <w:t>实施</w:t>
      </w:r>
      <w:r>
        <w:rPr>
          <w:rFonts w:hint="eastAsia" w:ascii="仿宋_GB2312" w:hAnsi="仿宋_GB2312" w:eastAsia="仿宋_GB2312" w:cs="仿宋_GB2312"/>
          <w:color w:val="auto"/>
          <w:sz w:val="28"/>
          <w:szCs w:val="28"/>
          <w:u w:val="single"/>
        </w:rPr>
        <w:t>业绩（提供合同复印件证明，包括但不限于项目名称、金额及实施内容、合同双方签字盖章、签订日期，并加盖单位公章）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val="zh-CN"/>
        </w:rPr>
        <w:t>。</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single"/>
          <w:lang w:val="zh-CN"/>
        </w:rPr>
      </w:pPr>
      <w:r>
        <w:rPr>
          <w:rFonts w:hint="eastAsia" w:ascii="仿宋_GB2312" w:hAnsi="仿宋_GB2312" w:eastAsia="仿宋_GB2312" w:cs="仿宋_GB2312"/>
          <w:color w:val="auto"/>
          <w:sz w:val="28"/>
          <w:szCs w:val="28"/>
          <w:u w:val="single"/>
          <w:lang w:val="en-US" w:eastAsia="zh-CN"/>
        </w:rPr>
        <w:t>4.报价单位拟担任本工程项目负责人和安全员的人员资质须满足下列要求，且项目负责人不得同时兼任本项目专职安全人员：</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single"/>
          <w:lang w:val="zh-CN"/>
        </w:rPr>
      </w:pPr>
      <w:r>
        <w:rPr>
          <w:rFonts w:hint="eastAsia" w:ascii="仿宋_GB2312" w:hAnsi="仿宋_GB2312" w:eastAsia="仿宋_GB2312" w:cs="仿宋_GB2312"/>
          <w:color w:val="auto"/>
          <w:sz w:val="28"/>
          <w:szCs w:val="28"/>
          <w:u w:val="single"/>
          <w:lang w:val="en" w:eastAsia="zh-CN"/>
        </w:rPr>
        <w:t>（</w:t>
      </w:r>
      <w:r>
        <w:rPr>
          <w:rFonts w:hint="eastAsia" w:ascii="仿宋_GB2312" w:hAnsi="仿宋_GB2312" w:eastAsia="仿宋_GB2312" w:cs="仿宋_GB2312"/>
          <w:color w:val="auto"/>
          <w:sz w:val="28"/>
          <w:szCs w:val="28"/>
          <w:u w:val="single"/>
          <w:lang w:val="en-US" w:eastAsia="zh-CN"/>
        </w:rPr>
        <w:t>1</w:t>
      </w:r>
      <w:r>
        <w:rPr>
          <w:rFonts w:hint="eastAsia" w:ascii="仿宋_GB2312" w:hAnsi="仿宋_GB2312" w:eastAsia="仿宋_GB2312" w:cs="仿宋_GB2312"/>
          <w:color w:val="auto"/>
          <w:sz w:val="28"/>
          <w:szCs w:val="28"/>
          <w:u w:val="single"/>
          <w:lang w:val="en" w:eastAsia="zh-CN"/>
        </w:rPr>
        <w:t>）</w:t>
      </w:r>
      <w:r>
        <w:rPr>
          <w:rFonts w:hint="eastAsia" w:ascii="仿宋_GB2312" w:hAnsi="仿宋_GB2312" w:eastAsia="仿宋_GB2312" w:cs="仿宋_GB2312"/>
          <w:color w:val="auto"/>
          <w:sz w:val="28"/>
          <w:szCs w:val="28"/>
          <w:u w:val="single"/>
          <w:lang w:val="zh-CN"/>
        </w:rPr>
        <w:t>拟担任本工程</w:t>
      </w:r>
      <w:r>
        <w:rPr>
          <w:rFonts w:hint="eastAsia" w:ascii="仿宋_GB2312" w:hAnsi="仿宋_GB2312" w:eastAsia="仿宋_GB2312" w:cs="仿宋_GB2312"/>
          <w:color w:val="auto"/>
          <w:sz w:val="28"/>
          <w:szCs w:val="28"/>
          <w:u w:val="single"/>
          <w:lang w:val="en-US" w:eastAsia="zh-CN"/>
        </w:rPr>
        <w:t>的</w:t>
      </w:r>
      <w:r>
        <w:rPr>
          <w:rFonts w:hint="eastAsia" w:ascii="仿宋_GB2312" w:hAnsi="仿宋_GB2312" w:eastAsia="仿宋_GB2312" w:cs="仿宋_GB2312"/>
          <w:color w:val="auto"/>
          <w:sz w:val="28"/>
          <w:szCs w:val="28"/>
          <w:u w:val="single"/>
          <w:lang w:val="zh-CN"/>
        </w:rPr>
        <w:t>项目负责人</w:t>
      </w:r>
      <w:r>
        <w:rPr>
          <w:rFonts w:hint="eastAsia" w:ascii="仿宋_GB2312" w:hAnsi="仿宋_GB2312" w:eastAsia="仿宋_GB2312" w:cs="仿宋_GB2312"/>
          <w:color w:val="auto"/>
          <w:sz w:val="28"/>
          <w:szCs w:val="28"/>
          <w:u w:val="single"/>
          <w:lang w:val="en-US" w:eastAsia="zh-CN"/>
        </w:rPr>
        <w:t>须同时满足下列要求</w:t>
      </w:r>
      <w:r>
        <w:rPr>
          <w:rFonts w:hint="eastAsia" w:ascii="仿宋_GB2312" w:hAnsi="仿宋_GB2312" w:eastAsia="仿宋_GB2312" w:cs="仿宋_GB2312"/>
          <w:color w:val="auto"/>
          <w:sz w:val="28"/>
          <w:szCs w:val="28"/>
          <w:u w:val="single"/>
          <w:lang w:val="zh-CN"/>
        </w:rPr>
        <w:t>：</w:t>
      </w:r>
      <w:r>
        <w:rPr>
          <w:rFonts w:ascii="仿宋_GB2312" w:hAnsi="仿宋_GB2312" w:eastAsia="仿宋_GB2312" w:cs="仿宋_GB2312"/>
          <w:b w:val="0"/>
          <w:bCs w:val="0"/>
          <w:sz w:val="28"/>
          <w:szCs w:val="28"/>
          <w:u w:val="single"/>
        </w:rPr>
        <w:t>①</w:t>
      </w:r>
      <w:r>
        <w:rPr>
          <w:rFonts w:hint="eastAsia" w:ascii="仿宋_GB2312" w:hAnsi="仿宋_GB2312" w:eastAsia="仿宋_GB2312" w:cs="仿宋_GB2312"/>
          <w:color w:val="auto"/>
          <w:sz w:val="28"/>
          <w:szCs w:val="28"/>
          <w:u w:val="single"/>
          <w:lang w:val="en-US" w:eastAsia="zh-CN"/>
        </w:rPr>
        <w:t>机电</w:t>
      </w:r>
      <w:r>
        <w:rPr>
          <w:rFonts w:hint="default" w:ascii="仿宋" w:hAnsi="仿宋" w:eastAsia="仿宋" w:cs="仿宋_GB2312"/>
          <w:color w:val="000000" w:themeColor="text1"/>
          <w:sz w:val="28"/>
          <w:szCs w:val="28"/>
          <w:highlight w:val="none"/>
          <w:u w:val="single"/>
          <w14:textFill>
            <w14:solidFill>
              <w14:schemeClr w14:val="tx1"/>
            </w14:solidFill>
          </w14:textFill>
        </w:rPr>
        <w:t>专业二级（或以上级别）的注册建造师（或具备符合粤建市〔2010〕26号文规定的小型项目负责人资格）</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ascii="仿宋_GB2312" w:hAnsi="仿宋_GB2312" w:eastAsia="仿宋_GB2312" w:cs="仿宋_GB2312"/>
          <w:b w:val="0"/>
          <w:bCs w:val="0"/>
          <w:sz w:val="28"/>
          <w:szCs w:val="28"/>
          <w:u w:val="single"/>
        </w:rPr>
        <w:t>②</w:t>
      </w:r>
      <w:r>
        <w:rPr>
          <w:rFonts w:hint="default" w:ascii="仿宋" w:hAnsi="仿宋" w:eastAsia="仿宋" w:cs="仿宋_GB2312"/>
          <w:color w:val="000000" w:themeColor="text1"/>
          <w:sz w:val="28"/>
          <w:szCs w:val="28"/>
          <w:highlight w:val="none"/>
          <w:u w:val="single"/>
          <w14:textFill>
            <w14:solidFill>
              <w14:schemeClr w14:val="tx1"/>
            </w14:solidFill>
          </w14:textFill>
        </w:rPr>
        <w:t>持有项目负责人安全生产考核合格证（B类</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）（或能够提供广东省建筑施工企业管理人员安全生产考核信息系统安全生产管理人员证书信息的网页截图）；</w:t>
      </w:r>
      <w:r>
        <w:rPr>
          <w:rFonts w:ascii="仿宋_GB2312" w:hAnsi="仿宋_GB2312" w:eastAsia="仿宋_GB2312" w:cs="仿宋_GB2312"/>
          <w:sz w:val="28"/>
          <w:szCs w:val="28"/>
          <w:u w:val="single"/>
        </w:rPr>
        <w:t>③</w:t>
      </w:r>
      <w:r>
        <w:rPr>
          <w:rFonts w:hint="eastAsia" w:ascii="仿宋_GB2312" w:hAnsi="仿宋_GB2312" w:eastAsia="仿宋_GB2312" w:cs="仿宋_GB2312"/>
          <w:color w:val="auto"/>
          <w:sz w:val="28"/>
          <w:szCs w:val="28"/>
          <w:u w:val="single"/>
          <w:lang w:val="zh-CN"/>
        </w:rPr>
        <w:t>具备计算机</w:t>
      </w:r>
      <w:r>
        <w:rPr>
          <w:rFonts w:hint="eastAsia" w:ascii="仿宋_GB2312" w:hAnsi="仿宋_GB2312" w:eastAsia="仿宋_GB2312" w:cs="仿宋_GB2312"/>
          <w:color w:val="auto"/>
          <w:sz w:val="28"/>
          <w:szCs w:val="28"/>
          <w:u w:val="single"/>
          <w:lang w:val="en-US" w:eastAsia="zh-CN"/>
        </w:rPr>
        <w:t>类</w:t>
      </w:r>
      <w:r>
        <w:rPr>
          <w:rFonts w:hint="eastAsia" w:ascii="仿宋_GB2312" w:hAnsi="仿宋_GB2312" w:eastAsia="仿宋_GB2312" w:cs="仿宋_GB2312"/>
          <w:color w:val="auto"/>
          <w:sz w:val="28"/>
          <w:szCs w:val="28"/>
          <w:u w:val="single"/>
          <w:lang w:val="zh-CN"/>
        </w:rPr>
        <w:t>高级</w:t>
      </w:r>
      <w:r>
        <w:rPr>
          <w:rFonts w:hint="eastAsia" w:ascii="仿宋_GB2312" w:hAnsi="仿宋_GB2312" w:eastAsia="仿宋_GB2312" w:cs="仿宋_GB2312"/>
          <w:color w:val="auto"/>
          <w:sz w:val="28"/>
          <w:szCs w:val="28"/>
          <w:u w:val="single"/>
          <w:lang w:val="en-US" w:eastAsia="zh-CN"/>
        </w:rPr>
        <w:t>职业资格</w:t>
      </w:r>
      <w:r>
        <w:rPr>
          <w:rFonts w:hint="eastAsia" w:ascii="仿宋_GB2312" w:hAnsi="仿宋_GB2312" w:eastAsia="仿宋_GB2312" w:cs="仿宋_GB2312"/>
          <w:color w:val="auto"/>
          <w:sz w:val="28"/>
          <w:szCs w:val="28"/>
          <w:u w:val="single"/>
          <w:lang w:val="zh-CN"/>
        </w:rPr>
        <w:t>或者PMP项目管理专业资格认证（</w:t>
      </w:r>
      <w:r>
        <w:rPr>
          <w:rFonts w:hint="eastAsia" w:ascii="仿宋_GB2312" w:hAnsi="仿宋_GB2312" w:eastAsia="仿宋_GB2312" w:cs="仿宋_GB2312"/>
          <w:color w:val="auto"/>
          <w:sz w:val="28"/>
          <w:szCs w:val="28"/>
          <w:u w:val="single"/>
          <w:lang w:val="en-US" w:eastAsia="zh-CN"/>
        </w:rPr>
        <w:t>提供复印件加盖单位公章</w:t>
      </w:r>
      <w:r>
        <w:rPr>
          <w:rFonts w:hint="eastAsia" w:ascii="仿宋_GB2312" w:hAnsi="仿宋_GB2312" w:eastAsia="仿宋_GB2312" w:cs="仿宋_GB2312"/>
          <w:color w:val="auto"/>
          <w:sz w:val="28"/>
          <w:szCs w:val="28"/>
          <w:u w:val="single"/>
          <w:lang w:val="zh-CN"/>
        </w:rPr>
        <w:t>）。</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u w:val="single"/>
          <w:lang w:val="zh-CN"/>
        </w:rPr>
      </w:pPr>
      <w:r>
        <w:rPr>
          <w:rFonts w:hint="eastAsia" w:ascii="仿宋_GB2312" w:hAnsi="仿宋_GB2312" w:eastAsia="仿宋_GB2312" w:cs="仿宋_GB2312"/>
          <w:color w:val="auto"/>
          <w:sz w:val="28"/>
          <w:szCs w:val="28"/>
          <w:u w:val="single"/>
          <w:lang w:val="zh-CN"/>
        </w:rPr>
        <w:t>（</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lang w:val="zh-CN"/>
        </w:rPr>
        <w:t>）专职安全人员：</w:t>
      </w:r>
      <w:r>
        <w:rPr>
          <w:rFonts w:hint="default" w:ascii="仿宋" w:hAnsi="仿宋" w:eastAsia="仿宋" w:cs="仿宋_GB2312"/>
          <w:color w:val="000000" w:themeColor="text1"/>
          <w:sz w:val="28"/>
          <w:szCs w:val="28"/>
          <w:highlight w:val="none"/>
          <w:u w:val="single"/>
          <w14:textFill>
            <w14:solidFill>
              <w14:schemeClr w14:val="tx1"/>
            </w14:solidFill>
          </w14:textFill>
        </w:rPr>
        <w:t>须具有安全生产考核合格证（C类）</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（或能够提供广东省建筑施工企业管理人员安全生产考核信息系统安全生产管理人员证书信息的网页截图）</w:t>
      </w:r>
      <w:r>
        <w:rPr>
          <w:rFonts w:hint="eastAsia" w:ascii="仿宋_GB2312" w:hAnsi="仿宋_GB2312" w:eastAsia="仿宋_GB2312" w:cs="仿宋_GB2312"/>
          <w:color w:val="auto"/>
          <w:sz w:val="28"/>
          <w:szCs w:val="28"/>
          <w:u w:val="single"/>
          <w:lang w:val="zh-CN"/>
        </w:rPr>
        <w:t>。</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如因项目实际情况需</w:t>
      </w:r>
      <w:r>
        <w:rPr>
          <w:rFonts w:hint="eastAsia" w:ascii="仿宋" w:hAnsi="仿宋" w:eastAsia="仿宋" w:cs="仿宋_GB2312"/>
          <w:color w:val="000000" w:themeColor="text1"/>
          <w:sz w:val="28"/>
          <w:szCs w:val="28"/>
          <w:highlight w:val="none"/>
          <w14:textFill>
            <w14:solidFill>
              <w14:schemeClr w14:val="tx1"/>
            </w14:solidFill>
          </w14:textFill>
        </w:rPr>
        <w:t>现场踏勘的，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须</w:t>
      </w:r>
      <w:r>
        <w:rPr>
          <w:rFonts w:hint="eastAsia" w:ascii="仿宋" w:hAnsi="仿宋" w:eastAsia="仿宋" w:cs="仿宋_GB2312"/>
          <w:color w:val="000000" w:themeColor="text1"/>
          <w:sz w:val="28"/>
          <w:szCs w:val="28"/>
          <w:highlight w:val="none"/>
          <w14:textFill>
            <w14:solidFill>
              <w14:schemeClr w14:val="tx1"/>
            </w14:solidFill>
          </w14:textFill>
        </w:rPr>
        <w:t>在提交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文件前进行现场踏勘，未进行现场踏勘</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的，报价</w:t>
      </w:r>
      <w:r>
        <w:rPr>
          <w:rFonts w:hint="eastAsia" w:ascii="仿宋" w:hAnsi="仿宋" w:eastAsia="仿宋" w:cs="仿宋_GB2312"/>
          <w:color w:val="000000" w:themeColor="text1"/>
          <w:sz w:val="28"/>
          <w:szCs w:val="28"/>
          <w:highlight w:val="none"/>
          <w14:textFill>
            <w14:solidFill>
              <w14:schemeClr w14:val="tx1"/>
            </w14:solidFill>
          </w14:textFill>
        </w:rPr>
        <w:t>一律视为无效报价，提交报价</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文件时需附上现场踏勘委派书</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需求单位及报价单位均需盖章</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详见附件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 现场踏勘(答疑会)集合时间：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2021</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7</w:t>
      </w:r>
      <w:r>
        <w:rPr>
          <w:rFonts w:hint="eastAsia" w:ascii="仿宋" w:hAnsi="仿宋" w:eastAsia="仿宋" w:cs="仿宋_GB2312"/>
          <w:color w:val="000000" w:themeColor="text1"/>
          <w:sz w:val="28"/>
          <w:szCs w:val="28"/>
          <w:highlight w:val="none"/>
          <w14:textFill>
            <w14:solidFill>
              <w14:schemeClr w14:val="tx1"/>
            </w14:solidFill>
          </w14:textFill>
        </w:rPr>
        <w:t>月</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27</w:t>
      </w:r>
      <w:r>
        <w:rPr>
          <w:rFonts w:hint="eastAsia" w:ascii="仿宋" w:hAnsi="仿宋" w:eastAsia="仿宋" w:cs="仿宋_GB2312"/>
          <w:color w:val="000000" w:themeColor="text1"/>
          <w:sz w:val="28"/>
          <w:szCs w:val="28"/>
          <w:highlight w:val="none"/>
          <w14:textFill>
            <w14:solidFill>
              <w14:schemeClr w14:val="tx1"/>
            </w14:solidFill>
          </w14:textFill>
        </w:rPr>
        <w:t>日</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上午10时00分。</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 w:hAnsi="仿宋" w:eastAsia="仿宋" w:cs="仿宋_GB2312"/>
          <w:color w:val="000000" w:themeColor="text1"/>
          <w:sz w:val="28"/>
          <w:szCs w:val="28"/>
          <w:highlight w:val="none"/>
          <w14:textFill>
            <w14:solidFill>
              <w14:schemeClr w14:val="tx1"/>
            </w14:solidFill>
          </w14:textFill>
        </w:rPr>
        <w:t>2. 现场踏勘(答疑会)集合地点：</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海珠区南洲路1375号广州市净水有限沥滘分公司 </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八、询价文件的获取：在2021年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分前，在广州市净水有限公司门户网站免费下载。</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九、询价响应文件递交时间：2021年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分至</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分；询价响应文件递交截止时间：2021年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u w:val="none"/>
        </w:rPr>
        <w:t>递交响应文件时须提供授权委托人身份证原件备查。</w:t>
      </w:r>
    </w:p>
    <w:p>
      <w:pPr>
        <w:ind w:firstLine="588" w:firstLineChars="21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十、询价响应文件送达地点：广州市天河区临江大道501号广州市净水有限公司</w:t>
      </w:r>
      <w:r>
        <w:rPr>
          <w:rFonts w:hint="eastAsia" w:ascii="仿宋_GB2312" w:hAnsi="仿宋_GB2312" w:eastAsia="仿宋_GB2312" w:cs="仿宋_GB2312"/>
          <w:color w:val="auto"/>
          <w:sz w:val="28"/>
          <w:szCs w:val="28"/>
          <w:lang w:eastAsia="zh-CN"/>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十一、评审时间：2021年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十二、评审地点：广州市净水有限公司                    </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十三、询价人的联系方式</w:t>
      </w:r>
    </w:p>
    <w:p>
      <w:pPr>
        <w:snapToGrid w:val="0"/>
        <w:spacing w:line="360" w:lineRule="auto"/>
        <w:ind w:firstLine="630" w:firstLine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询价人：广州市净水有限公司</w:t>
      </w:r>
    </w:p>
    <w:p>
      <w:pPr>
        <w:snapToGrid w:val="0"/>
        <w:spacing w:line="360" w:lineRule="auto"/>
        <w:ind w:firstLine="630" w:firstLine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联系地址：广州市天河区临江大道501号            </w:t>
      </w:r>
    </w:p>
    <w:p>
      <w:pPr>
        <w:snapToGrid w:val="0"/>
        <w:spacing w:line="360" w:lineRule="auto"/>
        <w:ind w:firstLine="630" w:firstLineChars="225"/>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val="zh-CN" w:eastAsia="zh-CN"/>
        </w:rPr>
        <w:t>黄工</w:t>
      </w:r>
      <w:r>
        <w:rPr>
          <w:rFonts w:hint="eastAsia" w:ascii="仿宋_GB2312" w:hAnsi="仿宋_GB2312" w:eastAsia="仿宋_GB2312" w:cs="仿宋_GB2312"/>
          <w:color w:val="auto"/>
          <w:sz w:val="28"/>
          <w:szCs w:val="28"/>
        </w:rPr>
        <w:t xml:space="preserve">          联系方式：</w:t>
      </w:r>
      <w:r>
        <w:rPr>
          <w:rFonts w:hint="eastAsia" w:ascii="仿宋_GB2312" w:hAnsi="仿宋_GB2312" w:eastAsia="仿宋_GB2312" w:cs="仿宋_GB2312"/>
          <w:color w:val="auto"/>
          <w:sz w:val="28"/>
          <w:szCs w:val="28"/>
          <w:lang w:val="zh-CN" w:eastAsia="zh-CN"/>
        </w:rPr>
        <w:t>020-62315524</w:t>
      </w:r>
    </w:p>
    <w:p>
      <w:pPr>
        <w:ind w:firstLine="4340" w:firstLineChars="15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广州市净水有限公司</w:t>
      </w:r>
    </w:p>
    <w:p>
      <w:pPr>
        <w:ind w:firstLine="3920" w:firstLineChars="1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2021年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p>
    <w:p>
      <w:pPr>
        <w:rPr>
          <w:rFonts w:hint="eastAsia" w:ascii="仿宋_GB2312" w:hAnsi="仿宋_GB2312" w:eastAsia="仿宋_GB2312" w:cs="仿宋_GB2312"/>
          <w:color w:val="auto"/>
          <w:sz w:val="28"/>
          <w:szCs w:val="28"/>
        </w:rPr>
      </w:pPr>
    </w:p>
    <w:p>
      <w:pPr>
        <w:rPr>
          <w:rFonts w:hint="eastAsia" w:ascii="Times New Roman" w:hAnsi="Times New Roman" w:eastAsia="宋体" w:cs="Times New Roman"/>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8389"/>
        </w:tabs>
        <w:jc w:val="left"/>
        <w:rPr>
          <w:rFonts w:hint="eastAsia"/>
          <w:lang w:val="en-US" w:eastAsia="zh-CN"/>
        </w:rPr>
      </w:pPr>
      <w:r>
        <w:rPr>
          <w:rFonts w:hint="eastAsia"/>
          <w:lang w:val="en-US" w:eastAsia="zh-CN"/>
        </w:rPr>
        <w:tab/>
      </w:r>
    </w:p>
    <w:p>
      <w:pPr>
        <w:pStyle w:val="2"/>
        <w:rPr>
          <w:rFonts w:hint="eastAsia"/>
          <w:lang w:val="en-US" w:eastAsia="zh-CN"/>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3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32"/>
        <w:rPr>
          <w:rFonts w:hint="eastAsia"/>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沥滘分公司（盖章）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经办人：陈工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联系电话：15999517943</w:t>
            </w:r>
          </w:p>
        </w:tc>
      </w:tr>
    </w:tbl>
    <w:p>
      <w:pPr>
        <w:rPr>
          <w:rFonts w:hint="eastAsia"/>
          <w:lang w:val="en-US" w:eastAsia="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3"/>
        <w:rPr>
          <w:rFonts w:hint="eastAsia" w:ascii="仿宋_GB2312" w:hAnsi="仿宋_GB2312" w:eastAsia="仿宋_GB2312" w:cs="仿宋_GB2312"/>
          <w:color w:val="auto"/>
          <w:lang w:val="zh-CN"/>
        </w:rPr>
      </w:pPr>
      <w:bookmarkStart w:id="1" w:name="_Toc17623_WPSOffice_Level1"/>
      <w:r>
        <w:rPr>
          <w:rFonts w:hint="eastAsia" w:ascii="仿宋_GB2312" w:hAnsi="仿宋_GB2312" w:eastAsia="仿宋_GB2312" w:cs="仿宋_GB2312"/>
          <w:color w:val="auto"/>
          <w:lang w:val="zh-CN"/>
        </w:rPr>
        <w:t>第二部分项目内容</w:t>
      </w:r>
      <w:bookmarkEnd w:id="1"/>
    </w:p>
    <w:p>
      <w:pPr>
        <w:rPr>
          <w:rFonts w:hint="eastAsia"/>
          <w:color w:val="auto"/>
          <w:lang w:val="zh-CN"/>
        </w:rPr>
      </w:pPr>
    </w:p>
    <w:p>
      <w:pPr>
        <w:pStyle w:val="2"/>
        <w:rPr>
          <w:rFonts w:hint="eastAsia" w:ascii="仿宋_GB2312" w:hAnsi="仿宋_GB2312" w:eastAsia="仿宋_GB2312" w:cs="仿宋_GB2312"/>
          <w:color w:val="auto"/>
        </w:rPr>
      </w:pPr>
      <w:bookmarkStart w:id="2" w:name="_Toc2260_WPSOffice_Level2"/>
      <w:r>
        <w:rPr>
          <w:rFonts w:hint="eastAsia" w:ascii="仿宋_GB2312" w:hAnsi="仿宋_GB2312" w:eastAsia="仿宋_GB2312" w:cs="仿宋_GB2312"/>
          <w:color w:val="auto"/>
        </w:rPr>
        <w:t>一、目标需求</w:t>
      </w:r>
      <w:bookmarkEnd w:id="2"/>
    </w:p>
    <w:p>
      <w:pPr>
        <w:pStyle w:val="4"/>
        <w:jc w:val="left"/>
        <w:rPr>
          <w:rFonts w:hint="eastAsia" w:ascii="仿宋_GB2312" w:hAnsi="仿宋_GB2312" w:eastAsia="仿宋_GB2312" w:cs="仿宋_GB2312"/>
          <w:color w:val="auto"/>
          <w:sz w:val="28"/>
          <w:szCs w:val="28"/>
        </w:rPr>
      </w:pPr>
      <w:bookmarkStart w:id="3" w:name="_Toc17623_WPSOffice_Level3"/>
      <w:r>
        <w:rPr>
          <w:rFonts w:hint="eastAsia" w:ascii="仿宋_GB2312" w:hAnsi="仿宋_GB2312" w:eastAsia="仿宋_GB2312" w:cs="仿宋_GB2312"/>
          <w:color w:val="auto"/>
          <w:sz w:val="28"/>
          <w:szCs w:val="28"/>
        </w:rPr>
        <w:t>（一）目标</w:t>
      </w:r>
      <w:bookmarkEnd w:id="3"/>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本项目通过运用视频AI处理分析、人工智能等手段，实现园区管理的智能化、标准化及规范化，打造为国内示范性净水智慧园区。主要达成的目标如下：</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1.实景监测、访客管理、车辆管理、人脸门禁、入侵检测、智能周界、紧急对讲、安全帽识别、水火异动、安消联动等10个应用场景。</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2.基于AR实景监测平台，实现对各应用场景的整合、数据信息融合处理和控制，构成一套园区立体防控网络。</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en-US" w:eastAsia="zh-CN" w:bidi="ar-SA"/>
        </w:rPr>
        <w:t>3.集成可视化实景地图、立体化视频监控、精细化预案规划、精准化布控告警、智能化告警联动、实景化指挥调度、全息化场景回溯等应用功能，为园区提供“统一告警、智能联动、精准指挥”的综合安防保障。</w:t>
      </w:r>
    </w:p>
    <w:p>
      <w:pPr>
        <w:pStyle w:val="4"/>
        <w:jc w:val="left"/>
        <w:rPr>
          <w:rFonts w:hint="eastAsia" w:ascii="仿宋_GB2312" w:hAnsi="仿宋_GB2312" w:eastAsia="仿宋_GB2312" w:cs="仿宋_GB2312"/>
          <w:color w:val="auto"/>
          <w:sz w:val="28"/>
          <w:szCs w:val="28"/>
          <w:lang w:val="en-US" w:eastAsia="zh-CN"/>
        </w:rPr>
      </w:pPr>
      <w:bookmarkStart w:id="4" w:name="_Toc2998_WPSOffice_Level3"/>
      <w:r>
        <w:rPr>
          <w:rFonts w:hint="eastAsia" w:ascii="仿宋_GB2312" w:hAnsi="仿宋_GB2312" w:eastAsia="仿宋_GB2312" w:cs="仿宋_GB2312"/>
          <w:color w:val="auto"/>
          <w:sz w:val="28"/>
          <w:szCs w:val="28"/>
          <w:lang w:val="en-US" w:eastAsia="zh-CN"/>
        </w:rPr>
        <w:t>（二）园区现状及场景需求</w:t>
      </w:r>
      <w:bookmarkEnd w:id="4"/>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1.统筹资源的需求</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5" w:name="_Toc4273_WPSOffice_Level3"/>
      <w:bookmarkStart w:id="6" w:name="_Toc25438"/>
      <w:bookmarkStart w:id="7" w:name="_Toc450920696"/>
      <w:bookmarkStart w:id="8" w:name="_Toc25632"/>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1</w:t>
      </w:r>
      <w:r>
        <w:rPr>
          <w:rFonts w:hint="eastAsia" w:ascii="仿宋" w:hAnsi="仿宋" w:eastAsia="仿宋" w:cs="仿宋"/>
          <w:b w:val="0"/>
          <w:bCs/>
          <w:color w:val="auto"/>
          <w:kern w:val="2"/>
          <w:sz w:val="28"/>
          <w:szCs w:val="28"/>
          <w:lang w:val="zh-CN" w:eastAsia="zh-CN" w:bidi="ar-SA"/>
        </w:rPr>
        <w:t>）实景视频地图应用</w:t>
      </w:r>
      <w:bookmarkEnd w:id="5"/>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采用视频的AR增强现实技术，可随时精准的调看厂区所有监控视频，通过画中画的方式，实现高点摄像机看全局、低点摄像机看细节的智能应用，同时在视频画面上对重点关注目标物用标签进行精细化标注呈现，用户通过一张实景视频地图将所有资源尽收眼底。</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9" w:name="_Toc5316_WPSOffice_Level3"/>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2</w:t>
      </w:r>
      <w:r>
        <w:rPr>
          <w:rFonts w:hint="eastAsia" w:ascii="仿宋" w:hAnsi="仿宋" w:eastAsia="仿宋" w:cs="仿宋"/>
          <w:b w:val="0"/>
          <w:bCs/>
          <w:color w:val="auto"/>
          <w:kern w:val="2"/>
          <w:sz w:val="28"/>
          <w:szCs w:val="28"/>
          <w:lang w:val="zh-CN" w:eastAsia="zh-CN" w:bidi="ar-SA"/>
        </w:rPr>
        <w:t>）统一告警、告警联动需求</w:t>
      </w:r>
      <w:bookmarkEnd w:id="9"/>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实现有价值数据共享、实现报警信息可视化集中展示、实现报警信息智能联动对应的监控视频进行监控，高效发挥各类应用系统与视频监控的应用价值。</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10" w:name="_Toc836_WPSOffice_Level3"/>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3</w:t>
      </w:r>
      <w:r>
        <w:rPr>
          <w:rFonts w:hint="eastAsia" w:ascii="仿宋" w:hAnsi="仿宋" w:eastAsia="仿宋" w:cs="仿宋"/>
          <w:b w:val="0"/>
          <w:bCs/>
          <w:color w:val="auto"/>
          <w:kern w:val="2"/>
          <w:sz w:val="28"/>
          <w:szCs w:val="28"/>
          <w:lang w:val="zh-CN" w:eastAsia="zh-CN" w:bidi="ar-SA"/>
        </w:rPr>
        <w:t>）整合业务系统，盘活数据需求</w:t>
      </w:r>
      <w:bookmarkEnd w:id="10"/>
    </w:p>
    <w:bookmarkEnd w:id="6"/>
    <w:bookmarkEnd w:id="7"/>
    <w:bookmarkEnd w:id="8"/>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实现对厂区所有安全管理子模块的统一管理，同时整合各类业务系统、盘活有价值数据、打破信息孤岛壁垒，为厂区安防应用提供重要数据来源和研判手段，实现大数据的综合利用。</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11" w:name="_Toc5508_WPSOffice_Level3"/>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4</w:t>
      </w:r>
      <w:r>
        <w:rPr>
          <w:rFonts w:hint="eastAsia" w:ascii="仿宋" w:hAnsi="仿宋" w:eastAsia="仿宋" w:cs="仿宋"/>
          <w:b w:val="0"/>
          <w:bCs/>
          <w:color w:val="auto"/>
          <w:kern w:val="2"/>
          <w:sz w:val="28"/>
          <w:szCs w:val="28"/>
          <w:lang w:val="zh-CN" w:eastAsia="zh-CN" w:bidi="ar-SA"/>
        </w:rPr>
        <w:t>）可视化指挥调度需求</w:t>
      </w:r>
      <w:bookmarkEnd w:id="11"/>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可实时了解巡逻人员、车辆当前所处位置，可以快速指挥就近的巡逻人员、车辆及时前往处置，进行可视化指挥调度。</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12" w:name="_Toc836_WPSOffice_Level2"/>
      <w:bookmarkStart w:id="13" w:name="_Toc6141"/>
      <w:r>
        <w:rPr>
          <w:rFonts w:hint="eastAsia" w:ascii="仿宋" w:hAnsi="仿宋" w:eastAsia="仿宋" w:cs="仿宋"/>
          <w:b/>
          <w:bCs/>
          <w:color w:val="auto"/>
          <w:sz w:val="28"/>
          <w:szCs w:val="28"/>
          <w:lang w:val="en-US" w:eastAsia="zh-CN"/>
        </w:rPr>
        <w:t>2.便捷通行的需求</w:t>
      </w:r>
      <w:bookmarkEnd w:id="12"/>
      <w:bookmarkEnd w:id="13"/>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bookmarkStart w:id="14" w:name="_Toc10099_WPSOffice_Level3"/>
      <w:r>
        <w:rPr>
          <w:rFonts w:hint="eastAsia" w:ascii="仿宋" w:hAnsi="仿宋" w:eastAsia="仿宋" w:cs="仿宋"/>
          <w:b w:val="0"/>
          <w:bCs/>
          <w:color w:val="auto"/>
          <w:kern w:val="2"/>
          <w:sz w:val="28"/>
          <w:szCs w:val="28"/>
          <w:lang w:val="en-US" w:eastAsia="zh-CN" w:bidi="ar-SA"/>
        </w:rPr>
        <w:t>（1）访客管理：访客预约自助登记，人员智能识别无感通行。</w:t>
      </w:r>
      <w:bookmarkEnd w:id="14"/>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15" w:name="_Toc11723_WPSOffice_Level3"/>
      <w:r>
        <w:rPr>
          <w:rFonts w:hint="eastAsia" w:ascii="仿宋" w:hAnsi="仿宋" w:eastAsia="仿宋" w:cs="仿宋"/>
          <w:b w:val="0"/>
          <w:bCs/>
          <w:color w:val="auto"/>
          <w:kern w:val="2"/>
          <w:sz w:val="28"/>
          <w:szCs w:val="28"/>
          <w:lang w:val="en-US" w:eastAsia="zh-CN" w:bidi="ar-SA"/>
        </w:rPr>
        <w:t>（2）车辆管理：车辆进出智能识别，无感通行，进出便捷高效。</w:t>
      </w:r>
      <w:bookmarkEnd w:id="15"/>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16" w:name="_Toc5508_WPSOffice_Level2"/>
      <w:bookmarkStart w:id="17" w:name="_Toc19602"/>
      <w:r>
        <w:rPr>
          <w:rFonts w:hint="eastAsia" w:ascii="仿宋" w:hAnsi="仿宋" w:eastAsia="仿宋" w:cs="仿宋"/>
          <w:b/>
          <w:bCs/>
          <w:color w:val="auto"/>
          <w:sz w:val="28"/>
          <w:szCs w:val="28"/>
          <w:lang w:val="en-US" w:eastAsia="zh-CN"/>
        </w:rPr>
        <w:t>3.安全防范的需求</w:t>
      </w:r>
      <w:bookmarkEnd w:id="16"/>
      <w:bookmarkEnd w:id="17"/>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1</w:t>
      </w:r>
      <w:r>
        <w:rPr>
          <w:rFonts w:hint="eastAsia" w:ascii="仿宋" w:hAnsi="仿宋" w:eastAsia="仿宋" w:cs="仿宋"/>
          <w:b w:val="0"/>
          <w:bCs/>
          <w:color w:val="auto"/>
          <w:kern w:val="2"/>
          <w:sz w:val="28"/>
          <w:szCs w:val="28"/>
          <w:lang w:val="zh-CN" w:eastAsia="zh-CN" w:bidi="ar-SA"/>
        </w:rPr>
        <w:t>）智能检测，减少违规：通过技防手段实现员工违规行为及时告警提醒，且事后可便捷查证违规行为。</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2</w:t>
      </w:r>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人脸门禁：对严控区域部署人脸门禁，提高园区安全性。</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3</w:t>
      </w:r>
      <w:r>
        <w:rPr>
          <w:rFonts w:hint="eastAsia" w:ascii="仿宋" w:hAnsi="仿宋" w:eastAsia="仿宋" w:cs="仿宋"/>
          <w:b w:val="0"/>
          <w:bCs/>
          <w:color w:val="auto"/>
          <w:kern w:val="2"/>
          <w:sz w:val="28"/>
          <w:szCs w:val="28"/>
          <w:lang w:val="zh-CN" w:eastAsia="zh-CN" w:bidi="ar-SA"/>
        </w:rPr>
        <w:t>）入侵检测：陌生人、黑名单人员入侵实时告警，告警联动岗亭客户端、监控中心，由传统的被动安防向主动安防转变。</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en-US" w:eastAsia="zh-CN" w:bidi="ar-SA"/>
        </w:rPr>
        <w:t>（4）水火异动：</w:t>
      </w:r>
      <w:r>
        <w:rPr>
          <w:rFonts w:hint="eastAsia" w:ascii="仿宋" w:hAnsi="仿宋" w:eastAsia="仿宋" w:cs="仿宋"/>
          <w:b w:val="0"/>
          <w:bCs/>
          <w:color w:val="auto"/>
          <w:kern w:val="2"/>
          <w:sz w:val="28"/>
          <w:szCs w:val="28"/>
          <w:lang w:val="zh-CN" w:eastAsia="zh-CN" w:bidi="ar-SA"/>
        </w:rPr>
        <w:t>建立一套利用“人防”+“技防”+“物防”的AI智慧消防物联</w:t>
      </w:r>
      <w:r>
        <w:rPr>
          <w:rFonts w:hint="eastAsia" w:ascii="仿宋" w:hAnsi="仿宋" w:eastAsia="仿宋" w:cs="仿宋"/>
          <w:b w:val="0"/>
          <w:bCs/>
          <w:color w:val="auto"/>
          <w:kern w:val="2"/>
          <w:sz w:val="28"/>
          <w:szCs w:val="28"/>
          <w:lang w:val="en-US" w:eastAsia="zh-CN" w:bidi="ar-SA"/>
        </w:rPr>
        <w:t>系统</w:t>
      </w:r>
      <w:r>
        <w:rPr>
          <w:rFonts w:hint="eastAsia" w:ascii="仿宋" w:hAnsi="仿宋" w:eastAsia="仿宋" w:cs="仿宋"/>
          <w:b w:val="0"/>
          <w:bCs/>
          <w:color w:val="auto"/>
          <w:kern w:val="2"/>
          <w:sz w:val="28"/>
          <w:szCs w:val="28"/>
          <w:lang w:val="zh-CN" w:eastAsia="zh-CN" w:bidi="ar-SA"/>
        </w:rPr>
        <w:t>，通过科学化、信息化、网络化手段，以提升厂区安全工作管理能力。</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en-US" w:eastAsia="zh-CN" w:bidi="ar-SA"/>
        </w:rPr>
        <w:t>（5）智能周界：</w:t>
      </w:r>
      <w:r>
        <w:rPr>
          <w:rFonts w:hint="eastAsia" w:ascii="仿宋" w:hAnsi="仿宋" w:eastAsia="仿宋" w:cs="仿宋"/>
          <w:b w:val="0"/>
          <w:bCs/>
          <w:color w:val="auto"/>
          <w:kern w:val="2"/>
          <w:sz w:val="28"/>
          <w:szCs w:val="28"/>
          <w:lang w:val="zh-CN" w:eastAsia="zh-CN" w:bidi="ar-SA"/>
        </w:rPr>
        <w:t>需要设立合适的周界报警触发措施，一旦探测到入侵行为立刻触发报警，并结合视频监控提供实时跟踪手段与事后追查依据。</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6</w:t>
      </w:r>
      <w:r>
        <w:rPr>
          <w:rFonts w:hint="eastAsia" w:ascii="仿宋" w:hAnsi="仿宋" w:eastAsia="仿宋" w:cs="仿宋"/>
          <w:b w:val="0"/>
          <w:bCs/>
          <w:color w:val="auto"/>
          <w:kern w:val="2"/>
          <w:sz w:val="28"/>
          <w:szCs w:val="28"/>
          <w:lang w:val="zh-CN" w:eastAsia="zh-CN" w:bidi="ar-SA"/>
        </w:rPr>
        <w:t>）</w:t>
      </w:r>
      <w:r>
        <w:rPr>
          <w:rFonts w:hint="eastAsia" w:ascii="仿宋" w:hAnsi="仿宋" w:eastAsia="仿宋" w:cs="仿宋"/>
          <w:b w:val="0"/>
          <w:bCs/>
          <w:color w:val="auto"/>
          <w:kern w:val="2"/>
          <w:sz w:val="28"/>
          <w:szCs w:val="28"/>
          <w:lang w:val="en-US" w:eastAsia="zh-CN" w:bidi="ar-SA"/>
        </w:rPr>
        <w:t>紧急对讲：在易发生风险事故的区域，部署紧急对讲终端。</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18" w:name="_Toc7093_WPSOffice_Level2"/>
      <w:bookmarkStart w:id="19" w:name="_Toc7016"/>
      <w:r>
        <w:rPr>
          <w:rFonts w:hint="eastAsia" w:ascii="仿宋" w:hAnsi="仿宋" w:eastAsia="仿宋" w:cs="仿宋"/>
          <w:b/>
          <w:bCs/>
          <w:color w:val="auto"/>
          <w:sz w:val="28"/>
          <w:szCs w:val="28"/>
          <w:lang w:val="en-US" w:eastAsia="zh-CN"/>
        </w:rPr>
        <w:t>4.信息融合的需求</w:t>
      </w:r>
      <w:bookmarkEnd w:id="18"/>
      <w:bookmarkEnd w:id="19"/>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位置可视，安消联动：对接消防系统，实现报警联动可视化视频弹窗，联动门禁、道闸常开，保障人员、车辆安全逃离。消防安全智能化云平台集成消防数据中心、可视化阅读。</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20" w:name="_Toc5272"/>
      <w:bookmarkStart w:id="21" w:name="_Toc4033_WPSOffice_Level2"/>
      <w:r>
        <w:rPr>
          <w:rFonts w:hint="eastAsia" w:ascii="仿宋" w:hAnsi="仿宋" w:eastAsia="仿宋" w:cs="仿宋"/>
          <w:b/>
          <w:bCs/>
          <w:color w:val="auto"/>
          <w:sz w:val="28"/>
          <w:szCs w:val="28"/>
          <w:lang w:val="en-US" w:eastAsia="zh-CN"/>
        </w:rPr>
        <w:t>5.接口管理的需求</w:t>
      </w:r>
      <w:bookmarkEnd w:id="20"/>
      <w:bookmarkEnd w:id="21"/>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22" w:name="_Toc16365_WPSOffice_Level3"/>
      <w:r>
        <w:rPr>
          <w:rFonts w:hint="eastAsia" w:ascii="仿宋" w:hAnsi="仿宋" w:eastAsia="仿宋" w:cs="仿宋"/>
          <w:b w:val="0"/>
          <w:bCs/>
          <w:color w:val="auto"/>
          <w:kern w:val="2"/>
          <w:sz w:val="28"/>
          <w:szCs w:val="28"/>
          <w:lang w:val="zh-CN" w:eastAsia="zh-CN" w:bidi="ar-SA"/>
        </w:rPr>
        <w:t>（1）平台级联</w:t>
      </w:r>
      <w:bookmarkEnd w:id="22"/>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en-US" w:eastAsia="zh-CN" w:bidi="ar-SA"/>
        </w:rPr>
        <w:t>本项目</w:t>
      </w:r>
      <w:r>
        <w:rPr>
          <w:rFonts w:hint="eastAsia" w:ascii="仿宋" w:hAnsi="仿宋" w:eastAsia="仿宋" w:cs="仿宋"/>
          <w:b w:val="0"/>
          <w:bCs/>
          <w:color w:val="auto"/>
          <w:kern w:val="2"/>
          <w:sz w:val="28"/>
          <w:szCs w:val="28"/>
          <w:lang w:val="zh-CN" w:eastAsia="zh-CN" w:bidi="ar-SA"/>
        </w:rPr>
        <w:t>建设的智慧安防平台，对自建的</w:t>
      </w:r>
      <w:r>
        <w:rPr>
          <w:rFonts w:hint="eastAsia" w:ascii="仿宋" w:hAnsi="仿宋" w:eastAsia="仿宋" w:cs="仿宋"/>
          <w:b w:val="0"/>
          <w:bCs/>
          <w:color w:val="auto"/>
          <w:kern w:val="2"/>
          <w:sz w:val="28"/>
          <w:szCs w:val="28"/>
          <w:lang w:val="en-US" w:eastAsia="zh-CN" w:bidi="ar-SA"/>
        </w:rPr>
        <w:t>视频资源</w:t>
      </w:r>
      <w:r>
        <w:rPr>
          <w:rFonts w:hint="eastAsia" w:ascii="仿宋" w:hAnsi="仿宋" w:eastAsia="仿宋" w:cs="仿宋"/>
          <w:b w:val="0"/>
          <w:bCs/>
          <w:color w:val="auto"/>
          <w:kern w:val="2"/>
          <w:sz w:val="28"/>
          <w:szCs w:val="28"/>
          <w:lang w:val="zh-CN" w:eastAsia="zh-CN" w:bidi="ar-SA"/>
        </w:rPr>
        <w:t>进行管理；同时支持级联其它</w:t>
      </w:r>
      <w:r>
        <w:rPr>
          <w:rFonts w:hint="eastAsia" w:ascii="仿宋" w:hAnsi="仿宋" w:eastAsia="仿宋" w:cs="仿宋"/>
          <w:b w:val="0"/>
          <w:bCs/>
          <w:color w:val="auto"/>
          <w:kern w:val="2"/>
          <w:sz w:val="28"/>
          <w:szCs w:val="28"/>
          <w:lang w:val="en-US" w:eastAsia="zh-CN" w:bidi="ar-SA"/>
        </w:rPr>
        <w:t>园区</w:t>
      </w:r>
      <w:r>
        <w:rPr>
          <w:rFonts w:hint="eastAsia" w:ascii="仿宋" w:hAnsi="仿宋" w:eastAsia="仿宋" w:cs="仿宋"/>
          <w:b w:val="0"/>
          <w:bCs/>
          <w:color w:val="auto"/>
          <w:kern w:val="2"/>
          <w:sz w:val="28"/>
          <w:szCs w:val="28"/>
          <w:lang w:val="zh-CN" w:eastAsia="zh-CN" w:bidi="ar-SA"/>
        </w:rPr>
        <w:t>建设的智慧安防平台，实现对其它</w:t>
      </w:r>
      <w:r>
        <w:rPr>
          <w:rFonts w:hint="eastAsia" w:ascii="仿宋" w:hAnsi="仿宋" w:eastAsia="仿宋" w:cs="仿宋"/>
          <w:b w:val="0"/>
          <w:bCs/>
          <w:color w:val="auto"/>
          <w:kern w:val="2"/>
          <w:sz w:val="28"/>
          <w:szCs w:val="28"/>
          <w:lang w:val="en-US" w:eastAsia="zh-CN" w:bidi="ar-SA"/>
        </w:rPr>
        <w:t>园</w:t>
      </w:r>
      <w:r>
        <w:rPr>
          <w:rFonts w:hint="eastAsia" w:ascii="仿宋" w:hAnsi="仿宋" w:eastAsia="仿宋" w:cs="仿宋"/>
          <w:b w:val="0"/>
          <w:bCs/>
          <w:color w:val="auto"/>
          <w:kern w:val="2"/>
          <w:sz w:val="28"/>
          <w:szCs w:val="28"/>
          <w:lang w:val="zh-CN" w:eastAsia="zh-CN" w:bidi="ar-SA"/>
        </w:rPr>
        <w:t>区平台的各高点标签、报警信息、视频等进行查看、调用。</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bookmarkStart w:id="23" w:name="_Toc30646_WPSOffice_Level3"/>
      <w:r>
        <w:rPr>
          <w:rFonts w:hint="eastAsia" w:ascii="仿宋" w:hAnsi="仿宋" w:eastAsia="仿宋" w:cs="仿宋"/>
          <w:b w:val="0"/>
          <w:bCs/>
          <w:color w:val="auto"/>
          <w:kern w:val="2"/>
          <w:sz w:val="28"/>
          <w:szCs w:val="28"/>
          <w:lang w:val="zh-CN" w:eastAsia="zh-CN" w:bidi="ar-SA"/>
        </w:rPr>
        <w:t>（2）平台兼容</w:t>
      </w:r>
      <w:bookmarkEnd w:id="23"/>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智慧安防平台</w:t>
      </w:r>
      <w:r>
        <w:rPr>
          <w:rFonts w:hint="eastAsia" w:ascii="仿宋" w:hAnsi="仿宋" w:eastAsia="仿宋" w:cs="仿宋"/>
          <w:b w:val="0"/>
          <w:bCs/>
          <w:color w:val="auto"/>
          <w:kern w:val="2"/>
          <w:sz w:val="28"/>
          <w:szCs w:val="28"/>
          <w:lang w:val="en-US" w:eastAsia="zh-CN" w:bidi="ar-SA"/>
        </w:rPr>
        <w:t>应</w:t>
      </w:r>
      <w:r>
        <w:rPr>
          <w:rFonts w:hint="eastAsia" w:ascii="仿宋" w:hAnsi="仿宋" w:eastAsia="仿宋" w:cs="仿宋"/>
          <w:b w:val="0"/>
          <w:bCs/>
          <w:color w:val="auto"/>
          <w:kern w:val="2"/>
          <w:sz w:val="28"/>
          <w:szCs w:val="28"/>
          <w:lang w:val="zh-CN" w:eastAsia="zh-CN" w:bidi="ar-SA"/>
        </w:rPr>
        <w:t>具备对接兼容性，支持将已有的智慧园区平台作为子模块，通过接口对接获取主要的视频、图片、报警等数据资源，辅助完善智慧安防平台的应用底座。</w:t>
      </w:r>
    </w:p>
    <w:p>
      <w:pPr>
        <w:pStyle w:val="4"/>
        <w:numPr>
          <w:ilvl w:val="0"/>
          <w:numId w:val="1"/>
        </w:numPr>
        <w:jc w:val="left"/>
        <w:rPr>
          <w:rFonts w:hint="eastAsia" w:ascii="仿宋_GB2312" w:hAnsi="仿宋_GB2312" w:eastAsia="仿宋_GB2312" w:cs="仿宋_GB2312"/>
          <w:color w:val="auto"/>
          <w:sz w:val="28"/>
          <w:szCs w:val="28"/>
          <w:lang w:val="en-US" w:eastAsia="zh-CN"/>
        </w:rPr>
      </w:pPr>
      <w:bookmarkStart w:id="24" w:name="_Toc17034_WPSOffice_Level3"/>
      <w:r>
        <w:rPr>
          <w:rFonts w:hint="eastAsia" w:ascii="仿宋_GB2312" w:hAnsi="仿宋_GB2312" w:eastAsia="仿宋_GB2312" w:cs="仿宋_GB2312"/>
          <w:color w:val="auto"/>
          <w:sz w:val="28"/>
          <w:szCs w:val="28"/>
          <w:lang w:val="en-US" w:eastAsia="zh-CN"/>
        </w:rPr>
        <w:t>建设内容</w:t>
      </w:r>
      <w:bookmarkEnd w:id="24"/>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w:t>
      </w:r>
      <w:r>
        <w:rPr>
          <w:rFonts w:hint="eastAsia" w:ascii="仿宋_GB2312" w:hAnsi="仿宋_GB2312" w:eastAsia="仿宋_GB2312" w:cs="仿宋_GB2312"/>
          <w:color w:val="auto"/>
          <w:sz w:val="28"/>
          <w:szCs w:val="28"/>
        </w:rPr>
        <w:t>拟</w:t>
      </w:r>
      <w:r>
        <w:rPr>
          <w:rFonts w:hint="eastAsia" w:ascii="仿宋" w:hAnsi="仿宋" w:eastAsia="仿宋" w:cs="仿宋"/>
          <w:color w:val="auto"/>
          <w:sz w:val="28"/>
          <w:szCs w:val="28"/>
          <w:lang w:val="en-US" w:eastAsia="zh-CN"/>
        </w:rPr>
        <w:t>实施的内容如下</w:t>
      </w:r>
      <w:r>
        <w:rPr>
          <w:rFonts w:hint="eastAsia" w:ascii="仿宋_GB2312" w:hAnsi="仿宋_GB2312" w:eastAsia="仿宋_GB2312" w:cs="仿宋_GB2312"/>
          <w:color w:val="auto"/>
          <w:sz w:val="28"/>
          <w:szCs w:val="28"/>
        </w:rPr>
        <w:t>（以下指标若出现负偏离，则视无效</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处理）</w:t>
      </w:r>
      <w:r>
        <w:rPr>
          <w:rFonts w:hint="eastAsia" w:ascii="仿宋" w:hAnsi="仿宋" w:eastAsia="仿宋" w:cs="仿宋"/>
          <w:color w:val="auto"/>
          <w:sz w:val="28"/>
          <w:szCs w:val="28"/>
          <w:lang w:val="en-US" w:eastAsia="zh-CN"/>
        </w:rPr>
        <w:t>：</w:t>
      </w:r>
    </w:p>
    <w:tbl>
      <w:tblPr>
        <w:tblStyle w:val="26"/>
        <w:tblW w:w="7943" w:type="dxa"/>
        <w:jc w:val="center"/>
        <w:shd w:val="clear" w:color="auto" w:fill="auto"/>
        <w:tblLayout w:type="fixed"/>
        <w:tblCellMar>
          <w:top w:w="0" w:type="dxa"/>
          <w:left w:w="0" w:type="dxa"/>
          <w:bottom w:w="0" w:type="dxa"/>
          <w:right w:w="0" w:type="dxa"/>
        </w:tblCellMar>
      </w:tblPr>
      <w:tblGrid>
        <w:gridCol w:w="1163"/>
        <w:gridCol w:w="3070"/>
        <w:gridCol w:w="3710"/>
      </w:tblGrid>
      <w:tr>
        <w:tblPrEx>
          <w:shd w:val="clear" w:color="auto" w:fill="auto"/>
          <w:tblCellMar>
            <w:top w:w="0" w:type="dxa"/>
            <w:left w:w="0" w:type="dxa"/>
            <w:bottom w:w="0" w:type="dxa"/>
            <w:right w:w="0" w:type="dxa"/>
          </w:tblCellMar>
        </w:tblPrEx>
        <w:trPr>
          <w:trHeight w:val="560"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序号</w:t>
            </w:r>
          </w:p>
        </w:tc>
        <w:tc>
          <w:tcPr>
            <w:tcW w:w="6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功能组件</w:t>
            </w:r>
          </w:p>
        </w:tc>
      </w:tr>
      <w:tr>
        <w:tblPrEx>
          <w:shd w:val="clear" w:color="auto" w:fill="auto"/>
          <w:tblCellMar>
            <w:top w:w="0" w:type="dxa"/>
            <w:left w:w="0" w:type="dxa"/>
            <w:bottom w:w="0" w:type="dxa"/>
            <w:right w:w="0" w:type="dxa"/>
          </w:tblCellMar>
        </w:tblPrEx>
        <w:trPr>
          <w:trHeight w:val="480" w:hRule="atLeast"/>
          <w:jc w:val="center"/>
        </w:trPr>
        <w:tc>
          <w:tcPr>
            <w:tcW w:w="1163"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zh-CN" w:eastAsia="zh-CN" w:bidi="ar"/>
              </w:rPr>
              <w:t>AR实景监测平台</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安全态势一张图</w:t>
            </w:r>
          </w:p>
        </w:tc>
      </w:tr>
      <w:tr>
        <w:tblPrEx>
          <w:shd w:val="clear" w:color="auto" w:fill="auto"/>
          <w:tblCellMar>
            <w:top w:w="0" w:type="dxa"/>
            <w:left w:w="0" w:type="dxa"/>
            <w:bottom w:w="0" w:type="dxa"/>
            <w:right w:w="0" w:type="dxa"/>
          </w:tblCellMar>
        </w:tblPrEx>
        <w:trPr>
          <w:trHeight w:val="445"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307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便捷通行</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访客管理</w:t>
            </w:r>
          </w:p>
        </w:tc>
      </w:tr>
      <w:tr>
        <w:tblPrEx>
          <w:shd w:val="clear" w:color="auto" w:fill="auto"/>
          <w:tblCellMar>
            <w:top w:w="0" w:type="dxa"/>
            <w:left w:w="0" w:type="dxa"/>
            <w:bottom w:w="0" w:type="dxa"/>
            <w:right w:w="0" w:type="dxa"/>
          </w:tblCellMar>
        </w:tblPrEx>
        <w:trPr>
          <w:trHeight w:val="430"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307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车辆管理</w:t>
            </w:r>
          </w:p>
        </w:tc>
      </w:tr>
      <w:tr>
        <w:tblPrEx>
          <w:shd w:val="clear" w:color="auto" w:fill="auto"/>
          <w:tblCellMar>
            <w:top w:w="0" w:type="dxa"/>
            <w:left w:w="0" w:type="dxa"/>
            <w:bottom w:w="0" w:type="dxa"/>
            <w:right w:w="0" w:type="dxa"/>
          </w:tblCellMar>
        </w:tblPrEx>
        <w:trPr>
          <w:trHeight w:val="435"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307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AI布控</w:t>
            </w: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人脸门禁</w:t>
            </w:r>
          </w:p>
        </w:tc>
      </w:tr>
      <w:tr>
        <w:tblPrEx>
          <w:shd w:val="clear" w:color="auto" w:fill="auto"/>
          <w:tblCellMar>
            <w:top w:w="0" w:type="dxa"/>
            <w:left w:w="0" w:type="dxa"/>
            <w:bottom w:w="0" w:type="dxa"/>
            <w:right w:w="0" w:type="dxa"/>
          </w:tblCellMar>
        </w:tblPrEx>
        <w:trPr>
          <w:trHeight w:val="410"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307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入侵检测</w:t>
            </w:r>
          </w:p>
        </w:tc>
      </w:tr>
      <w:tr>
        <w:tblPrEx>
          <w:shd w:val="clear" w:color="auto" w:fill="auto"/>
          <w:tblCellMar>
            <w:top w:w="0" w:type="dxa"/>
            <w:left w:w="0" w:type="dxa"/>
            <w:bottom w:w="0" w:type="dxa"/>
            <w:right w:w="0" w:type="dxa"/>
          </w:tblCellMar>
        </w:tblPrEx>
        <w:trPr>
          <w:trHeight w:val="450"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307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智能周界</w:t>
            </w:r>
          </w:p>
        </w:tc>
      </w:tr>
      <w:tr>
        <w:tblPrEx>
          <w:shd w:val="clear" w:color="auto" w:fill="auto"/>
          <w:tblCellMar>
            <w:top w:w="0" w:type="dxa"/>
            <w:left w:w="0" w:type="dxa"/>
            <w:bottom w:w="0" w:type="dxa"/>
            <w:right w:w="0" w:type="dxa"/>
          </w:tblCellMar>
        </w:tblPrEx>
        <w:trPr>
          <w:trHeight w:val="450"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7</w:t>
            </w:r>
          </w:p>
        </w:tc>
        <w:tc>
          <w:tcPr>
            <w:tcW w:w="307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3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紧急对讲</w:t>
            </w:r>
          </w:p>
        </w:tc>
      </w:tr>
      <w:tr>
        <w:tblPrEx>
          <w:shd w:val="clear" w:color="auto" w:fill="auto"/>
          <w:tblCellMar>
            <w:top w:w="0" w:type="dxa"/>
            <w:left w:w="0" w:type="dxa"/>
            <w:bottom w:w="0" w:type="dxa"/>
            <w:right w:w="0" w:type="dxa"/>
          </w:tblCellMar>
        </w:tblPrEx>
        <w:trPr>
          <w:trHeight w:val="505"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安全帽识别</w:t>
            </w:r>
          </w:p>
        </w:tc>
      </w:tr>
      <w:tr>
        <w:tblPrEx>
          <w:shd w:val="clear" w:color="auto" w:fill="auto"/>
          <w:tblCellMar>
            <w:top w:w="0" w:type="dxa"/>
            <w:left w:w="0" w:type="dxa"/>
            <w:bottom w:w="0" w:type="dxa"/>
            <w:right w:w="0" w:type="dxa"/>
          </w:tblCellMar>
        </w:tblPrEx>
        <w:trPr>
          <w:trHeight w:val="505"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w:t>
            </w:r>
          </w:p>
        </w:tc>
        <w:tc>
          <w:tcPr>
            <w:tcW w:w="6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水火异动识别</w:t>
            </w:r>
          </w:p>
        </w:tc>
      </w:tr>
      <w:tr>
        <w:tblPrEx>
          <w:shd w:val="clear" w:color="auto" w:fill="auto"/>
          <w:tblCellMar>
            <w:top w:w="0" w:type="dxa"/>
            <w:left w:w="0" w:type="dxa"/>
            <w:bottom w:w="0" w:type="dxa"/>
            <w:right w:w="0" w:type="dxa"/>
          </w:tblCellMar>
        </w:tblPrEx>
        <w:trPr>
          <w:trHeight w:val="505"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w:t>
            </w:r>
          </w:p>
        </w:tc>
        <w:tc>
          <w:tcPr>
            <w:tcW w:w="6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安消联动</w:t>
            </w:r>
          </w:p>
        </w:tc>
      </w:tr>
    </w:tbl>
    <w:p>
      <w:pPr>
        <w:pStyle w:val="4"/>
        <w:numPr>
          <w:ilvl w:val="0"/>
          <w:numId w:val="1"/>
        </w:numPr>
        <w:jc w:val="left"/>
        <w:rPr>
          <w:rFonts w:hint="eastAsia" w:ascii="仿宋_GB2312" w:hAnsi="仿宋_GB2312" w:eastAsia="仿宋_GB2312" w:cs="仿宋_GB2312"/>
          <w:color w:val="auto"/>
          <w:sz w:val="28"/>
          <w:szCs w:val="28"/>
          <w:lang w:val="en-US" w:eastAsia="zh-CN"/>
        </w:rPr>
      </w:pPr>
      <w:bookmarkStart w:id="25" w:name="_Toc20652_WPSOffice_Level3"/>
      <w:r>
        <w:rPr>
          <w:rFonts w:hint="eastAsia" w:ascii="仿宋_GB2312" w:hAnsi="仿宋_GB2312" w:eastAsia="仿宋_GB2312" w:cs="仿宋_GB2312"/>
          <w:color w:val="auto"/>
          <w:sz w:val="28"/>
          <w:szCs w:val="28"/>
          <w:lang w:val="en-US" w:eastAsia="zh-CN"/>
        </w:rPr>
        <w:t>其他要求</w:t>
      </w:r>
      <w:bookmarkEnd w:id="25"/>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bookmarkStart w:id="26" w:name="_Toc34844828"/>
      <w:r>
        <w:rPr>
          <w:rFonts w:hint="eastAsia" w:ascii="仿宋" w:hAnsi="仿宋" w:eastAsia="仿宋" w:cs="仿宋"/>
          <w:b/>
          <w:bCs/>
          <w:color w:val="auto"/>
          <w:sz w:val="28"/>
          <w:szCs w:val="28"/>
          <w:lang w:val="en-US" w:eastAsia="zh-CN"/>
        </w:rPr>
        <w:t>1.</w:t>
      </w:r>
      <w:bookmarkEnd w:id="26"/>
      <w:r>
        <w:rPr>
          <w:rFonts w:hint="eastAsia" w:ascii="仿宋" w:hAnsi="仿宋" w:eastAsia="仿宋" w:cs="仿宋"/>
          <w:b/>
          <w:bCs/>
          <w:color w:val="auto"/>
          <w:sz w:val="28"/>
          <w:szCs w:val="28"/>
          <w:lang w:val="en-US" w:eastAsia="zh-CN"/>
        </w:rPr>
        <w:t>平台性能要求：合规、可靠、可拓展</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系统设计需遵循国家相关法律、法规、标准和规范，同时符合</w:t>
      </w:r>
      <w:r>
        <w:rPr>
          <w:rFonts w:hint="eastAsia" w:ascii="仿宋" w:hAnsi="仿宋" w:eastAsia="仿宋" w:cs="仿宋"/>
          <w:b w:val="0"/>
          <w:bCs/>
          <w:color w:val="auto"/>
          <w:kern w:val="2"/>
          <w:sz w:val="28"/>
          <w:szCs w:val="28"/>
          <w:lang w:val="en-US" w:eastAsia="zh-CN" w:bidi="ar-SA"/>
        </w:rPr>
        <w:t>沥滘</w:t>
      </w:r>
      <w:r>
        <w:rPr>
          <w:rFonts w:hint="eastAsia" w:ascii="仿宋" w:hAnsi="仿宋" w:eastAsia="仿宋" w:cs="仿宋"/>
          <w:b w:val="0"/>
          <w:bCs/>
          <w:color w:val="auto"/>
          <w:kern w:val="2"/>
          <w:sz w:val="28"/>
          <w:szCs w:val="28"/>
          <w:lang w:val="zh-CN" w:eastAsia="zh-CN" w:bidi="ar-SA"/>
        </w:rPr>
        <w:t xml:space="preserve">净水厂实际需求（具体参数见下文）。系统应充分考虑可扩充性，应用软件系统需采用模块化设计，以便园区后期进行平滑扩充；同时，数据库设计也应满足用户功能扩展和数据增长的需要； </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2.数据安全要求：确保数据及图像信息安全</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系统应采取安全性的措施，以保证设备安全和防止图像信息的泄漏。设备安全是指确保监控设备、网络设施以及其他通讯与存储介质免遭自然灾害、人为因素和其它事故破坏的措施；图像信息安全指对图像信息在处理、存储、检索、传输、显示等过程中的保护，保障信息在应用层面依据授权使用，不被非法冒充、窃取、篡改。</w:t>
      </w:r>
    </w:p>
    <w:p>
      <w:pPr>
        <w:keepNext w:val="0"/>
        <w:keepLines w:val="0"/>
        <w:pageBreakBefore w:val="0"/>
        <w:widowControl w:val="0"/>
        <w:kinsoku/>
        <w:wordWrap/>
        <w:overflowPunct/>
        <w:topLinePunct w:val="0"/>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3.技术参数要求</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（1）图像存储参数</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视频图像存储不少于90天，识别后的问题视频存储90天；实现回放、显示、备份及存储录像文件等功能；</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系统中各高清设备、软件必须能按照统一的国家标准协议接入系统；</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（2）平台及数据库参数</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任何一路或一定数量的监控图像中断或者不清晰，无法满足使用要求的时间，即年故障时间要低于5‰。</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平台持续提供7×24小时不间断服务；</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允许响应时间时长为1-3秒，大数据量提取不超过10秒；</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一般情况下服务器的CPU占用不超过75%，内存使用率不超过70%，峰值时刻服务器的CPU占用不超过85%，内存使用率不超过90%；</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bookmarkStart w:id="27" w:name="_Toc34844832"/>
      <w:bookmarkStart w:id="28" w:name="_Toc500772806"/>
      <w:bookmarkStart w:id="29" w:name="_Toc11932082"/>
      <w:r>
        <w:rPr>
          <w:rFonts w:hint="eastAsia" w:ascii="仿宋" w:hAnsi="仿宋" w:eastAsia="仿宋" w:cs="仿宋"/>
          <w:b w:val="0"/>
          <w:bCs/>
          <w:color w:val="auto"/>
          <w:kern w:val="2"/>
          <w:sz w:val="28"/>
          <w:szCs w:val="28"/>
          <w:lang w:val="en-US" w:eastAsia="zh-CN" w:bidi="ar-SA"/>
        </w:rPr>
        <w:t>（3）其他性能</w:t>
      </w:r>
      <w:bookmarkEnd w:id="27"/>
      <w:bookmarkEnd w:id="28"/>
      <w:bookmarkEnd w:id="29"/>
      <w:r>
        <w:rPr>
          <w:rFonts w:hint="eastAsia" w:ascii="仿宋" w:hAnsi="仿宋" w:eastAsia="仿宋" w:cs="仿宋"/>
          <w:b w:val="0"/>
          <w:bCs/>
          <w:color w:val="auto"/>
          <w:kern w:val="2"/>
          <w:sz w:val="28"/>
          <w:szCs w:val="28"/>
          <w:lang w:val="en-US" w:eastAsia="zh-CN" w:bidi="ar-SA"/>
        </w:rPr>
        <w:t>参数</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①数字视频信号应满足以下要求：</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实时图像及回放图像质量：1080P(1920×1080)</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单路显示基本帧率：≥25fps</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②联网系统IP网络的传输质量应满足以下要求：</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网络时延上限值为400ms；</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时延抖动上限值为50ms；</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丢包率上限值为1×10</w:t>
      </w:r>
      <w:r>
        <w:rPr>
          <w:rFonts w:hint="eastAsia" w:ascii="仿宋" w:hAnsi="仿宋" w:eastAsia="仿宋" w:cs="仿宋"/>
          <w:b w:val="0"/>
          <w:bCs/>
          <w:color w:val="auto"/>
          <w:kern w:val="2"/>
          <w:sz w:val="28"/>
          <w:szCs w:val="28"/>
          <w:vertAlign w:val="superscript"/>
          <w:lang w:val="zh-CN" w:eastAsia="zh-CN" w:bidi="ar-SA"/>
        </w:rPr>
        <w:t>-3</w:t>
      </w:r>
      <w:r>
        <w:rPr>
          <w:rFonts w:hint="eastAsia" w:ascii="仿宋" w:hAnsi="仿宋" w:eastAsia="仿宋" w:cs="仿宋"/>
          <w:b w:val="0"/>
          <w:bCs/>
          <w:color w:val="auto"/>
          <w:kern w:val="2"/>
          <w:sz w:val="28"/>
          <w:szCs w:val="28"/>
          <w:lang w:val="zh-CN" w:eastAsia="zh-CN" w:bidi="ar-SA"/>
        </w:rPr>
        <w:t>；</w:t>
      </w:r>
    </w:p>
    <w:p>
      <w:pPr>
        <w:keepNext w:val="0"/>
        <w:keepLines w:val="0"/>
        <w:pageBreakBefore w:val="0"/>
        <w:kinsoku/>
        <w:wordWrap/>
        <w:overflowPunct/>
        <w:topLinePunct w:val="0"/>
        <w:autoSpaceDE/>
        <w:autoSpaceDN/>
        <w:bidi w:val="0"/>
        <w:spacing w:line="300" w:lineRule="auto"/>
        <w:ind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包误差率上限值为1×10</w:t>
      </w:r>
      <w:r>
        <w:rPr>
          <w:rFonts w:hint="eastAsia" w:ascii="仿宋" w:hAnsi="仿宋" w:eastAsia="仿宋" w:cs="仿宋"/>
          <w:b w:val="0"/>
          <w:bCs/>
          <w:color w:val="auto"/>
          <w:kern w:val="2"/>
          <w:sz w:val="28"/>
          <w:szCs w:val="28"/>
          <w:vertAlign w:val="superscript"/>
          <w:lang w:val="zh-CN" w:eastAsia="zh-CN" w:bidi="ar-SA"/>
        </w:rPr>
        <w:t>-4</w:t>
      </w:r>
      <w:r>
        <w:rPr>
          <w:rFonts w:hint="eastAsia" w:ascii="仿宋" w:hAnsi="仿宋" w:eastAsia="仿宋" w:cs="仿宋"/>
          <w:b w:val="0"/>
          <w:bCs/>
          <w:color w:val="auto"/>
          <w:kern w:val="2"/>
          <w:sz w:val="28"/>
          <w:szCs w:val="28"/>
          <w:lang w:val="zh-CN" w:eastAsia="zh-CN" w:bidi="ar-SA"/>
        </w:rPr>
        <w:t>；</w:t>
      </w:r>
    </w:p>
    <w:p>
      <w:pPr>
        <w:pStyle w:val="2"/>
        <w:rPr>
          <w:rFonts w:hint="eastAsia" w:ascii="仿宋_GB2312" w:hAnsi="仿宋_GB2312" w:eastAsia="仿宋_GB2312" w:cs="仿宋_GB2312"/>
          <w:color w:val="auto"/>
        </w:rPr>
      </w:pPr>
      <w:bookmarkStart w:id="30" w:name="_Toc26302_WPSOffice_Level2"/>
      <w:r>
        <w:rPr>
          <w:rFonts w:hint="eastAsia" w:ascii="仿宋_GB2312" w:hAnsi="仿宋_GB2312" w:eastAsia="仿宋_GB2312" w:cs="仿宋_GB2312"/>
          <w:color w:val="auto"/>
        </w:rPr>
        <w:t>二、技术服务要求</w:t>
      </w:r>
      <w:bookmarkEnd w:id="30"/>
    </w:p>
    <w:p>
      <w:pPr>
        <w:pStyle w:val="4"/>
        <w:jc w:val="left"/>
        <w:rPr>
          <w:rFonts w:hint="eastAsia" w:ascii="仿宋_GB2312" w:hAnsi="仿宋_GB2312" w:eastAsia="仿宋_GB2312" w:cs="仿宋_GB2312"/>
          <w:color w:val="auto"/>
          <w:sz w:val="28"/>
          <w:szCs w:val="28"/>
        </w:rPr>
      </w:pPr>
      <w:bookmarkStart w:id="31" w:name="_Toc20378_WPSOffice_Level3"/>
      <w:r>
        <w:rPr>
          <w:rFonts w:hint="eastAsia" w:ascii="仿宋_GB2312" w:hAnsi="仿宋_GB2312" w:eastAsia="仿宋_GB2312" w:cs="仿宋_GB2312"/>
          <w:color w:val="auto"/>
          <w:sz w:val="28"/>
          <w:szCs w:val="28"/>
        </w:rPr>
        <w:t>（一）技术要求</w:t>
      </w:r>
      <w:bookmarkEnd w:id="31"/>
    </w:p>
    <w:p>
      <w:pPr>
        <w:spacing w:line="300" w:lineRule="auto"/>
        <w:ind w:firstLine="560" w:firstLineChars="200"/>
        <w:rPr>
          <w:rFonts w:hint="eastAsia" w:ascii="仿宋_GB2312" w:hAnsi="仿宋_GB2312" w:eastAsia="仿宋_GB2312" w:cs="仿宋_GB2312"/>
          <w:color w:val="auto"/>
          <w:sz w:val="28"/>
          <w:szCs w:val="28"/>
          <w:u w:val="single"/>
          <w:lang w:val="zh-CN" w:eastAsia="zh-CN"/>
        </w:rPr>
      </w:pPr>
      <w:r>
        <w:rPr>
          <w:rFonts w:hint="eastAsia" w:ascii="仿宋_GB2312" w:hAnsi="仿宋_GB2312" w:eastAsia="仿宋_GB2312" w:cs="仿宋_GB2312"/>
          <w:color w:val="auto"/>
          <w:sz w:val="28"/>
          <w:szCs w:val="28"/>
          <w:u w:val="single"/>
          <w:lang w:val="zh-CN" w:eastAsia="zh-CN"/>
        </w:rPr>
        <w:t>1.</w:t>
      </w:r>
      <w:r>
        <w:rPr>
          <w:rFonts w:hint="eastAsia" w:ascii="仿宋_GB2312" w:hAnsi="仿宋_GB2312" w:eastAsia="仿宋_GB2312" w:cs="仿宋_GB2312"/>
          <w:color w:val="auto"/>
          <w:kern w:val="2"/>
          <w:sz w:val="28"/>
          <w:szCs w:val="28"/>
          <w:u w:val="single"/>
          <w:lang w:val="zh-CN" w:eastAsia="zh-CN" w:bidi="ar-SA"/>
        </w:rPr>
        <w:t>供应商</w:t>
      </w:r>
      <w:r>
        <w:rPr>
          <w:rFonts w:hint="eastAsia" w:ascii="仿宋_GB2312" w:hAnsi="仿宋_GB2312" w:eastAsia="仿宋_GB2312" w:cs="仿宋_GB2312"/>
          <w:color w:val="auto"/>
          <w:sz w:val="28"/>
          <w:szCs w:val="28"/>
          <w:u w:val="single"/>
          <w:lang w:val="en-US" w:eastAsia="zh-CN"/>
        </w:rPr>
        <w:t>递交响应文件时</w:t>
      </w:r>
      <w:r>
        <w:rPr>
          <w:rFonts w:hint="eastAsia" w:ascii="仿宋_GB2312" w:hAnsi="仿宋_GB2312" w:eastAsia="仿宋_GB2312" w:cs="仿宋_GB2312"/>
          <w:color w:val="auto"/>
          <w:sz w:val="28"/>
          <w:szCs w:val="28"/>
          <w:u w:val="single"/>
          <w:lang w:val="zh-CN" w:eastAsia="zh-CN"/>
        </w:rPr>
        <w:t>须出具承诺函，承诺</w:t>
      </w:r>
      <w:r>
        <w:rPr>
          <w:rFonts w:hint="eastAsia" w:ascii="仿宋_GB2312" w:hAnsi="仿宋_GB2312" w:eastAsia="仿宋_GB2312" w:cs="仿宋_GB2312"/>
          <w:b w:val="0"/>
          <w:color w:val="auto"/>
          <w:kern w:val="2"/>
          <w:sz w:val="28"/>
          <w:szCs w:val="28"/>
          <w:highlight w:val="none"/>
          <w:u w:val="single"/>
          <w:lang w:val="zh-CN" w:eastAsia="zh-CN" w:bidi="ar-SA"/>
        </w:rPr>
        <w:t>所提供报价货物/设备备件均为制造商全新原装产品。</w:t>
      </w:r>
      <w:r>
        <w:rPr>
          <w:rFonts w:hint="eastAsia" w:ascii="仿宋_GB2312" w:hAnsi="仿宋_GB2312" w:eastAsia="仿宋_GB2312" w:cs="仿宋_GB2312"/>
          <w:b w:val="0"/>
          <w:color w:val="auto"/>
          <w:kern w:val="2"/>
          <w:sz w:val="28"/>
          <w:szCs w:val="28"/>
          <w:u w:val="single"/>
          <w:lang w:val="zh-CN" w:eastAsia="zh-CN" w:bidi="ar-SA"/>
        </w:rPr>
        <w:t>（</w:t>
      </w:r>
      <w:r>
        <w:rPr>
          <w:rFonts w:hint="eastAsia" w:ascii="仿宋_GB2312" w:hAnsi="仿宋_GB2312" w:eastAsia="仿宋_GB2312" w:cs="仿宋_GB2312"/>
          <w:b w:val="0"/>
          <w:color w:val="auto"/>
          <w:kern w:val="2"/>
          <w:sz w:val="28"/>
          <w:szCs w:val="28"/>
          <w:u w:val="single"/>
          <w:lang w:val="en-US" w:eastAsia="zh-CN" w:bidi="ar-SA"/>
        </w:rPr>
        <w:t>加盖单位公章</w:t>
      </w:r>
      <w:r>
        <w:rPr>
          <w:rFonts w:hint="eastAsia" w:ascii="仿宋_GB2312" w:hAnsi="仿宋_GB2312" w:eastAsia="仿宋_GB2312" w:cs="仿宋_GB2312"/>
          <w:b w:val="0"/>
          <w:color w:val="auto"/>
          <w:kern w:val="2"/>
          <w:sz w:val="28"/>
          <w:szCs w:val="28"/>
          <w:u w:val="single"/>
          <w:lang w:val="zh-CN" w:eastAsia="zh-CN" w:bidi="ar-SA"/>
        </w:rPr>
        <w:t>）</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color w:val="auto"/>
          <w:kern w:val="2"/>
          <w:sz w:val="28"/>
          <w:szCs w:val="28"/>
          <w:lang w:val="zh-CN" w:eastAsia="zh-CN" w:bidi="ar-SA"/>
        </w:rPr>
        <w:t>供应商须具备</w:t>
      </w:r>
      <w:r>
        <w:rPr>
          <w:rFonts w:hint="eastAsia" w:ascii="仿宋_GB2312" w:hAnsi="仿宋_GB2312" w:eastAsia="仿宋_GB2312" w:cs="仿宋_GB2312"/>
          <w:color w:val="auto"/>
          <w:kern w:val="2"/>
          <w:sz w:val="28"/>
          <w:szCs w:val="28"/>
          <w:lang w:val="en-US" w:eastAsia="zh-CN" w:bidi="ar-SA"/>
        </w:rPr>
        <w:t>安防系统</w:t>
      </w:r>
      <w:r>
        <w:rPr>
          <w:rFonts w:hint="eastAsia" w:ascii="仿宋_GB2312" w:hAnsi="仿宋_GB2312" w:eastAsia="仿宋_GB2312" w:cs="仿宋_GB2312"/>
          <w:color w:val="auto"/>
          <w:kern w:val="2"/>
          <w:sz w:val="28"/>
          <w:szCs w:val="28"/>
          <w:lang w:val="zh-CN" w:eastAsia="zh-CN" w:bidi="ar-SA"/>
        </w:rPr>
        <w:t>平台自主研发能力。</w:t>
      </w:r>
    </w:p>
    <w:p>
      <w:pPr>
        <w:spacing w:line="600" w:lineRule="exact"/>
        <w:ind w:firstLine="560" w:firstLineChars="200"/>
        <w:rPr>
          <w:rFonts w:hint="eastAsia" w:ascii="仿宋" w:hAnsi="仿宋" w:eastAsia="仿宋" w:cs="仿宋"/>
          <w:bCs/>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3.品牌要求</w:t>
      </w:r>
      <w:r>
        <w:rPr>
          <w:rFonts w:hint="eastAsia" w:ascii="仿宋" w:hAnsi="仿宋" w:eastAsia="仿宋" w:cs="仿宋"/>
          <w:bCs/>
          <w:color w:val="auto"/>
          <w:sz w:val="28"/>
          <w:szCs w:val="28"/>
          <w:lang w:val="en-US" w:eastAsia="zh-CN"/>
        </w:rPr>
        <w:t>：</w:t>
      </w:r>
    </w:p>
    <w:p>
      <w:pPr>
        <w:spacing w:line="600" w:lineRule="exact"/>
        <w:ind w:firstLine="420" w:firstLineChars="150"/>
        <w:rPr>
          <w:rFonts w:hint="eastAsia" w:ascii="仿宋" w:hAnsi="仿宋" w:eastAsia="仿宋" w:cs="仿宋"/>
          <w:bCs/>
          <w:color w:val="auto"/>
          <w:sz w:val="28"/>
          <w:szCs w:val="28"/>
          <w:lang w:val="en" w:eastAsia="zh-SG"/>
        </w:rPr>
      </w:pPr>
      <w:r>
        <w:rPr>
          <w:rFonts w:hint="eastAsia" w:ascii="仿宋" w:hAnsi="仿宋" w:eastAsia="仿宋" w:cs="仿宋"/>
          <w:bCs/>
          <w:color w:val="auto"/>
          <w:sz w:val="28"/>
          <w:szCs w:val="28"/>
          <w:lang w:val="en-US" w:eastAsia="zh-CN"/>
        </w:rPr>
        <w:t>（1）</w:t>
      </w:r>
      <w:r>
        <w:rPr>
          <w:rFonts w:hint="eastAsia" w:ascii="仿宋" w:hAnsi="仿宋" w:eastAsia="仿宋" w:cs="仿宋"/>
          <w:b w:val="0"/>
          <w:bCs w:val="0"/>
          <w:sz w:val="28"/>
          <w:szCs w:val="36"/>
        </w:rPr>
        <w:t>关于本项目涉及到的刷卡摆闸、人脸识别闸机头、访客管理设备、门岗测温一体机、200万暖光变焦抓拍一体机、车辆道闸、人脸门禁一体机、200万枪型摄像机、400万近距离人脸识别摄像机、400万远距离人脸识别摄像机、400万智能周界摄像机、人脸算法服务器、视频存储服务器，</w:t>
      </w:r>
      <w:r>
        <w:rPr>
          <w:rFonts w:hint="eastAsia" w:ascii="仿宋" w:hAnsi="仿宋" w:eastAsia="仿宋" w:cs="仿宋"/>
          <w:bCs/>
          <w:color w:val="auto"/>
          <w:sz w:val="28"/>
          <w:szCs w:val="28"/>
          <w:lang w:val="en-US" w:eastAsia="zh-CN"/>
        </w:rPr>
        <w:t>品牌参照或相当于海康威视/浙江大华/汉邦高科等国产知名品牌，</w:t>
      </w:r>
      <w:r>
        <w:rPr>
          <w:rFonts w:hint="eastAsia" w:ascii="仿宋" w:hAnsi="仿宋" w:eastAsia="仿宋" w:cs="仿宋"/>
          <w:bCs/>
          <w:color w:val="auto"/>
          <w:sz w:val="28"/>
          <w:szCs w:val="28"/>
          <w:lang w:val="en" w:eastAsia="zh-SG"/>
        </w:rPr>
        <w:t>技术先进</w:t>
      </w:r>
      <w:r>
        <w:rPr>
          <w:rFonts w:hint="eastAsia" w:ascii="仿宋" w:hAnsi="仿宋" w:eastAsia="仿宋" w:cs="仿宋"/>
          <w:bCs/>
          <w:color w:val="auto"/>
          <w:sz w:val="28"/>
          <w:szCs w:val="28"/>
          <w:lang w:val="en-US" w:eastAsia="zh-CN"/>
        </w:rPr>
        <w:t>，稳定可靠，</w:t>
      </w:r>
      <w:r>
        <w:rPr>
          <w:rFonts w:hint="eastAsia" w:ascii="仿宋" w:hAnsi="仿宋" w:eastAsia="仿宋" w:cs="仿宋"/>
          <w:bCs/>
          <w:color w:val="auto"/>
          <w:sz w:val="28"/>
          <w:szCs w:val="28"/>
          <w:lang w:val="en" w:eastAsia="zh-SG"/>
        </w:rPr>
        <w:t>拥有自己的服务队伍。</w:t>
      </w:r>
    </w:p>
    <w:p>
      <w:pPr>
        <w:spacing w:line="600" w:lineRule="exact"/>
        <w:ind w:firstLine="420" w:firstLineChars="150"/>
        <w:rPr>
          <w:rFonts w:hint="eastAsia" w:ascii="仿宋" w:hAnsi="仿宋" w:eastAsia="仿宋" w:cs="仿宋"/>
          <w:bCs/>
          <w:color w:val="auto"/>
          <w:sz w:val="28"/>
          <w:szCs w:val="28"/>
          <w:lang w:val="en" w:eastAsia="zh-SG"/>
        </w:rPr>
      </w:pPr>
      <w:r>
        <w:rPr>
          <w:rFonts w:hint="eastAsia" w:ascii="仿宋" w:hAnsi="仿宋" w:eastAsia="仿宋" w:cs="仿宋"/>
          <w:bCs/>
          <w:color w:val="auto"/>
          <w:sz w:val="28"/>
          <w:szCs w:val="28"/>
          <w:lang w:val="en-US" w:eastAsia="zh-CN"/>
        </w:rPr>
        <w:t>（2）</w:t>
      </w:r>
      <w:r>
        <w:rPr>
          <w:rFonts w:hint="eastAsia" w:ascii="仿宋" w:hAnsi="仿宋" w:eastAsia="仿宋" w:cs="仿宋"/>
          <w:b w:val="0"/>
          <w:bCs w:val="0"/>
          <w:sz w:val="28"/>
          <w:szCs w:val="36"/>
        </w:rPr>
        <w:t>6TB硬盘、6TB企业级硬盘</w:t>
      </w:r>
      <w:r>
        <w:rPr>
          <w:rFonts w:hint="eastAsia" w:ascii="仿宋" w:hAnsi="仿宋" w:eastAsia="仿宋" w:cs="仿宋"/>
          <w:bCs/>
          <w:color w:val="auto"/>
          <w:sz w:val="28"/>
          <w:szCs w:val="28"/>
          <w:lang w:val="en-US" w:eastAsia="zh-CN"/>
        </w:rPr>
        <w:t>：品牌参照或相当于希捷/西部数据/东芝等知名品牌，</w:t>
      </w:r>
      <w:r>
        <w:rPr>
          <w:rFonts w:hint="eastAsia" w:ascii="仿宋" w:hAnsi="仿宋" w:eastAsia="仿宋" w:cs="仿宋"/>
          <w:bCs/>
          <w:color w:val="auto"/>
          <w:sz w:val="28"/>
          <w:szCs w:val="28"/>
          <w:lang w:val="en" w:eastAsia="zh-SG"/>
        </w:rPr>
        <w:t>技术先进，</w:t>
      </w:r>
      <w:r>
        <w:rPr>
          <w:rFonts w:hint="eastAsia" w:ascii="仿宋" w:hAnsi="仿宋" w:eastAsia="仿宋" w:cs="仿宋"/>
          <w:bCs/>
          <w:color w:val="auto"/>
          <w:sz w:val="28"/>
          <w:szCs w:val="28"/>
          <w:lang w:val="en-US" w:eastAsia="zh-CN"/>
        </w:rPr>
        <w:t>稳定可靠</w:t>
      </w:r>
      <w:r>
        <w:rPr>
          <w:rFonts w:hint="eastAsia" w:ascii="仿宋" w:hAnsi="仿宋" w:eastAsia="仿宋" w:cs="仿宋"/>
          <w:bCs/>
          <w:color w:val="auto"/>
          <w:sz w:val="28"/>
          <w:szCs w:val="28"/>
          <w:lang w:val="en" w:eastAsia="zh-SG"/>
        </w:rPr>
        <w:t>。</w:t>
      </w:r>
    </w:p>
    <w:p>
      <w:pPr>
        <w:spacing w:line="600" w:lineRule="exact"/>
        <w:ind w:firstLine="420" w:firstLineChars="150"/>
        <w:rPr>
          <w:rFonts w:hint="eastAsia" w:ascii="仿宋" w:hAnsi="仿宋" w:eastAsia="仿宋" w:cs="仿宋"/>
          <w:bCs/>
          <w:color w:val="auto"/>
          <w:sz w:val="28"/>
          <w:szCs w:val="28"/>
          <w:lang w:val="en" w:eastAsia="zh-SG"/>
        </w:rPr>
      </w:pPr>
      <w:r>
        <w:rPr>
          <w:rFonts w:hint="eastAsia" w:ascii="仿宋" w:hAnsi="仿宋" w:eastAsia="仿宋" w:cs="仿宋"/>
          <w:bCs/>
          <w:color w:val="auto"/>
          <w:sz w:val="28"/>
          <w:szCs w:val="28"/>
          <w:lang w:val="en-US" w:eastAsia="zh-CN"/>
        </w:rPr>
        <w:t>（3）</w:t>
      </w:r>
      <w:r>
        <w:rPr>
          <w:rFonts w:hint="eastAsia" w:ascii="仿宋" w:hAnsi="仿宋" w:eastAsia="仿宋" w:cs="仿宋"/>
          <w:b w:val="0"/>
          <w:bCs w:val="0"/>
          <w:sz w:val="28"/>
          <w:szCs w:val="36"/>
        </w:rPr>
        <w:t>24口千兆接入</w:t>
      </w:r>
      <w:r>
        <w:rPr>
          <w:rFonts w:hint="eastAsia" w:ascii="仿宋" w:hAnsi="仿宋" w:eastAsia="仿宋" w:cs="仿宋"/>
          <w:bCs/>
          <w:color w:val="auto"/>
          <w:sz w:val="28"/>
          <w:szCs w:val="28"/>
          <w:lang w:val="en-US" w:eastAsia="zh-CN"/>
        </w:rPr>
        <w:t>交换机：品牌参照或相当于华为/华三等国产知名品牌，</w:t>
      </w:r>
      <w:r>
        <w:rPr>
          <w:rFonts w:hint="eastAsia" w:ascii="仿宋" w:hAnsi="仿宋" w:eastAsia="仿宋" w:cs="仿宋"/>
          <w:bCs/>
          <w:color w:val="auto"/>
          <w:sz w:val="28"/>
          <w:szCs w:val="28"/>
          <w:lang w:val="en" w:eastAsia="zh-SG"/>
        </w:rPr>
        <w:t>技术先进，</w:t>
      </w:r>
      <w:r>
        <w:rPr>
          <w:rFonts w:hint="eastAsia" w:ascii="仿宋" w:hAnsi="仿宋" w:eastAsia="仿宋" w:cs="仿宋"/>
          <w:bCs/>
          <w:color w:val="auto"/>
          <w:sz w:val="28"/>
          <w:szCs w:val="28"/>
          <w:lang w:val="en-US" w:eastAsia="zh-CN"/>
        </w:rPr>
        <w:t>稳定可靠</w:t>
      </w:r>
      <w:r>
        <w:rPr>
          <w:rFonts w:hint="eastAsia" w:ascii="仿宋" w:hAnsi="仿宋" w:eastAsia="仿宋" w:cs="仿宋"/>
          <w:bCs/>
          <w:color w:val="auto"/>
          <w:sz w:val="28"/>
          <w:szCs w:val="28"/>
          <w:lang w:val="en" w:eastAsia="zh-SG"/>
        </w:rPr>
        <w:t>。</w:t>
      </w:r>
    </w:p>
    <w:p>
      <w:pPr>
        <w:spacing w:line="600" w:lineRule="exact"/>
        <w:ind w:firstLine="420" w:firstLineChars="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 w:hAnsi="仿宋" w:eastAsia="仿宋" w:cs="仿宋"/>
          <w:bCs/>
          <w:color w:val="auto"/>
          <w:sz w:val="28"/>
          <w:szCs w:val="28"/>
          <w:lang w:val="en-US" w:eastAsia="zh-CN"/>
        </w:rPr>
        <w:t>拟采购的软硬件配置要求如下（以下指标若出现负偏离，则视为无效报价处理）：</w:t>
      </w:r>
    </w:p>
    <w:tbl>
      <w:tblPr>
        <w:tblStyle w:val="26"/>
        <w:tblW w:w="53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86"/>
        <w:gridCol w:w="897"/>
        <w:gridCol w:w="7574"/>
        <w:gridCol w:w="486"/>
        <w:gridCol w:w="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2" w:hRule="atLeast"/>
          <w:jc w:val="center"/>
        </w:trPr>
        <w:tc>
          <w:tcPr>
            <w:tcW w:w="29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序号</w:t>
            </w:r>
          </w:p>
        </w:tc>
        <w:tc>
          <w:tcPr>
            <w:tcW w:w="4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产品名称</w:t>
            </w:r>
          </w:p>
        </w:tc>
        <w:tc>
          <w:tcPr>
            <w:tcW w:w="377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配置</w:t>
            </w:r>
          </w:p>
        </w:tc>
        <w:tc>
          <w:tcPr>
            <w:tcW w:w="2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数量</w:t>
            </w:r>
          </w:p>
        </w:tc>
        <w:tc>
          <w:tcPr>
            <w:tcW w:w="23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tabs>
                <w:tab w:val="left" w:pos="372"/>
              </w:tabs>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一、软硬件设备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2"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1、访客管理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刷卡摆闸（左）</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产品尺寸：1500.0mm×200.0mm×970.0mm（长×宽×高）；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通道宽度：不锈钢：600mm-1500mm亚克力：600mm-900mm；功耗：单机芯：≤5W（待机），≤70W（工作）双机芯：10W（待机），≤140W（工作）；</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驱动电机：直流无刷电机；开门模式：刷卡/人脸识别；使用环境：室外、室内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刷卡摆闸（右）</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产品尺寸：1500.0mm×200.0mm×970.0mm（长×宽×高）；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通道宽度：不锈钢：600mm-1500mm亚克力：600mm-900mm；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驱动电机：直流无刷电机；开门模式：刷卡/人脸识别；使用环境：室外、室内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人脸识别闸机头</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开门模式：支持远程/密码/二维码/人脸识别开门模式，支持组合开门模式设置；报警输入1路（开关量）；报警输出1路（继电器）；</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RS-232接口1个；  报警联动；  使用环境：室外</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人证闸机头支架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外壳材料：铝合金金属边框；工作温度：-30℃-+70℃；使用环境：室内室外</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无线遥控器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接收器：电压DC24V；电流0.1A；接收灵敏度-107dBm；四路继电器输出，信号互锁、信号非锁、信号自锁、信号两路自锁和两路非锁并存；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遥控器：电压：DC12V（10号干电池）；电流：38mA（待机为0）；输出功率16dBm；按键数量：4个；工作温度：-10℃-+70℃，工作湿度：≤93%；重量:0.3KG；</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包含一个接收器、两个遥控器（含干电池）</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通道摆臂</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左闸摆臂和右闸摆臂料号一致，每个通道需要两个摆臂。</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摆臂长度表示支持的净通道宽度为600mm，非单个摆臂实际长度。</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门禁读卡器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支持刷卡开门模式；支持普通Mifare卡识别、二代身份证卡、公交IC卡、银行IC卡等卡片的物理卡号读取。</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8</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人脸孔支架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直径100mm，高度33mm</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设备适配费</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第三方人脸闸机、车辆道闸的设备适配费</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10</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访客管理设备</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1.支持内网访客预约审批，访客到达现场刷身份证进行核验，核验成功后，即可授权人脸至相应的闸机，访客刷脸进入。同时，人员出入及审批记录可追溯，大大提升访客拜访体验和企业形象；</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2.采用200万双目摄像头；</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3.支持摄像头角度180度可调，可适应不同身高人员登记；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4.支持脱机运行，身份证比对记录存储和上传；</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5.支持双网口，内外网数据隔离，通信数据采用加密处理，更安全。</w:t>
            </w:r>
          </w:p>
          <w:p>
            <w:pPr>
              <w:widowControl/>
              <w:jc w:val="left"/>
              <w:textAlignment w:val="center"/>
              <w:rPr>
                <w:rFonts w:ascii="仿宋" w:hAnsi="仿宋" w:eastAsia="仿宋" w:cs="仿宋"/>
                <w:b/>
                <w:bCs/>
                <w:strike/>
                <w:color w:val="0000FF"/>
                <w:kern w:val="0"/>
                <w:szCs w:val="21"/>
                <w:u w:val="single"/>
                <w:lang w:bidi="ar"/>
              </w:rPr>
            </w:pPr>
            <w:r>
              <w:rPr>
                <w:rFonts w:hint="eastAsia" w:ascii="仿宋" w:hAnsi="仿宋" w:eastAsia="仿宋" w:cs="仿宋"/>
                <w:i w:val="0"/>
                <w:color w:val="auto"/>
                <w:kern w:val="0"/>
                <w:sz w:val="21"/>
                <w:szCs w:val="21"/>
                <w:highlight w:val="none"/>
                <w:u w:val="none"/>
                <w:lang w:val="en-US" w:eastAsia="zh-CN" w:bidi="ar"/>
              </w:rPr>
              <w:t>6.用户数：40000个；</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p>
          <w:p>
            <w:pPr>
              <w:keepNext w:val="0"/>
              <w:keepLines w:val="0"/>
              <w:widowControl/>
              <w:suppressLineNumbers w:val="0"/>
              <w:jc w:val="left"/>
              <w:textAlignment w:val="center"/>
              <w:rPr>
                <w:rFonts w:hint="eastAsia"/>
                <w:color w:val="auto"/>
              </w:rPr>
            </w:pPr>
            <w:r>
              <w:rPr>
                <w:rFonts w:hint="eastAsia" w:ascii="仿宋" w:hAnsi="仿宋" w:eastAsia="仿宋" w:cs="仿宋"/>
                <w:i w:val="0"/>
                <w:color w:val="auto"/>
                <w:kern w:val="0"/>
                <w:sz w:val="21"/>
                <w:szCs w:val="21"/>
                <w:highlight w:val="none"/>
                <w:u w:val="none"/>
                <w:lang w:val="en-US" w:eastAsia="zh-CN" w:bidi="ar"/>
              </w:rPr>
              <w:t>7.支持照片、视频防假体检测功能。</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门岗测温一体机（室内）</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摄像头采用 200万CMOS，支持真实宽动态；</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支持自动补光，可有效降低环境光污染；支持人脸识别；</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支持测温功能开启/关闭模式，测温范围30℃～45℃，测温距离0.3m～0.7m，测温误差≤0.5℃，测温精度0.1℃，实现高温异常事件告警；</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支持未佩戴口罩检测模式，实现未佩戴口罩异常事件告警；支持胁迫报警、防拆报警、闯入报警、门超时报警、非法卡超次报警</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2、车辆管理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200万暖光变焦抓拍一体机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LED屏显示屏，亮度可根据环境亮度自适应；镜头标配：2.7-13.5mm电动变焦镜头；补光灯；抓拍距离：2.5-8m；支持二维码显示；支持语音播报；支持视频检测、I/O线圈、雷达三种触发方式；支持车型、车标、车系、车身颜色、车牌颜色、车牌号码、车牌类型、无牌车、新能源车牌识别；除雾功能支持自动除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2.车标识别功能：在天气晴朗无雾，车牌无遮挡，无污损，车身无大面积遮挡的条件下进项测试，白天测试时的环境光照度应不低于200lx，晚上测试时的辅助设备照明度应不高于100lx。车标识别率：≥99%；</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single"/>
                <w:lang w:val="en-US" w:eastAsia="zh-CN" w:bidi="ar"/>
              </w:rPr>
            </w:pPr>
            <w:r>
              <w:rPr>
                <w:rFonts w:hint="eastAsia" w:ascii="仿宋" w:hAnsi="仿宋" w:eastAsia="仿宋" w:cs="仿宋"/>
                <w:i w:val="0"/>
                <w:color w:val="auto"/>
                <w:kern w:val="0"/>
                <w:sz w:val="21"/>
                <w:szCs w:val="21"/>
                <w:highlight w:val="none"/>
                <w:u w:val="none"/>
                <w:lang w:val="en-US" w:eastAsia="zh-CN" w:bidi="ar"/>
              </w:rPr>
              <w:t>3.车型识别功能：在天气晴朗无雾，车牌无遮挡，无污损，车身无大面积遮挡的条件下进项测试，白天测试时的环境光照度应不低于200lx，晚上测试时的辅助设备照明度应不高于100lx。车型识别率：≥99%；</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p>
          <w:p>
            <w:pPr>
              <w:keepNext w:val="0"/>
              <w:keepLines w:val="0"/>
              <w:widowControl/>
              <w:suppressLineNumbers w:val="0"/>
              <w:jc w:val="left"/>
              <w:textAlignment w:val="center"/>
              <w:rPr>
                <w:rFonts w:hint="default" w:eastAsia="仿宋_GB2312"/>
                <w:color w:val="auto"/>
                <w:lang w:val="en-US" w:eastAsia="zh-CN"/>
              </w:rPr>
            </w:pPr>
            <w:r>
              <w:rPr>
                <w:rFonts w:hint="eastAsia" w:ascii="仿宋" w:hAnsi="仿宋" w:eastAsia="仿宋" w:cs="仿宋"/>
                <w:i w:val="0"/>
                <w:color w:val="auto"/>
                <w:kern w:val="0"/>
                <w:sz w:val="21"/>
                <w:szCs w:val="21"/>
                <w:highlight w:val="none"/>
                <w:u w:val="none"/>
                <w:lang w:val="en-US" w:eastAsia="zh-CN" w:bidi="ar"/>
              </w:rPr>
              <w:t>4.道闸设备状态获取功能：持获取道闸运行状态、工作状态、道闸运行次数、设备型号和故障代码。</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直杆广告3米道闸（右向）  </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工作电源：220V±10%、50/60Hz   电机功率：200W</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工作温度：-30～50℃            广告杆长度：3m</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起落杆速度：&gt;=6s</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直杆广告道闸配杆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广告道闸3米</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右向直臂道闸</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杆件类型：直杆，杆长3米；支持遥控器远程开关；</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支持压力波防砸、雷达防砸、线圈防砸、红外防砸；</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道闸配杆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外壳材料铝合金，直臂，不分左右3米</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出入口防砸雷达</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支持全系道闸应用场景；支持串口和手机WIFI调试和设置；</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支持虚警点检测及剔除；支持通过485连接相机读取雷达参数及雷达日志记录。</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雷达配套电源</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AC220V转DC12V电源适配器，可用于给雷达、相机等供电。</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3、人脸门禁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9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人脸门禁一体机(室外)</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采用7英寸液晶屏， 200万像素摄像头</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IP67防护等级；支持10万个用户、10万张人脸，支持人脸、IC卡、密码等多种识别方式；支持显示人脸框，并实时检测最大人脸；支持识别区域及人脸目标大小设置；支持活体检测功能；支持逆光、顺光等强光场景的稳定识别，场景适应性更广；支持防拆报警、闯入报警、门超时报警、非法卡超次报警。</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磁力锁</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铝合金、电镀拉丝；锁状态信号输出；断电开门；适用木门\金属门\防火门等。</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出门按钮</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塑料外壳，坚固耐用。</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0"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4、安全帽/烟火/水浸识别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安全帽监测一体机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1.室内、室外，白天环境或夜间灯光充足的全彩画面；识别精确率：90%以上；最小检测尺寸：40*40像素；支持画面中自定义分析区域；响应时间：延时1-4S；</w:t>
            </w:r>
          </w:p>
          <w:p>
            <w:pPr>
              <w:keepNext w:val="0"/>
              <w:keepLines w:val="0"/>
              <w:widowControl/>
              <w:suppressLineNumbers w:val="0"/>
              <w:jc w:val="both"/>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2.软硬一体机，利旧现有监控摄像头，满足70路摄像头实现安全帽检测。</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5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明火监测一体机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1.室内、室外，夜间白天，红色明火；需要对场景样本采集进行训练；识别精确率：90%以上；最小检测尺寸：40 x 40像素；支持画面中自定义分析区域；成像分辨率：1080P以上；视频角度：与水平线角度不小于10度；色彩要求：彩色；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2.软硬一体机，利旧现有监控摄像头，满足31路摄像头实现明火检测。</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烟雾监测一体机</w:t>
            </w:r>
          </w:p>
        </w:tc>
        <w:tc>
          <w:tcPr>
            <w:tcW w:w="3779" w:type="pct"/>
            <w:tcBorders>
              <w:tl2br w:val="nil"/>
              <w:tr2bl w:val="nil"/>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1.室内下白色烟雾识别精确率：90%以上；最小检测尺寸：100 x 60像素；</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分析区域：支持画面中自定义分析区域；成像分辨率：1080P 以上；</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视频角度：与水平线角度不小于10度；色彩要求：彩色；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2.软硬一体机，利旧现有监控摄像头，31路摄像头实现烟雾检测。</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水浸监测一体机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1.检测指定区域内积水；分辨率：1080P以上；识别率：80%左右；</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最小检测尺寸：检测目标占画面比例不小于10%；环境：白天无明显遮挡物；</w:t>
            </w:r>
          </w:p>
          <w:p>
            <w:pPr>
              <w:keepNext w:val="0"/>
              <w:keepLines w:val="0"/>
              <w:widowControl/>
              <w:numPr>
                <w:ilvl w:val="0"/>
                <w:numId w:val="0"/>
              </w:numPr>
              <w:suppressLineNumbers w:val="0"/>
              <w:jc w:val="left"/>
              <w:textAlignment w:val="center"/>
              <w:rPr>
                <w:rFonts w:hint="default"/>
                <w:color w:val="auto"/>
                <w:lang w:val="en-US" w:eastAsia="zh-CN"/>
              </w:rPr>
            </w:pPr>
            <w:r>
              <w:rPr>
                <w:rFonts w:hint="eastAsia" w:ascii="仿宋" w:hAnsi="仿宋" w:eastAsia="仿宋" w:cs="仿宋"/>
                <w:i w:val="0"/>
                <w:color w:val="auto"/>
                <w:kern w:val="0"/>
                <w:sz w:val="21"/>
                <w:szCs w:val="21"/>
                <w:highlight w:val="none"/>
                <w:u w:val="none"/>
                <w:lang w:val="en-US" w:eastAsia="zh-CN" w:bidi="ar"/>
              </w:rPr>
              <w:t>2.软硬一体机，利旧现有监控摄像头，27路摄像头实现水浸检测；</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3.算法管理；设备管理；报警管理；数据管理平台子模块；</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2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200万枪型摄像机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高性能200万像素，低照度效果好，图像清晰度高；支持H.265编码，压缩比高，实现超低码流传输；内置红外补光灯，最大红外监控距离50米；支持走廊模式，宽动态，3D降噪，强光抑制，背光补偿，数字水印，适用不同监控环境；支持SMART H.264/H.265，灵活编码，适用不同带宽和存储环境；支持DC12V/POE供电方式，电压值12V，方便工程安装；</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2.配套壁装支架。</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15</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0"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5、入侵检测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400万近距离人脸识别摄像机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1.传感器类型1/3英寸CMOS；像素400万；最大分辨率2688×1520；</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最低照度：0.002Lux(彩色模式)；0.0002Lux(黑白模式)；0Lux(补光灯开启)；最大补光距离60m（红外）；镜头类型：电动变焦；镜头焦距：2.7-13.5mm；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支持人脸检测、跟踪、抓拍；支持上报最优的人脸抓图；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支持人脸增强、人脸曝光；支持实时抓拍、优选抓拍。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2.智能行为分析功能检验：可最多设置10组布防时间，在布防时间内开启智能行为分析功能，可对人、车、人和车进行检测</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default"/>
                <w:lang w:val="en-US" w:eastAsia="zh-CN"/>
              </w:rPr>
            </w:pPr>
            <w:r>
              <w:rPr>
                <w:rFonts w:hint="default" w:ascii="仿宋" w:hAnsi="仿宋" w:eastAsia="仿宋" w:cs="仿宋"/>
                <w:i w:val="0"/>
                <w:color w:val="auto"/>
                <w:kern w:val="0"/>
                <w:sz w:val="21"/>
                <w:szCs w:val="21"/>
                <w:highlight w:val="none"/>
                <w:u w:val="none"/>
                <w:lang w:val="en-US" w:eastAsia="zh-CN" w:bidi="ar"/>
              </w:rPr>
              <w:t>3</w:t>
            </w:r>
            <w:r>
              <w:rPr>
                <w:rFonts w:hint="eastAsia" w:ascii="仿宋" w:hAnsi="仿宋" w:eastAsia="仿宋" w:cs="仿宋"/>
                <w:i w:val="0"/>
                <w:color w:val="auto"/>
                <w:kern w:val="0"/>
                <w:sz w:val="21"/>
                <w:szCs w:val="21"/>
                <w:highlight w:val="none"/>
                <w:u w:val="none"/>
                <w:lang w:val="en-US" w:eastAsia="zh-CN" w:bidi="ar"/>
              </w:rPr>
              <w:t>.具有1个RJ45网络接口、3路报警输入、2路报警输出、1路音频输入、1路音频输出、1个内置麦克风、1个RS232接口、1个SD卡插槽、1个复位按键</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57</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5"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轻型枪机壁装支架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铝合金；白色；壁装；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57</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400万远距离人脸识别摄像机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1.传感器类型1/1.8英寸CMOS；像素400万；最大分辨率2688×1520；</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最低照度：0.001Lux(彩色模式)、0.0001Lux(黑白模式)、0Lux(补光灯开启)；最大补光距离35m(人脸检测距离）、65m(暖光模式视频监控距离)、120m(混光模式视频监控距离)；镜头类型：电动变焦；镜头焦距：8-32mm；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支持人脸检测、跟踪、抓拍；支持上报最优的人脸抓图；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支持人脸增强、人脸曝光；支持实时抓拍、优选抓拍。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2.同一静止场景相同图像质量下设备开启智能编码功能和不开启智能编码相比，码率节约4/5</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default" w:ascii="仿宋" w:hAnsi="仿宋" w:eastAsia="仿宋" w:cs="仿宋"/>
                <w:i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rPr>
            </w:pPr>
            <w:r>
              <w:rPr>
                <w:rFonts w:hint="default" w:ascii="仿宋" w:hAnsi="仿宋" w:eastAsia="仿宋" w:cs="仿宋"/>
                <w:i w:val="0"/>
                <w:color w:val="auto"/>
                <w:kern w:val="0"/>
                <w:sz w:val="21"/>
                <w:szCs w:val="21"/>
                <w:highlight w:val="none"/>
                <w:u w:val="none"/>
                <w:lang w:val="en-US" w:eastAsia="zh-CN" w:bidi="ar"/>
              </w:rPr>
              <w:t>3</w:t>
            </w:r>
            <w:r>
              <w:rPr>
                <w:rFonts w:hint="eastAsia" w:ascii="仿宋" w:hAnsi="仿宋" w:eastAsia="仿宋" w:cs="仿宋"/>
                <w:i w:val="0"/>
                <w:color w:val="auto"/>
                <w:kern w:val="0"/>
                <w:sz w:val="21"/>
                <w:szCs w:val="21"/>
                <w:highlight w:val="none"/>
                <w:u w:val="none"/>
                <w:lang w:val="en-US" w:eastAsia="zh-CN" w:bidi="ar"/>
              </w:rPr>
              <w:t>.可通过IE浏览器在视频图像上叠加最多 20行字符，字符可选择项包括通道名称、 时间、地理位置，可设置字体颜色和设置字符大小为最大、 大、中、小共4档，支持文字左右对齐， 可设置叠加位置，字符叠加字库支持矢量类型</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普通壁装枪机支架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铝合金；白色；壁装；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3.5m杆，0.5m横臂，材质钢材+喷涂（属于治安立杆，含地笼）</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15</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3.5m杆，0.5m横臂，材质钢材+喷涂（水池点位安装，不做基础）</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6、智能周界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400万智能周界摄像机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传感器类型：1/2.7英寸CMOS；像素：400万；最低照度：0.002Lux(彩色模式)、0.0002Lux(黑白模式)；支持周界防范绊线入侵检测、区域入侵检测；</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视频压缩标准：支持H.265、H.264；宽动态120dB；支持透雾功能；</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内置扬声器；白光报警、声音报警；接入标准ONVIF；GB/T28181；</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供电方式：DC12V/POE；防护等级：IP67</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普通壁装枪机支架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铝合金；壁装；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3.5m杆，0.5m横臂，材质钢材+喷涂（水池点位安装，不做基础）</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7、园区综合管理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园区综合管理平台一体机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集成管理人脸闸机、车辆管理、人脸门禁、人脸识别、智能周界等子系统。</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模块组件化设计：可以随意组合成不同的产品，支持灵活扩展；</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业务化首页设计：支持用户自定义配置业务数据展现，展示重要的数据；</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车辆管理：实现不停车出入功能、车牌号自动识别、雷达防砸、出入停车场迅速准确、无卡管理模式、权限设置、报表统计。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人脸门禁管理：开门计划、人脸库采集录入、人脸授权、人脸识别开门；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人脸闸机：非法通行、非法闯入报警，假体检测报警，人脸开门记录查询；</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丰富的智能化功能：支持IVS-B/PC等智能设备接入，实现人脸识别、轨迹回溯；</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人脸识别管理：人脸检测抓拍、抓拍库检索、注册库管理、注册库查询、陌生人/黑名单入侵检测、结构化查询、人脸属性查证；支持多址模式下800M码流的接入、转发和存储；支持绑定模式下1500M码流的接入、转发和存储； </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支持ONVIF、GB/T28181标准协议的设备接入；支持GB/T28181、DB33等标准协议的平台接入；支持B/S、C/S客户端，以及iphone、ipad、android等移动端应用； 支持二次开发，提供平台SDK开发包、webservice、REST接口。</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人脸算法服务器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1.支持不少于2万、不超过50万张人脸图片，不超过50个人脸名单库；</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2.支持&gt;=20万张车牌名单，&gt;=30个车牌库,支持黑名单/白名单；</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3.支持16路人脸识别（1080p视频流）或80张/秒图片流比对报警；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4.支持1000万条人脸历史抓拍库;</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5.支持联动录像，抓图，日志，预置点，本地报警输出，IPC报警输出，门禁，语音播报；</w:t>
            </w:r>
          </w:p>
          <w:p>
            <w:pPr>
              <w:widowControl/>
              <w:jc w:val="left"/>
              <w:textAlignment w:val="center"/>
              <w:rPr>
                <w:rFonts w:ascii="仿宋" w:hAnsi="仿宋" w:eastAsia="仿宋" w:cs="仿宋"/>
                <w:kern w:val="0"/>
                <w:szCs w:val="21"/>
                <w:highlight w:val="yellow"/>
                <w:lang w:bidi="ar"/>
              </w:rPr>
            </w:pPr>
            <w:r>
              <w:rPr>
                <w:rFonts w:hint="eastAsia" w:ascii="仿宋" w:hAnsi="仿宋" w:eastAsia="仿宋" w:cs="仿宋"/>
                <w:i w:val="0"/>
                <w:color w:val="auto"/>
                <w:kern w:val="0"/>
                <w:sz w:val="21"/>
                <w:szCs w:val="21"/>
                <w:highlight w:val="none"/>
                <w:u w:val="none"/>
                <w:lang w:val="en-US" w:eastAsia="zh-CN" w:bidi="ar"/>
              </w:rPr>
              <w:t>6.最大支持16路实时人脸检测、录像、抓图、报警日志记录；可在视频画面显示人员的年龄段、性别、是否戴眼镜、是否戴口罩等信息</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default"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ascii="仿宋" w:hAnsi="仿宋" w:eastAsia="仿宋" w:cs="仿宋"/>
                <w:b/>
                <w:bCs/>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支持以图搜图，可对最多10张目标人脸进行相似图片搜索，并设置相似度阈值，当搜索出符合目标相似度阈值的图片后，可查看关联图片并回放关联录像文件，相似度阈值可设置为0-100，搜索结果可以图表和列表两种方式展示；</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default"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eastAsia="仿宋"/>
                <w:color w:val="auto"/>
                <w:lang w:val="en-US" w:eastAsia="zh-CN"/>
              </w:rPr>
            </w:pPr>
            <w:r>
              <w:rPr>
                <w:rFonts w:hint="eastAsia" w:ascii="仿宋" w:hAnsi="仿宋" w:eastAsia="仿宋" w:cs="仿宋"/>
                <w:i w:val="0"/>
                <w:color w:val="auto"/>
                <w:kern w:val="0"/>
                <w:sz w:val="21"/>
                <w:szCs w:val="21"/>
                <w:highlight w:val="none"/>
                <w:u w:val="none"/>
                <w:lang w:val="en-US" w:eastAsia="zh-CN" w:bidi="ar"/>
              </w:rPr>
              <w:t>8.支持根据人脸属性设置在预览画面中显示目标检测框；接入具有人脸侦测报警功能的摄像机，可接收摄像机发出的人脸侦测报警信息</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eastAsia" w:ascii="仿宋" w:hAnsi="仿宋" w:eastAsia="仿宋" w:cs="仿宋"/>
                <w:color w:val="auto"/>
                <w:kern w:val="0"/>
                <w:szCs w:val="21"/>
                <w:highlight w:val="none"/>
                <w:u w:val="single"/>
                <w:lang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6TB硬盘</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6000G；5400RPM；256M；SATA</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视频存储服务器 </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auto"/>
                <w:kern w:val="0"/>
                <w:szCs w:val="21"/>
                <w:highlight w:val="none"/>
                <w:u w:val="none"/>
                <w:lang w:val="en-US" w:eastAsia="zh-CN" w:bidi="ar"/>
              </w:rPr>
            </w:pPr>
            <w:r>
              <w:rPr>
                <w:rFonts w:hint="eastAsia" w:ascii="仿宋" w:hAnsi="仿宋" w:eastAsia="仿宋" w:cs="仿宋"/>
                <w:color w:val="auto"/>
                <w:kern w:val="0"/>
                <w:szCs w:val="21"/>
                <w:highlight w:val="none"/>
                <w:u w:val="none"/>
                <w:lang w:val="en-US" w:eastAsia="zh-CN" w:bidi="ar"/>
              </w:rPr>
              <w:t>1.单台支持插入不少于48个硬盘。</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2.高安全：多种RAID模式支持，电源、风扇、接口、数据通道冗余；</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3.低成本：前端直接存储，多协议支持；</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4.高性能：支持400路私有、onvif、国标等前端1:1:1接入、存储和转发；</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5.高扩展：支持内存、网口、光口、PCI-E外设；</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6.可信赖：数以千计的大型成功案例，优异的客户体验，广泛的客户接受度；</w:t>
            </w:r>
          </w:p>
          <w:p>
            <w:pPr>
              <w:keepNext w:val="0"/>
              <w:keepLines w:val="0"/>
              <w:widowControl/>
              <w:suppressLineNumbers w:val="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val="en-US" w:eastAsia="zh-CN" w:bidi="ar"/>
              </w:rPr>
              <w:t>7.支持单个SAMBA共享文件夹，可对128个用户同时进行管理；支持单个ftp共享文件夹，可对128个用户同时进行管理</w:t>
            </w:r>
            <w:r>
              <w:rPr>
                <w:rFonts w:hint="eastAsia" w:ascii="仿宋" w:hAnsi="仿宋" w:eastAsia="仿宋" w:cs="仿宋"/>
                <w:color w:val="auto"/>
                <w:kern w:val="0"/>
                <w:szCs w:val="21"/>
                <w:highlight w:val="none"/>
                <w:u w:val="none"/>
                <w:lang w:bidi="ar"/>
              </w:rPr>
              <w:t>（报价响应时提供公安部有效检测报告复印件加盖原厂公章或投标专用章）。</w:t>
            </w:r>
          </w:p>
          <w:p>
            <w:pPr>
              <w:keepNext w:val="0"/>
              <w:keepLines w:val="0"/>
              <w:widowControl/>
              <w:jc w:val="left"/>
              <w:textAlignment w:val="center"/>
              <w:rPr>
                <w:rFonts w:hint="eastAsia" w:ascii="仿宋" w:hAnsi="仿宋" w:eastAsia="仿宋" w:cs="仿宋"/>
                <w:b w:val="0"/>
                <w:bCs w:val="0"/>
                <w:color w:val="auto"/>
                <w:kern w:val="0"/>
                <w:sz w:val="21"/>
                <w:szCs w:val="21"/>
                <w:highlight w:val="none"/>
                <w:u w:val="none"/>
                <w:lang w:val="en-US" w:eastAsia="zh-CN" w:bidi="ar"/>
              </w:rPr>
            </w:pPr>
            <w:r>
              <w:rPr>
                <w:rFonts w:hint="eastAsia" w:ascii="仿宋" w:hAnsi="仿宋" w:eastAsia="仿宋" w:cs="仿宋"/>
                <w:b w:val="0"/>
                <w:bCs w:val="0"/>
                <w:color w:val="auto"/>
                <w:kern w:val="0"/>
                <w:sz w:val="21"/>
                <w:szCs w:val="21"/>
                <w:highlight w:val="none"/>
                <w:u w:val="none"/>
                <w:lang w:val="en-US" w:eastAsia="zh-CN" w:bidi="ar"/>
              </w:rPr>
              <w:t>8.采用LINUX操作系统，具有1个控制单元，1个64位六核处理器，8GB内存，可扩展至128GB。具有128GB SSD固态硬盘，可扩展至2个512GB SSD固态硬盘。可扩展1个2.5英寸SATA硬盘。具有2个可热插拔BBU电源，可扩展至4个可热插拔BBU电源</w:t>
            </w:r>
            <w:r>
              <w:rPr>
                <w:rFonts w:hint="eastAsia" w:ascii="仿宋" w:hAnsi="仿宋" w:eastAsia="仿宋" w:cs="仿宋"/>
                <w:b w:val="0"/>
                <w:bCs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b w:val="0"/>
                <w:bCs w:val="0"/>
                <w:color w:val="auto"/>
                <w:kern w:val="0"/>
                <w:sz w:val="21"/>
                <w:szCs w:val="21"/>
                <w:highlight w:val="none"/>
                <w:u w:val="none"/>
                <w:lang w:val="en-US" w:eastAsia="zh-CN" w:bidi="ar"/>
              </w:rPr>
              <w:t xml:space="preserve">。 </w:t>
            </w:r>
          </w:p>
          <w:p>
            <w:pPr>
              <w:pStyle w:val="2"/>
              <w:spacing w:before="0" w:after="0" w:line="240" w:lineRule="auto"/>
              <w:rPr>
                <w:rFonts w:hint="default"/>
                <w:lang w:val="en-US" w:eastAsia="zh-CN"/>
              </w:rPr>
            </w:pPr>
            <w:r>
              <w:rPr>
                <w:rFonts w:hint="eastAsia" w:ascii="仿宋" w:hAnsi="仿宋" w:eastAsia="仿宋" w:cs="仿宋"/>
                <w:b w:val="0"/>
                <w:bCs w:val="0"/>
                <w:color w:val="auto"/>
                <w:kern w:val="0"/>
                <w:sz w:val="21"/>
                <w:szCs w:val="21"/>
                <w:highlight w:val="none"/>
                <w:u w:val="none"/>
                <w:lang w:val="en-US" w:eastAsia="zh-CN" w:bidi="ar"/>
              </w:rPr>
              <w:t>9.前面板具有锁止功能，加锁后硬盘无法取出，具有可拆卸式防尘滤网</w:t>
            </w:r>
            <w:r>
              <w:rPr>
                <w:rFonts w:hint="eastAsia" w:ascii="仿宋" w:hAnsi="仿宋" w:eastAsia="仿宋" w:cs="仿宋"/>
                <w:b w:val="0"/>
                <w:bCs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b w:val="0"/>
                <w:bCs w:val="0"/>
                <w:color w:val="auto"/>
                <w:kern w:val="0"/>
                <w:sz w:val="21"/>
                <w:szCs w:val="21"/>
                <w:highlight w:val="none"/>
                <w:u w:val="none"/>
                <w:lang w:val="en-US"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6T企业级硬盘</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6000G；7200RPM；256M；SATA</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67</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机柜</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42U，配1条8位10A的PDU，配套层板</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8、紧急对讲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6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报警管理主机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管理主机远程管理所有辖区内对讲终端，可监控在线、工作状态和异常状态可实现远程双向可视对讲、监听、监视、定时播放背景音乐。</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支持喧哗报警（与对讲终端配合使用）。</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8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IP地址盒</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1.IP对讲系统的核心控制枢纽监视所有终端状态，通过控制主机屏幕可以一览所有网点终端在线离线状态；</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2.选中一个网点终端，点击发起对该网点某个面板的监听和对讲；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3.网点终端可配置详细的信息，如地理位置，网点性质，求助呼叫时弹屏显示；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4.分组维护，分组管理可以根据需求将多个网点终端分为一组同时处理；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5.选中一个网点终端，点击实现该终端上监控远程控制；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6.来电显示，系统收到求助时，弹屏主叫详细（主叫号码，主叫名称）；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7.系统接听求助后，根据情况可以发起电话转接，保持等业务；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8.所有终端维护检测，单台支持不少于500路接入，支持多台服务器级联互通。</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IP报警柱</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720P/1080P高清摄像可选；全双工语音对讲，无回声啸叫；</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内置高灵敏度麦克风，可实现不小于2米对讲；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采用动态降噪，可在高噪声环境中清晰拾音；内嵌全频段优质扬声器；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内置防破音技术，最大限度保护扬声器的输出；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先进的数字回声消除技术，全面消除回声；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采用厚铝面板，四周带边密封并有防水槽设计；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红波按钮常亮，户外、夜视都能清晰可见，具备10万次寿命，抗击打和冲击。</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8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声光报警器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声光报警器，LED跑马灯</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电源</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电源DC12/2A</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9、AR实景监测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AR实景监测平台</w:t>
            </w:r>
          </w:p>
        </w:tc>
        <w:tc>
          <w:tcPr>
            <w:tcW w:w="3779" w:type="pct"/>
            <w:tcBorders>
              <w:tl2br w:val="nil"/>
              <w:tr2bl w:val="nil"/>
            </w:tcBorders>
            <w:shd w:val="clear" w:color="auto" w:fill="auto"/>
            <w:tcMar>
              <w:top w:w="15" w:type="dxa"/>
              <w:left w:w="15" w:type="dxa"/>
              <w:right w:w="15" w:type="dxa"/>
            </w:tcMar>
            <w:vAlign w:val="center"/>
          </w:tcPr>
          <w:p>
            <w:pPr>
              <w:numPr>
                <w:ilvl w:val="0"/>
                <w:numId w:val="0"/>
              </w:num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功能：</w:t>
            </w:r>
          </w:p>
          <w:p>
            <w:pPr>
              <w:numPr>
                <w:ilvl w:val="0"/>
                <w:numId w:val="0"/>
              </w:num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1.高点防控单元对沥滘水厂进行全局监控；</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2.低点防控单元进行快速调看；</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3.通过高点防控单元的智能标签技术，支持在视频画面上增加静态标签和动态标签，支持标签检索、定位、方位感知；</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4.可快速通过视频直观了解视频及位置信息，进行人员调配和视频联动；</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5.系统支持对前端设备、标签、POI等AR资源属性进行模糊搜索的功能；</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6.支持在视频中添加620个背景或设备标签；</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7.通过百度地图或谷歌地图定位设备安装位置的经纬度后，依此坐标为圆心，半径小于800米范围内，对同一经纬度的目标，实时视频内GPS标签的位置与百度或谷歌地图的位置相差不超过10米；</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8.系统支持对带GPS的前端设备进行扫描，并可将扫描结果自动在视频画面上标定的功能；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9.系统支持全景摄像机与多摄像机协同，在全景摄像机监控范围内点击或框选某一区域，可联动选中区域附近的多个球机自动打开并转向、拉近至联动区域，球机同步显示全景摄像机中添加标签的功能；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10.系统收到警情时，高点画面根据警情GPS坐标自动定位到目标位置，自动打开周边的一个或多个低点监控，同时显示周边警力信息，可进行定位、视频回传的功能；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11.系统支持对报警内容、图片、类型、窗口位置、大小、抓拍图片数量、声音等自定义的功能；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系统支持自定义标签类型，可根据不同标签类型进行名称、类型、是否必填等设置，类型支持文字、图片、图片集、文件、显示网页、查询数据、查询数据表等，其中网页可设置浏览器内核、窗口大小，文件支持多种类型上传等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13.系统支持不少于3级图层显示，可根据摄像机镜头变倍显示相应图层标签的功能；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14.系统前端设备图标及标签可在视频画面中跟随所标定的目标物进行移动的功能；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15.系统根据目标设备按距离检索附近摄像机，并对摄像机定位、查看实时视频和录像，并可将录像添加至案件线索的功能；</w:t>
            </w:r>
          </w:p>
          <w:p>
            <w:pPr>
              <w:pStyle w:val="32"/>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应用子模块：</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16.视频监控联动应用子模块，实现视频资源的整合，可查看实时视频、录像、云台、预置位调用等相关功能。通过增强现实动态标签技术在全局监控画面上叠加摄像头标签，通过视频画中画联动功能同时展示多路视频资源。</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17.车辆管理联动应用子模块，实现在客户端实时掌握车辆卡口数据情况，包括抓拍卡口过车数据信息，报警车辆的数据信息。结合系统对卡口系统报警事件处理机制，快速定位到报警点位并启动对应的处理预案，大大提高中控对车辆卡口报警事件的处理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18.安全帽识别联动应用子模块，实现获取没佩戴安全帽人员的报警信息，联动高低视频进行现场定位，提高处置效率。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19.人脸识别联动应用子模块，实现接收人脸识别系统实时比对信息，在客户端实时掌握人脸卡口数据情况，如人员的基本信息（性别，年龄等）、抓拍识别人员图片、黑名单人员图片等实现人脸报警定位。同时结合系统对人脸识别报警事件的处理机制，快速定位到报警点位并启动对应的处理预案，大大提高中控对人脸报警事件的处理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20.周界防范联动应用子模块，实现及时获取落水、禁入区报警信息，同时联动高低视频进行现场定位，提高处置效率。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21.烟火检测联动及应用子模块，实现及时获取明火、烟雾等报警信息，同时联动高低视频进行现场定位，提高处置效率。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22.水浸监测联动应用子模块，实现及时获取水浸、水淹等报警信息，联动视频资源进行现场定位，提高处置效率。</w:t>
            </w:r>
          </w:p>
          <w:p>
            <w:pPr>
              <w:keepNext w:val="0"/>
              <w:keepLines w:val="0"/>
              <w:widowControl/>
              <w:suppressLineNumbers w:val="0"/>
              <w:jc w:val="both"/>
              <w:textAlignment w:val="center"/>
              <w:rPr>
                <w:rFonts w:hint="eastAsia"/>
                <w:color w:val="auto"/>
              </w:rPr>
            </w:pPr>
            <w:r>
              <w:rPr>
                <w:rFonts w:hint="eastAsia" w:ascii="仿宋" w:hAnsi="仿宋" w:eastAsia="仿宋" w:cs="仿宋"/>
                <w:i w:val="0"/>
                <w:color w:val="auto"/>
                <w:kern w:val="0"/>
                <w:sz w:val="21"/>
                <w:szCs w:val="21"/>
                <w:highlight w:val="none"/>
                <w:u w:val="none"/>
                <w:lang w:val="en-US" w:eastAsia="zh-CN" w:bidi="ar"/>
              </w:rPr>
              <w:t>23.消安联动子模块，对接现有消防系统，采集消防告警数据，将现有视频与消防系统联动，当产生消防告警时，调动周边摄像头进行现场情况查看，联动门禁、道闸常开，保障人员、车辆安全逃离。消防安全智能化云平台集成消防数据中心、可视化阅读；</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4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预案组件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预案组件：突破传统基于地图的方式决策者可直接实现实时实景可视化预案；</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实景可视化预案：指挥员可直接在实景地图上实现精细化的人员部署，比如某个点位部署多少人员等，同时制定出应急疏散路线，通过画分控线的方式进行分区管理等，当启动预案后，各类资源是否到位，在视频上便可一目了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预案导入：可以根据不同的任务导入不同的实景预案；</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分层显示：根据不同的显示策略，可以分层显示实时的资源、预案的资源等。</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报警组件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报警组件：报警中心，包含实时报警联动、报警规则配置及报警历史查询；</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标准接口：可对接如视频监控、人脸识别、安全帽检测、周界防范等各类系统报警信息，形成报警视频联动中心；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报警与视频实时联动：安防系统接收到实时报警信息，系统能够自动转动高点画面到报警点，并根据联动机制自动打开周边的一个或多个低点地面监控；</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分屏显示：系统可自动将报警联动的低点监控视频在第二块显示屏上显示；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报警历史查询：可以查询对接系统推送过来的告警或历史报警信息，支持分页显示，支持按报警类型、时间等模糊搜索。</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平台级联模块</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支持水厂系统平台上下级级联。</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1.各下级独立建设系统，管辖本水厂资源；</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2.总级独立建设系统（上级），对自建区域直接接入的水厂的高点范围内的内容进行管理；同时通过向下级联各下级平台，实现对下级平台所接入的各水厂的高点标签、报警信息、预案等进行查看、调用；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3.下级平台能直接将设备数据共享到上级平台查看和操作，下级共享到上级的设备数据，由上级平台本地进行权限控制。</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软件许可</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已建低点监控摄像机接入许可，利旧接入既有视频资源</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300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0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鹰眼摄像机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图像传感器：【全景】4个1/1.8" 8MP Progressive Scan CMOS</w:t>
            </w:r>
          </w:p>
          <w:p>
            <w:pPr>
              <w:keepNext w:val="0"/>
              <w:keepLines w:val="0"/>
              <w:widowControl/>
              <w:suppressLineNumbers w:val="0"/>
              <w:ind w:firstLine="630" w:firstLineChars="30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【细节】1/1.8"CMOS 8MP Progressive Scan CMOS（全景+细节联动球）</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最低照度：【全景】彩色≤0.001lux;黑白≤0.0001lux</w:t>
            </w:r>
          </w:p>
          <w:p>
            <w:pPr>
              <w:keepNext w:val="0"/>
              <w:keepLines w:val="0"/>
              <w:widowControl/>
              <w:suppressLineNumbers w:val="0"/>
              <w:ind w:firstLine="630" w:firstLineChars="30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【细节】彩色≤0.001lux;黑白≤0.0001lux</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光学变倍：33倍   数字变倍：16倍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焦距：【全景】4.0mm   【细节】6.5mm～215mm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视场角：【全景】水平180°、垂直90°【细节】2.0～58.6°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云台范围：水平0-360°、垂直-90～90°并支持连续翻转功能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云台精度：0.01°  键控速度：420°/s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分辨率及帧率：【全景】主码流：7680x4320、3840x2160;子码流：1920x1080、1280x720【细节】主码流：3840x2160、1920x1080、1280x720辅码流：704x576、704x480、640x480;第三码流：720x576     视频压缩标准：H.265，H.264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网络接口：1路10/100/1000MBaseT以太网，RJ45接口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存储：支持Micro SD(即TF卡)，最大支持512G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接口：报警输入/输出各两路，音频输入/输出各1路，1路RS-485接口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红外照射距离： 500m能看清人车轮廓 电源及功耗：DC24V ±20%，78W max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工作温湿度和湿度：-40℃～70℃；湿度小于93%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防护等级：IP67,TVS 8000V防雷、防浪涌、防突波，符合GB/T17626.5四级标准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尺寸：490mm×452mm×305mm  重量：≤18KG</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空间定位模块：本模块实现在运动平台上超远距离目标点在镜头中的相对位置定位及其逆运算。融合惯性测量单元、高精度测角等其他传感器数据，结合学习型算法修正的通用光学镜头的实时数据，通过机器学习的图像回归算法和扩展卡尔曼滤波等算法，实现三维空间的公里级远距离定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标签模块：本模块包括了AR编码、标签信息跨平台传输、存储、搜索计算等功能。标签信息包括动静态标签的内容及相关姿态数据。</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1.AR编码功能：基于高度定制的硬件加速H264/H265编码的AR编码，将AR标签信息融入视频码流。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2.静态标签功能：实现静态目标与视频画面的关联。在云台运动、镜头变焦过程中，始终保证标签定位于目标之上。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3.动态标签功能：可通过客户端软件输入目标的GPS坐标信息，在全景通道和细节通道的视频画面上添加目标的GPS动态标签。</w:t>
            </w:r>
            <w:r>
              <w:rPr>
                <w:rFonts w:hint="eastAsia" w:ascii="仿宋" w:hAnsi="仿宋" w:eastAsia="仿宋" w:cs="仿宋"/>
                <w:color w:val="auto"/>
                <w:kern w:val="0"/>
                <w:szCs w:val="21"/>
                <w:highlight w:val="none"/>
                <w:u w:val="single"/>
                <w:lang w:val="en-US" w:eastAsia="zh-CN" w:bidi="ar"/>
              </w:rPr>
              <w:t>（在报价响应时需要提供公安部检测中心出具的检验或检测报告复印件并加盖原厂公章为准，需标明该项内容在检验报告中对应的检验结果页码及序号）</w:t>
            </w:r>
            <w:r>
              <w:rPr>
                <w:rFonts w:hint="eastAsia"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4.动态标签跟随：当球机转动、镜头变倍、标签的GPS坐标信息发生变化时，GPS动态标签可随之改变。</w:t>
            </w:r>
            <w:r>
              <w:rPr>
                <w:rFonts w:hint="eastAsia" w:ascii="仿宋" w:hAnsi="仿宋" w:eastAsia="仿宋" w:cs="仿宋"/>
                <w:color w:val="auto"/>
                <w:kern w:val="0"/>
                <w:szCs w:val="21"/>
                <w:highlight w:val="none"/>
                <w:u w:val="single"/>
                <w:lang w:bidi="ar"/>
              </w:rPr>
              <w:t>（在报价响应时需要提供公安部检测中心出具的检验或检测报告复印件并加盖</w:t>
            </w:r>
            <w:r>
              <w:rPr>
                <w:rFonts w:hint="eastAsia" w:ascii="仿宋" w:hAnsi="仿宋" w:eastAsia="仿宋" w:cs="仿宋"/>
                <w:color w:val="auto"/>
                <w:kern w:val="0"/>
                <w:szCs w:val="21"/>
                <w:highlight w:val="none"/>
                <w:u w:val="single"/>
                <w:lang w:eastAsia="zh-CN" w:bidi="ar"/>
              </w:rPr>
              <w:t>原厂</w:t>
            </w:r>
            <w:r>
              <w:rPr>
                <w:rFonts w:hint="eastAsia" w:ascii="仿宋" w:hAnsi="仿宋" w:eastAsia="仿宋" w:cs="仿宋"/>
                <w:color w:val="auto"/>
                <w:kern w:val="0"/>
                <w:szCs w:val="21"/>
                <w:highlight w:val="none"/>
                <w:u w:val="single"/>
                <w:lang w:bidi="ar"/>
              </w:rPr>
              <w:t>公章为准，需标明该项内容在检验报告中对应的检验结果页码及序号）。</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GPS动态标签偏差范围：通过百度地图或谷歌地图标定样机位置的经、纬度后，对距离样机小于800米的目标设置GPS动态标签，在监控画面中，GPS动态标签位置相对于目标的位置在百度地图或谷歌地图上的水平距离应≤10米。</w:t>
            </w:r>
            <w:r>
              <w:rPr>
                <w:rFonts w:hint="eastAsia" w:ascii="仿宋" w:hAnsi="仿宋" w:eastAsia="仿宋" w:cs="仿宋"/>
                <w:color w:val="auto"/>
                <w:kern w:val="0"/>
                <w:szCs w:val="21"/>
                <w:highlight w:val="none"/>
                <w:u w:val="single"/>
                <w:lang w:bidi="ar"/>
              </w:rPr>
              <w:t>（在报价响应时需要提供公安部检测中心出具的检验或检测报告复印件并加盖</w:t>
            </w:r>
            <w:r>
              <w:rPr>
                <w:rFonts w:hint="eastAsia" w:ascii="仿宋" w:hAnsi="仿宋" w:eastAsia="仿宋" w:cs="仿宋"/>
                <w:color w:val="auto"/>
                <w:kern w:val="0"/>
                <w:szCs w:val="21"/>
                <w:highlight w:val="none"/>
                <w:u w:val="single"/>
                <w:lang w:eastAsia="zh-CN" w:bidi="ar"/>
              </w:rPr>
              <w:t>原厂</w:t>
            </w:r>
            <w:r>
              <w:rPr>
                <w:rFonts w:hint="eastAsia" w:ascii="仿宋" w:hAnsi="仿宋" w:eastAsia="仿宋" w:cs="仿宋"/>
                <w:color w:val="auto"/>
                <w:kern w:val="0"/>
                <w:szCs w:val="21"/>
                <w:highlight w:val="none"/>
                <w:u w:val="single"/>
                <w:lang w:bidi="ar"/>
              </w:rPr>
              <w:t>公章为准，需标明该项内容在检验报告中对应的检验结果页码及序号）。</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6.超级透明通道功能：穿透私有网关、各类协议、流媒体，将AR标签从摄像机端信息无损地传输到后端。</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2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中心管理服务器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系统参数：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中心管理单元提供统一的认证、授权、管理的设备。作为认证设备，支持公安PKI的集成。</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作为中心管理单元，对系统内的用户、角色、权限、视频监控设备、报警设备、各种服务器（报警管理服务器、存储管理服务器、流媒体服务器、电视墙服务器等）进行集中配置管理。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提供各类安防监控业务应用，提供完善的日志管理和审计功能。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同时，校时功能能对监控专网内全部设备进行网络校时，保持全部设备时间统一，可由操作员发起手动校时或中心服务器启用定时自动校时功能。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支持多机堆叠、线性扩充视频接入管理能力。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硬件参数：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大小：2U      CPU ：E5-2620V4 2.10GHz（8核）×2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内存：32G     硬盘：1T×2   网卡：4口1000Mbps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电源：1+1冗余电源   其他：配备光驱</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2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8</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媒体转发服务器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系统参数：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媒体转发单元是针对于网络监控系统的专用的流媒体转发设备；</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能接入符合接入协议的标准设备（国标GB28181、ONVIF等）；</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也能接入非标准设备，非标准的设备可以通过自有协议、或SDK的方式来提供访问，能同时支持这两种方式。</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能配置设备运行所需要的参数，控制设备的开关机、启用、停止，向设备发送控制命令，检测设备的运行状态和故障信息。</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可根据用户客户端或相关服务、第三方系统的请求，可以转发单独的音频或视频，也可以是同步的音视频复合流。</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提供智能化视频流转、分发管理功能，不受前端编码格式限制，支持多级视频流转分发功能。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提供流媒体的集群管理及负载均衡服务，可将视频分发任务动态均衡到各个流媒体上，故障流媒体的分发任务将自动分配到其他流媒体。</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支持集群部署，支持多网卡绑定策略</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单台设备支持200路1080P视频并发转发</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支持多级流媒体级联转发能力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支持多机堆叠、线性扩充流媒体并发能力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硬件参数：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大小：2U      CPU ：E5-2620V4 2.10GHz（8核）×2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内存：32G     硬盘：1T×2   网卡：4口1000Mbps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电源：1+1冗余电源   其他：配备光驱</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2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9</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Style w:val="68"/>
                <w:rFonts w:hint="eastAsia" w:ascii="仿宋" w:hAnsi="仿宋" w:eastAsia="仿宋" w:cs="仿宋"/>
                <w:color w:val="auto"/>
                <w:sz w:val="21"/>
                <w:szCs w:val="21"/>
                <w:highlight w:val="none"/>
                <w:lang w:val="en-US" w:eastAsia="zh-CN" w:bidi="ar"/>
              </w:rPr>
              <w:t>24口千兆接入交换机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1.应用层级：三层</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2.传输速率：10/100/1000Mbps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3.交换容量：336Gbps/3.36Tbps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4.包转发率：51Mpps/126Mpps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5.24个10/100/1000Base-T以太网端口，4个千兆SFP</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6.控制端口：1个console口</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7.堆叠功能：可堆叠</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8.VLAN 特性：支持 4K 个 VLAN，支持 Guest VLAN、 Voice VLAN，支持 GVRP 协议，支持 MUX VLAN 功能，支持基于 MAC/协议/IP 子网/策略/端口的 VLAN，支持 1:1 和 N:1 VLAN Mapping </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9.IP 路由：静态路由，支持 RIP、 RIPng、 OSPF、 OSPFv3 协议</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10.环网保护技术：支持 RRPP 环型拓扑和 RRPP 多实例，支持SmartLink树型拓朴和SmartLink多实例，提供主备链路的毫秒级保护，支持智能以太保护SEP 协议，支持ERPS以太环保护协议（G.8032），支持STP（IEEE 802.1d），RSTP（IEEE 802.1w）和MSTP（IEEE 802.1s）协议，支持BPDU保护、根保护和环回保护，支持BPDU Tunnel</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11.电源：交流供电</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000" w:type="pct"/>
            <w:gridSpan w:val="5"/>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二、集成施工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447"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设备及辅材安装、管材及敷设</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访客管理</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车辆管理</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人脸门禁</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入侵检测</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智能周界（水池周界+围墙周界）</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紧急对讲</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AR高点球机</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8</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中控机房</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水浸、烟火异常监控</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bl>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项目交付中所需线材等辅助性材料包含在报价中。</w:t>
      </w:r>
    </w:p>
    <w:p>
      <w:pPr>
        <w:pStyle w:val="4"/>
        <w:jc w:val="left"/>
        <w:rPr>
          <w:rFonts w:hint="eastAsia" w:ascii="仿宋_GB2312" w:hAnsi="仿宋_GB2312" w:eastAsia="仿宋_GB2312" w:cs="仿宋_GB2312"/>
          <w:color w:val="auto"/>
          <w:sz w:val="28"/>
          <w:szCs w:val="28"/>
        </w:rPr>
      </w:pPr>
      <w:bookmarkStart w:id="32" w:name="_Toc21315_WPSOffice_Level3"/>
      <w:r>
        <w:rPr>
          <w:rFonts w:hint="eastAsia" w:ascii="仿宋_GB2312" w:hAnsi="仿宋_GB2312" w:eastAsia="仿宋_GB2312" w:cs="仿宋_GB2312"/>
          <w:color w:val="auto"/>
          <w:sz w:val="28"/>
          <w:szCs w:val="28"/>
        </w:rPr>
        <w:t>（二）服务要求</w:t>
      </w:r>
      <w:bookmarkEnd w:id="32"/>
    </w:p>
    <w:p>
      <w:pPr>
        <w:ind w:left="420" w:leftChars="200" w:firstLine="145" w:firstLineChars="5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项目必须提供的具体服务内容如下：</w:t>
      </w:r>
    </w:p>
    <w:p>
      <w:pPr>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质保期服务内容</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1</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报价人</w:t>
      </w:r>
      <w:r>
        <w:rPr>
          <w:rFonts w:hint="eastAsia" w:ascii="仿宋_GB2312" w:hAnsi="仿宋_GB2312" w:eastAsia="仿宋_GB2312" w:cs="仿宋_GB2312"/>
          <w:color w:val="auto"/>
          <w:sz w:val="28"/>
          <w:szCs w:val="28"/>
          <w:u w:val="none"/>
        </w:rPr>
        <w:t>明确承诺:本项目</w:t>
      </w:r>
      <w:r>
        <w:rPr>
          <w:rFonts w:hint="eastAsia" w:ascii="仿宋_GB2312" w:hAnsi="仿宋_GB2312" w:eastAsia="仿宋_GB2312" w:cs="仿宋_GB2312"/>
          <w:color w:val="auto"/>
          <w:sz w:val="28"/>
          <w:szCs w:val="28"/>
          <w:u w:val="none"/>
          <w:lang w:val="en-US" w:eastAsia="zh-CN"/>
        </w:rPr>
        <w:t>的软</w:t>
      </w:r>
      <w:r>
        <w:rPr>
          <w:rFonts w:hint="eastAsia" w:ascii="仿宋_GB2312" w:hAnsi="仿宋_GB2312" w:eastAsia="仿宋_GB2312" w:cs="仿宋_GB2312"/>
          <w:color w:val="auto"/>
          <w:sz w:val="28"/>
          <w:szCs w:val="28"/>
          <w:u w:val="none"/>
        </w:rPr>
        <w:t>硬件需提供</w:t>
      </w:r>
      <w:r>
        <w:rPr>
          <w:rFonts w:hint="eastAsia" w:ascii="仿宋_GB2312" w:hAnsi="仿宋_GB2312" w:eastAsia="仿宋_GB2312" w:cs="仿宋_GB2312"/>
          <w:color w:val="auto"/>
          <w:sz w:val="28"/>
          <w:szCs w:val="28"/>
          <w:u w:val="none"/>
          <w:lang w:val="en-US" w:eastAsia="zh-CN"/>
        </w:rPr>
        <w:t>一</w:t>
      </w:r>
      <w:r>
        <w:rPr>
          <w:rFonts w:hint="eastAsia" w:ascii="仿宋_GB2312" w:hAnsi="仿宋_GB2312" w:eastAsia="仿宋_GB2312" w:cs="仿宋_GB2312"/>
          <w:color w:val="auto"/>
          <w:sz w:val="28"/>
          <w:szCs w:val="28"/>
          <w:u w:val="none"/>
        </w:rPr>
        <w:t>年</w:t>
      </w:r>
      <w:r>
        <w:rPr>
          <w:rFonts w:hint="eastAsia" w:ascii="仿宋_GB2312" w:hAnsi="仿宋_GB2312" w:eastAsia="仿宋_GB2312" w:cs="仿宋_GB2312"/>
          <w:color w:val="auto"/>
          <w:sz w:val="28"/>
          <w:szCs w:val="28"/>
          <w:u w:val="none"/>
          <w:lang w:val="en-US" w:eastAsia="zh-CN"/>
        </w:rPr>
        <w:t>免费</w:t>
      </w:r>
      <w:r>
        <w:rPr>
          <w:rFonts w:hint="eastAsia" w:ascii="仿宋_GB2312" w:hAnsi="仿宋_GB2312" w:eastAsia="仿宋_GB2312" w:cs="仿宋_GB2312"/>
          <w:color w:val="auto"/>
          <w:sz w:val="28"/>
          <w:szCs w:val="28"/>
          <w:u w:val="none"/>
        </w:rPr>
        <w:t>售后服务。</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报价人</w:t>
      </w:r>
      <w:r>
        <w:rPr>
          <w:rFonts w:hint="eastAsia" w:ascii="仿宋_GB2312" w:hAnsi="仿宋_GB2312" w:eastAsia="仿宋_GB2312" w:cs="仿宋_GB2312"/>
          <w:color w:val="auto"/>
          <w:sz w:val="28"/>
          <w:szCs w:val="28"/>
        </w:rPr>
        <w:t>产品属于国家规定“三包”范围的，其产品质量保证期不得低于“三包”规定。</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报价人</w:t>
      </w:r>
      <w:r>
        <w:rPr>
          <w:rFonts w:hint="eastAsia" w:ascii="仿宋_GB2312" w:hAnsi="仿宋_GB2312" w:eastAsia="仿宋_GB2312" w:cs="仿宋_GB2312"/>
          <w:color w:val="auto"/>
          <w:sz w:val="28"/>
          <w:szCs w:val="28"/>
        </w:rPr>
        <w:t>的质量保证期承诺优于国家“三包”规定的，按承包人实际承诺执行。</w:t>
      </w:r>
    </w:p>
    <w:p>
      <w:pPr>
        <w:ind w:firstLine="560" w:firstLineChars="200"/>
        <w:rPr>
          <w:rFonts w:hint="eastAsia" w:ascii="仿宋_GB2312" w:hAnsi="仿宋_GB2312" w:eastAsia="仿宋_GB2312" w:cs="仿宋_GB2312"/>
          <w:color w:val="auto"/>
          <w:sz w:val="28"/>
          <w:szCs w:val="28"/>
          <w:highlight w:val="red"/>
        </w:rPr>
      </w:pPr>
      <w:r>
        <w:rPr>
          <w:rFonts w:hint="eastAsia" w:ascii="仿宋_GB2312" w:hAnsi="仿宋_GB2312" w:eastAsia="仿宋_GB2312" w:cs="仿宋_GB2312"/>
          <w:color w:val="auto"/>
          <w:sz w:val="28"/>
          <w:szCs w:val="28"/>
          <w:lang w:val="en-US" w:eastAsia="zh-CN"/>
        </w:rPr>
        <w:t>（4）报价人产品由原厂负责标准售后服务的，应当在报价文件中予以明确说明,并附厂家售后服务承诺内容。</w:t>
      </w:r>
    </w:p>
    <w:p>
      <w:pPr>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售后服务内容</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承包人在质量保证期内应当为询价人提供以下技术支持和服务:</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A、电话咨询</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承包人应当为询价人提供其单位以及原厂的技术援助电话，解答询价人在使用中遇到的问题，及时为询价人提出解决问题的建议。</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B、现场响应</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C、技术升级</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质保期外服务要求</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B、质量保证期过后，询价人需要继续由承包人提供售后服务的，该承包人应以优惠价格提供售后服务。</w:t>
      </w:r>
    </w:p>
    <w:p>
      <w:pPr>
        <w:pStyle w:val="2"/>
        <w:rPr>
          <w:rFonts w:hint="eastAsia" w:ascii="仿宋_GB2312" w:hAnsi="仿宋_GB2312" w:eastAsia="仿宋_GB2312" w:cs="仿宋_GB2312"/>
          <w:color w:val="auto"/>
        </w:rPr>
      </w:pPr>
      <w:bookmarkStart w:id="33" w:name="_Toc30178_WPSOffice_Level2"/>
      <w:r>
        <w:rPr>
          <w:rFonts w:hint="eastAsia" w:ascii="仿宋_GB2312" w:hAnsi="仿宋_GB2312" w:eastAsia="仿宋_GB2312" w:cs="仿宋_GB2312"/>
          <w:color w:val="auto"/>
        </w:rPr>
        <w:t>三、培训要求</w:t>
      </w:r>
      <w:bookmarkEnd w:id="33"/>
    </w:p>
    <w:p>
      <w:pPr>
        <w:pStyle w:val="42"/>
        <w:autoSpaceDE w:val="0"/>
        <w:autoSpaceDN w:val="0"/>
        <w:adjustRightInd w:val="0"/>
        <w:spacing w:line="360" w:lineRule="auto"/>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承包单位应根据项目实施的计划、进度和需要与询价人的合理要求，及时安排对询价人的相关人员进行培训。</w:t>
      </w:r>
    </w:p>
    <w:p>
      <w:pPr>
        <w:pStyle w:val="42"/>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培训目标为使受训者能够独立、熟练地完成操作，实现本项目所有</w:t>
      </w:r>
      <w:r>
        <w:rPr>
          <w:rFonts w:hint="eastAsia" w:ascii="仿宋_GB2312" w:hAnsi="仿宋_GB2312" w:eastAsia="仿宋_GB2312" w:cs="仿宋_GB2312"/>
          <w:color w:val="auto"/>
          <w:sz w:val="28"/>
          <w:szCs w:val="28"/>
          <w:lang w:val="en-US" w:eastAsia="zh-CN"/>
        </w:rPr>
        <w:t>软硬件</w:t>
      </w:r>
      <w:r>
        <w:rPr>
          <w:rFonts w:hint="eastAsia" w:ascii="仿宋_GB2312" w:hAnsi="仿宋_GB2312" w:eastAsia="仿宋_GB2312" w:cs="仿宋_GB2312"/>
          <w:color w:val="auto"/>
          <w:sz w:val="28"/>
          <w:szCs w:val="28"/>
        </w:rPr>
        <w:t>的基本操作。具体如下：</w:t>
      </w:r>
    </w:p>
    <w:p>
      <w:pPr>
        <w:pStyle w:val="42"/>
        <w:autoSpaceDE w:val="0"/>
        <w:autoSpaceDN w:val="0"/>
        <w:adjustRightInd w:val="0"/>
        <w:spacing w:line="360" w:lineRule="auto"/>
        <w:ind w:left="-142" w:firstLine="56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由承包单位组织正式培训，采用准备好的注释、讲义、讨论会、视听演示以及在现场进行实际操作示范，培训人员应做好操作、管理、维护的充分准备，承包单位应提交一份培训计划给询价人以获批准。</w:t>
      </w:r>
    </w:p>
    <w:p>
      <w:pPr>
        <w:pStyle w:val="42"/>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color w:val="auto"/>
          <w:sz w:val="28"/>
          <w:szCs w:val="28"/>
        </w:rPr>
      </w:pPr>
      <w:bookmarkStart w:id="34" w:name="_Toc4510_WPSOffice_Level3"/>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培训范围：</w:t>
      </w:r>
      <w:r>
        <w:rPr>
          <w:rFonts w:hint="eastAsia" w:ascii="仿宋_GB2312" w:hAnsi="仿宋_GB2312" w:eastAsia="仿宋_GB2312" w:cs="仿宋_GB2312"/>
          <w:color w:val="auto"/>
          <w:sz w:val="28"/>
          <w:szCs w:val="28"/>
          <w:lang w:val="en-US" w:eastAsia="zh-CN"/>
        </w:rPr>
        <w:t>软硬件</w:t>
      </w:r>
      <w:r>
        <w:rPr>
          <w:rFonts w:hint="eastAsia" w:ascii="仿宋_GB2312" w:hAnsi="仿宋_GB2312" w:eastAsia="仿宋_GB2312" w:cs="仿宋_GB2312"/>
          <w:color w:val="auto"/>
          <w:sz w:val="28"/>
          <w:szCs w:val="28"/>
        </w:rPr>
        <w:t>设备以及系统的</w:t>
      </w:r>
      <w:r>
        <w:rPr>
          <w:rFonts w:hint="eastAsia" w:ascii="仿宋_GB2312" w:hAnsi="仿宋_GB2312" w:eastAsia="仿宋_GB2312" w:cs="仿宋_GB2312"/>
          <w:color w:val="auto"/>
          <w:sz w:val="28"/>
          <w:szCs w:val="28"/>
          <w:lang w:val="en-US" w:eastAsia="zh-CN"/>
        </w:rPr>
        <w:t>日常使用及</w:t>
      </w:r>
      <w:r>
        <w:rPr>
          <w:rFonts w:hint="eastAsia" w:ascii="仿宋_GB2312" w:hAnsi="仿宋_GB2312" w:eastAsia="仿宋_GB2312" w:cs="仿宋_GB2312"/>
          <w:color w:val="auto"/>
          <w:sz w:val="28"/>
          <w:szCs w:val="28"/>
        </w:rPr>
        <w:t>维护操作</w:t>
      </w:r>
      <w:bookmarkEnd w:id="34"/>
    </w:p>
    <w:p>
      <w:pPr>
        <w:pStyle w:val="42"/>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color w:val="auto"/>
          <w:sz w:val="28"/>
          <w:szCs w:val="28"/>
        </w:rPr>
      </w:pPr>
      <w:bookmarkStart w:id="35" w:name="_Toc23160_WPSOffice_Level3"/>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培训地点：广州市净水有限公司</w:t>
      </w:r>
      <w:bookmarkEnd w:id="35"/>
    </w:p>
    <w:p>
      <w:pPr>
        <w:pStyle w:val="42"/>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color w:val="auto"/>
          <w:sz w:val="28"/>
          <w:szCs w:val="28"/>
        </w:rPr>
      </w:pPr>
      <w:bookmarkStart w:id="36" w:name="_Toc5209_WPSOffice_Level3"/>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培训时间：在项目施工完成后进行培训</w:t>
      </w:r>
      <w:bookmarkEnd w:id="36"/>
    </w:p>
    <w:p>
      <w:pPr>
        <w:pStyle w:val="42"/>
        <w:numPr>
          <w:ilvl w:val="0"/>
          <w:numId w:val="0"/>
        </w:numPr>
        <w:autoSpaceDE w:val="0"/>
        <w:autoSpaceDN w:val="0"/>
        <w:adjustRightInd w:val="0"/>
        <w:spacing w:line="360" w:lineRule="auto"/>
        <w:ind w:left="420" w:leftChars="0"/>
        <w:textAlignment w:val="baseline"/>
        <w:rPr>
          <w:rFonts w:hint="eastAsia" w:ascii="仿宋_GB2312" w:hAnsi="仿宋_GB2312" w:eastAsia="仿宋_GB2312" w:cs="仿宋_GB2312"/>
          <w:color w:val="auto"/>
          <w:sz w:val="28"/>
          <w:szCs w:val="28"/>
        </w:rPr>
      </w:pPr>
      <w:bookmarkStart w:id="37" w:name="_Toc2260_WPSOffice_Level3"/>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培训内容：</w:t>
      </w:r>
      <w:bookmarkEnd w:id="37"/>
    </w:p>
    <w:p>
      <w:pPr>
        <w:pStyle w:val="42"/>
        <w:autoSpaceDE w:val="0"/>
        <w:autoSpaceDN w:val="0"/>
        <w:adjustRightInd w:val="0"/>
        <w:spacing w:line="360" w:lineRule="auto"/>
        <w:ind w:left="0" w:leftChars="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根据用户对设备日常维护需求提供相关的培训及答疑，次数</w:t>
      </w:r>
      <w:r>
        <w:rPr>
          <w:rFonts w:hint="eastAsia" w:ascii="仿宋_GB2312" w:hAnsi="仿宋_GB2312" w:eastAsia="仿宋_GB2312" w:cs="仿宋_GB2312"/>
          <w:color w:val="auto"/>
          <w:sz w:val="28"/>
          <w:szCs w:val="28"/>
          <w:lang w:val="en-US" w:eastAsia="zh-CN"/>
        </w:rPr>
        <w:t>至少</w:t>
      </w:r>
      <w:r>
        <w:rPr>
          <w:rFonts w:hint="eastAsia" w:ascii="仿宋_GB2312" w:hAnsi="仿宋_GB2312" w:eastAsia="仿宋_GB2312" w:cs="仿宋_GB2312"/>
          <w:color w:val="auto"/>
          <w:sz w:val="28"/>
          <w:szCs w:val="28"/>
        </w:rPr>
        <w:t>1次。</w:t>
      </w:r>
    </w:p>
    <w:p>
      <w:pPr>
        <w:pStyle w:val="42"/>
        <w:autoSpaceDE w:val="0"/>
        <w:autoSpaceDN w:val="0"/>
        <w:adjustRightInd w:val="0"/>
        <w:spacing w:line="360" w:lineRule="auto"/>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若用户对设备以及系统日常维护管理及使用仍存在疑问，在运行和维护期间乙方必须持续提供咨询服务。</w:t>
      </w:r>
    </w:p>
    <w:p>
      <w:pPr>
        <w:pStyle w:val="2"/>
        <w:rPr>
          <w:rFonts w:hint="eastAsia" w:ascii="仿宋_GB2312" w:hAnsi="仿宋_GB2312" w:eastAsia="仿宋_GB2312" w:cs="仿宋_GB2312"/>
          <w:color w:val="auto"/>
          <w:lang w:val="zh-CN" w:eastAsia="zh-CN"/>
        </w:rPr>
      </w:pPr>
      <w:bookmarkStart w:id="38" w:name="_Toc31999_WPSOffice_Level2"/>
      <w:r>
        <w:rPr>
          <w:rFonts w:hint="eastAsia" w:ascii="仿宋_GB2312" w:hAnsi="仿宋_GB2312" w:eastAsia="仿宋_GB2312" w:cs="仿宋_GB2312"/>
          <w:color w:val="auto"/>
          <w:lang w:val="en-US" w:eastAsia="zh-CN"/>
        </w:rPr>
        <w:t>四</w:t>
      </w:r>
      <w:r>
        <w:rPr>
          <w:rFonts w:hint="eastAsia" w:ascii="仿宋_GB2312" w:hAnsi="仿宋_GB2312" w:eastAsia="仿宋_GB2312" w:cs="仿宋_GB2312"/>
          <w:color w:val="auto"/>
          <w:lang w:val="zh-CN" w:eastAsia="zh-CN"/>
        </w:rPr>
        <w:t>、项目商务要求</w:t>
      </w:r>
      <w:bookmarkEnd w:id="38"/>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zh-CN"/>
        </w:rPr>
        <w:t>1.报价单位须</w:t>
      </w:r>
      <w:r>
        <w:rPr>
          <w:rFonts w:hint="eastAsia" w:ascii="仿宋_GB2312" w:hAnsi="仿宋_GB2312" w:eastAsia="仿宋_GB2312" w:cs="仿宋_GB2312"/>
          <w:bCs/>
          <w:color w:val="auto"/>
          <w:sz w:val="28"/>
          <w:szCs w:val="28"/>
          <w:lang w:val="en-US" w:eastAsia="zh-CN"/>
        </w:rPr>
        <w:t>获得</w:t>
      </w:r>
      <w:r>
        <w:rPr>
          <w:rFonts w:hint="eastAsia" w:ascii="仿宋_GB2312" w:hAnsi="仿宋_GB2312" w:eastAsia="仿宋_GB2312" w:cs="仿宋_GB2312"/>
          <w:bCs/>
          <w:color w:val="auto"/>
          <w:sz w:val="28"/>
          <w:szCs w:val="28"/>
          <w:lang w:val="zh-CN"/>
        </w:rPr>
        <w:t>ISO9001质量管理体系认证、ISO27001信息安全管理体系认证、ISO14001环境管理体系认证、ISO45001/OHSAS18001职业健康安全管理体系认证。（</w:t>
      </w:r>
      <w:r>
        <w:rPr>
          <w:rFonts w:hint="eastAsia" w:ascii="仿宋_GB2312" w:hAnsi="仿宋_GB2312" w:eastAsia="仿宋_GB2312" w:cs="仿宋_GB2312"/>
          <w:bCs/>
          <w:color w:val="auto"/>
          <w:sz w:val="28"/>
          <w:szCs w:val="28"/>
          <w:lang w:val="en-US" w:eastAsia="zh-CN"/>
        </w:rPr>
        <w:t>提供复印件，加盖单位公章</w:t>
      </w:r>
      <w:r>
        <w:rPr>
          <w:rFonts w:hint="eastAsia" w:ascii="仿宋_GB2312" w:hAnsi="仿宋_GB2312" w:eastAsia="仿宋_GB2312" w:cs="仿宋_GB2312"/>
          <w:bCs/>
          <w:color w:val="auto"/>
          <w:sz w:val="28"/>
          <w:szCs w:val="28"/>
          <w:lang w:val="zh-CN"/>
        </w:rPr>
        <w:t>）</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交货期限</w:t>
      </w:r>
      <w:r>
        <w:rPr>
          <w:rFonts w:hint="eastAsia" w:ascii="仿宋_GB2312" w:hAnsi="仿宋_GB2312" w:eastAsia="仿宋_GB2312" w:cs="仿宋_GB2312"/>
          <w:bCs/>
          <w:color w:val="auto"/>
          <w:sz w:val="28"/>
          <w:szCs w:val="28"/>
          <w:lang w:val="zh-CN"/>
        </w:rPr>
        <w:t>：</w:t>
      </w:r>
      <w:r>
        <w:rPr>
          <w:rFonts w:hint="eastAsia" w:ascii="仿宋_GB2312" w:hAnsi="仿宋_GB2312" w:eastAsia="仿宋_GB2312" w:cs="仿宋_GB2312"/>
          <w:bCs/>
          <w:color w:val="auto"/>
          <w:sz w:val="28"/>
          <w:szCs w:val="28"/>
          <w:u w:val="none"/>
          <w:lang w:val="zh-CN"/>
        </w:rPr>
        <w:t>签订合同后</w:t>
      </w:r>
      <w:r>
        <w:rPr>
          <w:rFonts w:hint="eastAsia" w:ascii="仿宋_GB2312" w:hAnsi="仿宋_GB2312" w:eastAsia="仿宋_GB2312" w:cs="仿宋_GB2312"/>
          <w:bCs/>
          <w:color w:val="auto"/>
          <w:sz w:val="28"/>
          <w:szCs w:val="28"/>
          <w:u w:val="none"/>
          <w:lang w:val="zh-CN" w:eastAsia="zh-CN"/>
        </w:rPr>
        <w:t>30天内</w:t>
      </w:r>
      <w:r>
        <w:rPr>
          <w:rFonts w:hint="eastAsia" w:ascii="仿宋_GB2312" w:hAnsi="仿宋_GB2312" w:eastAsia="仿宋_GB2312" w:cs="仿宋_GB2312"/>
          <w:bCs/>
          <w:color w:val="auto"/>
          <w:sz w:val="28"/>
          <w:szCs w:val="28"/>
          <w:u w:val="none"/>
          <w:lang w:val="zh-CN"/>
        </w:rPr>
        <w:t>项目所需货物到货</w:t>
      </w:r>
      <w:r>
        <w:rPr>
          <w:rFonts w:hint="eastAsia" w:ascii="仿宋_GB2312" w:hAnsi="仿宋_GB2312" w:eastAsia="仿宋_GB2312" w:cs="仿宋_GB2312"/>
          <w:bCs/>
          <w:color w:val="auto"/>
          <w:sz w:val="28"/>
          <w:szCs w:val="28"/>
          <w:u w:val="none"/>
          <w:lang w:val="zh-CN" w:eastAsia="zh-CN"/>
        </w:rPr>
        <w:t>且</w:t>
      </w:r>
      <w:r>
        <w:rPr>
          <w:rFonts w:hint="eastAsia" w:ascii="仿宋_GB2312" w:hAnsi="仿宋_GB2312" w:eastAsia="仿宋_GB2312" w:cs="仿宋_GB2312"/>
          <w:bCs/>
          <w:color w:val="auto"/>
          <w:sz w:val="28"/>
          <w:szCs w:val="28"/>
          <w:u w:val="none"/>
          <w:lang w:val="zh-CN"/>
        </w:rPr>
        <w:t>实施人员进场</w:t>
      </w:r>
      <w:r>
        <w:rPr>
          <w:rFonts w:hint="eastAsia" w:ascii="仿宋_GB2312" w:hAnsi="仿宋_GB2312" w:eastAsia="仿宋_GB2312" w:cs="仿宋_GB2312"/>
          <w:bCs/>
          <w:color w:val="auto"/>
          <w:sz w:val="28"/>
          <w:szCs w:val="28"/>
          <w:u w:val="none"/>
          <w:lang w:val="zh-CN" w:eastAsia="zh-CN"/>
        </w:rPr>
        <w:t>。</w:t>
      </w:r>
      <w:r>
        <w:rPr>
          <w:rFonts w:hint="eastAsia" w:ascii="仿宋_GB2312" w:hAnsi="仿宋_GB2312" w:eastAsia="仿宋_GB2312" w:cs="仿宋_GB2312"/>
          <w:bCs/>
          <w:color w:val="auto"/>
          <w:sz w:val="28"/>
          <w:szCs w:val="28"/>
          <w:u w:val="none"/>
          <w:lang w:val="zh-CN"/>
        </w:rPr>
        <w:t xml:space="preserve"> </w:t>
      </w:r>
      <w:r>
        <w:rPr>
          <w:rFonts w:hint="eastAsia" w:ascii="仿宋_GB2312" w:hAnsi="仿宋_GB2312" w:eastAsia="仿宋_GB2312" w:cs="仿宋_GB2312"/>
          <w:bCs/>
          <w:strike w:val="0"/>
          <w:dstrike w:val="0"/>
          <w:color w:val="auto"/>
          <w:sz w:val="28"/>
          <w:szCs w:val="28"/>
          <w:u w:val="none"/>
          <w:lang w:val="zh-CN" w:eastAsia="zh-CN"/>
        </w:rPr>
        <w:t>到货货物</w:t>
      </w:r>
      <w:r>
        <w:rPr>
          <w:rFonts w:hint="eastAsia" w:ascii="仿宋_GB2312" w:hAnsi="仿宋_GB2312" w:eastAsia="仿宋_GB2312" w:cs="仿宋_GB2312"/>
          <w:bCs/>
          <w:strike w:val="0"/>
          <w:dstrike w:val="0"/>
          <w:color w:val="auto"/>
          <w:sz w:val="28"/>
          <w:szCs w:val="28"/>
          <w:u w:val="none"/>
          <w:lang w:val="zh-CN"/>
        </w:rPr>
        <w:t>经甲方</w:t>
      </w:r>
      <w:r>
        <w:rPr>
          <w:rFonts w:hint="eastAsia" w:ascii="仿宋_GB2312" w:hAnsi="仿宋_GB2312" w:eastAsia="仿宋_GB2312" w:cs="仿宋_GB2312"/>
          <w:bCs/>
          <w:strike w:val="0"/>
          <w:dstrike w:val="0"/>
          <w:color w:val="auto"/>
          <w:sz w:val="28"/>
          <w:szCs w:val="28"/>
          <w:u w:val="none"/>
          <w:lang w:val="zh-CN" w:eastAsia="zh-CN"/>
        </w:rPr>
        <w:t>报验</w:t>
      </w:r>
      <w:r>
        <w:rPr>
          <w:rFonts w:hint="eastAsia" w:ascii="仿宋_GB2312" w:hAnsi="仿宋_GB2312" w:eastAsia="仿宋_GB2312" w:cs="仿宋_GB2312"/>
          <w:bCs/>
          <w:strike w:val="0"/>
          <w:dstrike w:val="0"/>
          <w:color w:val="auto"/>
          <w:sz w:val="28"/>
          <w:szCs w:val="28"/>
          <w:u w:val="none"/>
          <w:lang w:val="zh-CN"/>
        </w:rPr>
        <w:t>合格</w:t>
      </w:r>
      <w:r>
        <w:rPr>
          <w:rFonts w:hint="eastAsia" w:ascii="仿宋_GB2312" w:hAnsi="仿宋_GB2312" w:eastAsia="仿宋_GB2312" w:cs="仿宋_GB2312"/>
          <w:bCs/>
          <w:color w:val="auto"/>
          <w:sz w:val="28"/>
          <w:szCs w:val="28"/>
          <w:u w:val="none"/>
          <w:lang w:val="zh-CN" w:eastAsia="zh-CN"/>
        </w:rPr>
        <w:t>后90天内完成设备软硬件安装部署。</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lang w:val="zh-CN"/>
        </w:rPr>
        <w:t>.质量要求：</w:t>
      </w:r>
      <w:r>
        <w:rPr>
          <w:rFonts w:hint="eastAsia" w:ascii="仿宋_GB2312" w:hAnsi="仿宋_GB2312" w:eastAsia="仿宋_GB2312" w:cs="仿宋_GB2312"/>
          <w:bCs/>
          <w:color w:val="auto"/>
          <w:sz w:val="28"/>
          <w:szCs w:val="28"/>
          <w:lang w:val="en-US" w:eastAsia="zh-CN"/>
        </w:rPr>
        <w:t>报价人</w:t>
      </w:r>
      <w:r>
        <w:rPr>
          <w:rFonts w:hint="eastAsia" w:ascii="仿宋_GB2312" w:hAnsi="仿宋_GB2312" w:eastAsia="仿宋_GB2312" w:cs="仿宋_GB2312"/>
          <w:bCs/>
          <w:color w:val="auto"/>
          <w:sz w:val="28"/>
          <w:szCs w:val="28"/>
          <w:lang w:val="zh-CN"/>
        </w:rPr>
        <w:t>所提供的设备必须为全新原装的、</w:t>
      </w:r>
      <w:r>
        <w:rPr>
          <w:rFonts w:hint="eastAsia" w:ascii="仿宋_GB2312" w:hAnsi="仿宋_GB2312" w:eastAsia="仿宋_GB2312" w:cs="仿宋_GB2312"/>
          <w:bCs/>
          <w:color w:val="auto"/>
          <w:sz w:val="28"/>
          <w:szCs w:val="28"/>
          <w:lang w:val="en-US" w:eastAsia="zh-CN"/>
        </w:rPr>
        <w:t>符合国家及采购人提出的有关质量标准的设备</w:t>
      </w:r>
      <w:r>
        <w:rPr>
          <w:rFonts w:hint="eastAsia" w:ascii="仿宋_GB2312" w:hAnsi="仿宋_GB2312" w:eastAsia="仿宋_GB2312" w:cs="仿宋_GB2312"/>
          <w:bCs/>
          <w:color w:val="auto"/>
          <w:sz w:val="28"/>
          <w:szCs w:val="28"/>
          <w:lang w:val="zh-CN"/>
        </w:rPr>
        <w:t>。</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en-US" w:eastAsia="zh-CN"/>
        </w:rPr>
        <w:t>4</w:t>
      </w:r>
      <w:r>
        <w:rPr>
          <w:rFonts w:hint="eastAsia" w:ascii="仿宋_GB2312" w:hAnsi="仿宋_GB2312" w:eastAsia="仿宋_GB2312" w:cs="仿宋_GB2312"/>
          <w:bCs/>
          <w:color w:val="auto"/>
          <w:sz w:val="28"/>
          <w:szCs w:val="28"/>
          <w:lang w:val="zh-CN"/>
        </w:rPr>
        <w:t>.询价人将自承包商履行完合同义务</w:t>
      </w:r>
      <w:r>
        <w:rPr>
          <w:rFonts w:hint="eastAsia" w:ascii="仿宋_GB2312" w:hAnsi="仿宋_GB2312" w:eastAsia="仿宋_GB2312" w:cs="仿宋_GB2312"/>
          <w:bCs/>
          <w:color w:val="auto"/>
          <w:sz w:val="28"/>
          <w:szCs w:val="28"/>
          <w:lang w:val="en-US" w:eastAsia="zh-CN"/>
        </w:rPr>
        <w:t>后</w:t>
      </w:r>
      <w:r>
        <w:rPr>
          <w:rFonts w:hint="eastAsia" w:ascii="仿宋_GB2312" w:hAnsi="仿宋_GB2312" w:eastAsia="仿宋_GB2312" w:cs="仿宋_GB2312"/>
          <w:bCs/>
          <w:color w:val="auto"/>
          <w:sz w:val="28"/>
          <w:szCs w:val="28"/>
          <w:lang w:val="zh-CN"/>
        </w:rPr>
        <w:t>组织验收，验收要求、验收标准及方法如下：</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（1）项目采购实施部署安装整体完成起30天内并无任何由于项目引起的故障，包括但不限于软件运行故障，平台中信息系统因平台引起的故障、项目提供的设备故障等。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2）完整提供项目的竣工验收报告，包括但不限于软硬件服务授权证明以及相关资料文件（如设备质保卡、软件授权证明、合格证等）、实施中涉及的账号密码、拓扑图、机柜图、设备点位CAD图、系统效果图等。</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5</w:t>
      </w:r>
      <w:r>
        <w:rPr>
          <w:rFonts w:hint="eastAsia" w:ascii="仿宋_GB2312" w:hAnsi="仿宋_GB2312" w:eastAsia="仿宋_GB2312" w:cs="仿宋_GB2312"/>
          <w:bCs/>
          <w:color w:val="auto"/>
          <w:sz w:val="28"/>
          <w:szCs w:val="28"/>
          <w:lang w:val="zh-CN"/>
        </w:rPr>
        <w:t>.付款方式：</w:t>
      </w:r>
      <w:r>
        <w:rPr>
          <w:rFonts w:hint="eastAsia" w:ascii="仿宋_GB2312" w:hAnsi="仿宋_GB2312" w:eastAsia="仿宋_GB2312" w:cs="仿宋_GB2312"/>
          <w:bCs/>
          <w:color w:val="auto"/>
          <w:sz w:val="28"/>
          <w:szCs w:val="28"/>
          <w:lang w:val="en-US" w:eastAsia="zh-CN"/>
        </w:rPr>
        <w:t>详见合同</w:t>
      </w:r>
    </w:p>
    <w:p>
      <w:pPr>
        <w:pStyle w:val="45"/>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总包及分包规定：本项目不接受分包。</w:t>
      </w:r>
    </w:p>
    <w:p>
      <w:pPr>
        <w:pStyle w:val="14"/>
        <w:spacing w:line="360" w:lineRule="auto"/>
        <w:ind w:left="1"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.付款方式：采用支票、网银支付两种形式。</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_GB2312" w:hAnsi="仿宋_GB2312" w:eastAsia="仿宋_GB2312" w:cs="仿宋_GB2312"/>
          <w:b w:val="0"/>
          <w:bCs/>
          <w:color w:val="auto"/>
          <w:kern w:val="2"/>
          <w:sz w:val="28"/>
          <w:szCs w:val="28"/>
          <w:lang w:val="zh-CN" w:eastAsia="zh-CN" w:bidi="ar-SA"/>
        </w:rPr>
      </w:pPr>
      <w:r>
        <w:rPr>
          <w:rFonts w:hint="eastAsia" w:ascii="仿宋_GB2312" w:hAnsi="仿宋_GB2312" w:eastAsia="仿宋_GB2312" w:cs="仿宋_GB2312"/>
          <w:bCs/>
          <w:color w:val="auto"/>
          <w:sz w:val="28"/>
          <w:szCs w:val="28"/>
          <w:lang w:val="en-US" w:eastAsia="zh-CN"/>
        </w:rPr>
        <w:t>8</w:t>
      </w:r>
      <w:r>
        <w:rPr>
          <w:rFonts w:hint="eastAsia" w:ascii="仿宋_GB2312" w:hAnsi="仿宋_GB2312" w:eastAsia="仿宋_GB2312" w:cs="仿宋_GB2312"/>
          <w:bCs/>
          <w:color w:val="auto"/>
          <w:sz w:val="28"/>
          <w:szCs w:val="28"/>
          <w:lang w:val="zh-CN"/>
        </w:rPr>
        <w:t>承包方式：</w:t>
      </w:r>
      <w:r>
        <w:rPr>
          <w:rFonts w:hint="eastAsia" w:ascii="仿宋_GB2312" w:hAnsi="仿宋_GB2312" w:eastAsia="仿宋_GB2312" w:cs="仿宋_GB2312"/>
          <w:b w:val="0"/>
          <w:bCs/>
          <w:color w:val="auto"/>
          <w:kern w:val="2"/>
          <w:sz w:val="28"/>
          <w:szCs w:val="28"/>
          <w:lang w:val="zh-CN" w:eastAsia="zh-CN" w:bidi="ar-SA"/>
        </w:rPr>
        <w:t>包工、包料、</w:t>
      </w:r>
      <w:r>
        <w:rPr>
          <w:rFonts w:hint="eastAsia" w:ascii="仿宋_GB2312" w:hAnsi="仿宋_GB2312" w:eastAsia="仿宋_GB2312" w:cs="仿宋_GB2312"/>
          <w:b w:val="0"/>
          <w:bCs/>
          <w:color w:val="auto"/>
          <w:kern w:val="2"/>
          <w:sz w:val="28"/>
          <w:szCs w:val="28"/>
          <w:lang w:val="en-US" w:eastAsia="zh-CN" w:bidi="ar-SA"/>
        </w:rPr>
        <w:t>包设备安装、</w:t>
      </w:r>
      <w:r>
        <w:rPr>
          <w:rFonts w:hint="eastAsia" w:ascii="仿宋_GB2312" w:hAnsi="仿宋_GB2312" w:eastAsia="仿宋_GB2312" w:cs="仿宋_GB2312"/>
          <w:b w:val="0"/>
          <w:bCs/>
          <w:color w:val="auto"/>
          <w:kern w:val="2"/>
          <w:sz w:val="28"/>
          <w:szCs w:val="28"/>
          <w:lang w:val="zh-CN" w:eastAsia="zh-CN" w:bidi="ar-SA"/>
        </w:rPr>
        <w:t>包开发、包调试、包培训、包运维（1年）、包验收的总价包干方式。</w:t>
      </w:r>
    </w:p>
    <w:p>
      <w:pPr>
        <w:pStyle w:val="32"/>
        <w:ind w:firstLine="560" w:firstLineChars="200"/>
        <w:rPr>
          <w:rFonts w:hint="eastAsia" w:ascii="仿宋_GB2312" w:hAnsi="仿宋_GB2312" w:cs="仿宋_GB2312"/>
          <w:color w:val="auto"/>
          <w:sz w:val="28"/>
          <w:szCs w:val="28"/>
          <w:lang w:eastAsia="zh-CN"/>
        </w:rPr>
      </w:pPr>
      <w:r>
        <w:rPr>
          <w:rFonts w:hint="eastAsia" w:ascii="仿宋_GB2312" w:hAnsi="仿宋_GB2312" w:cs="仿宋_GB2312"/>
          <w:b w:val="0"/>
          <w:bCs/>
          <w:color w:val="auto"/>
          <w:kern w:val="2"/>
          <w:sz w:val="28"/>
          <w:szCs w:val="28"/>
          <w:lang w:val="en-US" w:eastAsia="zh-CN" w:bidi="ar-SA"/>
        </w:rPr>
        <w:t>9</w:t>
      </w:r>
      <w:r>
        <w:rPr>
          <w:rFonts w:hint="eastAsia" w:ascii="仿宋_GB2312" w:hAnsi="仿宋_GB2312" w:eastAsia="仿宋_GB2312" w:cs="仿宋_GB2312"/>
          <w:b w:val="0"/>
          <w:bCs/>
          <w:color w:val="auto"/>
          <w:kern w:val="2"/>
          <w:sz w:val="28"/>
          <w:szCs w:val="28"/>
          <w:lang w:val="en-US" w:eastAsia="zh-CN" w:bidi="ar-SA"/>
        </w:rPr>
        <w:t>.</w:t>
      </w:r>
      <w:r>
        <w:rPr>
          <w:rFonts w:hint="eastAsia" w:ascii="仿宋_GB2312" w:hAnsi="仿宋_GB2312" w:eastAsia="仿宋_GB2312" w:cs="仿宋_GB2312"/>
          <w:color w:val="auto"/>
          <w:sz w:val="28"/>
          <w:szCs w:val="28"/>
        </w:rPr>
        <w:t>项目结算：</w:t>
      </w:r>
      <w:r>
        <w:rPr>
          <w:rFonts w:hint="eastAsia" w:ascii="仿宋_GB2312" w:hAnsi="仿宋_GB2312" w:eastAsia="仿宋_GB2312" w:cs="仿宋_GB2312"/>
          <w:bCs/>
          <w:color w:val="auto"/>
          <w:sz w:val="28"/>
          <w:szCs w:val="28"/>
          <w:lang w:val="en-US" w:eastAsia="zh-CN"/>
        </w:rPr>
        <w:t>详见合同</w:t>
      </w:r>
      <w:r>
        <w:rPr>
          <w:rFonts w:hint="eastAsia" w:ascii="仿宋_GB2312" w:hAnsi="仿宋_GB2312" w:cs="仿宋_GB2312"/>
          <w:color w:val="auto"/>
          <w:sz w:val="28"/>
          <w:szCs w:val="28"/>
          <w:lang w:eastAsia="zh-CN"/>
        </w:rPr>
        <w:t>。</w:t>
      </w:r>
    </w:p>
    <w:p>
      <w:pPr>
        <w:pStyle w:val="32"/>
        <w:ind w:firstLine="560" w:firstLineChars="200"/>
        <w:rPr>
          <w:rFonts w:hint="eastAsia" w:ascii="仿宋_GB2312" w:hAnsi="仿宋_GB2312" w:cs="仿宋_GB2312"/>
          <w:color w:val="auto"/>
          <w:sz w:val="28"/>
          <w:szCs w:val="28"/>
          <w:lang w:eastAsia="zh-CN"/>
        </w:rPr>
      </w:pPr>
    </w:p>
    <w:p>
      <w:pPr>
        <w:pStyle w:val="32"/>
        <w:ind w:firstLine="560" w:firstLineChars="200"/>
        <w:rPr>
          <w:rFonts w:hint="eastAsia" w:ascii="仿宋_GB2312" w:hAnsi="仿宋_GB2312" w:cs="仿宋_GB2312"/>
          <w:color w:val="auto"/>
          <w:sz w:val="28"/>
          <w:szCs w:val="28"/>
          <w:lang w:eastAsia="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7.2任何要求对询价文件进行澄清的</w:t>
      </w:r>
      <w:r>
        <w:rPr>
          <w:rFonts w:hint="eastAsia" w:ascii="仿宋" w:hAnsi="仿宋" w:eastAsia="仿宋" w:cs="仿宋_GB2312"/>
          <w:color w:val="auto"/>
          <w:sz w:val="28"/>
          <w:szCs w:val="28"/>
          <w:highlight w:val="none"/>
          <w:lang w:eastAsia="zh-CN"/>
        </w:rPr>
        <w:t>报价</w:t>
      </w:r>
      <w:r>
        <w:rPr>
          <w:rFonts w:hint="eastAsia" w:ascii="仿宋" w:hAnsi="仿宋" w:eastAsia="仿宋" w:cs="仿宋_GB2312"/>
          <w:color w:val="auto"/>
          <w:sz w:val="28"/>
          <w:szCs w:val="28"/>
          <w:highlight w:val="none"/>
        </w:rPr>
        <w:t>单位，均应以书面形式通知</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人。</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人对其收到的书面的对询价文件的澄清要求均以书面形式予以答复</w:t>
      </w:r>
      <w:r>
        <w:rPr>
          <w:rFonts w:hint="eastAsia" w:ascii="仿宋" w:hAnsi="仿宋" w:eastAsia="仿宋" w:cs="仿宋_GB2312"/>
          <w:color w:val="auto"/>
          <w:sz w:val="28"/>
          <w:szCs w:val="28"/>
          <w:highlight w:val="none"/>
          <w:lang w:val="en-US" w:eastAsia="zh-CN"/>
        </w:rPr>
        <w:t>或</w:t>
      </w:r>
      <w:r>
        <w:rPr>
          <w:rFonts w:hint="eastAsia" w:ascii="仿宋" w:hAnsi="仿宋" w:eastAsia="仿宋" w:cs="仿宋_GB2312"/>
          <w:color w:val="auto"/>
          <w:sz w:val="28"/>
          <w:szCs w:val="28"/>
          <w:highlight w:val="none"/>
        </w:rPr>
        <w:t>以</w:t>
      </w:r>
      <w:r>
        <w:rPr>
          <w:rFonts w:hint="eastAsia" w:ascii="仿宋" w:hAnsi="仿宋" w:eastAsia="仿宋" w:cs="仿宋_GB2312"/>
          <w:color w:val="auto"/>
          <w:sz w:val="28"/>
          <w:szCs w:val="28"/>
          <w:highlight w:val="none"/>
          <w:lang w:val="en-US" w:eastAsia="zh-CN"/>
        </w:rPr>
        <w:t>净水公司门户网站公告的形式发布</w:t>
      </w:r>
      <w:r>
        <w:rPr>
          <w:rFonts w:hint="eastAsia" w:ascii="仿宋" w:hAnsi="仿宋" w:eastAsia="仿宋" w:cs="仿宋_GB2312"/>
          <w:color w:val="auto"/>
          <w:sz w:val="28"/>
          <w:szCs w:val="28"/>
          <w:highlight w:val="none"/>
        </w:rPr>
        <w:t>，（答复中不包括问题的来源）。</w:t>
      </w:r>
      <w:r>
        <w:rPr>
          <w:rFonts w:hint="eastAsia" w:ascii="仿宋" w:hAnsi="仿宋" w:eastAsia="仿宋" w:cs="仿宋_GB2312"/>
          <w:color w:val="auto"/>
          <w:sz w:val="28"/>
          <w:szCs w:val="28"/>
          <w:highlight w:val="none"/>
          <w:lang w:eastAsia="zh-CN"/>
        </w:rPr>
        <w:t>报价</w:t>
      </w:r>
      <w:r>
        <w:rPr>
          <w:rFonts w:hint="eastAsia" w:ascii="仿宋" w:hAnsi="仿宋" w:eastAsia="仿宋" w:cs="仿宋_GB2312"/>
          <w:color w:val="auto"/>
          <w:sz w:val="28"/>
          <w:szCs w:val="28"/>
          <w:highlight w:val="none"/>
        </w:rPr>
        <w:t>单位在收到上述答复后，应立即向</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人回函确认</w:t>
      </w:r>
      <w:r>
        <w:rPr>
          <w:rFonts w:hint="eastAsia" w:ascii="仿宋" w:hAnsi="仿宋" w:eastAsia="仿宋" w:cs="仿宋_GB2312"/>
          <w:color w:val="auto"/>
          <w:sz w:val="28"/>
          <w:szCs w:val="28"/>
          <w:highlight w:val="none"/>
          <w:lang w:eastAsia="zh-CN"/>
        </w:rPr>
        <w:t>，</w:t>
      </w:r>
      <w:r>
        <w:rPr>
          <w:rFonts w:hint="eastAsia" w:ascii="仿宋" w:hAnsi="仿宋" w:eastAsia="仿宋" w:cs="仿宋_GB2312"/>
          <w:color w:val="auto"/>
          <w:sz w:val="28"/>
          <w:szCs w:val="28"/>
          <w:highlight w:val="none"/>
        </w:rPr>
        <w:t>该答复作为询价文件的一部分，对</w:t>
      </w:r>
      <w:r>
        <w:rPr>
          <w:rFonts w:hint="eastAsia" w:ascii="仿宋" w:hAnsi="仿宋" w:eastAsia="仿宋" w:cs="仿宋_GB2312"/>
          <w:color w:val="auto"/>
          <w:sz w:val="28"/>
          <w:szCs w:val="28"/>
          <w:highlight w:val="none"/>
          <w:lang w:eastAsia="zh-CN"/>
        </w:rPr>
        <w:t>报价</w:t>
      </w:r>
      <w:r>
        <w:rPr>
          <w:rFonts w:hint="eastAsia" w:ascii="仿宋" w:hAnsi="仿宋" w:eastAsia="仿宋" w:cs="仿宋_GB2312"/>
          <w:color w:val="auto"/>
          <w:sz w:val="28"/>
          <w:szCs w:val="28"/>
          <w:highlight w:val="none"/>
        </w:rPr>
        <w:t>单位有约束力</w:t>
      </w:r>
      <w:r>
        <w:rPr>
          <w:rFonts w:hint="eastAsia" w:ascii="仿宋" w:hAnsi="仿宋" w:eastAsia="仿宋" w:cs="仿宋_GB2312"/>
          <w:color w:val="auto"/>
          <w:sz w:val="28"/>
          <w:szCs w:val="28"/>
          <w:highlight w:val="none"/>
          <w:lang w:eastAsia="zh-CN"/>
        </w:rPr>
        <w:t>。</w:t>
      </w:r>
    </w:p>
    <w:p>
      <w:pPr>
        <w:pStyle w:val="14"/>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７.3询价文件的修改</w:t>
      </w:r>
      <w:r>
        <w:rPr>
          <w:rFonts w:hint="eastAsia" w:ascii="仿宋" w:hAnsi="仿宋" w:eastAsia="仿宋" w:cs="仿宋_GB2312"/>
          <w:color w:val="auto"/>
          <w:sz w:val="28"/>
          <w:szCs w:val="28"/>
          <w:highlight w:val="none"/>
          <w:lang w:val="en-US" w:eastAsia="zh-CN"/>
        </w:rPr>
        <w:t>或澄清</w:t>
      </w:r>
      <w:r>
        <w:rPr>
          <w:rFonts w:hint="eastAsia" w:ascii="仿宋" w:hAnsi="仿宋" w:eastAsia="仿宋" w:cs="仿宋_GB2312"/>
          <w:color w:val="auto"/>
          <w:sz w:val="28"/>
          <w:szCs w:val="28"/>
          <w:highlight w:val="none"/>
        </w:rPr>
        <w:t>将以书面形式通知所有购买询价文件的报价单位</w:t>
      </w:r>
      <w:r>
        <w:rPr>
          <w:rFonts w:hint="eastAsia" w:ascii="仿宋" w:hAnsi="仿宋" w:eastAsia="仿宋" w:cs="仿宋_GB2312"/>
          <w:color w:val="auto"/>
          <w:sz w:val="28"/>
          <w:szCs w:val="28"/>
          <w:highlight w:val="none"/>
          <w:lang w:val="en-US" w:eastAsia="zh-CN"/>
        </w:rPr>
        <w:t>或以净水公司门户网站公告的形式发布</w:t>
      </w:r>
      <w:r>
        <w:rPr>
          <w:rFonts w:hint="eastAsia" w:ascii="仿宋" w:hAnsi="仿宋" w:eastAsia="仿宋" w:cs="仿宋_GB2312"/>
          <w:color w:val="auto"/>
          <w:sz w:val="28"/>
          <w:szCs w:val="28"/>
          <w:highlight w:val="none"/>
        </w:rPr>
        <w:t>，并对其具有约束力。报价单位在收到上述通知后，应立即向询价人回函确认。</w:t>
      </w:r>
    </w:p>
    <w:p>
      <w:pPr>
        <w:pStyle w:val="14"/>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7.4</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人可以视询价具体情况，延长递交询价响应文件截止时间，并将变更时间以书面形式通知所有询价文件收受人</w:t>
      </w:r>
      <w:r>
        <w:rPr>
          <w:rFonts w:hint="eastAsia" w:ascii="仿宋" w:hAnsi="仿宋" w:eastAsia="仿宋" w:cs="仿宋_GB2312"/>
          <w:color w:val="auto"/>
          <w:sz w:val="28"/>
          <w:szCs w:val="28"/>
          <w:highlight w:val="none"/>
          <w:lang w:val="en-US" w:eastAsia="zh-CN"/>
        </w:rPr>
        <w:t>或以净水公司门户网站公告的形式发布</w:t>
      </w:r>
      <w:r>
        <w:rPr>
          <w:rFonts w:hint="eastAsia" w:ascii="仿宋" w:hAnsi="仿宋" w:eastAsia="仿宋" w:cs="仿宋_GB2312"/>
          <w:color w:val="auto"/>
          <w:sz w:val="28"/>
          <w:szCs w:val="28"/>
          <w:highlight w:val="none"/>
        </w:rPr>
        <w:t>。</w:t>
      </w:r>
    </w:p>
    <w:p>
      <w:pPr>
        <w:pStyle w:val="14"/>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pStyle w:val="3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3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3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3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color w:val="000000" w:themeColor="text1"/>
          <w:kern w:val="0"/>
          <w:sz w:val="28"/>
          <w:szCs w:val="28"/>
          <w:highlight w:val="none"/>
          <w:u w:val="none"/>
          <w:lang w:val="en-US" w:eastAsia="zh-CN"/>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lang w:val="en-US" w:eastAsia="zh-CN"/>
          <w14:textFill>
            <w14:solidFill>
              <w14:schemeClr w14:val="tx1"/>
            </w14:solidFill>
          </w14:textFill>
        </w:rPr>
        <w:t>因</w:t>
      </w:r>
      <w:r>
        <w:rPr>
          <w:rFonts w:hint="eastAsia" w:ascii="仿宋" w:hAnsi="仿宋" w:eastAsia="仿宋" w:cs="仿宋_GB2312"/>
          <w:color w:val="000000" w:themeColor="text1"/>
          <w:sz w:val="28"/>
          <w:szCs w:val="28"/>
          <w:highlight w:val="none"/>
          <w14:textFill>
            <w14:solidFill>
              <w14:schemeClr w14:val="tx1"/>
            </w14:solidFill>
          </w14:textFill>
        </w:rPr>
        <w:t>承包人原因导致未按规定时限签订合同的，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发包人有权视为其自动放弃该项目承包资格</w:t>
      </w:r>
      <w:r>
        <w:rPr>
          <w:rFonts w:hint="eastAsia" w:ascii="仿宋" w:hAnsi="仿宋" w:eastAsia="仿宋" w:cs="仿宋_GB2312"/>
          <w:color w:val="000000" w:themeColor="text1"/>
          <w:sz w:val="28"/>
          <w:szCs w:val="28"/>
          <w:highlight w:val="none"/>
          <w14:textFill>
            <w14:solidFill>
              <w14:schemeClr w14:val="tx1"/>
            </w14:solidFill>
          </w14:textFill>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2"/>
        <w:rPr>
          <w:rFonts w:hint="eastAsia" w:ascii="仿宋_GB2312" w:hAnsi="仿宋_GB2312" w:eastAsia="仿宋_GB2312" w:cs="仿宋_GB2312"/>
          <w:color w:val="auto"/>
        </w:rPr>
      </w:pPr>
      <w:bookmarkStart w:id="39" w:name="_Toc179632599"/>
      <w:bookmarkStart w:id="40" w:name="_Toc152042358"/>
      <w:bookmarkStart w:id="41" w:name="_Toc371433002"/>
      <w:bookmarkStart w:id="42" w:name="_Toc247085739"/>
      <w:bookmarkStart w:id="43" w:name="_Toc10581_WPSOffice_Level2"/>
      <w:bookmarkStart w:id="44" w:name="_Toc152045581"/>
      <w:bookmarkStart w:id="45" w:name="_Toc144974548"/>
      <w:r>
        <w:rPr>
          <w:rFonts w:hint="eastAsia" w:ascii="仿宋_GB2312" w:hAnsi="仿宋_GB2312" w:eastAsia="仿宋_GB2312" w:cs="仿宋_GB2312"/>
          <w:color w:val="auto"/>
        </w:rPr>
        <w:t>附件一 报价记录表</w:t>
      </w:r>
      <w:bookmarkEnd w:id="39"/>
      <w:bookmarkEnd w:id="40"/>
      <w:bookmarkEnd w:id="41"/>
      <w:bookmarkEnd w:id="42"/>
      <w:bookmarkEnd w:id="43"/>
      <w:bookmarkEnd w:id="44"/>
      <w:bookmarkEnd w:id="45"/>
    </w:p>
    <w:p>
      <w:pPr>
        <w:spacing w:line="400" w:lineRule="exact"/>
        <w:jc w:val="center"/>
        <w:rPr>
          <w:rFonts w:hint="eastAsia" w:ascii="仿宋_GB2312" w:hAnsi="仿宋_GB2312" w:eastAsia="仿宋_GB2312" w:cs="仿宋_GB2312"/>
          <w:b/>
          <w:bCs/>
          <w:color w:val="auto"/>
          <w:sz w:val="28"/>
          <w:szCs w:val="28"/>
        </w:rPr>
      </w:pPr>
      <w:bookmarkStart w:id="46" w:name="_Toc27716_WPSOffice_Level2"/>
      <w:r>
        <w:rPr>
          <w:rFonts w:hint="eastAsia" w:ascii="仿宋_GB2312" w:hAnsi="仿宋_GB2312" w:eastAsia="仿宋_GB2312" w:cs="仿宋_GB2312"/>
          <w:b/>
          <w:bCs/>
          <w:color w:val="auto"/>
          <w:sz w:val="28"/>
          <w:szCs w:val="28"/>
          <w:lang w:val="en-US" w:eastAsia="zh-CN"/>
        </w:rPr>
        <w:t>广州市净水有限公司沥滘智慧安防系统工程项目</w:t>
      </w:r>
      <w:r>
        <w:rPr>
          <w:rFonts w:hint="eastAsia" w:ascii="仿宋_GB2312" w:hAnsi="仿宋_GB2312" w:eastAsia="仿宋_GB2312" w:cs="仿宋_GB2312"/>
          <w:b/>
          <w:bCs/>
          <w:color w:val="auto"/>
          <w:sz w:val="28"/>
          <w:szCs w:val="28"/>
        </w:rPr>
        <w:t>报价记录表</w:t>
      </w:r>
      <w:bookmarkEnd w:id="46"/>
    </w:p>
    <w:p>
      <w:pPr>
        <w:spacing w:line="500" w:lineRule="exact"/>
        <w:ind w:firstLine="3465" w:firstLineChars="1650"/>
        <w:rPr>
          <w:rFonts w:hint="eastAsia" w:ascii="仿宋_GB2312" w:hAnsi="仿宋_GB2312" w:eastAsia="仿宋_GB2312" w:cs="仿宋_GB2312"/>
          <w:color w:val="auto"/>
        </w:rPr>
      </w:pPr>
      <w:r>
        <w:rPr>
          <w:rFonts w:hint="eastAsia" w:ascii="仿宋_GB2312" w:hAnsi="仿宋_GB2312" w:eastAsia="仿宋_GB2312" w:cs="仿宋_GB2312"/>
          <w:color w:val="auto"/>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auto"/>
                <w:szCs w:val="21"/>
              </w:rPr>
            </w:pPr>
          </w:p>
        </w:tc>
      </w:tr>
    </w:tbl>
    <w:p>
      <w:pPr>
        <w:spacing w:line="440" w:lineRule="exact"/>
        <w:rPr>
          <w:rFonts w:hint="eastAsia" w:ascii="仿宋_GB2312" w:hAnsi="仿宋_GB2312" w:eastAsia="仿宋_GB2312" w:cs="仿宋_GB2312"/>
          <w:color w:val="auto"/>
        </w:rPr>
      </w:pPr>
    </w:p>
    <w:p>
      <w:pPr>
        <w:spacing w:line="440" w:lineRule="exact"/>
        <w:ind w:firstLine="630" w:firstLineChars="300"/>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420" w:firstLineChars="200"/>
        <w:rPr>
          <w:rFonts w:hint="eastAsia" w:ascii="仿宋_GB2312" w:hAnsi="仿宋_GB2312" w:eastAsia="仿宋_GB2312" w:cs="仿宋_GB2312"/>
          <w:color w:val="auto"/>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ind w:firstLine="720" w:firstLineChars="300"/>
        <w:rPr>
          <w:rFonts w:hint="eastAsia" w:ascii="仿宋_GB2312" w:hAnsi="仿宋_GB2312" w:eastAsia="仿宋_GB2312" w:cs="仿宋_GB2312"/>
          <w:color w:val="auto"/>
          <w:sz w:val="24"/>
        </w:rPr>
        <w:sectPr>
          <w:pgSz w:w="11906" w:h="16838"/>
          <w:pgMar w:top="1089" w:right="1466" w:bottom="1089" w:left="1077" w:header="851" w:footer="992" w:gutter="0"/>
          <w:cols w:space="720" w:num="1"/>
          <w:docGrid w:type="lines" w:linePitch="312" w:charSpace="0"/>
        </w:sectPr>
      </w:pPr>
    </w:p>
    <w:p>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附件二</w:t>
      </w:r>
    </w:p>
    <w:p>
      <w:pPr>
        <w:jc w:val="center"/>
        <w:rPr>
          <w:rFonts w:hint="eastAsia" w:ascii="仿宋_GB2312" w:hAnsi="仿宋_GB2312" w:eastAsia="仿宋_GB2312" w:cs="仿宋_GB2312"/>
          <w:b/>
          <w:bCs/>
          <w:color w:val="auto"/>
          <w:sz w:val="32"/>
          <w:szCs w:val="40"/>
        </w:rPr>
      </w:pPr>
      <w:bookmarkStart w:id="47" w:name="_Toc32751_WPSOffice_Level3"/>
      <w:r>
        <w:rPr>
          <w:rFonts w:hint="eastAsia" w:ascii="仿宋_GB2312" w:hAnsi="仿宋_GB2312" w:eastAsia="仿宋_GB2312" w:cs="仿宋_GB2312"/>
          <w:b/>
          <w:bCs/>
          <w:color w:val="auto"/>
          <w:sz w:val="32"/>
          <w:szCs w:val="40"/>
        </w:rPr>
        <w:t>广州市净水有限公司非公开招标项目评审记录表</w:t>
      </w:r>
      <w:bookmarkEnd w:id="47"/>
    </w:p>
    <w:p>
      <w:pPr>
        <w:spacing w:line="360" w:lineRule="auto"/>
        <w:ind w:left="1200" w:hanging="1400" w:hangingChars="500"/>
        <w:rPr>
          <w:rFonts w:hint="eastAsia" w:ascii="仿宋_GB2312" w:hAnsi="仿宋_GB2312" w:eastAsia="仿宋_GB2312" w:cs="仿宋_GB2312"/>
          <w:color w:val="auto"/>
          <w:sz w:val="24"/>
          <w:lang w:val="en-US" w:eastAsia="zh-CN"/>
        </w:rPr>
      </w:pPr>
      <w:r>
        <w:rPr>
          <w:rFonts w:hint="eastAsia" w:ascii="宋体" w:hAnsi="宋体"/>
          <w:color w:val="000000"/>
          <w:sz w:val="28"/>
          <w:szCs w:val="28"/>
        </w:rPr>
        <w:t>项目名称：</w:t>
      </w:r>
      <w:r>
        <w:rPr>
          <w:rFonts w:hint="eastAsia" w:ascii="宋体" w:hAnsi="宋体"/>
          <w:color w:val="000000"/>
          <w:sz w:val="28"/>
          <w:szCs w:val="28"/>
          <w:u w:val="single"/>
          <w:lang w:val="en-US" w:eastAsia="zh-CN"/>
        </w:rPr>
        <w:t>广州市净水有限公司沥滘智慧安防系统工程项目</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b/>
                <w:color w:val="auto"/>
                <w:sz w:val="28"/>
                <w:szCs w:val="28"/>
                <w:lang w:bidi="ar-SA"/>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b/>
                <w:color w:val="auto"/>
                <w:sz w:val="28"/>
                <w:szCs w:val="28"/>
                <w:lang w:bidi="ar-SA"/>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rPr>
                <w:color w:val="auto"/>
              </w:rPr>
            </w:pPr>
          </w:p>
        </w:tc>
        <w:tc>
          <w:tcPr>
            <w:tcW w:w="4154"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1082" w:type="dxa"/>
            <w:vMerge w:val="continue"/>
            <w:tcBorders>
              <w:left w:val="single" w:color="auto" w:sz="4" w:space="0"/>
              <w:bottom w:val="single" w:color="auto" w:sz="4" w:space="0"/>
              <w:right w:val="single" w:color="auto" w:sz="4" w:space="0"/>
            </w:tcBorders>
            <w:noWrap w:val="0"/>
            <w:vAlign w:val="center"/>
          </w:tcPr>
          <w:p>
            <w:pPr>
              <w:rPr>
                <w:color w:val="auto"/>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0"/>
                <w:szCs w:val="20"/>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0"/>
                <w:szCs w:val="20"/>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val="en-US" w:eastAsia="zh-CN" w:bidi="ar-SA"/>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val="en-US" w:eastAsia="zh-CN" w:bidi="ar-SA"/>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val="en-US" w:eastAsia="zh-CN" w:bidi="ar-SA"/>
              </w:rPr>
              <w:t>原</w:t>
            </w:r>
            <w:r>
              <w:rPr>
                <w:rFonts w:hint="eastAsia" w:ascii="仿宋" w:eastAsia="仿宋" w:cs="仿宋"/>
                <w:color w:val="auto"/>
                <w:sz w:val="28"/>
                <w:szCs w:val="28"/>
                <w:lang w:bidi="ar-SA"/>
              </w:rPr>
              <w:t>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r>
              <w:rPr>
                <w:rFonts w:hint="eastAsia" w:ascii="仿宋" w:eastAsia="仿宋" w:cs="仿宋"/>
                <w:color w:val="auto"/>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auto"/>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auto"/>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auto"/>
                <w:sz w:val="28"/>
                <w:szCs w:val="28"/>
                <w:lang w:bidi="ar-SA"/>
              </w:rPr>
            </w:pPr>
            <w:r>
              <w:rPr>
                <w:rFonts w:hint="eastAsia" w:ascii="仿宋" w:eastAsia="仿宋" w:cs="仿宋"/>
                <w:color w:val="auto"/>
                <w:sz w:val="28"/>
                <w:szCs w:val="28"/>
                <w:lang w:bidi="ar-SA"/>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eastAsia="仿宋" w:cs="仿宋"/>
                <w:color w:val="auto"/>
                <w:sz w:val="28"/>
                <w:szCs w:val="28"/>
                <w:lang w:bidi="ar-SA"/>
              </w:rPr>
            </w:pPr>
          </w:p>
        </w:tc>
      </w:tr>
    </w:tbl>
    <w:p>
      <w:pPr>
        <w:ind w:left="840" w:hanging="840" w:hangingChars="400"/>
        <w:rPr>
          <w:rFonts w:hint="eastAsia"/>
          <w:color w:val="000000"/>
        </w:rPr>
      </w:pPr>
      <w:r>
        <w:rPr>
          <w:rFonts w:hint="eastAsia"/>
          <w:color w:val="000000"/>
        </w:rPr>
        <w:t>备注：1、审核情况填写“符合”或“不符合；或者打“√”或“×”。</w:t>
      </w:r>
    </w:p>
    <w:p>
      <w:pPr>
        <w:ind w:left="840" w:leftChars="300" w:hanging="210" w:hangingChars="100"/>
        <w:rPr>
          <w:rFonts w:hint="eastAsia"/>
          <w:color w:val="000000"/>
        </w:rPr>
      </w:pPr>
      <w:r>
        <w:rPr>
          <w:rFonts w:hint="eastAsia"/>
          <w:color w:val="000000"/>
          <w:lang w:val="en-US" w:eastAsia="zh-CN"/>
        </w:rPr>
        <w:t>2、</w:t>
      </w:r>
      <w:r>
        <w:rPr>
          <w:rFonts w:hint="eastAsia"/>
          <w:color w:val="000000"/>
        </w:rPr>
        <w:t>本表所有审核情况均为符合的，结论为报名成功。若有一项或以上审核情况为不符合的，结论为报名不成功。</w:t>
      </w:r>
    </w:p>
    <w:p>
      <w:pPr>
        <w:pStyle w:val="2"/>
        <w:rPr>
          <w:rFonts w:hint="eastAsia" w:ascii="仿宋_GB2312" w:hAnsi="仿宋_GB2312" w:eastAsia="仿宋_GB2312" w:cs="仿宋_GB2312"/>
          <w:color w:val="auto"/>
        </w:rPr>
      </w:pPr>
      <w:r>
        <w:rPr>
          <w:rFonts w:hint="eastAsia" w:ascii="仿宋_GB2312" w:hAnsi="仿宋_GB2312" w:eastAsia="仿宋_GB2312" w:cs="仿宋_GB2312"/>
          <w:color w:val="auto"/>
        </w:rPr>
        <w:t>附件三</w:t>
      </w:r>
    </w:p>
    <w:p>
      <w:pPr>
        <w:autoSpaceDE w:val="0"/>
        <w:autoSpaceDN w:val="0"/>
        <w:adjustRightInd w:val="0"/>
        <w:rPr>
          <w:rFonts w:hint="eastAsia" w:ascii="仿宋_GB2312" w:hAnsi="仿宋_GB2312" w:eastAsia="仿宋_GB2312" w:cs="仿宋_GB2312"/>
          <w:color w:val="auto"/>
          <w:kern w:val="0"/>
          <w:sz w:val="28"/>
          <w:szCs w:val="28"/>
        </w:rPr>
      </w:pPr>
    </w:p>
    <w:p>
      <w:pPr>
        <w:tabs>
          <w:tab w:val="left" w:pos="5740"/>
        </w:tabs>
        <w:autoSpaceDE w:val="0"/>
        <w:autoSpaceDN w:val="0"/>
        <w:adjustRightInd w:val="0"/>
        <w:jc w:val="center"/>
        <w:rPr>
          <w:rFonts w:hint="eastAsia" w:ascii="仿宋_GB2312" w:hAnsi="仿宋_GB2312" w:eastAsia="仿宋_GB2312" w:cs="仿宋_GB2312"/>
          <w:color w:val="auto"/>
          <w:sz w:val="44"/>
          <w:szCs w:val="44"/>
        </w:rPr>
      </w:pPr>
      <w:bookmarkStart w:id="48" w:name="_Toc17551_WPSOffice_Level3"/>
      <w:r>
        <w:rPr>
          <w:rFonts w:hint="eastAsia" w:ascii="仿宋_GB2312" w:hAnsi="仿宋_GB2312" w:eastAsia="仿宋_GB2312" w:cs="仿宋_GB2312"/>
          <w:bCs/>
          <w:color w:val="auto"/>
          <w:kern w:val="0"/>
          <w:sz w:val="44"/>
          <w:szCs w:val="44"/>
        </w:rPr>
        <w:t>广州市净水有限公司</w:t>
      </w:r>
      <w:r>
        <w:rPr>
          <w:rFonts w:hint="eastAsia" w:ascii="仿宋_GB2312" w:hAnsi="仿宋_GB2312" w:eastAsia="仿宋_GB2312" w:cs="仿宋_GB2312"/>
          <w:color w:val="auto"/>
          <w:sz w:val="44"/>
          <w:szCs w:val="44"/>
        </w:rPr>
        <w:t>非公开招标项目</w:t>
      </w:r>
      <w:bookmarkEnd w:id="48"/>
    </w:p>
    <w:p>
      <w:pPr>
        <w:tabs>
          <w:tab w:val="left" w:pos="5740"/>
        </w:tabs>
        <w:autoSpaceDE w:val="0"/>
        <w:autoSpaceDN w:val="0"/>
        <w:adjustRightInd w:val="0"/>
        <w:jc w:val="center"/>
        <w:rPr>
          <w:rFonts w:hint="eastAsia" w:ascii="仿宋_GB2312" w:hAnsi="仿宋_GB2312" w:eastAsia="仿宋_GB2312" w:cs="仿宋_GB2312"/>
          <w:bCs/>
          <w:color w:val="auto"/>
          <w:kern w:val="0"/>
          <w:sz w:val="44"/>
          <w:szCs w:val="44"/>
        </w:rPr>
      </w:pPr>
      <w:bookmarkStart w:id="49" w:name="_Toc18308_WPSOffice_Level3"/>
      <w:r>
        <w:rPr>
          <w:rFonts w:hint="eastAsia" w:ascii="仿宋_GB2312" w:hAnsi="仿宋_GB2312" w:eastAsia="仿宋_GB2312" w:cs="仿宋_GB2312"/>
          <w:bCs/>
          <w:color w:val="auto"/>
          <w:kern w:val="0"/>
          <w:sz w:val="44"/>
          <w:szCs w:val="44"/>
        </w:rPr>
        <w:t>发包通知书</w:t>
      </w:r>
      <w:bookmarkEnd w:id="49"/>
    </w:p>
    <w:p>
      <w:pPr>
        <w:autoSpaceDE w:val="0"/>
        <w:autoSpaceDN w:val="0"/>
        <w:adjustRightInd w:val="0"/>
        <w:spacing w:after="400"/>
        <w:jc w:val="center"/>
        <w:rPr>
          <w:rFonts w:hint="eastAsia" w:ascii="仿宋_GB2312" w:hAnsi="仿宋_GB2312" w:eastAsia="仿宋_GB2312" w:cs="仿宋_GB2312"/>
          <w:color w:val="auto"/>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color w:val="auto"/>
          <w:kern w:val="0"/>
          <w:sz w:val="32"/>
          <w:szCs w:val="32"/>
        </w:rPr>
      </w:pPr>
      <w:bookmarkStart w:id="50" w:name="_Toc10581_WPSOffice_Level3"/>
      <w:r>
        <w:rPr>
          <w:rFonts w:hint="eastAsia" w:ascii="仿宋_GB2312" w:hAnsi="仿宋_GB2312" w:eastAsia="仿宋_GB2312" w:cs="仿宋_GB2312"/>
          <w:color w:val="auto"/>
          <w:kern w:val="0"/>
          <w:sz w:val="32"/>
          <w:szCs w:val="32"/>
        </w:rPr>
        <w:t>广净（非公招）字 [20××] 第 [×××] 号</w:t>
      </w:r>
      <w:bookmarkEnd w:id="50"/>
    </w:p>
    <w:p>
      <w:pPr>
        <w:autoSpaceDE w:val="0"/>
        <w:autoSpaceDN w:val="0"/>
        <w:adjustRightInd w:val="0"/>
        <w:spacing w:after="3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其中：</w:t>
      </w:r>
    </w:p>
    <w:p>
      <w:pPr>
        <w:autoSpaceDE w:val="0"/>
        <w:autoSpaceDN w:val="0"/>
        <w:adjustRightInd w:val="0"/>
        <w:spacing w:after="5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发包单位（盖章）：</w:t>
      </w:r>
    </w:p>
    <w:p>
      <w:pPr>
        <w:autoSpaceDE w:val="0"/>
        <w:autoSpaceDN w:val="0"/>
        <w:adjustRightInd w:val="0"/>
        <w:spacing w:after="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rPr>
          <w:rFonts w:hint="eastAsia" w:ascii="仿宋_GB2312" w:hAnsi="仿宋_GB2312" w:eastAsia="仿宋_GB2312" w:cs="仿宋_GB2312"/>
          <w:b/>
          <w:color w:val="auto"/>
          <w:sz w:val="28"/>
          <w:szCs w:val="28"/>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b/>
          <w:color w:val="auto"/>
          <w:kern w:val="0"/>
        </w:rPr>
      </w:pPr>
    </w:p>
    <w:p>
      <w:pPr>
        <w:rPr>
          <w:rFonts w:hint="eastAsia" w:ascii="仿宋_GB2312" w:hAnsi="仿宋_GB2312" w:eastAsia="仿宋_GB2312" w:cs="仿宋_GB2312"/>
          <w:b/>
          <w:color w:val="auto"/>
          <w:kern w:val="0"/>
        </w:rPr>
      </w:pPr>
    </w:p>
    <w:p>
      <w:pPr>
        <w:pStyle w:val="23"/>
        <w:rPr>
          <w:rFonts w:hint="eastAsia" w:ascii="仿宋_GB2312" w:hAnsi="仿宋_GB2312" w:eastAsia="仿宋_GB2312" w:cs="仿宋_GB2312"/>
          <w:color w:val="auto"/>
          <w:lang w:val="zh-CN"/>
        </w:rPr>
      </w:pPr>
      <w:bookmarkStart w:id="51" w:name="_Toc17034_WPSOffice_Level1"/>
      <w:r>
        <w:rPr>
          <w:rFonts w:hint="eastAsia" w:ascii="仿宋_GB2312" w:hAnsi="仿宋_GB2312" w:eastAsia="仿宋_GB2312" w:cs="仿宋_GB2312"/>
          <w:color w:val="auto"/>
          <w:lang w:val="zh-CN"/>
        </w:rPr>
        <w:t>第四部分  合同书格式</w:t>
      </w:r>
      <w:bookmarkEnd w:id="51"/>
    </w:p>
    <w:p>
      <w:pPr>
        <w:spacing w:line="400" w:lineRule="atLeast"/>
        <w:jc w:val="center"/>
        <w:rPr>
          <w:rFonts w:ascii="宋体" w:hAnsi="宋体" w:cs="宋体"/>
          <w:b/>
          <w:bCs/>
          <w:color w:val="auto"/>
          <w:sz w:val="48"/>
          <w:szCs w:val="48"/>
        </w:rPr>
      </w:pPr>
    </w:p>
    <w:p>
      <w:pPr>
        <w:spacing w:line="400" w:lineRule="atLeast"/>
        <w:jc w:val="center"/>
        <w:rPr>
          <w:rFonts w:ascii="宋体" w:hAnsi="宋体" w:cs="宋体"/>
          <w:b/>
          <w:bCs/>
          <w:color w:val="auto"/>
          <w:sz w:val="48"/>
          <w:szCs w:val="48"/>
        </w:rPr>
      </w:pPr>
    </w:p>
    <w:p>
      <w:pPr>
        <w:spacing w:line="400" w:lineRule="atLeast"/>
        <w:jc w:val="center"/>
        <w:rPr>
          <w:rFonts w:ascii="宋体" w:hAnsi="宋体" w:cs="宋体"/>
          <w:b/>
          <w:bCs/>
          <w:color w:val="auto"/>
          <w:sz w:val="48"/>
          <w:szCs w:val="48"/>
        </w:rPr>
      </w:pPr>
      <w:bookmarkStart w:id="52" w:name="_Toc12545_WPSOffice_Level2"/>
      <w:r>
        <w:rPr>
          <w:rFonts w:hint="eastAsia" w:ascii="宋体" w:hAnsi="宋体" w:cs="宋体"/>
          <w:b/>
          <w:bCs/>
          <w:color w:val="auto"/>
          <w:sz w:val="48"/>
          <w:szCs w:val="48"/>
        </w:rPr>
        <w:t>广州市净水有限公司</w:t>
      </w:r>
    </w:p>
    <w:p>
      <w:pPr>
        <w:spacing w:line="400" w:lineRule="atLeast"/>
        <w:jc w:val="center"/>
        <w:rPr>
          <w:rFonts w:asciiTheme="majorHAnsi" w:hAnsiTheme="majorHAnsi" w:eastAsiaTheme="majorEastAsia"/>
          <w:b/>
          <w:bCs/>
          <w:color w:val="auto"/>
          <w:sz w:val="52"/>
          <w:szCs w:val="52"/>
        </w:rPr>
      </w:pPr>
      <w:r>
        <w:rPr>
          <w:rFonts w:hint="eastAsia" w:ascii="宋体" w:hAnsi="宋体" w:cs="宋体"/>
          <w:b/>
          <w:bCs/>
          <w:color w:val="auto"/>
          <w:sz w:val="48"/>
          <w:szCs w:val="48"/>
        </w:rPr>
        <w:t>信息系统建设合同</w:t>
      </w:r>
    </w:p>
    <w:p>
      <w:pPr>
        <w:spacing w:line="400" w:lineRule="atLeast"/>
        <w:jc w:val="center"/>
        <w:rPr>
          <w:rFonts w:ascii="宋体" w:hAnsi="宋体"/>
          <w:b/>
          <w:color w:val="auto"/>
          <w:sz w:val="28"/>
        </w:rPr>
      </w:pPr>
    </w:p>
    <w:p>
      <w:pPr>
        <w:spacing w:line="400" w:lineRule="atLeast"/>
        <w:jc w:val="center"/>
        <w:rPr>
          <w:rFonts w:ascii="宋体" w:hAnsi="宋体"/>
          <w:b/>
          <w:color w:val="auto"/>
          <w:sz w:val="28"/>
        </w:rPr>
      </w:pP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506" w:hangingChars="500"/>
        <w:rPr>
          <w:rFonts w:hint="eastAsia" w:ascii="宋体" w:hAnsi="宋体" w:eastAsia="宋体" w:cs="宋体"/>
          <w:b/>
          <w:color w:val="auto"/>
          <w:sz w:val="30"/>
          <w:szCs w:val="30"/>
          <w:lang w:eastAsia="zh-CN"/>
        </w:rPr>
      </w:pPr>
      <w:r>
        <w:rPr>
          <w:rFonts w:hint="eastAsia" w:ascii="宋体" w:hAnsi="宋体" w:cs="宋体"/>
          <w:b/>
          <w:color w:val="auto"/>
          <w:sz w:val="30"/>
          <w:szCs w:val="30"/>
        </w:rPr>
        <w:t xml:space="preserve">项目名称: </w:t>
      </w:r>
      <w:r>
        <w:rPr>
          <w:rFonts w:hint="eastAsia" w:ascii="宋体" w:hAnsi="宋体"/>
          <w:color w:val="000000"/>
          <w:sz w:val="28"/>
          <w:szCs w:val="28"/>
          <w:u w:val="single"/>
          <w:lang w:val="en-US" w:eastAsia="zh-CN"/>
        </w:rPr>
        <w:t>广州市净水有限公司沥滘智慧安防系统工程项目</w:t>
      </w:r>
    </w:p>
    <w:p>
      <w:pPr>
        <w:spacing w:line="400" w:lineRule="atLeast"/>
        <w:rPr>
          <w:rFonts w:ascii="宋体" w:hAnsi="宋体" w:cs="宋体"/>
          <w:b/>
          <w:color w:val="auto"/>
          <w:sz w:val="30"/>
          <w:szCs w:val="30"/>
        </w:rPr>
      </w:pPr>
      <w:r>
        <w:rPr>
          <w:rFonts w:hint="eastAsia" w:ascii="宋体" w:hAnsi="宋体" w:cs="宋体"/>
          <w:b/>
          <w:color w:val="auto"/>
          <w:sz w:val="30"/>
          <w:szCs w:val="30"/>
        </w:rPr>
        <w:t>项目编号：</w:t>
      </w:r>
      <w:r>
        <w:rPr>
          <w:rFonts w:ascii="宋体" w:hAnsi="宋体" w:cs="宋体"/>
          <w:b/>
          <w:color w:val="auto"/>
          <w:sz w:val="30"/>
          <w:szCs w:val="30"/>
        </w:rPr>
        <w:t xml:space="preserve"> </w:t>
      </w:r>
    </w:p>
    <w:p>
      <w:pPr>
        <w:spacing w:line="400" w:lineRule="atLeast"/>
        <w:rPr>
          <w:rFonts w:ascii="宋体" w:hAnsi="宋体" w:cs="宋体"/>
          <w:b/>
          <w:color w:val="auto"/>
          <w:sz w:val="30"/>
          <w:szCs w:val="30"/>
        </w:rPr>
      </w:pPr>
    </w:p>
    <w:p>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spacing w:line="400" w:lineRule="atLeast"/>
        <w:ind w:firstLine="602" w:firstLineChars="200"/>
        <w:rPr>
          <w:rFonts w:ascii="宋体" w:hAnsi="宋体" w:cs="宋体"/>
          <w:b/>
          <w:color w:val="auto"/>
          <w:sz w:val="30"/>
          <w:szCs w:val="30"/>
        </w:rPr>
      </w:pP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乙方： </w:t>
      </w:r>
    </w:p>
    <w:p>
      <w:pPr>
        <w:rPr>
          <w:rFonts w:ascii="仿宋_GB2312" w:eastAsia="仿宋_GB2312"/>
          <w:bCs/>
          <w:color w:val="auto"/>
          <w:sz w:val="28"/>
          <w:szCs w:val="28"/>
        </w:rPr>
      </w:pPr>
    </w:p>
    <w:p>
      <w:pPr>
        <w:rPr>
          <w:rFonts w:ascii="仿宋_GB2312" w:eastAsia="仿宋_GB2312"/>
          <w:bCs/>
          <w:color w:val="auto"/>
          <w:sz w:val="28"/>
          <w:szCs w:val="28"/>
        </w:rPr>
      </w:pPr>
    </w:p>
    <w:p>
      <w:pPr>
        <w:rPr>
          <w:rFonts w:ascii="仿宋_GB2312" w:eastAsia="仿宋_GB2312"/>
          <w:bCs/>
          <w:color w:val="auto"/>
          <w:sz w:val="28"/>
          <w:szCs w:val="28"/>
        </w:rPr>
      </w:pPr>
    </w:p>
    <w:p>
      <w:pPr>
        <w:spacing w:line="540" w:lineRule="exact"/>
        <w:rPr>
          <w:rFonts w:ascii="宋体" w:hAnsi="宋体" w:cs="宋体"/>
          <w:b/>
          <w:color w:val="auto"/>
          <w:kern w:val="0"/>
          <w:sz w:val="24"/>
          <w:szCs w:val="24"/>
        </w:rPr>
      </w:pPr>
    </w:p>
    <w:p>
      <w:pPr>
        <w:spacing w:before="93" w:beforeLines="30" w:line="500" w:lineRule="exact"/>
        <w:ind w:firstLine="720" w:firstLineChars="300"/>
        <w:rPr>
          <w:rFonts w:ascii="宋体" w:hAnsi="宋体" w:cs="宋体"/>
          <w:color w:val="auto"/>
          <w:sz w:val="24"/>
          <w:szCs w:val="24"/>
        </w:rPr>
      </w:pPr>
      <w:r>
        <w:rPr>
          <w:rFonts w:hint="eastAsia" w:ascii="宋体" w:hAnsi="宋体" w:cs="宋体"/>
          <w:color w:val="auto"/>
          <w:sz w:val="24"/>
          <w:szCs w:val="24"/>
          <w:u w:val="single"/>
        </w:rPr>
        <w:t>广州市净水有限公司</w:t>
      </w:r>
      <w:r>
        <w:rPr>
          <w:rFonts w:hint="eastAsia" w:ascii="宋体" w:hAnsi="宋体" w:cs="宋体"/>
          <w:color w:val="auto"/>
          <w:sz w:val="24"/>
          <w:szCs w:val="24"/>
        </w:rPr>
        <w:t>（以下简称“甲方”）与</w:t>
      </w:r>
      <w:r>
        <w:rPr>
          <w:rFonts w:hint="eastAsia" w:ascii="宋体" w:hAnsi="宋体" w:cs="宋体"/>
          <w:color w:val="auto"/>
          <w:sz w:val="24"/>
          <w:szCs w:val="24"/>
          <w:u w:val="single"/>
        </w:rPr>
        <w:t xml:space="preserve">    …  </w:t>
      </w:r>
      <w:r>
        <w:rPr>
          <w:rFonts w:hint="eastAsia" w:ascii="宋体" w:hAnsi="宋体" w:cs="宋体"/>
          <w:color w:val="auto"/>
          <w:sz w:val="24"/>
          <w:szCs w:val="24"/>
        </w:rPr>
        <w:t>（以下简称“乙方”）依照</w:t>
      </w:r>
      <w:r>
        <w:rPr>
          <w:rFonts w:hint="eastAsia" w:ascii="宋体" w:hAnsi="宋体" w:cs="宋体"/>
          <w:color w:val="auto"/>
          <w:sz w:val="24"/>
          <w:szCs w:val="24"/>
          <w:shd w:val="clear" w:color="auto" w:fill="FFFFFF"/>
        </w:rPr>
        <w:t>《中华人民共和国网络安全法》及相关</w:t>
      </w:r>
      <w:r>
        <w:rPr>
          <w:rFonts w:hint="eastAsia" w:ascii="宋体" w:hAnsi="宋体" w:cs="宋体"/>
          <w:color w:val="auto"/>
          <w:sz w:val="24"/>
          <w:szCs w:val="24"/>
        </w:rPr>
        <w:t>法律法规，就</w:t>
      </w:r>
      <w:r>
        <w:rPr>
          <w:rFonts w:hint="eastAsia" w:ascii="宋体" w:hAnsi="宋体" w:cs="宋体"/>
          <w:color w:val="auto"/>
          <w:sz w:val="24"/>
          <w:szCs w:val="24"/>
          <w:u w:val="single"/>
        </w:rPr>
        <w:t xml:space="preserve">  … </w:t>
      </w:r>
      <w:r>
        <w:rPr>
          <w:rFonts w:hint="eastAsia" w:ascii="宋体" w:hAnsi="宋体" w:cs="宋体"/>
          <w:color w:val="auto"/>
          <w:sz w:val="24"/>
          <w:szCs w:val="24"/>
        </w:rPr>
        <w:t>项目遵循平等、自愿、公平和诚实信用的原则，经双方协商一致，特订立本合同。</w:t>
      </w:r>
    </w:p>
    <w:p>
      <w:pPr>
        <w:spacing w:before="93" w:beforeLines="30" w:line="5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一、组成合同的文件及优先顺序</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 xml:space="preserve">⑴ </w:t>
      </w:r>
      <w:r>
        <w:rPr>
          <w:rFonts w:hint="eastAsia" w:ascii="宋体" w:hAnsi="宋体" w:cs="宋体"/>
          <w:color w:val="auto"/>
          <w:sz w:val="24"/>
          <w:szCs w:val="24"/>
        </w:rPr>
        <w:t>在本合同实施过程双方签署的补充与修正文件</w:t>
      </w:r>
      <w:r>
        <w:rPr>
          <w:rFonts w:hint="eastAsia" w:ascii="宋体" w:hAnsi="宋体" w:cs="宋体"/>
          <w:bCs/>
          <w:color w:val="auto"/>
          <w:sz w:val="24"/>
          <w:szCs w:val="24"/>
        </w:rPr>
        <w:t>；</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⑵ 本合同书；</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⑶ 发包通知书/委托函；</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⑷ 询价文件；</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⑸ 响应文件；</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⑹ 标准、规范及有关技术性文件；</w:t>
      </w:r>
    </w:p>
    <w:p>
      <w:pPr>
        <w:spacing w:line="500" w:lineRule="exact"/>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⑺ 技术需求书</w:t>
      </w:r>
      <w:r>
        <w:rPr>
          <w:rFonts w:hint="eastAsia" w:ascii="宋体" w:hAnsi="宋体" w:cs="宋体"/>
          <w:bCs/>
          <w:color w:val="auto"/>
          <w:sz w:val="24"/>
          <w:szCs w:val="24"/>
          <w:lang w:val="en-US" w:eastAsia="zh-CN"/>
        </w:rPr>
        <w:t>;</w:t>
      </w:r>
    </w:p>
    <w:p>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rPr>
        <w:t>本合同其他附件；</w:t>
      </w:r>
    </w:p>
    <w:p>
      <w:pPr>
        <w:spacing w:line="500" w:lineRule="exact"/>
        <w:rPr>
          <w:rFonts w:ascii="宋体" w:hAnsi="宋体" w:cs="宋体"/>
          <w:b/>
          <w:color w:val="auto"/>
          <w:sz w:val="24"/>
          <w:szCs w:val="24"/>
        </w:rPr>
      </w:pPr>
      <w:r>
        <w:rPr>
          <w:rFonts w:hint="eastAsia" w:ascii="宋体" w:hAnsi="宋体" w:cs="宋体"/>
          <w:color w:val="auto"/>
          <w:sz w:val="24"/>
          <w:szCs w:val="24"/>
        </w:rPr>
        <w:t>　　</w:t>
      </w:r>
      <w:r>
        <w:rPr>
          <w:rFonts w:hint="eastAsia" w:ascii="宋体" w:hAnsi="宋体" w:cs="宋体"/>
          <w:b/>
          <w:color w:val="auto"/>
          <w:sz w:val="24"/>
          <w:szCs w:val="24"/>
        </w:rPr>
        <w:t>二、服务内容及建设目标：</w:t>
      </w:r>
    </w:p>
    <w:p>
      <w:pPr>
        <w:spacing w:line="50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2.1服务内容：</w:t>
      </w:r>
    </w:p>
    <w:p>
      <w:pPr>
        <w:spacing w:line="50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乙方须完成甲方询价文件中第二部分项目内容的所有内容，包括目标需求、技术服务要求、培训要求以及商务要求，并提供项目所涉及的所有设备清单，包括但不限于硬件设备、软件、授权、辅助配件等。</w:t>
      </w:r>
    </w:p>
    <w:p>
      <w:pPr>
        <w:spacing w:line="50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设备清单</w:t>
      </w:r>
      <w:r>
        <w:rPr>
          <w:rFonts w:hint="eastAsia" w:ascii="宋体" w:hAnsi="宋体" w:eastAsia="宋体" w:cs="宋体"/>
          <w:color w:val="auto"/>
          <w:sz w:val="24"/>
          <w:szCs w:val="24"/>
          <w:lang w:val="en-US" w:eastAsia="zh-CN"/>
        </w:rPr>
        <w:t>(包括硬件和软件）</w:t>
      </w:r>
      <w:r>
        <w:rPr>
          <w:rFonts w:hint="eastAsia" w:ascii="宋体" w:hAnsi="宋体" w:eastAsia="宋体" w:cs="宋体"/>
          <w:color w:val="auto"/>
          <w:sz w:val="24"/>
          <w:szCs w:val="24"/>
        </w:rPr>
        <w:t>：（详见附件5技术需求书）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97"/>
        <w:gridCol w:w="1323"/>
        <w:gridCol w:w="855"/>
        <w:gridCol w:w="1359"/>
        <w:gridCol w:w="713"/>
        <w:gridCol w:w="1306"/>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序号</w:t>
            </w:r>
          </w:p>
        </w:tc>
        <w:tc>
          <w:tcPr>
            <w:tcW w:w="1397"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物品名称</w:t>
            </w:r>
          </w:p>
        </w:tc>
        <w:tc>
          <w:tcPr>
            <w:tcW w:w="1323"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规格</w:t>
            </w:r>
          </w:p>
        </w:tc>
        <w:tc>
          <w:tcPr>
            <w:tcW w:w="855"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数量</w:t>
            </w:r>
          </w:p>
        </w:tc>
        <w:tc>
          <w:tcPr>
            <w:tcW w:w="135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单价</w:t>
            </w:r>
          </w:p>
        </w:tc>
        <w:tc>
          <w:tcPr>
            <w:tcW w:w="713"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单位</w:t>
            </w:r>
          </w:p>
        </w:tc>
        <w:tc>
          <w:tcPr>
            <w:tcW w:w="1306"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总价</w:t>
            </w:r>
          </w:p>
        </w:tc>
        <w:tc>
          <w:tcPr>
            <w:tcW w:w="820"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1</w:t>
            </w:r>
          </w:p>
        </w:tc>
        <w:tc>
          <w:tcPr>
            <w:tcW w:w="1397" w:type="dxa"/>
          </w:tcPr>
          <w:p>
            <w:pPr>
              <w:spacing w:line="520" w:lineRule="exact"/>
              <w:rPr>
                <w:rFonts w:hint="eastAsia" w:ascii="仿宋_GB2312" w:hAnsi="仿宋_GB2312" w:eastAsia="仿宋_GB2312" w:cs="仿宋_GB2312"/>
                <w:color w:val="auto"/>
                <w:sz w:val="24"/>
                <w:lang w:eastAsia="zh-SG"/>
              </w:rPr>
            </w:pPr>
          </w:p>
        </w:tc>
        <w:tc>
          <w:tcPr>
            <w:tcW w:w="1323" w:type="dxa"/>
          </w:tcPr>
          <w:p>
            <w:pPr>
              <w:spacing w:line="520" w:lineRule="exact"/>
              <w:rPr>
                <w:rFonts w:hint="eastAsia" w:ascii="仿宋_GB2312" w:hAnsi="仿宋_GB2312" w:eastAsia="仿宋_GB2312" w:cs="仿宋_GB2312"/>
                <w:color w:val="auto"/>
                <w:sz w:val="24"/>
                <w:lang w:eastAsia="zh-SG"/>
              </w:rPr>
            </w:pPr>
          </w:p>
        </w:tc>
        <w:tc>
          <w:tcPr>
            <w:tcW w:w="855" w:type="dxa"/>
          </w:tcPr>
          <w:p>
            <w:pPr>
              <w:spacing w:line="520" w:lineRule="exact"/>
              <w:rPr>
                <w:rFonts w:hint="eastAsia" w:ascii="仿宋_GB2312" w:hAnsi="仿宋_GB2312" w:eastAsia="仿宋_GB2312" w:cs="仿宋_GB2312"/>
                <w:color w:val="auto"/>
                <w:sz w:val="24"/>
                <w:lang w:eastAsia="zh-SG"/>
              </w:rPr>
            </w:pPr>
          </w:p>
        </w:tc>
        <w:tc>
          <w:tcPr>
            <w:tcW w:w="1359" w:type="dxa"/>
          </w:tcPr>
          <w:p>
            <w:pPr>
              <w:spacing w:line="520" w:lineRule="exact"/>
              <w:rPr>
                <w:rFonts w:hint="eastAsia" w:ascii="仿宋_GB2312" w:hAnsi="仿宋_GB2312" w:eastAsia="仿宋_GB2312" w:cs="仿宋_GB2312"/>
                <w:color w:val="auto"/>
                <w:sz w:val="24"/>
                <w:lang w:eastAsia="zh-SG"/>
              </w:rPr>
            </w:pPr>
          </w:p>
        </w:tc>
        <w:tc>
          <w:tcPr>
            <w:tcW w:w="713" w:type="dxa"/>
          </w:tcPr>
          <w:p>
            <w:pPr>
              <w:spacing w:line="520" w:lineRule="exact"/>
              <w:rPr>
                <w:rFonts w:hint="eastAsia" w:ascii="仿宋_GB2312" w:hAnsi="仿宋_GB2312" w:eastAsia="仿宋_GB2312" w:cs="仿宋_GB2312"/>
                <w:color w:val="auto"/>
                <w:sz w:val="24"/>
                <w:lang w:eastAsia="zh-SG"/>
              </w:rPr>
            </w:pPr>
          </w:p>
        </w:tc>
        <w:tc>
          <w:tcPr>
            <w:tcW w:w="1306" w:type="dxa"/>
          </w:tcPr>
          <w:p>
            <w:pPr>
              <w:spacing w:line="520" w:lineRule="exact"/>
              <w:rPr>
                <w:rFonts w:hint="eastAsia" w:ascii="仿宋_GB2312" w:hAnsi="仿宋_GB2312" w:eastAsia="仿宋_GB2312" w:cs="仿宋_GB2312"/>
                <w:color w:val="auto"/>
                <w:sz w:val="24"/>
                <w:lang w:eastAsia="zh-SG"/>
              </w:rPr>
            </w:pPr>
          </w:p>
        </w:tc>
        <w:tc>
          <w:tcPr>
            <w:tcW w:w="820" w:type="dxa"/>
          </w:tcPr>
          <w:p>
            <w:pPr>
              <w:spacing w:line="520" w:lineRule="exact"/>
              <w:rPr>
                <w:rFonts w:hint="eastAsia" w:ascii="仿宋_GB2312" w:hAnsi="仿宋_GB2312" w:eastAsia="仿宋_GB2312" w:cs="仿宋_GB2312"/>
                <w:color w:val="auto"/>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2</w:t>
            </w:r>
          </w:p>
        </w:tc>
        <w:tc>
          <w:tcPr>
            <w:tcW w:w="1397" w:type="dxa"/>
          </w:tcPr>
          <w:p>
            <w:pPr>
              <w:spacing w:line="520" w:lineRule="exact"/>
              <w:rPr>
                <w:rFonts w:hint="eastAsia" w:ascii="仿宋_GB2312" w:hAnsi="仿宋_GB2312" w:eastAsia="仿宋_GB2312" w:cs="仿宋_GB2312"/>
                <w:color w:val="auto"/>
                <w:sz w:val="24"/>
                <w:lang w:eastAsia="zh-SG"/>
              </w:rPr>
            </w:pPr>
          </w:p>
        </w:tc>
        <w:tc>
          <w:tcPr>
            <w:tcW w:w="1323" w:type="dxa"/>
          </w:tcPr>
          <w:p>
            <w:pPr>
              <w:spacing w:line="520" w:lineRule="exact"/>
              <w:rPr>
                <w:rFonts w:hint="eastAsia" w:ascii="仿宋_GB2312" w:hAnsi="仿宋_GB2312" w:eastAsia="仿宋_GB2312" w:cs="仿宋_GB2312"/>
                <w:color w:val="auto"/>
                <w:sz w:val="24"/>
                <w:lang w:eastAsia="zh-SG"/>
              </w:rPr>
            </w:pPr>
          </w:p>
        </w:tc>
        <w:tc>
          <w:tcPr>
            <w:tcW w:w="855" w:type="dxa"/>
          </w:tcPr>
          <w:p>
            <w:pPr>
              <w:spacing w:line="520" w:lineRule="exact"/>
              <w:rPr>
                <w:rFonts w:hint="eastAsia" w:ascii="仿宋_GB2312" w:hAnsi="仿宋_GB2312" w:eastAsia="仿宋_GB2312" w:cs="仿宋_GB2312"/>
                <w:color w:val="auto"/>
                <w:sz w:val="24"/>
                <w:lang w:eastAsia="zh-SG"/>
              </w:rPr>
            </w:pPr>
          </w:p>
        </w:tc>
        <w:tc>
          <w:tcPr>
            <w:tcW w:w="1359" w:type="dxa"/>
          </w:tcPr>
          <w:p>
            <w:pPr>
              <w:spacing w:line="520" w:lineRule="exact"/>
              <w:rPr>
                <w:rFonts w:hint="eastAsia" w:ascii="仿宋_GB2312" w:hAnsi="仿宋_GB2312" w:eastAsia="仿宋_GB2312" w:cs="仿宋_GB2312"/>
                <w:color w:val="auto"/>
                <w:sz w:val="24"/>
                <w:lang w:eastAsia="zh-SG"/>
              </w:rPr>
            </w:pPr>
          </w:p>
        </w:tc>
        <w:tc>
          <w:tcPr>
            <w:tcW w:w="713" w:type="dxa"/>
          </w:tcPr>
          <w:p>
            <w:pPr>
              <w:spacing w:line="520" w:lineRule="exact"/>
              <w:rPr>
                <w:rFonts w:hint="eastAsia" w:ascii="仿宋_GB2312" w:hAnsi="仿宋_GB2312" w:eastAsia="仿宋_GB2312" w:cs="仿宋_GB2312"/>
                <w:color w:val="auto"/>
                <w:sz w:val="24"/>
                <w:lang w:eastAsia="zh-SG"/>
              </w:rPr>
            </w:pPr>
          </w:p>
        </w:tc>
        <w:tc>
          <w:tcPr>
            <w:tcW w:w="1306" w:type="dxa"/>
          </w:tcPr>
          <w:p>
            <w:pPr>
              <w:spacing w:line="520" w:lineRule="exact"/>
              <w:rPr>
                <w:rFonts w:hint="eastAsia" w:ascii="仿宋_GB2312" w:hAnsi="仿宋_GB2312" w:eastAsia="仿宋_GB2312" w:cs="仿宋_GB2312"/>
                <w:color w:val="auto"/>
                <w:sz w:val="24"/>
                <w:lang w:eastAsia="zh-SG"/>
              </w:rPr>
            </w:pPr>
          </w:p>
        </w:tc>
        <w:tc>
          <w:tcPr>
            <w:tcW w:w="820" w:type="dxa"/>
          </w:tcPr>
          <w:p>
            <w:pPr>
              <w:spacing w:line="520" w:lineRule="exact"/>
              <w:rPr>
                <w:rFonts w:hint="eastAsia" w:ascii="仿宋_GB2312" w:hAnsi="仿宋_GB2312" w:eastAsia="仿宋_GB2312" w:cs="仿宋_GB2312"/>
                <w:color w:val="auto"/>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3</w:t>
            </w:r>
          </w:p>
        </w:tc>
        <w:tc>
          <w:tcPr>
            <w:tcW w:w="1397" w:type="dxa"/>
          </w:tcPr>
          <w:p>
            <w:pPr>
              <w:spacing w:line="520" w:lineRule="exact"/>
              <w:rPr>
                <w:rFonts w:hint="eastAsia" w:ascii="仿宋_GB2312" w:hAnsi="仿宋_GB2312" w:eastAsia="仿宋_GB2312" w:cs="仿宋_GB2312"/>
                <w:color w:val="auto"/>
                <w:sz w:val="24"/>
                <w:lang w:eastAsia="zh-SG"/>
              </w:rPr>
            </w:pPr>
          </w:p>
        </w:tc>
        <w:tc>
          <w:tcPr>
            <w:tcW w:w="1323" w:type="dxa"/>
          </w:tcPr>
          <w:p>
            <w:pPr>
              <w:spacing w:line="520" w:lineRule="exact"/>
              <w:rPr>
                <w:rFonts w:hint="eastAsia" w:ascii="仿宋_GB2312" w:hAnsi="仿宋_GB2312" w:eastAsia="仿宋_GB2312" w:cs="仿宋_GB2312"/>
                <w:color w:val="auto"/>
                <w:sz w:val="24"/>
                <w:lang w:eastAsia="zh-SG"/>
              </w:rPr>
            </w:pPr>
          </w:p>
        </w:tc>
        <w:tc>
          <w:tcPr>
            <w:tcW w:w="855" w:type="dxa"/>
          </w:tcPr>
          <w:p>
            <w:pPr>
              <w:spacing w:line="520" w:lineRule="exact"/>
              <w:rPr>
                <w:rFonts w:hint="eastAsia" w:ascii="仿宋_GB2312" w:hAnsi="仿宋_GB2312" w:eastAsia="仿宋_GB2312" w:cs="仿宋_GB2312"/>
                <w:color w:val="auto"/>
                <w:sz w:val="24"/>
                <w:lang w:eastAsia="zh-SG"/>
              </w:rPr>
            </w:pPr>
          </w:p>
        </w:tc>
        <w:tc>
          <w:tcPr>
            <w:tcW w:w="1359" w:type="dxa"/>
          </w:tcPr>
          <w:p>
            <w:pPr>
              <w:spacing w:line="520" w:lineRule="exact"/>
              <w:rPr>
                <w:rFonts w:hint="eastAsia" w:ascii="仿宋_GB2312" w:hAnsi="仿宋_GB2312" w:eastAsia="仿宋_GB2312" w:cs="仿宋_GB2312"/>
                <w:color w:val="auto"/>
                <w:sz w:val="24"/>
                <w:lang w:eastAsia="zh-SG"/>
              </w:rPr>
            </w:pPr>
          </w:p>
        </w:tc>
        <w:tc>
          <w:tcPr>
            <w:tcW w:w="713" w:type="dxa"/>
          </w:tcPr>
          <w:p>
            <w:pPr>
              <w:spacing w:line="520" w:lineRule="exact"/>
              <w:rPr>
                <w:rFonts w:hint="eastAsia" w:ascii="仿宋_GB2312" w:hAnsi="仿宋_GB2312" w:eastAsia="仿宋_GB2312" w:cs="仿宋_GB2312"/>
                <w:color w:val="auto"/>
                <w:sz w:val="24"/>
                <w:lang w:eastAsia="zh-SG"/>
              </w:rPr>
            </w:pPr>
          </w:p>
        </w:tc>
        <w:tc>
          <w:tcPr>
            <w:tcW w:w="1306" w:type="dxa"/>
          </w:tcPr>
          <w:p>
            <w:pPr>
              <w:spacing w:line="520" w:lineRule="exact"/>
              <w:rPr>
                <w:rFonts w:hint="eastAsia" w:ascii="仿宋_GB2312" w:hAnsi="仿宋_GB2312" w:eastAsia="仿宋_GB2312" w:cs="仿宋_GB2312"/>
                <w:color w:val="auto"/>
                <w:sz w:val="24"/>
                <w:lang w:eastAsia="zh-SG"/>
              </w:rPr>
            </w:pPr>
          </w:p>
        </w:tc>
        <w:tc>
          <w:tcPr>
            <w:tcW w:w="820" w:type="dxa"/>
          </w:tcPr>
          <w:p>
            <w:pPr>
              <w:spacing w:line="520" w:lineRule="exact"/>
              <w:rPr>
                <w:rFonts w:hint="eastAsia" w:ascii="仿宋_GB2312" w:hAnsi="仿宋_GB2312" w:eastAsia="仿宋_GB2312" w:cs="仿宋_GB2312"/>
                <w:color w:val="auto"/>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4</w:t>
            </w:r>
          </w:p>
        </w:tc>
        <w:tc>
          <w:tcPr>
            <w:tcW w:w="1397" w:type="dxa"/>
          </w:tcPr>
          <w:p>
            <w:pPr>
              <w:spacing w:line="520" w:lineRule="exact"/>
              <w:rPr>
                <w:rFonts w:hint="eastAsia" w:ascii="仿宋_GB2312" w:hAnsi="仿宋_GB2312" w:eastAsia="仿宋_GB2312" w:cs="仿宋_GB2312"/>
                <w:color w:val="auto"/>
                <w:sz w:val="24"/>
                <w:lang w:eastAsia="zh-SG"/>
              </w:rPr>
            </w:pPr>
          </w:p>
        </w:tc>
        <w:tc>
          <w:tcPr>
            <w:tcW w:w="1323" w:type="dxa"/>
          </w:tcPr>
          <w:p>
            <w:pPr>
              <w:spacing w:line="520" w:lineRule="exact"/>
              <w:rPr>
                <w:rFonts w:hint="eastAsia" w:ascii="仿宋_GB2312" w:hAnsi="仿宋_GB2312" w:eastAsia="仿宋_GB2312" w:cs="仿宋_GB2312"/>
                <w:color w:val="auto"/>
                <w:sz w:val="24"/>
                <w:lang w:eastAsia="zh-SG"/>
              </w:rPr>
            </w:pPr>
          </w:p>
        </w:tc>
        <w:tc>
          <w:tcPr>
            <w:tcW w:w="855" w:type="dxa"/>
          </w:tcPr>
          <w:p>
            <w:pPr>
              <w:spacing w:line="520" w:lineRule="exact"/>
              <w:rPr>
                <w:rFonts w:hint="eastAsia" w:ascii="仿宋_GB2312" w:hAnsi="仿宋_GB2312" w:eastAsia="仿宋_GB2312" w:cs="仿宋_GB2312"/>
                <w:color w:val="auto"/>
                <w:sz w:val="24"/>
                <w:lang w:eastAsia="zh-SG"/>
              </w:rPr>
            </w:pPr>
          </w:p>
        </w:tc>
        <w:tc>
          <w:tcPr>
            <w:tcW w:w="1359" w:type="dxa"/>
          </w:tcPr>
          <w:p>
            <w:pPr>
              <w:spacing w:line="520" w:lineRule="exact"/>
              <w:rPr>
                <w:rFonts w:hint="eastAsia" w:ascii="仿宋_GB2312" w:hAnsi="仿宋_GB2312" w:eastAsia="仿宋_GB2312" w:cs="仿宋_GB2312"/>
                <w:color w:val="auto"/>
                <w:sz w:val="24"/>
                <w:lang w:eastAsia="zh-SG"/>
              </w:rPr>
            </w:pPr>
          </w:p>
        </w:tc>
        <w:tc>
          <w:tcPr>
            <w:tcW w:w="713" w:type="dxa"/>
          </w:tcPr>
          <w:p>
            <w:pPr>
              <w:spacing w:line="520" w:lineRule="exact"/>
              <w:rPr>
                <w:rFonts w:hint="eastAsia" w:ascii="仿宋_GB2312" w:hAnsi="仿宋_GB2312" w:eastAsia="仿宋_GB2312" w:cs="仿宋_GB2312"/>
                <w:color w:val="auto"/>
                <w:sz w:val="24"/>
                <w:lang w:eastAsia="zh-SG"/>
              </w:rPr>
            </w:pPr>
          </w:p>
        </w:tc>
        <w:tc>
          <w:tcPr>
            <w:tcW w:w="1306" w:type="dxa"/>
          </w:tcPr>
          <w:p>
            <w:pPr>
              <w:spacing w:line="520" w:lineRule="exact"/>
              <w:rPr>
                <w:rFonts w:hint="eastAsia" w:ascii="仿宋_GB2312" w:hAnsi="仿宋_GB2312" w:eastAsia="仿宋_GB2312" w:cs="仿宋_GB2312"/>
                <w:color w:val="auto"/>
                <w:sz w:val="24"/>
                <w:lang w:eastAsia="zh-SG"/>
              </w:rPr>
            </w:pPr>
          </w:p>
        </w:tc>
        <w:tc>
          <w:tcPr>
            <w:tcW w:w="820" w:type="dxa"/>
          </w:tcPr>
          <w:p>
            <w:pPr>
              <w:spacing w:line="520" w:lineRule="exact"/>
              <w:rPr>
                <w:rFonts w:hint="eastAsia" w:ascii="仿宋_GB2312" w:hAnsi="仿宋_GB2312" w:eastAsia="仿宋_GB2312" w:cs="仿宋_GB2312"/>
                <w:color w:val="auto"/>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w:t>
            </w:r>
          </w:p>
        </w:tc>
        <w:tc>
          <w:tcPr>
            <w:tcW w:w="1397" w:type="dxa"/>
          </w:tcPr>
          <w:p>
            <w:pPr>
              <w:spacing w:line="520" w:lineRule="exact"/>
              <w:rPr>
                <w:rFonts w:hint="eastAsia" w:ascii="仿宋_GB2312" w:hAnsi="仿宋_GB2312" w:eastAsia="仿宋_GB2312" w:cs="仿宋_GB2312"/>
                <w:color w:val="auto"/>
                <w:sz w:val="24"/>
                <w:lang w:eastAsia="zh-SG"/>
              </w:rPr>
            </w:pPr>
          </w:p>
        </w:tc>
        <w:tc>
          <w:tcPr>
            <w:tcW w:w="1323" w:type="dxa"/>
          </w:tcPr>
          <w:p>
            <w:pPr>
              <w:spacing w:line="520" w:lineRule="exact"/>
              <w:rPr>
                <w:rFonts w:hint="eastAsia" w:ascii="仿宋_GB2312" w:hAnsi="仿宋_GB2312" w:eastAsia="仿宋_GB2312" w:cs="仿宋_GB2312"/>
                <w:color w:val="auto"/>
                <w:sz w:val="24"/>
                <w:lang w:eastAsia="zh-SG"/>
              </w:rPr>
            </w:pPr>
          </w:p>
        </w:tc>
        <w:tc>
          <w:tcPr>
            <w:tcW w:w="855" w:type="dxa"/>
          </w:tcPr>
          <w:p>
            <w:pPr>
              <w:spacing w:line="520" w:lineRule="exact"/>
              <w:rPr>
                <w:rFonts w:hint="eastAsia" w:ascii="仿宋_GB2312" w:hAnsi="仿宋_GB2312" w:eastAsia="仿宋_GB2312" w:cs="仿宋_GB2312"/>
                <w:color w:val="auto"/>
                <w:sz w:val="24"/>
                <w:lang w:eastAsia="zh-SG"/>
              </w:rPr>
            </w:pPr>
          </w:p>
        </w:tc>
        <w:tc>
          <w:tcPr>
            <w:tcW w:w="1359" w:type="dxa"/>
          </w:tcPr>
          <w:p>
            <w:pPr>
              <w:spacing w:line="520" w:lineRule="exact"/>
              <w:rPr>
                <w:rFonts w:hint="eastAsia" w:ascii="仿宋_GB2312" w:hAnsi="仿宋_GB2312" w:eastAsia="仿宋_GB2312" w:cs="仿宋_GB2312"/>
                <w:color w:val="auto"/>
                <w:sz w:val="24"/>
                <w:lang w:eastAsia="zh-SG"/>
              </w:rPr>
            </w:pPr>
          </w:p>
        </w:tc>
        <w:tc>
          <w:tcPr>
            <w:tcW w:w="713" w:type="dxa"/>
          </w:tcPr>
          <w:p>
            <w:pPr>
              <w:spacing w:line="520" w:lineRule="exact"/>
              <w:rPr>
                <w:rFonts w:hint="eastAsia" w:ascii="仿宋_GB2312" w:hAnsi="仿宋_GB2312" w:eastAsia="仿宋_GB2312" w:cs="仿宋_GB2312"/>
                <w:color w:val="auto"/>
                <w:sz w:val="24"/>
                <w:lang w:eastAsia="zh-SG"/>
              </w:rPr>
            </w:pPr>
          </w:p>
        </w:tc>
        <w:tc>
          <w:tcPr>
            <w:tcW w:w="1306" w:type="dxa"/>
          </w:tcPr>
          <w:p>
            <w:pPr>
              <w:spacing w:line="520" w:lineRule="exact"/>
              <w:rPr>
                <w:rFonts w:hint="eastAsia" w:ascii="仿宋_GB2312" w:hAnsi="仿宋_GB2312" w:eastAsia="仿宋_GB2312" w:cs="仿宋_GB2312"/>
                <w:color w:val="auto"/>
                <w:sz w:val="24"/>
                <w:lang w:eastAsia="zh-SG"/>
              </w:rPr>
            </w:pPr>
          </w:p>
        </w:tc>
        <w:tc>
          <w:tcPr>
            <w:tcW w:w="820" w:type="dxa"/>
          </w:tcPr>
          <w:p>
            <w:pPr>
              <w:spacing w:line="520" w:lineRule="exact"/>
              <w:rPr>
                <w:rFonts w:hint="eastAsia" w:ascii="仿宋_GB2312" w:hAnsi="仿宋_GB2312" w:eastAsia="仿宋_GB2312" w:cs="仿宋_GB2312"/>
                <w:color w:val="auto"/>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96" w:type="dxa"/>
            <w:gridSpan w:val="6"/>
          </w:tcPr>
          <w:p>
            <w:pPr>
              <w:spacing w:line="520" w:lineRule="exact"/>
              <w:jc w:val="center"/>
              <w:rPr>
                <w:rFonts w:hint="eastAsia" w:ascii="仿宋_GB2312" w:hAnsi="仿宋_GB2312" w:eastAsia="仿宋_GB2312" w:cs="仿宋_GB2312"/>
                <w:color w:val="auto"/>
                <w:sz w:val="24"/>
                <w:lang w:eastAsia="zh-SG"/>
              </w:rPr>
            </w:pPr>
            <w:r>
              <w:rPr>
                <w:rFonts w:hint="eastAsia" w:ascii="仿宋_GB2312" w:hAnsi="仿宋_GB2312" w:eastAsia="仿宋_GB2312" w:cs="仿宋_GB2312"/>
                <w:color w:val="auto"/>
                <w:sz w:val="24"/>
                <w:lang w:eastAsia="zh-SG"/>
              </w:rPr>
              <w:t>总计：</w:t>
            </w:r>
          </w:p>
        </w:tc>
        <w:tc>
          <w:tcPr>
            <w:tcW w:w="1306" w:type="dxa"/>
          </w:tcPr>
          <w:p>
            <w:pPr>
              <w:spacing w:line="520" w:lineRule="exact"/>
              <w:rPr>
                <w:rFonts w:hint="eastAsia" w:ascii="仿宋_GB2312" w:hAnsi="仿宋_GB2312" w:eastAsia="仿宋_GB2312" w:cs="仿宋_GB2312"/>
                <w:color w:val="auto"/>
                <w:sz w:val="24"/>
                <w:lang w:eastAsia="zh-SG"/>
              </w:rPr>
            </w:pPr>
          </w:p>
        </w:tc>
        <w:tc>
          <w:tcPr>
            <w:tcW w:w="820" w:type="dxa"/>
          </w:tcPr>
          <w:p>
            <w:pPr>
              <w:spacing w:line="520" w:lineRule="exact"/>
              <w:rPr>
                <w:rFonts w:hint="eastAsia" w:ascii="仿宋_GB2312" w:hAnsi="仿宋_GB2312" w:eastAsia="仿宋_GB2312" w:cs="仿宋_GB2312"/>
                <w:color w:val="auto"/>
                <w:sz w:val="24"/>
                <w:lang w:eastAsia="zh-SG"/>
              </w:rPr>
            </w:pPr>
          </w:p>
        </w:tc>
      </w:tr>
    </w:tbl>
    <w:p>
      <w:pPr>
        <w:spacing w:line="500" w:lineRule="exact"/>
        <w:ind w:firstLine="480"/>
        <w:rPr>
          <w:rFonts w:hint="eastAsia" w:ascii="宋体" w:hAnsi="宋体" w:cs="宋体"/>
          <w:color w:val="auto"/>
          <w:sz w:val="24"/>
          <w:szCs w:val="24"/>
        </w:rPr>
      </w:pPr>
      <w:r>
        <w:rPr>
          <w:rFonts w:hint="eastAsia" w:ascii="宋体" w:hAnsi="宋体" w:cs="宋体"/>
          <w:color w:val="auto"/>
          <w:sz w:val="24"/>
          <w:szCs w:val="24"/>
        </w:rPr>
        <w:t>2.2建设目标：</w:t>
      </w:r>
    </w:p>
    <w:p>
      <w:pPr>
        <w:spacing w:line="500" w:lineRule="exact"/>
        <w:ind w:firstLine="480" w:firstLineChars="200"/>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本项目通过运用视频AI处理分析、人工智能等手段</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实现园区管理的智能化、标准化及规范化，打造为国内示范性净水智慧园区。主要达成的目标如下：</w:t>
      </w:r>
    </w:p>
    <w:p>
      <w:pPr>
        <w:spacing w:line="500" w:lineRule="exact"/>
        <w:ind w:firstLine="480" w:firstLineChars="200"/>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1.基于AR实景监测平台，实现对各应用场景的整合、数据信息融合处理和控制，构成一套园区立体防控网络。</w:t>
      </w:r>
    </w:p>
    <w:p>
      <w:pPr>
        <w:spacing w:line="500" w:lineRule="exact"/>
        <w:ind w:firstLine="480" w:firstLineChars="200"/>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2.实景监测、访客管理、车辆管理、人脸门禁、入侵检测、智能周界、紧急对讲、安全帽识别、水火异动、安消联动等1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个应用场景。</w:t>
      </w:r>
    </w:p>
    <w:p>
      <w:pPr>
        <w:spacing w:line="50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3.集成可视化实景地图、立体化视频监控、精细化预案规划、精准化布控告警、智能化告警联动、实景化指挥调度、全息化场景回溯等应用功能，为园区提供“统一告警、智能联动、精准指挥”的综合安防保障。</w:t>
      </w:r>
    </w:p>
    <w:p>
      <w:pPr>
        <w:spacing w:line="500" w:lineRule="exact"/>
        <w:ind w:firstLine="480"/>
        <w:rPr>
          <w:rFonts w:ascii="宋体" w:hAnsi="宋体" w:cs="宋体"/>
          <w:color w:val="auto"/>
          <w:sz w:val="24"/>
          <w:szCs w:val="24"/>
          <w:u w:val="single"/>
        </w:rPr>
      </w:pPr>
      <w:r>
        <w:rPr>
          <w:rFonts w:hint="eastAsia" w:ascii="宋体" w:hAnsi="宋体" w:cs="宋体"/>
          <w:color w:val="auto"/>
          <w:sz w:val="24"/>
          <w:szCs w:val="24"/>
          <w:u w:val="single"/>
        </w:rPr>
        <w:t>（详见</w:t>
      </w:r>
      <w:r>
        <w:rPr>
          <w:rFonts w:hint="eastAsia" w:ascii="宋体" w:hAnsi="宋体" w:cs="宋体"/>
          <w:color w:val="auto"/>
          <w:sz w:val="24"/>
          <w:szCs w:val="24"/>
          <w:u w:val="single"/>
          <w:lang w:val="en-US" w:eastAsia="zh-CN"/>
        </w:rPr>
        <w:t>附件5</w:t>
      </w:r>
      <w:r>
        <w:rPr>
          <w:rFonts w:hint="eastAsia" w:ascii="宋体" w:hAnsi="宋体" w:cs="宋体"/>
          <w:color w:val="auto"/>
          <w:sz w:val="24"/>
          <w:szCs w:val="24"/>
          <w:u w:val="single"/>
        </w:rPr>
        <w:t>技术需求书）</w:t>
      </w:r>
    </w:p>
    <w:p>
      <w:pPr>
        <w:spacing w:line="500" w:lineRule="exact"/>
        <w:ind w:firstLine="482" w:firstLineChars="200"/>
        <w:rPr>
          <w:rFonts w:ascii="宋体" w:hAnsi="宋体" w:cs="宋体"/>
          <w:color w:val="auto"/>
          <w:sz w:val="24"/>
          <w:szCs w:val="24"/>
        </w:rPr>
      </w:pPr>
      <w:r>
        <w:rPr>
          <w:rFonts w:hint="eastAsia" w:ascii="宋体" w:hAnsi="宋体" w:cs="宋体"/>
          <w:b/>
          <w:color w:val="auto"/>
          <w:sz w:val="24"/>
          <w:szCs w:val="24"/>
        </w:rPr>
        <w:t>三、建设周期及承包方式：</w:t>
      </w:r>
    </w:p>
    <w:p>
      <w:pPr>
        <w:spacing w:line="500" w:lineRule="exact"/>
        <w:rPr>
          <w:rFonts w:ascii="宋体" w:hAnsi="宋体" w:cs="宋体"/>
          <w:color w:val="auto"/>
          <w:sz w:val="24"/>
          <w:szCs w:val="24"/>
        </w:rPr>
      </w:pPr>
      <w:r>
        <w:rPr>
          <w:rFonts w:hint="eastAsia" w:ascii="宋体" w:hAnsi="宋体" w:cs="宋体"/>
          <w:color w:val="auto"/>
          <w:sz w:val="24"/>
          <w:szCs w:val="24"/>
        </w:rPr>
        <w:t>　　3.1建设周期：</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lang w:val="en-US" w:eastAsia="zh-CN"/>
        </w:rPr>
        <w:t>合计120天，</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w:t>
      </w:r>
      <w:r>
        <w:rPr>
          <w:rFonts w:hint="eastAsia" w:ascii="宋体" w:hAnsi="宋体" w:cs="宋体"/>
          <w:sz w:val="24"/>
          <w:lang w:eastAsia="zh-CN"/>
        </w:rPr>
        <w:t>。</w:t>
      </w:r>
    </w:p>
    <w:p>
      <w:pPr>
        <w:spacing w:line="500" w:lineRule="exact"/>
        <w:ind w:firstLine="480" w:firstLineChars="200"/>
        <w:outlineLvl w:val="0"/>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3.2进度要求：</w:t>
      </w:r>
      <w:r>
        <w:rPr>
          <w:rFonts w:hint="eastAsia" w:ascii="宋体" w:hAnsi="宋体" w:cs="宋体"/>
          <w:color w:val="auto"/>
          <w:sz w:val="24"/>
          <w:szCs w:val="24"/>
          <w:u w:val="single"/>
        </w:rPr>
        <w:t>签订合同后</w:t>
      </w:r>
      <w:r>
        <w:rPr>
          <w:rFonts w:hint="eastAsia" w:ascii="宋体" w:hAnsi="宋体" w:cs="宋体"/>
          <w:color w:val="auto"/>
          <w:sz w:val="24"/>
          <w:szCs w:val="24"/>
          <w:u w:val="single"/>
          <w:lang w:val="en-US" w:eastAsia="zh-CN"/>
        </w:rPr>
        <w:t>30天内</w:t>
      </w:r>
      <w:r>
        <w:rPr>
          <w:rFonts w:hint="eastAsia" w:ascii="宋体" w:hAnsi="宋体" w:cs="宋体"/>
          <w:color w:val="auto"/>
          <w:sz w:val="24"/>
          <w:szCs w:val="24"/>
          <w:u w:val="single"/>
        </w:rPr>
        <w:t>项目所需货物到货</w:t>
      </w:r>
      <w:r>
        <w:rPr>
          <w:rFonts w:hint="eastAsia" w:ascii="宋体" w:hAnsi="宋体" w:cs="宋体"/>
          <w:color w:val="auto"/>
          <w:sz w:val="24"/>
          <w:szCs w:val="24"/>
          <w:u w:val="single"/>
          <w:lang w:val="en-US" w:eastAsia="zh-CN"/>
        </w:rPr>
        <w:t>且</w:t>
      </w:r>
      <w:r>
        <w:rPr>
          <w:rFonts w:hint="eastAsia" w:ascii="宋体" w:hAnsi="宋体" w:cs="宋体"/>
          <w:color w:val="auto"/>
          <w:sz w:val="24"/>
          <w:szCs w:val="24"/>
          <w:u w:val="single"/>
        </w:rPr>
        <w:t>实施人员进场</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 xml:space="preserve"> </w:t>
      </w:r>
      <w:r>
        <w:rPr>
          <w:rFonts w:hint="eastAsia" w:ascii="宋体" w:hAnsi="宋体" w:cs="宋体"/>
          <w:strike w:val="0"/>
          <w:dstrike w:val="0"/>
          <w:color w:val="auto"/>
          <w:sz w:val="24"/>
          <w:szCs w:val="24"/>
          <w:u w:val="single"/>
          <w:lang w:val="en-US" w:eastAsia="zh-CN"/>
        </w:rPr>
        <w:t>到货货物</w:t>
      </w:r>
      <w:r>
        <w:rPr>
          <w:rFonts w:hint="eastAsia" w:ascii="宋体" w:hAnsi="宋体" w:cs="宋体"/>
          <w:strike w:val="0"/>
          <w:dstrike w:val="0"/>
          <w:color w:val="auto"/>
          <w:sz w:val="24"/>
          <w:szCs w:val="24"/>
          <w:u w:val="single"/>
        </w:rPr>
        <w:t>经甲方</w:t>
      </w:r>
      <w:r>
        <w:rPr>
          <w:rFonts w:hint="eastAsia" w:ascii="宋体" w:hAnsi="宋体" w:cs="宋体"/>
          <w:strike w:val="0"/>
          <w:dstrike w:val="0"/>
          <w:color w:val="auto"/>
          <w:sz w:val="24"/>
          <w:szCs w:val="24"/>
          <w:u w:val="single"/>
          <w:lang w:val="en-US" w:eastAsia="zh-CN"/>
        </w:rPr>
        <w:t>报验</w:t>
      </w:r>
      <w:r>
        <w:rPr>
          <w:rFonts w:hint="eastAsia" w:ascii="宋体" w:hAnsi="宋体" w:cs="宋体"/>
          <w:strike w:val="0"/>
          <w:dstrike w:val="0"/>
          <w:color w:val="auto"/>
          <w:sz w:val="24"/>
          <w:szCs w:val="24"/>
          <w:u w:val="single"/>
        </w:rPr>
        <w:t>合格</w:t>
      </w:r>
      <w:r>
        <w:rPr>
          <w:rFonts w:hint="eastAsia" w:ascii="宋体" w:hAnsi="宋体" w:cs="宋体"/>
          <w:color w:val="auto"/>
          <w:sz w:val="24"/>
          <w:szCs w:val="24"/>
          <w:u w:val="single"/>
          <w:lang w:val="en-US" w:eastAsia="zh-CN"/>
        </w:rPr>
        <w:t>后90天内完成设备软硬件安装部署。</w:t>
      </w:r>
    </w:p>
    <w:p>
      <w:pPr>
        <w:spacing w:line="500" w:lineRule="exact"/>
        <w:ind w:firstLine="480" w:firstLineChars="200"/>
        <w:outlineLvl w:val="0"/>
        <w:rPr>
          <w:rFonts w:ascii="宋体" w:hAnsi="宋体" w:cs="宋体"/>
          <w:color w:val="auto"/>
          <w:sz w:val="24"/>
          <w:szCs w:val="24"/>
        </w:rPr>
      </w:pPr>
      <w:r>
        <w:rPr>
          <w:rFonts w:hint="eastAsia" w:ascii="宋体" w:hAnsi="宋体" w:cs="宋体"/>
          <w:color w:val="auto"/>
          <w:sz w:val="24"/>
          <w:szCs w:val="24"/>
        </w:rPr>
        <w:t>3.3承包方式按以下</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执行。</w:t>
      </w:r>
    </w:p>
    <w:p>
      <w:pPr>
        <w:spacing w:line="500" w:lineRule="exact"/>
        <w:ind w:firstLine="480" w:firstLineChars="200"/>
        <w:outlineLvl w:val="0"/>
        <w:rPr>
          <w:rFonts w:ascii="宋体" w:hAnsi="宋体" w:cs="宋体"/>
          <w:color w:val="auto"/>
          <w:sz w:val="24"/>
          <w:szCs w:val="24"/>
          <w:u w:val="single"/>
        </w:rPr>
      </w:pPr>
      <w:r>
        <w:rPr>
          <w:rFonts w:hint="eastAsia" w:ascii="宋体" w:hAnsi="宋体" w:cs="宋体"/>
          <w:color w:val="auto"/>
          <w:sz w:val="24"/>
          <w:szCs w:val="24"/>
        </w:rPr>
        <w:t>（1）按实际工作量结算，合同价包括且不限于：</w:t>
      </w:r>
      <w:r>
        <w:rPr>
          <w:rFonts w:hint="eastAsia" w:ascii="宋体" w:hAnsi="宋体" w:cs="宋体"/>
          <w:color w:val="auto"/>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color w:val="auto"/>
          <w:sz w:val="24"/>
          <w:szCs w:val="24"/>
          <w:u w:val="single"/>
        </w:rPr>
      </w:pPr>
      <w:r>
        <w:rPr>
          <w:rFonts w:hint="eastAsia" w:ascii="宋体" w:hAnsi="宋体" w:cs="宋体"/>
          <w:color w:val="auto"/>
          <w:sz w:val="24"/>
          <w:szCs w:val="24"/>
        </w:rPr>
        <w:t>（2）本合同为总价包干形式，合同价包括但不限于：</w:t>
      </w:r>
      <w:r>
        <w:rPr>
          <w:rFonts w:hint="eastAsia" w:ascii="宋体" w:hAnsi="宋体" w:cs="宋体"/>
          <w:color w:val="auto"/>
          <w:sz w:val="24"/>
          <w:szCs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3.4合同服务期内，如甲方增加服务内容，</w:t>
      </w:r>
      <w:r>
        <w:rPr>
          <w:rFonts w:hint="eastAsia" w:ascii="宋体" w:hAnsi="宋体" w:cs="宋体"/>
          <w:color w:val="auto"/>
          <w:sz w:val="24"/>
          <w:szCs w:val="24"/>
          <w:lang w:val="en-US" w:eastAsia="zh-CN"/>
        </w:rPr>
        <w:t>对于</w:t>
      </w:r>
      <w:r>
        <w:rPr>
          <w:rFonts w:hint="eastAsia" w:ascii="宋体" w:hAnsi="宋体" w:cs="宋体"/>
          <w:color w:val="auto"/>
          <w:sz w:val="24"/>
          <w:szCs w:val="24"/>
        </w:rPr>
        <w:t>新增工作、完成时间及相关费用等，甲乙双方应协商签订补充协议。</w:t>
      </w:r>
    </w:p>
    <w:p>
      <w:pPr>
        <w:spacing w:line="500" w:lineRule="exact"/>
        <w:ind w:firstLine="482" w:firstLineChars="200"/>
        <w:outlineLvl w:val="0"/>
        <w:rPr>
          <w:rFonts w:ascii="宋体" w:hAnsi="宋体" w:cs="宋体"/>
          <w:b/>
          <w:color w:val="auto"/>
          <w:sz w:val="24"/>
          <w:szCs w:val="24"/>
        </w:rPr>
      </w:pPr>
      <w:r>
        <w:rPr>
          <w:rFonts w:hint="eastAsia" w:ascii="宋体" w:hAnsi="宋体" w:cs="宋体"/>
          <w:b/>
          <w:color w:val="auto"/>
          <w:sz w:val="24"/>
          <w:szCs w:val="24"/>
        </w:rPr>
        <w:t>四、合同价款</w:t>
      </w:r>
    </w:p>
    <w:p>
      <w:pPr>
        <w:spacing w:line="500" w:lineRule="exact"/>
        <w:ind w:firstLine="480" w:firstLineChars="200"/>
        <w:rPr>
          <w:rFonts w:ascii="宋体" w:hAnsi="宋体" w:cs="宋体"/>
          <w:bCs/>
          <w:color w:val="auto"/>
          <w:sz w:val="24"/>
          <w:szCs w:val="24"/>
          <w:bdr w:val="single" w:color="auto" w:sz="4" w:space="0"/>
        </w:rPr>
      </w:pPr>
      <w:r>
        <w:rPr>
          <w:rFonts w:hint="eastAsia" w:ascii="宋体" w:hAnsi="宋体" w:cs="宋体"/>
          <w:color w:val="auto"/>
          <w:sz w:val="24"/>
          <w:szCs w:val="24"/>
        </w:rPr>
        <w:t>4.1合同价款按以下</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执行。</w:t>
      </w:r>
    </w:p>
    <w:p>
      <w:pPr>
        <w:spacing w:line="500" w:lineRule="exact"/>
        <w:ind w:firstLine="480" w:firstLineChars="200"/>
        <w:rPr>
          <w:rFonts w:ascii="宋体" w:hAnsi="宋体" w:cs="宋体"/>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合同暂定总价为：</w:t>
      </w:r>
      <w:r>
        <w:rPr>
          <w:rFonts w:hint="eastAsia" w:ascii="宋体" w:hAnsi="宋体" w:cs="宋体"/>
          <w:b/>
          <w:color w:val="auto"/>
          <w:sz w:val="24"/>
          <w:szCs w:val="24"/>
          <w:u w:val="single"/>
        </w:rPr>
        <w:t>人民币</w:t>
      </w:r>
      <w:r>
        <w:rPr>
          <w:rFonts w:hint="eastAsia" w:ascii="宋体" w:hAnsi="宋体" w:cs="宋体"/>
          <w:b/>
          <w:color w:val="auto"/>
          <w:sz w:val="24"/>
          <w:szCs w:val="24"/>
          <w:u w:val="single"/>
          <w:lang w:val="en-US" w:eastAsia="zh-CN"/>
        </w:rPr>
        <w:t xml:space="preserve">   </w:t>
      </w:r>
      <w:r>
        <w:rPr>
          <w:rFonts w:hint="eastAsia" w:ascii="宋体" w:hAnsi="宋体" w:cs="宋体"/>
          <w:b/>
          <w:color w:val="auto"/>
          <w:sz w:val="24"/>
          <w:szCs w:val="24"/>
          <w:u w:val="single"/>
        </w:rPr>
        <w:t xml:space="preserve"> 元</w:t>
      </w:r>
      <w:r>
        <w:rPr>
          <w:rFonts w:hint="eastAsia" w:ascii="宋体" w:hAnsi="宋体" w:cs="宋体"/>
          <w:color w:val="auto"/>
          <w:sz w:val="24"/>
          <w:szCs w:val="24"/>
        </w:rPr>
        <w:t>（大写:</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 xml:space="preserve">  </w:t>
      </w:r>
      <w:r>
        <w:rPr>
          <w:rFonts w:hint="eastAsia" w:ascii="宋体" w:hAnsi="宋体" w:cs="宋体"/>
          <w:b/>
          <w:color w:val="auto"/>
          <w:sz w:val="24"/>
          <w:szCs w:val="24"/>
          <w:u w:val="single"/>
        </w:rPr>
        <w:t xml:space="preserve">  </w:t>
      </w:r>
      <w:r>
        <w:rPr>
          <w:rFonts w:hint="eastAsia" w:ascii="宋体" w:hAnsi="宋体" w:cs="宋体"/>
          <w:color w:val="auto"/>
          <w:sz w:val="24"/>
          <w:szCs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szCs w:val="24"/>
        </w:rPr>
      </w:pPr>
      <w:r>
        <w:rPr>
          <w:rFonts w:hint="eastAsia" w:ascii="宋体" w:hAnsi="宋体" w:cs="宋体"/>
          <w:bCs/>
          <w:color w:val="auto"/>
          <w:sz w:val="24"/>
          <w:szCs w:val="24"/>
        </w:rPr>
        <w:t>（2）</w:t>
      </w:r>
      <w:r>
        <w:rPr>
          <w:rFonts w:hint="eastAsia" w:ascii="宋体" w:hAnsi="宋体" w:cs="宋体"/>
          <w:color w:val="auto"/>
          <w:sz w:val="24"/>
          <w:szCs w:val="24"/>
        </w:rPr>
        <w:t>合同以总价包干形式，合同暂定总价为：</w:t>
      </w:r>
      <w:r>
        <w:rPr>
          <w:rFonts w:hint="eastAsia" w:ascii="宋体" w:hAnsi="宋体" w:cs="宋体"/>
          <w:b/>
          <w:color w:val="auto"/>
          <w:sz w:val="24"/>
          <w:szCs w:val="24"/>
          <w:u w:val="single"/>
        </w:rPr>
        <w:t xml:space="preserve">人民币 </w:t>
      </w:r>
      <w:r>
        <w:rPr>
          <w:rFonts w:hint="eastAsia" w:ascii="宋体" w:hAnsi="宋体" w:cs="宋体"/>
          <w:b/>
          <w:color w:val="auto"/>
          <w:sz w:val="24"/>
          <w:szCs w:val="24"/>
          <w:u w:val="single"/>
          <w:lang w:val="en-US" w:eastAsia="zh-CN"/>
        </w:rPr>
        <w:t xml:space="preserve">  </w:t>
      </w:r>
      <w:r>
        <w:rPr>
          <w:rFonts w:hint="eastAsia" w:ascii="宋体" w:hAnsi="宋体" w:cs="宋体"/>
          <w:b/>
          <w:color w:val="auto"/>
          <w:sz w:val="24"/>
          <w:szCs w:val="24"/>
          <w:u w:val="single"/>
        </w:rPr>
        <w:t xml:space="preserve"> 元</w:t>
      </w:r>
      <w:r>
        <w:rPr>
          <w:rFonts w:hint="eastAsia" w:ascii="宋体" w:hAnsi="宋体" w:cs="宋体"/>
          <w:color w:val="auto"/>
          <w:sz w:val="24"/>
          <w:szCs w:val="24"/>
        </w:rPr>
        <w:t>（大写:</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 xml:space="preserve">  </w:t>
      </w:r>
      <w:r>
        <w:rPr>
          <w:rFonts w:hint="eastAsia" w:ascii="宋体" w:hAnsi="宋体" w:cs="宋体"/>
          <w:b/>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auto"/>
          <w:sz w:val="24"/>
          <w:szCs w:val="24"/>
        </w:rPr>
      </w:pPr>
      <w:r>
        <w:rPr>
          <w:rFonts w:hint="eastAsia" w:ascii="宋体" w:hAnsi="宋体" w:cs="宋体"/>
          <w:color w:val="auto"/>
          <w:kern w:val="0"/>
          <w:sz w:val="24"/>
          <w:szCs w:val="24"/>
          <w:lang w:val="zh-CN"/>
        </w:rPr>
        <w:t>4.2</w:t>
      </w:r>
      <w:r>
        <w:rPr>
          <w:rFonts w:hint="eastAsia" w:ascii="宋体" w:hAnsi="宋体" w:cs="宋体"/>
          <w:color w:val="auto"/>
          <w:kern w:val="0"/>
          <w:sz w:val="24"/>
          <w:szCs w:val="24"/>
        </w:rPr>
        <w:t>本合同约定的价格</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已含税价价格</w:t>
      </w:r>
      <w:r>
        <w:rPr>
          <w:rFonts w:hint="eastAsia" w:ascii="宋体" w:hAnsi="宋体" w:cs="宋体"/>
          <w:color w:val="auto"/>
          <w:sz w:val="24"/>
          <w:szCs w:val="24"/>
        </w:rPr>
        <w:t>（税率</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），合同履行期间国家税率调整</w:t>
      </w:r>
      <w:r>
        <w:rPr>
          <w:rFonts w:hint="eastAsia" w:ascii="宋体" w:hAnsi="宋体" w:cs="宋体"/>
          <w:color w:val="auto"/>
          <w:sz w:val="24"/>
          <w:szCs w:val="24"/>
          <w:lang w:eastAsia="zh-CN"/>
        </w:rPr>
        <w:t>或乙方开票的实际税率与前述税率不一致的</w:t>
      </w:r>
      <w:r>
        <w:rPr>
          <w:rFonts w:hint="eastAsia" w:ascii="宋体" w:hAnsi="宋体" w:cs="宋体"/>
          <w:color w:val="auto"/>
          <w:sz w:val="24"/>
          <w:szCs w:val="24"/>
        </w:rPr>
        <w:t>，不含税价不变，价税合计</w:t>
      </w:r>
      <w:r>
        <w:rPr>
          <w:rFonts w:hint="eastAsia" w:ascii="宋体" w:hAnsi="宋体" w:cs="宋体"/>
          <w:color w:val="auto"/>
          <w:sz w:val="24"/>
          <w:szCs w:val="24"/>
          <w:lang w:eastAsia="zh-CN"/>
        </w:rPr>
        <w:t>按实际税率</w:t>
      </w:r>
      <w:r>
        <w:rPr>
          <w:rFonts w:hint="eastAsia" w:ascii="宋体" w:hAnsi="宋体" w:cs="宋体"/>
          <w:color w:val="auto"/>
          <w:sz w:val="24"/>
          <w:szCs w:val="24"/>
        </w:rPr>
        <w:t>相应调整，以开具发票的时间为准。</w:t>
      </w:r>
    </w:p>
    <w:p>
      <w:pPr>
        <w:spacing w:line="500" w:lineRule="exact"/>
        <w:ind w:firstLine="490" w:firstLineChars="200"/>
        <w:rPr>
          <w:rFonts w:ascii="宋体" w:hAnsi="宋体" w:cs="宋体"/>
          <w:b/>
          <w:color w:val="auto"/>
          <w:spacing w:val="2"/>
          <w:kern w:val="36"/>
          <w:position w:val="2"/>
          <w:sz w:val="24"/>
          <w:szCs w:val="24"/>
        </w:rPr>
      </w:pPr>
      <w:r>
        <w:rPr>
          <w:rFonts w:hint="eastAsia" w:ascii="宋体" w:hAnsi="宋体" w:cs="宋体"/>
          <w:b/>
          <w:color w:val="auto"/>
          <w:spacing w:val="2"/>
          <w:kern w:val="36"/>
          <w:position w:val="2"/>
          <w:sz w:val="24"/>
          <w:szCs w:val="24"/>
        </w:rPr>
        <w:t>五、支付方式及履约担保：</w:t>
      </w:r>
    </w:p>
    <w:p>
      <w:pPr>
        <w:spacing w:line="500" w:lineRule="exact"/>
        <w:ind w:firstLine="488" w:firstLineChars="200"/>
        <w:rPr>
          <w:rFonts w:ascii="宋体" w:hAnsi="宋体" w:cs="宋体"/>
          <w:color w:val="auto"/>
          <w:sz w:val="24"/>
          <w:szCs w:val="24"/>
        </w:rPr>
      </w:pPr>
      <w:r>
        <w:rPr>
          <w:rFonts w:hint="eastAsia" w:ascii="宋体" w:hAnsi="宋体" w:cs="宋体"/>
          <w:bCs/>
          <w:color w:val="auto"/>
          <w:spacing w:val="2"/>
          <w:kern w:val="36"/>
          <w:position w:val="2"/>
          <w:sz w:val="24"/>
          <w:szCs w:val="24"/>
        </w:rPr>
        <w:t>5.1</w:t>
      </w:r>
      <w:r>
        <w:rPr>
          <w:rFonts w:hint="eastAsia" w:ascii="宋体" w:hAnsi="宋体" w:cs="宋体"/>
          <w:bCs/>
          <w:color w:val="auto"/>
          <w:sz w:val="24"/>
          <w:szCs w:val="24"/>
        </w:rPr>
        <w:t>预付款的支付：</w:t>
      </w:r>
      <w:r>
        <w:rPr>
          <w:rFonts w:hint="eastAsia" w:ascii="宋体" w:hAnsi="宋体" w:cs="宋体"/>
          <w:bCs/>
          <w:color w:val="auto"/>
          <w:sz w:val="24"/>
          <w:szCs w:val="24"/>
        </w:rPr>
        <w:sym w:font="Wingdings" w:char="00A8"/>
      </w:r>
      <w:r>
        <w:rPr>
          <w:rFonts w:hint="eastAsia" w:ascii="宋体" w:hAnsi="宋体" w:cs="宋体"/>
          <w:bCs/>
          <w:color w:val="auto"/>
          <w:sz w:val="24"/>
          <w:szCs w:val="24"/>
        </w:rPr>
        <w:t xml:space="preserve">无；     </w:t>
      </w:r>
      <w:r>
        <w:rPr>
          <w:rFonts w:hint="eastAsia" w:ascii="宋体" w:hAnsi="宋体" w:cs="宋体"/>
          <w:bCs/>
          <w:color w:val="auto"/>
          <w:sz w:val="24"/>
          <w:szCs w:val="24"/>
        </w:rPr>
        <w:sym w:font="Wingdings" w:char="00FE"/>
      </w:r>
      <w:r>
        <w:rPr>
          <w:rFonts w:hint="eastAsia" w:ascii="宋体" w:hAnsi="宋体" w:cs="宋体"/>
          <w:bCs/>
          <w:color w:val="auto"/>
          <w:sz w:val="24"/>
          <w:szCs w:val="24"/>
        </w:rPr>
        <w:t>有，合同签订后乙方开具等额的增值税专用发票及提交履约担保（如有）后</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15</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个工作日内，甲方支付合同</w:t>
      </w:r>
      <w:r>
        <w:rPr>
          <w:rFonts w:hint="eastAsia" w:ascii="宋体" w:hAnsi="宋体" w:cs="宋体"/>
          <w:color w:val="auto"/>
          <w:sz w:val="24"/>
          <w:szCs w:val="24"/>
        </w:rPr>
        <w:t>暂定总价</w:t>
      </w:r>
      <w:r>
        <w:rPr>
          <w:rFonts w:hint="eastAsia" w:ascii="宋体" w:hAnsi="宋体" w:cs="宋体"/>
          <w:bCs/>
          <w:color w:val="auto"/>
          <w:sz w:val="24"/>
          <w:szCs w:val="24"/>
        </w:rPr>
        <w:t>的</w:t>
      </w:r>
      <w:r>
        <w:rPr>
          <w:rFonts w:hint="eastAsia"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 xml:space="preserve">   … 元，（大写：…）。</w:t>
      </w:r>
      <w:r>
        <w:rPr>
          <w:rFonts w:hint="eastAsia" w:ascii="宋体" w:hAnsi="宋体" w:cs="宋体"/>
          <w:color w:val="auto"/>
          <w:sz w:val="24"/>
          <w:szCs w:val="24"/>
        </w:rPr>
        <w:t xml:space="preserve"> </w:t>
      </w:r>
    </w:p>
    <w:p>
      <w:pPr>
        <w:spacing w:line="5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5.2乙方完成</w:t>
      </w:r>
      <w:r>
        <w:rPr>
          <w:rFonts w:hint="eastAsia" w:ascii="宋体" w:hAnsi="宋体" w:cs="宋体"/>
          <w:color w:val="auto"/>
          <w:sz w:val="24"/>
          <w:szCs w:val="24"/>
          <w:u w:val="single"/>
        </w:rPr>
        <w:t xml:space="preserve"> </w:t>
      </w:r>
      <w:r>
        <w:rPr>
          <w:rFonts w:hint="eastAsia" w:ascii="宋体" w:hAnsi="宋体" w:cs="宋体"/>
          <w:strike w:val="0"/>
          <w:dstrike w:val="0"/>
          <w:color w:val="auto"/>
          <w:sz w:val="24"/>
          <w:szCs w:val="24"/>
          <w:u w:val="single"/>
        </w:rPr>
        <w:t>货物到货</w:t>
      </w:r>
      <w:r>
        <w:rPr>
          <w:rFonts w:hint="eastAsia" w:ascii="宋体" w:hAnsi="宋体" w:cs="宋体"/>
          <w:strike w:val="0"/>
          <w:dstrike w:val="0"/>
          <w:color w:val="auto"/>
          <w:sz w:val="24"/>
          <w:szCs w:val="24"/>
          <w:u w:val="single"/>
          <w:lang w:val="en-US" w:eastAsia="zh-CN"/>
        </w:rPr>
        <w:t>并</w:t>
      </w:r>
      <w:r>
        <w:rPr>
          <w:rFonts w:hint="eastAsia" w:ascii="宋体" w:hAnsi="宋体" w:cs="宋体"/>
          <w:strike w:val="0"/>
          <w:dstrike w:val="0"/>
          <w:color w:val="auto"/>
          <w:sz w:val="24"/>
          <w:szCs w:val="24"/>
          <w:u w:val="single"/>
        </w:rPr>
        <w:t>经甲方</w:t>
      </w:r>
      <w:r>
        <w:rPr>
          <w:rFonts w:hint="eastAsia" w:ascii="宋体" w:hAnsi="宋体" w:cs="宋体"/>
          <w:strike w:val="0"/>
          <w:dstrike w:val="0"/>
          <w:color w:val="auto"/>
          <w:sz w:val="24"/>
          <w:szCs w:val="24"/>
          <w:u w:val="single"/>
          <w:lang w:val="en-US" w:eastAsia="zh-CN"/>
        </w:rPr>
        <w:t>报验</w:t>
      </w:r>
      <w:r>
        <w:rPr>
          <w:rFonts w:hint="eastAsia" w:ascii="宋体" w:hAnsi="宋体" w:cs="宋体"/>
          <w:strike w:val="0"/>
          <w:dstrike w:val="0"/>
          <w:color w:val="auto"/>
          <w:sz w:val="24"/>
          <w:szCs w:val="24"/>
          <w:u w:val="single"/>
        </w:rPr>
        <w:t>合格</w:t>
      </w:r>
      <w:r>
        <w:rPr>
          <w:rFonts w:hint="eastAsia" w:ascii="宋体" w:hAnsi="宋体" w:cs="宋体"/>
          <w:color w:val="auto"/>
          <w:sz w:val="24"/>
          <w:szCs w:val="24"/>
          <w:u w:val="single"/>
        </w:rPr>
        <w:t>，</w:t>
      </w:r>
      <w:r>
        <w:rPr>
          <w:rFonts w:hint="eastAsia" w:ascii="宋体" w:hAnsi="宋体" w:cs="宋体"/>
          <w:color w:val="auto"/>
          <w:sz w:val="24"/>
          <w:szCs w:val="24"/>
        </w:rPr>
        <w:t>由乙方提交完整的设备验收合格到货清单、项目计划书及开具</w:t>
      </w:r>
      <w:r>
        <w:rPr>
          <w:rFonts w:hint="eastAsia" w:ascii="宋体" w:hAnsi="宋体" w:cs="宋体"/>
          <w:color w:val="auto"/>
          <w:sz w:val="24"/>
          <w:szCs w:val="24"/>
          <w:lang w:val="en-US" w:eastAsia="zh-CN"/>
        </w:rPr>
        <w:t>本次支付金额</w:t>
      </w:r>
      <w:r>
        <w:rPr>
          <w:rFonts w:hint="eastAsia" w:ascii="宋体" w:hAnsi="宋体" w:cs="宋体"/>
          <w:color w:val="auto"/>
          <w:sz w:val="24"/>
          <w:szCs w:val="24"/>
        </w:rPr>
        <w:t>等额增值税专用发票</w:t>
      </w:r>
      <w:r>
        <w:rPr>
          <w:rFonts w:hint="eastAsia" w:ascii="宋体" w:hAnsi="宋体" w:cs="宋体"/>
          <w:color w:val="auto"/>
          <w:sz w:val="24"/>
          <w:szCs w:val="24"/>
          <w:lang w:val="en-US" w:eastAsia="zh-CN"/>
        </w:rPr>
        <w:t>后</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hint="eastAsia" w:ascii="宋体" w:hAnsi="宋体" w:cs="宋体"/>
          <w:color w:val="auto"/>
          <w:sz w:val="24"/>
          <w:szCs w:val="24"/>
        </w:rPr>
        <w:t>个工作日内，甲方支付至合同暂定总价的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hint="eastAsia" w:ascii="宋体" w:hAnsi="宋体" w:cs="宋体"/>
          <w:color w:val="auto"/>
          <w:sz w:val="24"/>
          <w:szCs w:val="24"/>
          <w:u w:val="single"/>
        </w:rPr>
        <w:t>%即 …元，（大写：…）。</w:t>
      </w:r>
    </w:p>
    <w:p>
      <w:pPr>
        <w:spacing w:line="5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5.</w:t>
      </w:r>
      <w:r>
        <w:rPr>
          <w:rFonts w:hint="eastAsia" w:ascii="宋体" w:hAnsi="宋体" w:cs="宋体"/>
          <w:color w:val="auto"/>
          <w:sz w:val="24"/>
          <w:szCs w:val="24"/>
          <w:lang w:val="en-US" w:eastAsia="zh-CN"/>
        </w:rPr>
        <w:t>3</w:t>
      </w:r>
      <w:r>
        <w:rPr>
          <w:rFonts w:hint="eastAsia" w:ascii="宋体" w:hAnsi="宋体" w:cs="宋体"/>
          <w:color w:val="auto"/>
          <w:sz w:val="24"/>
          <w:szCs w:val="24"/>
        </w:rPr>
        <w:t>乙方完成</w:t>
      </w:r>
      <w:r>
        <w:rPr>
          <w:rFonts w:hint="eastAsia" w:ascii="宋体" w:hAnsi="宋体" w:cs="宋体"/>
          <w:color w:val="auto"/>
          <w:sz w:val="24"/>
          <w:szCs w:val="24"/>
          <w:u w:val="single"/>
        </w:rPr>
        <w:t xml:space="preserve"> </w:t>
      </w:r>
      <w:r>
        <w:rPr>
          <w:rFonts w:hint="eastAsia" w:ascii="宋体" w:hAnsi="宋体" w:cs="宋体"/>
          <w:strike w:val="0"/>
          <w:dstrike w:val="0"/>
          <w:color w:val="auto"/>
          <w:sz w:val="24"/>
          <w:szCs w:val="24"/>
          <w:u w:val="single"/>
          <w:lang w:val="en-US" w:eastAsia="zh-CN"/>
        </w:rPr>
        <w:t>设备软硬件安装部署并</w:t>
      </w:r>
      <w:r>
        <w:rPr>
          <w:rFonts w:hint="eastAsia" w:ascii="宋体" w:hAnsi="宋体" w:cs="宋体"/>
          <w:strike w:val="0"/>
          <w:dstrike w:val="0"/>
          <w:color w:val="auto"/>
          <w:sz w:val="24"/>
          <w:szCs w:val="24"/>
          <w:u w:val="single"/>
        </w:rPr>
        <w:t>经甲方</w:t>
      </w:r>
      <w:r>
        <w:rPr>
          <w:rFonts w:hint="eastAsia" w:ascii="宋体" w:hAnsi="宋体" w:cs="宋体"/>
          <w:strike w:val="0"/>
          <w:dstrike w:val="0"/>
          <w:color w:val="auto"/>
          <w:sz w:val="24"/>
          <w:szCs w:val="24"/>
          <w:u w:val="single"/>
          <w:lang w:val="en-US" w:eastAsia="zh-CN"/>
        </w:rPr>
        <w:t>验收合格后</w:t>
      </w:r>
      <w:r>
        <w:rPr>
          <w:rFonts w:hint="eastAsia" w:ascii="宋体" w:hAnsi="宋体" w:cs="宋体"/>
          <w:color w:val="auto"/>
          <w:sz w:val="24"/>
          <w:szCs w:val="24"/>
          <w:u w:val="single"/>
        </w:rPr>
        <w:t>，</w:t>
      </w:r>
      <w:r>
        <w:rPr>
          <w:rFonts w:hint="eastAsia" w:ascii="宋体" w:hAnsi="宋体" w:cs="宋体"/>
          <w:color w:val="auto"/>
          <w:sz w:val="24"/>
          <w:szCs w:val="24"/>
        </w:rPr>
        <w:t>由乙方提交</w:t>
      </w:r>
      <w:r>
        <w:rPr>
          <w:rFonts w:hint="eastAsia" w:ascii="宋体" w:hAnsi="宋体" w:cs="宋体"/>
          <w:color w:val="auto"/>
          <w:sz w:val="24"/>
          <w:szCs w:val="24"/>
          <w:lang w:val="en-US" w:eastAsia="zh-CN"/>
        </w:rPr>
        <w:t>经甲方相关部门审批通过的完工报告</w:t>
      </w:r>
      <w:r>
        <w:rPr>
          <w:rFonts w:hint="eastAsia" w:ascii="宋体" w:hAnsi="宋体" w:cs="宋体"/>
          <w:color w:val="auto"/>
          <w:sz w:val="24"/>
          <w:szCs w:val="24"/>
        </w:rPr>
        <w:t>及开具</w:t>
      </w:r>
      <w:r>
        <w:rPr>
          <w:rFonts w:hint="eastAsia" w:ascii="宋体" w:hAnsi="宋体" w:cs="宋体"/>
          <w:color w:val="auto"/>
          <w:sz w:val="24"/>
          <w:szCs w:val="24"/>
          <w:lang w:val="en-US" w:eastAsia="zh-CN"/>
        </w:rPr>
        <w:t>本次支付金额</w:t>
      </w:r>
      <w:r>
        <w:rPr>
          <w:rFonts w:hint="eastAsia" w:ascii="宋体" w:hAnsi="宋体" w:cs="宋体"/>
          <w:color w:val="auto"/>
          <w:sz w:val="24"/>
          <w:szCs w:val="24"/>
        </w:rPr>
        <w:t>等额增值税专用发票</w:t>
      </w:r>
      <w:r>
        <w:rPr>
          <w:rFonts w:hint="eastAsia" w:ascii="宋体" w:hAnsi="宋体" w:cs="宋体"/>
          <w:color w:val="auto"/>
          <w:sz w:val="24"/>
          <w:szCs w:val="24"/>
          <w:lang w:val="en-US" w:eastAsia="zh-CN"/>
        </w:rPr>
        <w:t>后</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hint="eastAsia" w:ascii="宋体" w:hAnsi="宋体" w:cs="宋体"/>
          <w:color w:val="auto"/>
          <w:sz w:val="24"/>
          <w:szCs w:val="24"/>
        </w:rPr>
        <w:t>个工作日内，甲方支付至合同暂定总价的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80</w:t>
      </w:r>
      <w:r>
        <w:rPr>
          <w:rFonts w:hint="eastAsia" w:ascii="宋体" w:hAnsi="宋体" w:cs="宋体"/>
          <w:color w:val="auto"/>
          <w:sz w:val="24"/>
          <w:szCs w:val="24"/>
          <w:u w:val="single"/>
        </w:rPr>
        <w:t>%即 …元，（大写：…）。</w:t>
      </w:r>
    </w:p>
    <w:p>
      <w:pPr>
        <w:spacing w:line="50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rPr>
        <w:t xml:space="preserve"> 5.</w:t>
      </w:r>
      <w:r>
        <w:rPr>
          <w:rFonts w:hint="eastAsia" w:ascii="宋体" w:hAnsi="宋体" w:cs="宋体"/>
          <w:color w:val="auto"/>
          <w:sz w:val="24"/>
          <w:szCs w:val="24"/>
          <w:lang w:val="en-US" w:eastAsia="zh-CN"/>
        </w:rPr>
        <w:t>4</w:t>
      </w:r>
      <w:r>
        <w:rPr>
          <w:rFonts w:hint="eastAsia" w:ascii="宋体" w:hAnsi="宋体" w:cs="宋体"/>
          <w:color w:val="auto"/>
          <w:sz w:val="24"/>
          <w:szCs w:val="24"/>
        </w:rPr>
        <w:t>乙</w:t>
      </w:r>
      <w:r>
        <w:rPr>
          <w:rFonts w:hint="eastAsia" w:ascii="宋体" w:hAnsi="宋体" w:cs="宋体"/>
          <w:color w:val="auto"/>
          <w:kern w:val="0"/>
          <w:sz w:val="24"/>
          <w:szCs w:val="24"/>
        </w:rPr>
        <w:t>方</w:t>
      </w:r>
      <w:r>
        <w:rPr>
          <w:rFonts w:hint="eastAsia" w:ascii="宋体" w:hAnsi="宋体" w:cs="宋体"/>
          <w:color w:val="auto"/>
          <w:kern w:val="0"/>
          <w:sz w:val="24"/>
          <w:szCs w:val="24"/>
          <w:lang w:val="en-US" w:eastAsia="zh-CN"/>
        </w:rPr>
        <w:t>自</w:t>
      </w:r>
      <w:r>
        <w:rPr>
          <w:rFonts w:hint="eastAsia" w:ascii="宋体" w:hAnsi="宋体" w:cs="宋体"/>
          <w:strike w:val="0"/>
          <w:dstrike w:val="0"/>
          <w:color w:val="auto"/>
          <w:sz w:val="24"/>
          <w:szCs w:val="24"/>
          <w:u w:val="single"/>
          <w:lang w:val="en-US" w:eastAsia="zh-CN"/>
        </w:rPr>
        <w:t>设备软硬件安装部署</w:t>
      </w:r>
      <w:r>
        <w:rPr>
          <w:rFonts w:hint="eastAsia" w:ascii="宋体" w:hAnsi="宋体" w:cs="宋体"/>
          <w:color w:val="auto"/>
          <w:kern w:val="0"/>
          <w:sz w:val="24"/>
          <w:szCs w:val="24"/>
          <w:lang w:val="en-US" w:eastAsia="zh-CN"/>
        </w:rPr>
        <w:t>完成后经过</w:t>
      </w:r>
      <w:r>
        <w:rPr>
          <w:rFonts w:hint="eastAsia" w:ascii="宋体" w:hAnsi="宋体" w:cs="宋体"/>
          <w:color w:val="auto"/>
          <w:kern w:val="0"/>
          <w:sz w:val="24"/>
          <w:szCs w:val="24"/>
          <w:u w:val="none"/>
          <w:lang w:val="en-US" w:eastAsia="zh-CN"/>
        </w:rPr>
        <w:t>30</w:t>
      </w:r>
      <w:r>
        <w:rPr>
          <w:rFonts w:hint="eastAsia" w:ascii="宋体" w:hAnsi="宋体" w:cs="宋体"/>
          <w:color w:val="auto"/>
          <w:kern w:val="0"/>
          <w:sz w:val="24"/>
          <w:lang w:val="en-US" w:eastAsia="zh-CN"/>
        </w:rPr>
        <w:t>日</w:t>
      </w:r>
      <w:r>
        <w:rPr>
          <w:rFonts w:hint="eastAsia" w:ascii="宋体" w:hAnsi="宋体" w:cs="宋体"/>
          <w:color w:val="auto"/>
          <w:sz w:val="24"/>
          <w:szCs w:val="24"/>
          <w:u w:val="single"/>
          <w:lang w:val="en-US" w:eastAsia="zh-CN"/>
        </w:rPr>
        <w:t>试运行期，</w:t>
      </w:r>
      <w:r>
        <w:rPr>
          <w:rFonts w:hint="eastAsia" w:ascii="宋体" w:hAnsi="宋体" w:cs="宋体"/>
          <w:color w:val="auto"/>
          <w:kern w:val="0"/>
          <w:sz w:val="24"/>
          <w:szCs w:val="24"/>
        </w:rPr>
        <w:t>无任何由于项目引起的故障</w:t>
      </w:r>
      <w:r>
        <w:rPr>
          <w:rFonts w:hint="eastAsia" w:ascii="宋体" w:hAnsi="宋体" w:cs="宋体"/>
          <w:color w:val="auto"/>
          <w:kern w:val="0"/>
          <w:sz w:val="24"/>
          <w:szCs w:val="24"/>
          <w:lang w:val="en-US" w:eastAsia="zh-CN"/>
        </w:rPr>
        <w:t>的，</w:t>
      </w:r>
      <w:r>
        <w:rPr>
          <w:rFonts w:hint="eastAsia" w:ascii="宋体" w:hAnsi="宋体" w:cs="宋体"/>
          <w:color w:val="auto"/>
          <w:kern w:val="0"/>
          <w:sz w:val="24"/>
          <w:szCs w:val="24"/>
        </w:rPr>
        <w:t>乙方提交竣工验收报告</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本项目</w:t>
      </w:r>
      <w:r>
        <w:rPr>
          <w:rFonts w:hint="eastAsia" w:ascii="宋体" w:hAnsi="宋体" w:cs="宋体"/>
          <w:color w:val="auto"/>
          <w:sz w:val="24"/>
          <w:szCs w:val="24"/>
        </w:rPr>
        <w:t>经</w:t>
      </w:r>
      <w:r>
        <w:rPr>
          <w:rFonts w:hint="eastAsia" w:ascii="宋体" w:hAnsi="宋体" w:cs="宋体"/>
          <w:color w:val="auto"/>
          <w:sz w:val="24"/>
          <w:szCs w:val="24"/>
          <w:lang w:val="en-US" w:eastAsia="zh-CN"/>
        </w:rPr>
        <w:t>甲方竣工验收合格且</w:t>
      </w:r>
      <w:r>
        <w:rPr>
          <w:rFonts w:hint="eastAsia" w:ascii="宋体" w:hAnsi="宋体" w:cs="宋体"/>
          <w:color w:val="auto"/>
          <w:sz w:val="24"/>
          <w:szCs w:val="24"/>
          <w:u w:val="single"/>
        </w:rPr>
        <w:t>甲方或甲方委托有资质第三方机构结算审核</w:t>
      </w:r>
      <w:r>
        <w:rPr>
          <w:rFonts w:hint="eastAsia" w:ascii="宋体" w:hAnsi="宋体" w:cs="宋体"/>
          <w:color w:val="auto"/>
          <w:sz w:val="24"/>
          <w:szCs w:val="24"/>
        </w:rPr>
        <w:t>后，由乙方提交</w:t>
      </w:r>
      <w:r>
        <w:rPr>
          <w:rFonts w:hint="eastAsia" w:ascii="宋体" w:hAnsi="宋体" w:cs="宋体"/>
          <w:color w:val="auto"/>
          <w:sz w:val="24"/>
          <w:szCs w:val="24"/>
          <w:lang w:val="en-US" w:eastAsia="zh-CN"/>
        </w:rPr>
        <w:t>结算价余款</w:t>
      </w:r>
      <w:r>
        <w:rPr>
          <w:rFonts w:hint="eastAsia" w:ascii="宋体" w:hAnsi="宋体" w:cs="宋体"/>
          <w:color w:val="auto"/>
          <w:sz w:val="24"/>
          <w:szCs w:val="24"/>
        </w:rPr>
        <w:t>等额增值税专用发票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hint="eastAsia" w:ascii="宋体" w:hAnsi="宋体" w:cs="宋体"/>
          <w:color w:val="auto"/>
          <w:sz w:val="24"/>
          <w:szCs w:val="24"/>
          <w:u w:val="single"/>
        </w:rPr>
        <w:t xml:space="preserve"> </w:t>
      </w:r>
      <w:r>
        <w:rPr>
          <w:rFonts w:hint="eastAsia" w:ascii="宋体" w:hAnsi="宋体" w:cs="宋体"/>
          <w:color w:val="auto"/>
          <w:sz w:val="24"/>
          <w:szCs w:val="24"/>
        </w:rPr>
        <w:t>个工作日内，甲方支付至合同结算价的</w:t>
      </w:r>
      <w:r>
        <w:rPr>
          <w:rFonts w:hint="eastAsia" w:ascii="宋体" w:hAnsi="宋体" w:cs="宋体"/>
          <w:color w:val="auto"/>
          <w:sz w:val="24"/>
          <w:szCs w:val="24"/>
          <w:u w:val="single"/>
        </w:rPr>
        <w:t>95%（结算价超过合同暂定总价时，暂停合同的工程款支付程序，签订补充协议后支付）</w:t>
      </w:r>
      <w:r>
        <w:rPr>
          <w:rFonts w:hint="eastAsia" w:ascii="宋体" w:hAnsi="宋体" w:cs="宋体"/>
          <w:color w:val="auto"/>
          <w:sz w:val="24"/>
          <w:szCs w:val="24"/>
        </w:rPr>
        <w:t>。</w:t>
      </w:r>
    </w:p>
    <w:p>
      <w:pPr>
        <w:spacing w:line="50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5</w:t>
      </w:r>
      <w:r>
        <w:rPr>
          <w:rFonts w:hint="eastAsia" w:ascii="宋体" w:hAnsi="宋体" w:cs="宋体"/>
          <w:color w:val="auto"/>
          <w:sz w:val="24"/>
          <w:szCs w:val="24"/>
        </w:rPr>
        <w:t>按合同约定完成运维服务</w:t>
      </w:r>
      <w:r>
        <w:rPr>
          <w:rFonts w:hint="eastAsia" w:ascii="宋体" w:hAnsi="宋体" w:cs="宋体"/>
          <w:color w:val="auto"/>
          <w:sz w:val="24"/>
          <w:szCs w:val="24"/>
          <w:lang w:eastAsia="zh-CN"/>
        </w:rPr>
        <w:t>、</w:t>
      </w:r>
      <w:r>
        <w:rPr>
          <w:rFonts w:hint="eastAsia" w:ascii="宋体" w:hAnsi="宋体" w:cs="宋体"/>
          <w:color w:val="auto"/>
          <w:sz w:val="24"/>
          <w:szCs w:val="24"/>
        </w:rPr>
        <w:t>售后服务</w:t>
      </w:r>
      <w:r>
        <w:rPr>
          <w:rFonts w:hint="eastAsia" w:ascii="宋体" w:hAnsi="宋体" w:cs="宋体"/>
          <w:color w:val="auto"/>
          <w:sz w:val="24"/>
          <w:szCs w:val="24"/>
          <w:lang w:val="en-US" w:eastAsia="zh-CN"/>
        </w:rPr>
        <w:t>、</w:t>
      </w:r>
      <w:r>
        <w:rPr>
          <w:rFonts w:hint="eastAsia" w:ascii="宋体" w:hAnsi="宋体" w:cs="宋体"/>
          <w:color w:val="auto"/>
          <w:sz w:val="24"/>
          <w:szCs w:val="24"/>
        </w:rPr>
        <w:t>质量保修期满后且乙方不存在违约情形，由乙方提交</w:t>
      </w:r>
      <w:r>
        <w:rPr>
          <w:rFonts w:hint="eastAsia" w:ascii="宋体" w:hAnsi="宋体" w:cs="宋体"/>
          <w:color w:val="auto"/>
          <w:sz w:val="24"/>
          <w:szCs w:val="24"/>
          <w:lang w:val="en-US" w:eastAsia="zh-CN"/>
        </w:rPr>
        <w:t>质保金支付申请后</w:t>
      </w:r>
      <w:r>
        <w:rPr>
          <w:rFonts w:hint="eastAsia" w:ascii="宋体" w:hAnsi="宋体" w:cs="宋体"/>
          <w:color w:val="auto"/>
          <w:sz w:val="24"/>
          <w:szCs w:val="24"/>
          <w:u w:val="single"/>
        </w:rPr>
        <w:t xml:space="preserve"> 15 </w:t>
      </w:r>
      <w:r>
        <w:rPr>
          <w:rFonts w:hint="eastAsia" w:ascii="宋体" w:hAnsi="宋体" w:cs="宋体"/>
          <w:color w:val="auto"/>
          <w:sz w:val="24"/>
          <w:szCs w:val="24"/>
        </w:rPr>
        <w:t>个工作日内，甲方支付合同结算价的5％给乙方（无息）。</w:t>
      </w:r>
    </w:p>
    <w:p>
      <w:pPr>
        <w:spacing w:line="500" w:lineRule="exact"/>
        <w:ind w:firstLine="56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6</w:t>
      </w:r>
      <w:r>
        <w:rPr>
          <w:rFonts w:hint="eastAsia" w:ascii="宋体" w:hAnsi="宋体" w:cs="宋体"/>
          <w:color w:val="auto"/>
          <w:sz w:val="24"/>
          <w:szCs w:val="24"/>
        </w:rPr>
        <w:t>如乙方应向甲方支付违约金、赔偿款或者其他款项，应当在接到甲方通知后</w:t>
      </w:r>
      <w:r>
        <w:rPr>
          <w:rFonts w:hint="eastAsia" w:ascii="宋体" w:hAnsi="宋体" w:cs="宋体"/>
          <w:color w:val="auto"/>
          <w:sz w:val="24"/>
          <w:szCs w:val="24"/>
          <w:u w:val="single"/>
        </w:rPr>
        <w:t>30</w:t>
      </w:r>
      <w:r>
        <w:rPr>
          <w:rFonts w:hint="eastAsia" w:ascii="宋体" w:hAnsi="宋体" w:cs="宋体"/>
          <w:color w:val="auto"/>
          <w:sz w:val="24"/>
          <w:szCs w:val="24"/>
        </w:rPr>
        <w:t>日内付清，甲方有权直接从应付款项中抵扣。</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7</w:t>
      </w:r>
      <w:r>
        <w:rPr>
          <w:rFonts w:hint="eastAsia" w:ascii="宋体" w:hAnsi="宋体" w:cs="宋体"/>
          <w:color w:val="auto"/>
          <w:sz w:val="24"/>
          <w:szCs w:val="24"/>
        </w:rPr>
        <w:t>乙方收款账户：</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spacing w:line="500" w:lineRule="exact"/>
        <w:ind w:firstLine="840" w:firstLineChars="35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spacing w:line="500" w:lineRule="exact"/>
        <w:ind w:firstLine="840" w:firstLineChars="35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8</w:t>
      </w:r>
      <w:r>
        <w:rPr>
          <w:rFonts w:hint="eastAsia" w:ascii="宋体" w:hAnsi="宋体" w:cs="宋体"/>
          <w:color w:val="auto"/>
          <w:sz w:val="24"/>
          <w:szCs w:val="24"/>
        </w:rPr>
        <w:t>乙方在收款前需提交等额增值税专用发票给甲方。增值税专用发票信息：</w:t>
      </w:r>
    </w:p>
    <w:p>
      <w:pPr>
        <w:spacing w:line="500" w:lineRule="exact"/>
        <w:ind w:firstLine="960" w:firstLineChars="400"/>
        <w:rPr>
          <w:rFonts w:ascii="宋体" w:hAnsi="宋体" w:cs="宋体"/>
          <w:color w:val="auto"/>
          <w:sz w:val="24"/>
          <w:szCs w:val="24"/>
        </w:rPr>
      </w:pPr>
      <w:r>
        <w:rPr>
          <w:rFonts w:hint="eastAsia" w:ascii="宋体" w:hAnsi="宋体" w:cs="宋体"/>
          <w:color w:val="auto"/>
          <w:sz w:val="24"/>
          <w:szCs w:val="24"/>
        </w:rPr>
        <w:t>名称：广州市净水有限公司</w:t>
      </w:r>
    </w:p>
    <w:p>
      <w:pPr>
        <w:spacing w:line="500" w:lineRule="exact"/>
        <w:ind w:firstLine="960" w:firstLineChars="400"/>
        <w:rPr>
          <w:rFonts w:hint="eastAsia" w:ascii="宋体" w:hAnsi="宋体" w:cs="宋体"/>
          <w:color w:val="auto"/>
          <w:sz w:val="24"/>
          <w:szCs w:val="24"/>
          <w:u w:val="single"/>
        </w:rPr>
      </w:pPr>
      <w:r>
        <w:rPr>
          <w:rFonts w:hint="eastAsia" w:ascii="宋体" w:hAnsi="宋体" w:cs="宋体"/>
          <w:color w:val="auto"/>
          <w:sz w:val="24"/>
          <w:szCs w:val="24"/>
        </w:rPr>
        <w:t>税号：</w:t>
      </w:r>
      <w:r>
        <w:rPr>
          <w:rFonts w:hint="eastAsia" w:ascii="宋体" w:hAnsi="宋体" w:cs="宋体"/>
          <w:color w:val="auto"/>
          <w:sz w:val="24"/>
          <w:szCs w:val="24"/>
          <w:u w:val="single"/>
        </w:rPr>
        <w:t xml:space="preserve">91440101755584729Q        </w:t>
      </w:r>
    </w:p>
    <w:p>
      <w:pPr>
        <w:spacing w:line="500" w:lineRule="exact"/>
        <w:ind w:firstLine="960" w:firstLineChars="4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lang w:val="en-US" w:eastAsia="zh-CN"/>
        </w:rPr>
        <w:t>广州市天河区临江大道501号</w:t>
      </w:r>
      <w:r>
        <w:rPr>
          <w:rFonts w:hint="eastAsia" w:ascii="宋体" w:hAnsi="宋体" w:cs="宋体"/>
          <w:color w:val="auto"/>
          <w:sz w:val="24"/>
          <w:szCs w:val="24"/>
        </w:rPr>
        <w:t xml:space="preserve">                           </w:t>
      </w:r>
    </w:p>
    <w:p>
      <w:pPr>
        <w:spacing w:line="500" w:lineRule="exact"/>
        <w:ind w:firstLine="480" w:firstLineChars="200"/>
        <w:outlineLvl w:val="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9</w:t>
      </w:r>
      <w:r>
        <w:rPr>
          <w:rFonts w:hint="eastAsia" w:ascii="宋体" w:hAnsi="宋体" w:cs="宋体"/>
          <w:color w:val="auto"/>
          <w:sz w:val="24"/>
          <w:szCs w:val="24"/>
        </w:rPr>
        <w:t>履约担保：</w:t>
      </w:r>
      <w:r>
        <w:rPr>
          <w:rFonts w:hint="eastAsia" w:ascii="宋体" w:hAnsi="宋体" w:cs="宋体"/>
          <w:color w:val="auto"/>
          <w:sz w:val="24"/>
          <w:szCs w:val="24"/>
          <w:highlight w:val="none"/>
        </w:rPr>
        <w:sym w:font="Wingdings 2" w:char="00A3"/>
      </w:r>
      <w:r>
        <w:rPr>
          <w:rFonts w:hint="eastAsia" w:ascii="宋体" w:hAnsi="宋体" w:cs="宋体"/>
          <w:bCs w:val="0"/>
          <w:color w:val="auto"/>
          <w:sz w:val="24"/>
          <w:szCs w:val="24"/>
        </w:rPr>
        <w:t xml:space="preserve">无；     </w:t>
      </w:r>
      <w:r>
        <w:rPr>
          <w:rFonts w:hint="eastAsia" w:ascii="宋体" w:hAnsi="宋体" w:cs="宋体"/>
          <w:color w:val="auto"/>
          <w:sz w:val="24"/>
          <w:szCs w:val="24"/>
        </w:rPr>
        <w:sym w:font="Wingdings 2" w:char="0052"/>
      </w:r>
      <w:r>
        <w:rPr>
          <w:rFonts w:hint="eastAsia" w:ascii="宋体" w:hAnsi="宋体" w:cs="宋体"/>
          <w:color w:val="auto"/>
          <w:sz w:val="24"/>
          <w:szCs w:val="24"/>
        </w:rPr>
        <w:t>有，本合同签订后</w:t>
      </w:r>
      <w:r>
        <w:rPr>
          <w:rFonts w:hint="eastAsia" w:ascii="宋体" w:hAnsi="宋体" w:cs="宋体"/>
          <w:color w:val="auto"/>
          <w:sz w:val="24"/>
          <w:szCs w:val="24"/>
          <w:u w:val="single"/>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以合同暂定总价的10%作为履约保证金，</w:t>
      </w:r>
      <w:r>
        <w:rPr>
          <w:rFonts w:hint="eastAsia" w:ascii="宋体" w:hAnsi="宋体" w:cs="宋体"/>
          <w:color w:val="auto"/>
          <w:sz w:val="24"/>
          <w:szCs w:val="24"/>
        </w:rPr>
        <w:t>金额：</w:t>
      </w:r>
      <w:r>
        <w:rPr>
          <w:rFonts w:hint="eastAsia" w:ascii="宋体" w:hAnsi="宋体" w:cs="宋体"/>
          <w:color w:val="auto"/>
          <w:sz w:val="24"/>
          <w:szCs w:val="24"/>
          <w:u w:val="single"/>
        </w:rPr>
        <w:t>…（大写人民币：…），</w:t>
      </w:r>
      <w:r>
        <w:rPr>
          <w:rFonts w:hint="eastAsia" w:ascii="宋体" w:hAnsi="宋体" w:cs="宋体"/>
          <w:color w:val="auto"/>
          <w:sz w:val="24"/>
          <w:szCs w:val="24"/>
        </w:rPr>
        <w:t>未按时提供的，甲方有权解除合同并要求乙方支付</w:t>
      </w:r>
      <w:r>
        <w:rPr>
          <w:rFonts w:hint="eastAsia" w:ascii="宋体" w:hAnsi="宋体" w:cs="宋体"/>
          <w:color w:val="auto"/>
          <w:sz w:val="24"/>
          <w:szCs w:val="24"/>
          <w:u w:val="single"/>
        </w:rPr>
        <w:t>合同暂定总价20%</w:t>
      </w:r>
      <w:r>
        <w:rPr>
          <w:rFonts w:hint="eastAsia" w:ascii="宋体" w:hAnsi="宋体" w:cs="宋体"/>
          <w:color w:val="auto"/>
          <w:sz w:val="24"/>
          <w:szCs w:val="24"/>
        </w:rPr>
        <w:t>作为违约金。</w:t>
      </w:r>
    </w:p>
    <w:p>
      <w:pPr>
        <w:pStyle w:val="21"/>
        <w:spacing w:before="156" w:beforeAutospacing="0" w:after="156" w:afterAutospacing="0" w:line="500" w:lineRule="exact"/>
        <w:ind w:firstLine="480" w:firstLineChars="200"/>
        <w:rPr>
          <w:rFonts w:cs="宋体"/>
          <w:color w:val="auto"/>
        </w:rPr>
      </w:pPr>
      <w:r>
        <w:rPr>
          <w:rFonts w:hint="eastAsia" w:cs="宋体"/>
          <w:color w:val="auto"/>
        </w:rPr>
        <w:t>5.</w:t>
      </w:r>
      <w:r>
        <w:rPr>
          <w:rFonts w:hint="eastAsia" w:cs="宋体"/>
          <w:color w:val="auto"/>
          <w:lang w:val="en-US" w:eastAsia="zh-CN"/>
        </w:rPr>
        <w:t>9</w:t>
      </w:r>
      <w:r>
        <w:rPr>
          <w:rFonts w:hint="eastAsia" w:cs="宋体"/>
          <w:color w:val="auto"/>
        </w:rPr>
        <w:t>.1履约担保按以下任一种形式提供：</w:t>
      </w:r>
    </w:p>
    <w:p>
      <w:pPr>
        <w:pStyle w:val="21"/>
        <w:spacing w:before="156" w:beforeAutospacing="0" w:after="156" w:afterAutospacing="0" w:line="500" w:lineRule="exact"/>
        <w:ind w:firstLine="480"/>
        <w:rPr>
          <w:rFonts w:cs="宋体"/>
          <w:color w:val="auto"/>
        </w:rPr>
      </w:pPr>
      <w:r>
        <w:rPr>
          <w:rFonts w:hint="eastAsia" w:cs="宋体"/>
          <w:color w:val="auto"/>
        </w:rPr>
        <w:t>（1）符合甲方要求（详见附件7保函格式）的银行独立保函，</w:t>
      </w:r>
    </w:p>
    <w:p>
      <w:pPr>
        <w:pStyle w:val="21"/>
        <w:spacing w:before="156" w:beforeAutospacing="0" w:after="156" w:afterAutospacing="0" w:line="500" w:lineRule="exact"/>
        <w:ind w:firstLine="480"/>
        <w:rPr>
          <w:rFonts w:cs="宋体"/>
          <w:color w:val="auto"/>
        </w:rPr>
      </w:pPr>
      <w:r>
        <w:rPr>
          <w:rFonts w:hint="eastAsia" w:cs="宋体"/>
          <w:color w:val="auto"/>
        </w:rPr>
        <w:t>（2）现金转账至甲方以下指定账户：</w:t>
      </w:r>
    </w:p>
    <w:p>
      <w:pPr>
        <w:tabs>
          <w:tab w:val="left" w:pos="1995"/>
        </w:tabs>
        <w:spacing w:line="500" w:lineRule="exact"/>
        <w:ind w:firstLine="480" w:firstLineChars="200"/>
        <w:rPr>
          <w:rFonts w:ascii="宋体" w:hAnsi="宋体" w:cs="宋体"/>
          <w:bCs/>
          <w:sz w:val="24"/>
          <w:szCs w:val="24"/>
        </w:rPr>
      </w:pPr>
      <w:r>
        <w:rPr>
          <w:rFonts w:hint="eastAsia" w:ascii="宋体" w:hAnsi="宋体" w:cs="宋体"/>
          <w:bCs/>
          <w:color w:val="auto"/>
          <w:sz w:val="24"/>
          <w:szCs w:val="24"/>
        </w:rPr>
        <w:t>户名</w:t>
      </w:r>
      <w:r>
        <w:rPr>
          <w:rFonts w:hint="eastAsia" w:ascii="宋体" w:hAnsi="宋体" w:cs="宋体"/>
          <w:bCs/>
          <w:sz w:val="24"/>
          <w:szCs w:val="24"/>
        </w:rPr>
        <w:t>广州市净水有限公司</w:t>
      </w:r>
    </w:p>
    <w:p>
      <w:pPr>
        <w:tabs>
          <w:tab w:val="left" w:pos="1995"/>
        </w:tabs>
        <w:spacing w:line="500" w:lineRule="exact"/>
        <w:ind w:firstLine="480" w:firstLineChars="200"/>
        <w:rPr>
          <w:rFonts w:ascii="宋体" w:hAnsi="宋体" w:cs="宋体"/>
          <w:bCs/>
          <w:sz w:val="24"/>
          <w:szCs w:val="24"/>
        </w:rPr>
      </w:pPr>
      <w:r>
        <w:rPr>
          <w:rFonts w:hint="eastAsia" w:ascii="宋体" w:hAnsi="宋体" w:cs="宋体"/>
          <w:bCs/>
          <w:sz w:val="24"/>
          <w:szCs w:val="24"/>
        </w:rPr>
        <w:t>账号：82010154900000342</w:t>
      </w:r>
    </w:p>
    <w:p>
      <w:pPr>
        <w:tabs>
          <w:tab w:val="left" w:pos="1995"/>
        </w:tabs>
        <w:spacing w:line="500" w:lineRule="exact"/>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500" w:lineRule="exact"/>
        <w:ind w:firstLine="480" w:firstLineChars="200"/>
        <w:outlineLvl w:val="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9</w:t>
      </w:r>
      <w:r>
        <w:rPr>
          <w:rFonts w:hint="eastAsia" w:ascii="宋体" w:hAnsi="宋体" w:cs="宋体"/>
          <w:color w:val="auto"/>
          <w:sz w:val="24"/>
          <w:szCs w:val="24"/>
        </w:rPr>
        <w:t>.2履约担保的担保期限和返还</w:t>
      </w:r>
    </w:p>
    <w:p>
      <w:pPr>
        <w:spacing w:line="500" w:lineRule="exact"/>
        <w:ind w:firstLine="480"/>
        <w:outlineLvl w:val="0"/>
        <w:rPr>
          <w:rFonts w:ascii="宋体" w:hAnsi="宋体" w:cs="宋体"/>
          <w:color w:val="auto"/>
          <w:sz w:val="24"/>
          <w:szCs w:val="24"/>
        </w:rPr>
      </w:pPr>
      <w:r>
        <w:rPr>
          <w:rFonts w:hint="eastAsia" w:ascii="宋体" w:hAnsi="宋体" w:cs="宋体"/>
          <w:color w:val="auto"/>
          <w:sz w:val="24"/>
          <w:szCs w:val="24"/>
        </w:rPr>
        <w:t xml:space="preserve"> ⑴ 履约银行保函（或现金履约保证金）的担保期限：从提供履约担保（或转账成功）之日起至合同履行完成。</w:t>
      </w:r>
    </w:p>
    <w:p>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 ⑵ 履约银行保函在合同履行完成后，由乙方提出申请，甲方在28日内返还，不支付利息</w:t>
      </w:r>
      <w:r>
        <w:rPr>
          <w:rFonts w:hint="eastAsia" w:ascii="宋体" w:hAnsi="宋体" w:cs="宋体"/>
          <w:color w:val="auto"/>
          <w:sz w:val="24"/>
          <w:szCs w:val="24"/>
          <w:lang w:eastAsia="zh-CN"/>
        </w:rPr>
        <w:t>。</w:t>
      </w:r>
    </w:p>
    <w:p>
      <w:pPr>
        <w:spacing w:line="500" w:lineRule="exact"/>
        <w:ind w:firstLine="600" w:firstLineChars="250"/>
        <w:outlineLvl w:val="0"/>
        <w:rPr>
          <w:rFonts w:hint="eastAsia" w:ascii="宋体" w:hAnsi="宋体" w:cs="宋体"/>
          <w:color w:val="auto"/>
          <w:sz w:val="24"/>
          <w:szCs w:val="24"/>
        </w:rPr>
      </w:pPr>
      <w:r>
        <w:rPr>
          <w:rFonts w:hint="eastAsia" w:ascii="宋体" w:hAnsi="宋体" w:cs="宋体"/>
          <w:color w:val="auto"/>
          <w:sz w:val="24"/>
          <w:szCs w:val="24"/>
        </w:rPr>
        <w:t>⑶ 延长担保期限。乙方以履约银行保函形式提交履约保证金的，在银行保函到期前，乙方应提前</w:t>
      </w:r>
      <w:r>
        <w:rPr>
          <w:rFonts w:hint="eastAsia" w:ascii="宋体" w:hAnsi="宋体" w:cs="宋体"/>
          <w:color w:val="auto"/>
          <w:sz w:val="24"/>
          <w:szCs w:val="24"/>
          <w:u w:val="single"/>
        </w:rPr>
        <w:t xml:space="preserve"> 7 </w:t>
      </w:r>
      <w:r>
        <w:rPr>
          <w:rFonts w:hint="eastAsia" w:ascii="宋体" w:hAnsi="宋体" w:cs="宋体"/>
          <w:color w:val="auto"/>
          <w:sz w:val="24"/>
          <w:szCs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现金履约保证金的退还：合同履行完成后，由乙方提出申请，甲方在28日内将剩余保证金（无息）返还。</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9</w:t>
      </w:r>
      <w:r>
        <w:rPr>
          <w:rFonts w:hint="eastAsia" w:ascii="宋体" w:hAnsi="宋体" w:cs="宋体"/>
          <w:color w:val="auto"/>
          <w:sz w:val="24"/>
          <w:szCs w:val="24"/>
        </w:rPr>
        <w:t>.3甲方按本合同规定提取履约担保金额后，乙方应在收到甲方通知后</w:t>
      </w:r>
      <w:r>
        <w:rPr>
          <w:rFonts w:hint="eastAsia" w:ascii="宋体" w:hAnsi="宋体" w:cs="宋体"/>
          <w:color w:val="auto"/>
          <w:sz w:val="24"/>
          <w:szCs w:val="24"/>
          <w:u w:val="single"/>
        </w:rPr>
        <w:t>7</w:t>
      </w:r>
      <w:r>
        <w:rPr>
          <w:rFonts w:hint="eastAsia" w:ascii="宋体" w:hAnsi="宋体" w:cs="宋体"/>
          <w:color w:val="auto"/>
          <w:sz w:val="24"/>
          <w:szCs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auto"/>
          <w:sz w:val="24"/>
          <w:szCs w:val="24"/>
          <w:u w:val="single"/>
        </w:rPr>
      </w:pPr>
      <w:r>
        <w:rPr>
          <w:rFonts w:hint="eastAsia" w:ascii="宋体" w:hAnsi="宋体" w:cs="宋体"/>
          <w:color w:val="auto"/>
          <w:sz w:val="24"/>
          <w:szCs w:val="24"/>
        </w:rPr>
        <w:t>5.</w:t>
      </w:r>
      <w:r>
        <w:rPr>
          <w:rFonts w:hint="eastAsia" w:ascii="宋体" w:hAnsi="宋体" w:cs="宋体"/>
          <w:color w:val="auto"/>
          <w:sz w:val="24"/>
          <w:szCs w:val="24"/>
          <w:lang w:val="en-US" w:eastAsia="zh-CN"/>
        </w:rPr>
        <w:t>10</w:t>
      </w:r>
      <w:r>
        <w:rPr>
          <w:rFonts w:hint="eastAsia" w:ascii="宋体" w:hAnsi="宋体" w:cs="宋体"/>
          <w:color w:val="auto"/>
          <w:sz w:val="24"/>
          <w:szCs w:val="24"/>
        </w:rPr>
        <w:t xml:space="preserve">付款方式： </w:t>
      </w:r>
      <w:r>
        <w:rPr>
          <w:rFonts w:hint="eastAsia" w:ascii="宋体" w:hAnsi="宋体" w:cs="宋体"/>
          <w:color w:val="auto"/>
          <w:sz w:val="24"/>
          <w:szCs w:val="24"/>
        </w:rPr>
        <w:sym w:font="Wingdings" w:char="00FE"/>
      </w:r>
      <w:r>
        <w:rPr>
          <w:rFonts w:hint="eastAsia" w:ascii="宋体" w:hAnsi="宋体" w:cs="宋体"/>
          <w:color w:val="auto"/>
          <w:sz w:val="24"/>
          <w:szCs w:val="24"/>
        </w:rPr>
        <w:t xml:space="preserve">网银支付；  </w:t>
      </w:r>
      <w:r>
        <w:rPr>
          <w:rFonts w:hint="eastAsia" w:ascii="宋体" w:hAnsi="宋体" w:cs="宋体"/>
          <w:color w:val="auto"/>
          <w:sz w:val="24"/>
          <w:szCs w:val="24"/>
        </w:rPr>
        <w:sym w:font="Wingdings" w:char="00A8"/>
      </w:r>
      <w:r>
        <w:rPr>
          <w:rFonts w:hint="eastAsia" w:ascii="宋体" w:hAnsi="宋体" w:cs="宋体"/>
          <w:color w:val="auto"/>
          <w:sz w:val="24"/>
          <w:szCs w:val="24"/>
        </w:rPr>
        <w:t xml:space="preserve">支票；   </w:t>
      </w:r>
      <w:r>
        <w:rPr>
          <w:rFonts w:hint="eastAsia" w:ascii="宋体" w:hAnsi="宋体" w:cs="宋体"/>
          <w:color w:val="auto"/>
          <w:sz w:val="24"/>
          <w:szCs w:val="24"/>
        </w:rPr>
        <w:sym w:font="Wingdings" w:char="00A8"/>
      </w:r>
      <w:r>
        <w:rPr>
          <w:rFonts w:hint="eastAsia" w:ascii="宋体" w:hAnsi="宋体" w:cs="宋体"/>
          <w:color w:val="auto"/>
          <w:sz w:val="24"/>
          <w:szCs w:val="24"/>
        </w:rPr>
        <w:t>其他：</w:t>
      </w:r>
      <w:r>
        <w:rPr>
          <w:rFonts w:hint="eastAsia" w:ascii="宋体" w:hAnsi="宋体" w:cs="宋体"/>
          <w:color w:val="auto"/>
          <w:sz w:val="24"/>
          <w:szCs w:val="24"/>
          <w:u w:val="single"/>
        </w:rPr>
        <w:t xml:space="preserve"> … </w:t>
      </w:r>
    </w:p>
    <w:p>
      <w:pPr>
        <w:tabs>
          <w:tab w:val="left" w:pos="851"/>
        </w:tabs>
        <w:adjustRightInd w:val="0"/>
        <w:snapToGrid w:val="0"/>
        <w:spacing w:line="500" w:lineRule="exact"/>
        <w:ind w:firstLine="480" w:firstLineChars="200"/>
        <w:jc w:val="left"/>
        <w:outlineLvl w:val="1"/>
        <w:rPr>
          <w:rFonts w:ascii="宋体" w:hAnsi="宋体" w:cs="宋体"/>
          <w:bCs/>
          <w:color w:val="auto"/>
          <w:sz w:val="24"/>
          <w:szCs w:val="24"/>
          <w:bdr w:val="single" w:color="auto" w:sz="4" w:space="0"/>
        </w:rPr>
      </w:pPr>
      <w:r>
        <w:rPr>
          <w:rFonts w:hint="eastAsia" w:ascii="宋体" w:hAnsi="宋体" w:cs="宋体"/>
          <w:color w:val="auto"/>
          <w:sz w:val="24"/>
          <w:szCs w:val="24"/>
        </w:rPr>
        <w:t>（建议采用网银支付、支票两种形式中之一）</w:t>
      </w:r>
    </w:p>
    <w:p>
      <w:pPr>
        <w:spacing w:line="500" w:lineRule="exact"/>
        <w:ind w:firstLine="492"/>
        <w:rPr>
          <w:rFonts w:ascii="宋体" w:hAnsi="宋体" w:cs="宋体"/>
          <w:b/>
          <w:color w:val="auto"/>
          <w:sz w:val="24"/>
          <w:szCs w:val="24"/>
        </w:rPr>
      </w:pPr>
      <w:r>
        <w:rPr>
          <w:rFonts w:hint="eastAsia" w:ascii="宋体" w:hAnsi="宋体" w:cs="宋体"/>
          <w:b/>
          <w:color w:val="auto"/>
          <w:sz w:val="24"/>
          <w:szCs w:val="24"/>
        </w:rPr>
        <w:t>六、验收标准及双方责任：</w:t>
      </w:r>
    </w:p>
    <w:p>
      <w:pPr>
        <w:tabs>
          <w:tab w:val="left" w:pos="2670"/>
        </w:tabs>
        <w:spacing w:line="5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6.1.质量及验收标准及项目相关过程资料及成果、培训、实施、维修、维护：见《技术需求书》。</w:t>
      </w:r>
    </w:p>
    <w:p>
      <w:pPr>
        <w:spacing w:line="50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6.2项目</w:t>
      </w:r>
      <w:r>
        <w:rPr>
          <w:rFonts w:hint="eastAsia" w:ascii="宋体" w:hAnsi="宋体" w:cs="宋体"/>
          <w:color w:val="auto"/>
          <w:sz w:val="24"/>
          <w:szCs w:val="24"/>
          <w:lang w:val="en-US" w:eastAsia="zh-CN"/>
        </w:rPr>
        <w:t>自竣工验收合格之日起</w:t>
      </w:r>
      <w:r>
        <w:rPr>
          <w:rFonts w:hint="eastAsia" w:ascii="宋体" w:hAnsi="宋体" w:cs="宋体"/>
          <w:color w:val="auto"/>
          <w:sz w:val="24"/>
          <w:szCs w:val="24"/>
          <w:u w:val="single"/>
          <w:lang w:val="en-US" w:eastAsia="zh-CN"/>
        </w:rPr>
        <w:t>1</w:t>
      </w:r>
      <w:r>
        <w:rPr>
          <w:rFonts w:hint="eastAsia" w:ascii="宋体" w:hAnsi="宋体" w:cs="宋体"/>
          <w:color w:val="auto"/>
          <w:sz w:val="24"/>
          <w:szCs w:val="24"/>
          <w:lang w:val="en-US" w:eastAsia="zh-CN"/>
        </w:rPr>
        <w:t>年内，</w:t>
      </w:r>
      <w:r>
        <w:rPr>
          <w:rFonts w:hint="eastAsia" w:ascii="宋体" w:hAnsi="宋体" w:cs="宋体"/>
          <w:color w:val="auto"/>
          <w:sz w:val="24"/>
          <w:szCs w:val="24"/>
        </w:rPr>
        <w:t>乙方</w:t>
      </w:r>
      <w:r>
        <w:rPr>
          <w:rFonts w:hint="eastAsia" w:ascii="宋体" w:hAnsi="宋体" w:cs="宋体"/>
          <w:color w:val="auto"/>
          <w:sz w:val="24"/>
          <w:szCs w:val="24"/>
          <w:lang w:val="en-US" w:eastAsia="zh-CN"/>
        </w:rPr>
        <w:t>提供</w:t>
      </w:r>
      <w:r>
        <w:rPr>
          <w:rFonts w:hint="eastAsia" w:ascii="宋体" w:hAnsi="宋体" w:cs="宋体"/>
          <w:color w:val="auto"/>
          <w:sz w:val="24"/>
          <w:szCs w:val="24"/>
          <w:u w:val="single"/>
        </w:rPr>
        <w:t>运维服务</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售后服务</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质量保修</w:t>
      </w:r>
      <w:r>
        <w:rPr>
          <w:rFonts w:hint="eastAsia" w:ascii="宋体" w:hAnsi="宋体" w:cs="宋体"/>
          <w:color w:val="auto"/>
          <w:sz w:val="24"/>
          <w:szCs w:val="24"/>
        </w:rPr>
        <w:t>，服务内容如下：</w:t>
      </w:r>
      <w:r>
        <w:rPr>
          <w:rFonts w:hint="eastAsia" w:ascii="宋体" w:hAnsi="宋体" w:eastAsia="宋体" w:cs="宋体"/>
          <w:color w:val="auto"/>
          <w:sz w:val="24"/>
          <w:szCs w:val="24"/>
          <w:highlight w:val="none"/>
          <w:u w:val="single"/>
        </w:rPr>
        <w:t>见《技术需求书》</w:t>
      </w:r>
      <w:r>
        <w:rPr>
          <w:rFonts w:hint="eastAsia" w:ascii="宋体" w:hAnsi="宋体" w:cs="宋体"/>
          <w:color w:val="auto"/>
          <w:sz w:val="24"/>
          <w:szCs w:val="24"/>
          <w:u w:val="single"/>
        </w:rPr>
        <w:t>。如系统发现故障时，乙方在收到通知</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小时内提供维护，并排除故障。</w:t>
      </w:r>
      <w:r>
        <w:rPr>
          <w:rFonts w:hint="eastAsia" w:ascii="宋体" w:hAnsi="宋体" w:cs="宋体"/>
          <w:color w:val="auto"/>
          <w:sz w:val="24"/>
          <w:szCs w:val="24"/>
          <w:highlight w:val="none"/>
          <w:u w:val="single"/>
        </w:rPr>
        <w:t>如现场无法解决的，应同步出具应急方案，并配合甲方启动应急方案，确保甲方信息系统正常运行。</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6.3如项目系统软件升级，乙方应无偿提供升级版本和相应的支持服务。系统软件升级后，乙方应提供软件的培训服务。</w:t>
      </w:r>
    </w:p>
    <w:p>
      <w:pPr>
        <w:pStyle w:val="64"/>
        <w:spacing w:line="500" w:lineRule="exact"/>
        <w:ind w:firstLine="480"/>
        <w:rPr>
          <w:rFonts w:ascii="宋体" w:hAnsi="宋体" w:cs="宋体"/>
          <w:color w:val="auto"/>
          <w:sz w:val="24"/>
          <w:szCs w:val="24"/>
        </w:rPr>
      </w:pPr>
      <w:r>
        <w:rPr>
          <w:rFonts w:hint="eastAsia" w:ascii="宋体" w:hAnsi="宋体" w:cs="宋体"/>
          <w:color w:val="auto"/>
          <w:sz w:val="24"/>
          <w:szCs w:val="24"/>
        </w:rPr>
        <w:t>6.4乙方不得传播公司内部网络、服务器、应用系统等有关资料。</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6.5乙方履行合同时，应严格遵守国家法律法规和甲方相关的各项规章制度，服从甲方管理指挥。乙方不按规范作业或者乙方原因造成的</w:t>
      </w:r>
      <w:r>
        <w:rPr>
          <w:rFonts w:hint="eastAsia" w:ascii="宋体" w:hAnsi="宋体" w:eastAsia="宋体"/>
          <w:color w:val="auto"/>
          <w:sz w:val="24"/>
          <w:szCs w:val="24"/>
        </w:rPr>
        <w:t>财产损失、</w:t>
      </w:r>
      <w:r>
        <w:rPr>
          <w:rFonts w:hint="eastAsia" w:ascii="宋体" w:hAnsi="宋体" w:cs="宋体"/>
          <w:color w:val="auto"/>
          <w:sz w:val="24"/>
          <w:szCs w:val="24"/>
        </w:rPr>
        <w:t>人员伤亡，由乙方自行承担责任。</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6.7乙方严禁对甲方机房物理空间结构、计算机设备、消防设施、文档资料等进行拍照或摄像，严禁将涉密的各种资料或介质私自携带出去。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6.8乙方严禁擅自安装、拆卸、调整、挪动任何设备。 </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s="宋体"/>
          <w:color w:val="auto"/>
          <w:sz w:val="24"/>
          <w:szCs w:val="24"/>
        </w:rPr>
      </w:pPr>
      <w:r>
        <w:rPr>
          <w:rFonts w:hint="eastAsia" w:ascii="宋体" w:hAnsi="宋体" w:cs="宋体"/>
          <w:color w:val="auto"/>
          <w:sz w:val="24"/>
          <w:szCs w:val="24"/>
        </w:rPr>
        <w:t>6.10甲方需驻场服务时，乙方应派人提供驻场服务，且驻场人员不得少于</w:t>
      </w:r>
      <w:r>
        <w:rPr>
          <w:rFonts w:hint="eastAsia" w:ascii="宋体" w:hAnsi="宋体" w:cs="宋体"/>
          <w:color w:val="auto"/>
          <w:sz w:val="24"/>
          <w:szCs w:val="24"/>
          <w:u w:val="single"/>
        </w:rPr>
        <w:t>…</w:t>
      </w:r>
      <w:r>
        <w:rPr>
          <w:rFonts w:hint="eastAsia" w:ascii="宋体" w:hAnsi="宋体" w:cs="宋体"/>
          <w:color w:val="auto"/>
          <w:sz w:val="24"/>
          <w:szCs w:val="24"/>
        </w:rPr>
        <w:t>名。（如需）</w:t>
      </w:r>
    </w:p>
    <w:p>
      <w:pPr>
        <w:adjustRightInd w:val="0"/>
        <w:spacing w:line="500" w:lineRule="exact"/>
        <w:ind w:firstLine="560"/>
        <w:textAlignment w:val="baseline"/>
        <w:rPr>
          <w:rFonts w:ascii="宋体" w:hAnsi="宋体" w:cs="宋体"/>
          <w:color w:val="auto"/>
          <w:sz w:val="24"/>
          <w:szCs w:val="24"/>
        </w:rPr>
      </w:pPr>
      <w:r>
        <w:rPr>
          <w:rFonts w:hint="eastAsia" w:ascii="宋体" w:hAnsi="宋体" w:cs="宋体"/>
          <w:color w:val="auto"/>
          <w:sz w:val="24"/>
          <w:szCs w:val="24"/>
        </w:rPr>
        <w:t>6.11乙方应及时做好软件、数据备份，防止数据丢失。</w:t>
      </w:r>
    </w:p>
    <w:p>
      <w:pPr>
        <w:adjustRightInd w:val="0"/>
        <w:spacing w:line="500" w:lineRule="exact"/>
        <w:ind w:firstLine="560"/>
        <w:textAlignment w:val="baseline"/>
        <w:rPr>
          <w:rFonts w:ascii="宋体" w:hAnsi="宋体" w:cs="宋体"/>
          <w:color w:val="auto"/>
          <w:sz w:val="24"/>
          <w:szCs w:val="24"/>
        </w:rPr>
      </w:pPr>
      <w:r>
        <w:rPr>
          <w:rFonts w:hint="eastAsia" w:ascii="宋体" w:hAnsi="宋体" w:cs="宋体"/>
          <w:color w:val="auto"/>
          <w:sz w:val="24"/>
          <w:szCs w:val="24"/>
        </w:rPr>
        <w:t>6.12乙方应按甲方要求提供专项培训。</w:t>
      </w:r>
    </w:p>
    <w:p>
      <w:pPr>
        <w:spacing w:line="500" w:lineRule="exact"/>
        <w:ind w:firstLine="241" w:firstLineChars="100"/>
        <w:rPr>
          <w:rFonts w:ascii="宋体" w:hAnsi="宋体" w:cs="宋体"/>
          <w:b/>
          <w:color w:val="auto"/>
          <w:kern w:val="0"/>
          <w:sz w:val="24"/>
          <w:szCs w:val="24"/>
        </w:rPr>
      </w:pPr>
      <w:r>
        <w:rPr>
          <w:rFonts w:hint="eastAsia" w:ascii="宋体" w:hAnsi="宋体" w:cs="宋体"/>
          <w:b/>
          <w:color w:val="auto"/>
          <w:kern w:val="0"/>
          <w:sz w:val="24"/>
          <w:szCs w:val="24"/>
        </w:rPr>
        <w:t>七、知识产权</w:t>
      </w:r>
    </w:p>
    <w:p>
      <w:pPr>
        <w:widowControl/>
        <w:spacing w:line="500" w:lineRule="exact"/>
        <w:ind w:firstLine="424" w:firstLineChars="177"/>
        <w:jc w:val="left"/>
        <w:rPr>
          <w:rFonts w:ascii="宋体" w:hAnsi="宋体" w:cs="宋体"/>
          <w:color w:val="auto"/>
          <w:kern w:val="0"/>
          <w:sz w:val="24"/>
          <w:szCs w:val="24"/>
        </w:rPr>
      </w:pPr>
      <w:r>
        <w:rPr>
          <w:rFonts w:hint="eastAsia" w:ascii="宋体" w:hAnsi="宋体" w:cs="宋体"/>
          <w:color w:val="auto"/>
          <w:kern w:val="0"/>
          <w:sz w:val="24"/>
          <w:szCs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color w:val="auto"/>
          <w:kern w:val="0"/>
          <w:sz w:val="24"/>
          <w:szCs w:val="24"/>
        </w:rPr>
      </w:pPr>
      <w:r>
        <w:rPr>
          <w:rFonts w:hint="eastAsia" w:ascii="宋体" w:hAnsi="宋体" w:cs="宋体"/>
          <w:color w:val="auto"/>
          <w:kern w:val="0"/>
          <w:sz w:val="24"/>
          <w:szCs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w:t>
      </w:r>
      <w:r>
        <w:rPr>
          <w:rFonts w:hint="eastAsia" w:ascii="宋体" w:hAnsi="宋体" w:cs="宋体"/>
          <w:color w:val="auto"/>
          <w:kern w:val="0"/>
          <w:sz w:val="24"/>
          <w:szCs w:val="24"/>
          <w:lang w:val="en-US" w:eastAsia="zh-CN"/>
        </w:rPr>
        <w:t>申辩</w:t>
      </w:r>
      <w:r>
        <w:rPr>
          <w:rFonts w:hint="eastAsia" w:ascii="宋体" w:hAnsi="宋体" w:cs="宋体"/>
          <w:color w:val="auto"/>
          <w:kern w:val="0"/>
          <w:sz w:val="24"/>
          <w:szCs w:val="24"/>
        </w:rPr>
        <w:t>并保证甲方不受损害。</w:t>
      </w:r>
    </w:p>
    <w:p>
      <w:pPr>
        <w:spacing w:line="500" w:lineRule="exact"/>
        <w:ind w:firstLine="424" w:firstLineChars="177"/>
        <w:rPr>
          <w:rFonts w:ascii="宋体" w:hAnsi="宋体" w:cs="宋体"/>
          <w:color w:val="auto"/>
          <w:kern w:val="0"/>
          <w:sz w:val="24"/>
          <w:szCs w:val="24"/>
        </w:rPr>
      </w:pPr>
      <w:r>
        <w:rPr>
          <w:rFonts w:hint="eastAsia" w:ascii="宋体" w:hAnsi="宋体" w:cs="宋体"/>
          <w:color w:val="auto"/>
          <w:kern w:val="0"/>
          <w:sz w:val="24"/>
          <w:szCs w:val="24"/>
        </w:rPr>
        <w:t>7.3未经甲方书面许可或授权，乙方不得使用甲方的商标、商号和标志（合称“标识”）。</w:t>
      </w:r>
    </w:p>
    <w:p>
      <w:pPr>
        <w:spacing w:line="500" w:lineRule="exact"/>
        <w:ind w:firstLine="424" w:firstLineChars="177"/>
        <w:rPr>
          <w:rFonts w:ascii="宋体" w:hAnsi="宋体" w:cs="宋体"/>
          <w:bCs/>
          <w:color w:val="auto"/>
          <w:kern w:val="0"/>
          <w:sz w:val="24"/>
          <w:szCs w:val="24"/>
        </w:rPr>
      </w:pPr>
      <w:r>
        <w:rPr>
          <w:rFonts w:hint="eastAsia" w:ascii="宋体" w:hAnsi="宋体" w:cs="宋体"/>
          <w:color w:val="auto"/>
          <w:kern w:val="0"/>
          <w:sz w:val="24"/>
          <w:szCs w:val="24"/>
        </w:rPr>
        <w:t>7.4乙方应向甲方提供所有必要的协助，以帮助甲方保护其对成果产品以及成果产品中使用的标识享有的权利和利益以及就上述权利或利益进行</w:t>
      </w:r>
      <w:r>
        <w:rPr>
          <w:rFonts w:hint="eastAsia" w:ascii="宋体" w:hAnsi="宋体" w:cs="宋体"/>
          <w:color w:val="auto"/>
          <w:kern w:val="0"/>
          <w:sz w:val="24"/>
          <w:szCs w:val="24"/>
          <w:lang w:val="en-US" w:eastAsia="zh-CN"/>
        </w:rPr>
        <w:t>申辩</w:t>
      </w:r>
      <w:r>
        <w:rPr>
          <w:rFonts w:hint="eastAsia" w:ascii="宋体" w:hAnsi="宋体" w:cs="宋体"/>
          <w:color w:val="auto"/>
          <w:kern w:val="0"/>
          <w:sz w:val="24"/>
          <w:szCs w:val="24"/>
        </w:rPr>
        <w:t>。</w:t>
      </w:r>
    </w:p>
    <w:p>
      <w:pPr>
        <w:spacing w:line="500" w:lineRule="exact"/>
        <w:rPr>
          <w:rFonts w:ascii="宋体" w:hAnsi="宋体" w:cs="宋体"/>
          <w:b/>
          <w:color w:val="auto"/>
          <w:sz w:val="24"/>
          <w:szCs w:val="24"/>
        </w:rPr>
      </w:pPr>
      <w:r>
        <w:rPr>
          <w:rFonts w:hint="eastAsia" w:ascii="宋体" w:hAnsi="宋体" w:cs="宋体"/>
          <w:b/>
          <w:color w:val="auto"/>
          <w:sz w:val="24"/>
          <w:szCs w:val="24"/>
        </w:rPr>
        <w:t>　　八、权利与义务 ：</w:t>
      </w:r>
    </w:p>
    <w:p>
      <w:pPr>
        <w:spacing w:line="500" w:lineRule="exact"/>
        <w:rPr>
          <w:rFonts w:ascii="宋体" w:hAnsi="宋体" w:cs="宋体"/>
          <w:color w:val="auto"/>
          <w:sz w:val="24"/>
          <w:szCs w:val="24"/>
        </w:rPr>
      </w:pPr>
      <w:r>
        <w:rPr>
          <w:rFonts w:hint="eastAsia" w:ascii="宋体" w:hAnsi="宋体" w:cs="宋体"/>
          <w:color w:val="auto"/>
          <w:sz w:val="24"/>
          <w:szCs w:val="24"/>
        </w:rPr>
        <w:t>　　除本合同其他条款约定的权利、义务外，双方约定如下：</w:t>
      </w:r>
    </w:p>
    <w:p>
      <w:pPr>
        <w:spacing w:line="500" w:lineRule="exact"/>
        <w:rPr>
          <w:rFonts w:ascii="宋体" w:hAnsi="宋体" w:cs="宋体"/>
          <w:b/>
          <w:color w:val="auto"/>
          <w:sz w:val="24"/>
          <w:szCs w:val="24"/>
        </w:rPr>
      </w:pPr>
      <w:r>
        <w:rPr>
          <w:rFonts w:hint="eastAsia" w:ascii="宋体" w:hAnsi="宋体" w:cs="宋体"/>
          <w:b/>
          <w:color w:val="auto"/>
          <w:sz w:val="24"/>
          <w:szCs w:val="24"/>
        </w:rPr>
        <w:t>　　8.1甲方的权利与义务：</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8.1.1有权督促乙方按期开展工作。</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8.1.2有权根据需要调整工作内容和工作计划。</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8.1.4如乙方团队人员不符合合同工作</w:t>
      </w:r>
      <w:r>
        <w:rPr>
          <w:rFonts w:hint="eastAsia" w:ascii="宋体" w:hAnsi="宋体" w:cs="宋体"/>
          <w:color w:val="auto"/>
          <w:sz w:val="24"/>
          <w:szCs w:val="24"/>
          <w:lang w:val="en-US" w:eastAsia="zh-CN"/>
        </w:rPr>
        <w:t>要求</w:t>
      </w:r>
      <w:r>
        <w:rPr>
          <w:rFonts w:hint="eastAsia" w:ascii="宋体" w:hAnsi="宋体" w:cs="宋体"/>
          <w:color w:val="auto"/>
          <w:sz w:val="24"/>
          <w:szCs w:val="24"/>
        </w:rPr>
        <w:t>，甲方有权要求更换，乙方在收到更换通知的3日内完成人员更换。</w:t>
      </w:r>
    </w:p>
    <w:p>
      <w:pPr>
        <w:spacing w:line="500" w:lineRule="exact"/>
        <w:ind w:firstLine="555"/>
        <w:rPr>
          <w:rFonts w:ascii="宋体" w:hAnsi="宋体" w:cs="宋体"/>
          <w:color w:val="auto"/>
          <w:sz w:val="24"/>
          <w:szCs w:val="24"/>
        </w:rPr>
      </w:pPr>
      <w:r>
        <w:rPr>
          <w:rFonts w:hint="eastAsia" w:ascii="宋体" w:hAnsi="宋体" w:cs="宋体"/>
          <w:color w:val="auto"/>
          <w:sz w:val="24"/>
          <w:szCs w:val="24"/>
        </w:rPr>
        <w:t>8.1.5合同生效后，由于不可抗力或客观原因导致合同提前终止的，甲方按实际完成工作量支付相关费用，不承担任何责任。</w:t>
      </w:r>
    </w:p>
    <w:p>
      <w:pPr>
        <w:spacing w:line="500" w:lineRule="exact"/>
        <w:rPr>
          <w:rFonts w:ascii="宋体" w:hAnsi="宋体" w:cs="宋体"/>
          <w:bCs/>
          <w:color w:val="auto"/>
          <w:kern w:val="0"/>
          <w:sz w:val="24"/>
          <w:szCs w:val="24"/>
        </w:rPr>
      </w:pPr>
      <w:r>
        <w:rPr>
          <w:rFonts w:hint="eastAsia" w:ascii="宋体" w:hAnsi="宋体" w:cs="宋体"/>
          <w:color w:val="auto"/>
          <w:sz w:val="24"/>
          <w:szCs w:val="24"/>
        </w:rPr>
        <w:t>　　8.1.6</w:t>
      </w:r>
      <w:r>
        <w:rPr>
          <w:rFonts w:hint="eastAsia" w:ascii="宋体" w:hAnsi="宋体" w:cs="宋体"/>
          <w:bCs/>
          <w:color w:val="auto"/>
          <w:kern w:val="0"/>
          <w:sz w:val="24"/>
          <w:szCs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color w:val="auto"/>
          <w:kern w:val="0"/>
          <w:sz w:val="24"/>
          <w:szCs w:val="24"/>
        </w:rPr>
      </w:pPr>
      <w:r>
        <w:rPr>
          <w:rFonts w:hint="eastAsia" w:ascii="宋体" w:hAnsi="宋体" w:cs="宋体"/>
          <w:bCs/>
          <w:color w:val="auto"/>
          <w:kern w:val="0"/>
          <w:sz w:val="24"/>
          <w:szCs w:val="24"/>
        </w:rPr>
        <w:t>8.1.7甲方向乙方提供本项目工作所必需的资料及文件等。</w:t>
      </w:r>
    </w:p>
    <w:p>
      <w:pPr>
        <w:spacing w:line="500" w:lineRule="exact"/>
        <w:rPr>
          <w:rFonts w:ascii="宋体" w:hAnsi="宋体" w:cs="宋体"/>
          <w:b/>
          <w:color w:val="auto"/>
          <w:sz w:val="24"/>
          <w:szCs w:val="24"/>
        </w:rPr>
      </w:pPr>
      <w:r>
        <w:rPr>
          <w:rFonts w:hint="eastAsia" w:ascii="宋体" w:hAnsi="宋体" w:cs="宋体"/>
          <w:b/>
          <w:color w:val="auto"/>
          <w:sz w:val="24"/>
          <w:szCs w:val="24"/>
        </w:rPr>
        <w:t>　　8.2乙方的权利与义务：</w:t>
      </w:r>
    </w:p>
    <w:p>
      <w:pPr>
        <w:spacing w:line="500" w:lineRule="exact"/>
        <w:rPr>
          <w:rFonts w:ascii="宋体" w:hAnsi="宋体" w:cs="宋体"/>
          <w:color w:val="auto"/>
          <w:sz w:val="24"/>
          <w:szCs w:val="24"/>
        </w:rPr>
      </w:pPr>
      <w:r>
        <w:rPr>
          <w:rFonts w:hint="eastAsia" w:ascii="宋体" w:hAnsi="宋体" w:cs="宋体"/>
          <w:color w:val="auto"/>
          <w:sz w:val="24"/>
          <w:szCs w:val="24"/>
        </w:rPr>
        <w:t>　　8.</w:t>
      </w:r>
      <w:r>
        <w:rPr>
          <w:rFonts w:hint="eastAsia" w:ascii="宋体" w:hAnsi="宋体" w:cs="宋体"/>
          <w:color w:val="auto"/>
          <w:sz w:val="24"/>
          <w:szCs w:val="24"/>
          <w:lang w:val="en-US" w:eastAsia="zh-CN"/>
        </w:rPr>
        <w:t>2</w:t>
      </w:r>
      <w:r>
        <w:rPr>
          <w:rFonts w:hint="eastAsia" w:ascii="宋体" w:hAnsi="宋体" w:cs="宋体"/>
          <w:color w:val="auto"/>
          <w:sz w:val="24"/>
          <w:szCs w:val="24"/>
        </w:rPr>
        <w:t>.1 有权要求甲方提供项目所必需的前期资料。</w:t>
      </w:r>
    </w:p>
    <w:p>
      <w:pPr>
        <w:spacing w:line="500" w:lineRule="exact"/>
        <w:rPr>
          <w:rFonts w:ascii="宋体" w:hAnsi="宋体" w:cs="宋体"/>
          <w:color w:val="auto"/>
          <w:sz w:val="24"/>
          <w:szCs w:val="24"/>
        </w:rPr>
      </w:pPr>
      <w:r>
        <w:rPr>
          <w:rFonts w:hint="eastAsia" w:ascii="宋体" w:hAnsi="宋体" w:cs="宋体"/>
          <w:color w:val="auto"/>
          <w:sz w:val="24"/>
          <w:szCs w:val="24"/>
        </w:rPr>
        <w:t>　　8.</w:t>
      </w:r>
      <w:r>
        <w:rPr>
          <w:rFonts w:hint="eastAsia" w:ascii="宋体" w:hAnsi="宋体" w:cs="宋体"/>
          <w:color w:val="auto"/>
          <w:sz w:val="24"/>
          <w:szCs w:val="24"/>
          <w:lang w:val="en-US" w:eastAsia="zh-CN"/>
        </w:rPr>
        <w:t>2</w:t>
      </w:r>
      <w:r>
        <w:rPr>
          <w:rFonts w:hint="eastAsia" w:ascii="宋体" w:hAnsi="宋体" w:cs="宋体"/>
          <w:color w:val="auto"/>
          <w:sz w:val="24"/>
          <w:szCs w:val="24"/>
        </w:rPr>
        <w:t>.2发现甲方提供的上述资料或工作条件不符合合同约定时，须在接到上述资料或开始工作的</w:t>
      </w:r>
      <w:r>
        <w:rPr>
          <w:rFonts w:hint="eastAsia" w:ascii="宋体" w:hAnsi="宋体" w:cs="宋体"/>
          <w:color w:val="auto"/>
          <w:sz w:val="24"/>
          <w:szCs w:val="24"/>
          <w:u w:val="single"/>
        </w:rPr>
        <w:t>3</w:t>
      </w:r>
      <w:r>
        <w:rPr>
          <w:rFonts w:hint="eastAsia" w:ascii="宋体" w:hAnsi="宋体" w:cs="宋体"/>
          <w:color w:val="auto"/>
          <w:sz w:val="24"/>
          <w:szCs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bCs/>
          <w:color w:val="auto"/>
          <w:kern w:val="0"/>
          <w:sz w:val="24"/>
          <w:szCs w:val="24"/>
        </w:rPr>
        <w:t>乙方在合同签订后</w:t>
      </w:r>
      <w:r>
        <w:rPr>
          <w:rFonts w:hint="eastAsia" w:ascii="宋体" w:hAnsi="宋体" w:cs="宋体"/>
          <w:bCs/>
          <w:color w:val="auto"/>
          <w:kern w:val="0"/>
          <w:sz w:val="24"/>
          <w:szCs w:val="24"/>
          <w:u w:val="single"/>
        </w:rPr>
        <w:t>3日</w:t>
      </w:r>
      <w:r>
        <w:rPr>
          <w:rFonts w:hint="eastAsia" w:ascii="宋体" w:hAnsi="宋体" w:cs="宋体"/>
          <w:bCs/>
          <w:color w:val="auto"/>
          <w:kern w:val="0"/>
          <w:sz w:val="24"/>
          <w:szCs w:val="24"/>
        </w:rPr>
        <w:t>内书面向甲方提交项目计划书、组织人员架构表，负责合同实施期间的联络人员名单及联系方式。项目计划书</w:t>
      </w:r>
      <w:r>
        <w:rPr>
          <w:rFonts w:hint="eastAsia" w:ascii="宋体" w:hAnsi="宋体" w:cs="宋体"/>
          <w:bCs/>
          <w:color w:val="auto"/>
          <w:kern w:val="0"/>
          <w:sz w:val="24"/>
          <w:szCs w:val="24"/>
          <w:u w:val="single"/>
        </w:rPr>
        <w:t>（计划书需包含以下方案：施工安全计划（如有）、工期计划、培训计划、质保维护计划等 ）</w:t>
      </w:r>
      <w:r>
        <w:rPr>
          <w:rFonts w:hint="eastAsia" w:ascii="宋体" w:hAnsi="宋体" w:cs="宋体"/>
          <w:bCs/>
          <w:color w:val="auto"/>
          <w:kern w:val="0"/>
          <w:sz w:val="24"/>
          <w:szCs w:val="24"/>
        </w:rPr>
        <w:t>经甲方同意后实施。</w:t>
      </w:r>
    </w:p>
    <w:p>
      <w:pPr>
        <w:spacing w:line="50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2</w:t>
      </w:r>
      <w:r>
        <w:rPr>
          <w:rFonts w:hint="eastAsia" w:ascii="宋体" w:hAnsi="宋体" w:cs="宋体"/>
          <w:color w:val="auto"/>
          <w:sz w:val="24"/>
          <w:szCs w:val="24"/>
        </w:rPr>
        <w:t>.4</w:t>
      </w:r>
      <w:r>
        <w:rPr>
          <w:rFonts w:hint="eastAsia" w:ascii="宋体" w:hAnsi="宋体" w:cs="宋体"/>
          <w:bCs/>
          <w:color w:val="auto"/>
          <w:kern w:val="0"/>
          <w:sz w:val="24"/>
          <w:szCs w:val="24"/>
        </w:rPr>
        <w:t>乙方应按甲方确认的项目计划书开展服务，按合同规定的进度要求提交质量合格的系统开发及服务，确保项目符合《技术</w:t>
      </w:r>
      <w:r>
        <w:rPr>
          <w:rFonts w:hint="eastAsia" w:ascii="宋体" w:hAnsi="宋体" w:cs="宋体"/>
          <w:bCs/>
          <w:color w:val="auto"/>
          <w:kern w:val="0"/>
          <w:sz w:val="24"/>
          <w:szCs w:val="24"/>
          <w:lang w:val="en-US" w:eastAsia="zh-CN"/>
        </w:rPr>
        <w:t>需求书</w:t>
      </w:r>
      <w:r>
        <w:rPr>
          <w:rFonts w:hint="eastAsia" w:ascii="宋体" w:hAnsi="宋体" w:cs="宋体"/>
          <w:bCs/>
          <w:color w:val="auto"/>
          <w:kern w:val="0"/>
          <w:sz w:val="24"/>
          <w:szCs w:val="24"/>
        </w:rPr>
        <w:t>》的要求。</w:t>
      </w:r>
    </w:p>
    <w:p>
      <w:pPr>
        <w:spacing w:line="50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2</w:t>
      </w:r>
      <w:r>
        <w:rPr>
          <w:rFonts w:hint="eastAsia" w:ascii="宋体" w:hAnsi="宋体" w:cs="宋体"/>
          <w:color w:val="auto"/>
          <w:sz w:val="24"/>
          <w:szCs w:val="24"/>
        </w:rPr>
        <w:t>.5</w:t>
      </w:r>
      <w:r>
        <w:rPr>
          <w:rFonts w:hint="eastAsia" w:ascii="宋体" w:hAnsi="宋体" w:cs="宋体"/>
          <w:bCs/>
          <w:color w:val="auto"/>
          <w:kern w:val="0"/>
          <w:sz w:val="24"/>
          <w:szCs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auto"/>
          <w:kern w:val="0"/>
          <w:sz w:val="24"/>
          <w:szCs w:val="24"/>
          <w:u w:val="single"/>
        </w:rPr>
        <w:t>每人次扣合同暂定总价5%</w:t>
      </w:r>
      <w:r>
        <w:rPr>
          <w:rFonts w:hint="eastAsia" w:ascii="宋体" w:hAnsi="宋体" w:cs="宋体"/>
          <w:bCs/>
          <w:color w:val="auto"/>
          <w:kern w:val="0"/>
          <w:sz w:val="24"/>
          <w:szCs w:val="24"/>
        </w:rPr>
        <w:t>作为违约金。</w:t>
      </w:r>
    </w:p>
    <w:p>
      <w:pPr>
        <w:spacing w:line="500" w:lineRule="exact"/>
        <w:ind w:firstLine="480" w:firstLineChars="200"/>
        <w:rPr>
          <w:rFonts w:ascii="宋体" w:hAnsi="宋体" w:cs="宋体"/>
          <w:bCs/>
          <w:color w:val="auto"/>
          <w:kern w:val="0"/>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2</w:t>
      </w:r>
      <w:r>
        <w:rPr>
          <w:rFonts w:hint="eastAsia" w:ascii="宋体" w:hAnsi="宋体" w:cs="宋体"/>
          <w:color w:val="auto"/>
          <w:sz w:val="24"/>
          <w:szCs w:val="24"/>
        </w:rPr>
        <w:t>.6</w:t>
      </w:r>
      <w:r>
        <w:rPr>
          <w:rFonts w:hint="eastAsia" w:ascii="宋体" w:hAnsi="宋体" w:cs="宋体"/>
          <w:bCs/>
          <w:color w:val="auto"/>
          <w:kern w:val="0"/>
          <w:sz w:val="24"/>
          <w:szCs w:val="24"/>
        </w:rPr>
        <w:t>乙方为完成系统开发及服务事项而向甲方收取的重要证件、文件、资料时，应向甲方开具规范的收件清单，并妥善保管；项目</w:t>
      </w:r>
      <w:r>
        <w:rPr>
          <w:rFonts w:hint="eastAsia" w:ascii="宋体" w:hAnsi="宋体" w:cs="宋体"/>
          <w:bCs/>
          <w:color w:val="auto"/>
          <w:kern w:val="0"/>
          <w:sz w:val="24"/>
          <w:szCs w:val="24"/>
          <w:lang w:val="en-US" w:eastAsia="zh-CN"/>
        </w:rPr>
        <w:t>竣工</w:t>
      </w:r>
      <w:r>
        <w:rPr>
          <w:rFonts w:hint="eastAsia" w:ascii="宋体" w:hAnsi="宋体" w:cs="宋体"/>
          <w:bCs/>
          <w:color w:val="auto"/>
          <w:kern w:val="0"/>
          <w:sz w:val="24"/>
          <w:szCs w:val="24"/>
        </w:rPr>
        <w:t>验收合格后，乙方应在</w:t>
      </w:r>
      <w:r>
        <w:rPr>
          <w:rFonts w:hint="eastAsia" w:ascii="宋体" w:hAnsi="宋体" w:cs="宋体"/>
          <w:bCs/>
          <w:color w:val="auto"/>
          <w:kern w:val="0"/>
          <w:sz w:val="24"/>
          <w:szCs w:val="24"/>
          <w:lang w:val="en-US" w:eastAsia="zh-CN"/>
        </w:rPr>
        <w:t>10</w:t>
      </w:r>
      <w:r>
        <w:rPr>
          <w:rFonts w:hint="eastAsia" w:ascii="宋体" w:hAnsi="宋体" w:cs="宋体"/>
          <w:bCs/>
          <w:color w:val="auto"/>
          <w:kern w:val="0"/>
          <w:sz w:val="24"/>
          <w:szCs w:val="24"/>
        </w:rPr>
        <w:t xml:space="preserve">日内将上述证件、文件、资料退还甲方。 </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2</w:t>
      </w:r>
      <w:r>
        <w:rPr>
          <w:rFonts w:hint="eastAsia" w:ascii="宋体" w:hAnsi="宋体" w:cs="宋体"/>
          <w:color w:val="auto"/>
          <w:sz w:val="24"/>
          <w:szCs w:val="24"/>
        </w:rPr>
        <w:t>.7</w:t>
      </w:r>
      <w:r>
        <w:rPr>
          <w:rFonts w:hint="eastAsia" w:ascii="宋体" w:hAnsi="宋体" w:cs="宋体"/>
          <w:bCs/>
          <w:color w:val="auto"/>
          <w:kern w:val="0"/>
          <w:sz w:val="24"/>
          <w:szCs w:val="24"/>
        </w:rPr>
        <w:t>乙方对项目中涉及的甲方商业秘密应予以保护，禁止向任何第三方公开，否则应向甲方承担相应赔偿责任。</w:t>
      </w:r>
    </w:p>
    <w:p>
      <w:pPr>
        <w:spacing w:line="500" w:lineRule="exact"/>
        <w:rPr>
          <w:rFonts w:ascii="宋体" w:hAnsi="宋体" w:cs="宋体"/>
          <w:b/>
          <w:color w:val="auto"/>
          <w:sz w:val="24"/>
          <w:szCs w:val="24"/>
        </w:rPr>
      </w:pPr>
      <w:r>
        <w:rPr>
          <w:rFonts w:hint="eastAsia" w:ascii="宋体" w:hAnsi="宋体" w:cs="宋体"/>
          <w:b/>
          <w:color w:val="auto"/>
          <w:sz w:val="24"/>
          <w:szCs w:val="24"/>
        </w:rPr>
        <w:t>　九、违约责任</w:t>
      </w:r>
    </w:p>
    <w:p>
      <w:pPr>
        <w:spacing w:line="500" w:lineRule="exact"/>
        <w:ind w:firstLine="560"/>
        <w:rPr>
          <w:rFonts w:ascii="宋体" w:hAnsi="宋体" w:cs="宋体"/>
          <w:bCs/>
          <w:color w:val="auto"/>
          <w:sz w:val="24"/>
          <w:szCs w:val="24"/>
        </w:rPr>
      </w:pPr>
      <w:r>
        <w:rPr>
          <w:rFonts w:hint="eastAsia" w:ascii="宋体" w:hAnsi="宋体" w:cs="宋体"/>
          <w:color w:val="auto"/>
          <w:sz w:val="24"/>
          <w:szCs w:val="24"/>
        </w:rPr>
        <w:t>9.1</w:t>
      </w:r>
      <w:r>
        <w:rPr>
          <w:rFonts w:hint="eastAsia" w:ascii="宋体" w:hAnsi="宋体" w:cs="宋体"/>
          <w:bCs/>
          <w:color w:val="auto"/>
          <w:sz w:val="24"/>
          <w:szCs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auto"/>
          <w:sz w:val="24"/>
          <w:szCs w:val="24"/>
          <w:u w:val="single"/>
        </w:rPr>
        <w:t>1万元</w:t>
      </w:r>
      <w:r>
        <w:rPr>
          <w:rFonts w:hint="eastAsia" w:ascii="宋体" w:hAnsi="宋体" w:cs="宋体"/>
          <w:bCs/>
          <w:color w:val="auto"/>
          <w:sz w:val="24"/>
          <w:szCs w:val="24"/>
        </w:rPr>
        <w:t>，超过</w:t>
      </w:r>
      <w:r>
        <w:rPr>
          <w:rFonts w:hint="eastAsia" w:ascii="宋体" w:hAnsi="宋体" w:cs="宋体"/>
          <w:bCs/>
          <w:color w:val="auto"/>
          <w:sz w:val="24"/>
          <w:szCs w:val="24"/>
          <w:lang w:val="en-US" w:eastAsia="zh-CN"/>
        </w:rPr>
        <w:t>20</w:t>
      </w:r>
      <w:r>
        <w:rPr>
          <w:rFonts w:hint="eastAsia"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合同暂定总价的20%</w:t>
      </w:r>
      <w:r>
        <w:rPr>
          <w:rFonts w:hint="eastAsia" w:ascii="宋体" w:hAnsi="宋体" w:cs="宋体"/>
          <w:bCs/>
          <w:color w:val="auto"/>
          <w:sz w:val="24"/>
          <w:szCs w:val="24"/>
        </w:rPr>
        <w:t>作为违约金，由此造成的责任及损失由乙方承担。（</w:t>
      </w:r>
      <w:r>
        <w:rPr>
          <w:rFonts w:hint="eastAsia" w:ascii="宋体" w:hAnsi="宋体" w:cs="宋体"/>
          <w:color w:val="auto"/>
          <w:sz w:val="24"/>
          <w:szCs w:val="24"/>
        </w:rPr>
        <w:t>如合同另行约定违约责任，从其约定</w:t>
      </w:r>
      <w:r>
        <w:rPr>
          <w:rFonts w:hint="eastAsia" w:ascii="宋体" w:hAnsi="宋体" w:cs="宋体"/>
          <w:bCs/>
          <w:color w:val="auto"/>
          <w:sz w:val="24"/>
          <w:szCs w:val="24"/>
        </w:rPr>
        <w:t>）。</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9.2由于乙方原因造成甲方设备及其他硬件损坏，乙方按照损坏设备的原价赔偿并负责恢复设备使用。</w:t>
      </w:r>
    </w:p>
    <w:p>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9.3乙方未能及时处理故障，每延误故障处理1日，甲方有权要求乙方支付</w:t>
      </w:r>
      <w:r>
        <w:rPr>
          <w:rFonts w:hint="eastAsia" w:ascii="宋体" w:hAnsi="宋体" w:cs="宋体"/>
          <w:color w:val="auto"/>
          <w:sz w:val="24"/>
          <w:szCs w:val="24"/>
          <w:u w:val="single"/>
        </w:rPr>
        <w:t>合同暂定总价的 10 ‰日</w:t>
      </w:r>
      <w:r>
        <w:rPr>
          <w:rFonts w:hint="eastAsia" w:ascii="宋体" w:hAnsi="宋体" w:cs="宋体"/>
          <w:color w:val="auto"/>
          <w:sz w:val="24"/>
          <w:szCs w:val="24"/>
        </w:rPr>
        <w:t>作为违约金。</w:t>
      </w:r>
    </w:p>
    <w:p>
      <w:pPr>
        <w:topLinePunct/>
        <w:spacing w:line="500" w:lineRule="exact"/>
        <w:ind w:firstLine="480"/>
        <w:rPr>
          <w:rFonts w:ascii="宋体" w:hAnsi="宋体" w:cs="宋体"/>
          <w:bCs/>
          <w:color w:val="auto"/>
          <w:sz w:val="24"/>
          <w:szCs w:val="24"/>
        </w:rPr>
      </w:pPr>
      <w:r>
        <w:rPr>
          <w:rFonts w:hint="eastAsia" w:ascii="宋体" w:hAnsi="宋体" w:cs="宋体"/>
          <w:color w:val="auto"/>
          <w:sz w:val="24"/>
          <w:szCs w:val="24"/>
        </w:rPr>
        <w:t>9.4乙方无法按合同进度要求完成工作，逾期交付工作成果，</w:t>
      </w:r>
      <w:r>
        <w:rPr>
          <w:rFonts w:hint="eastAsia" w:ascii="宋体" w:hAnsi="宋体" w:cs="宋体"/>
          <w:bCs/>
          <w:color w:val="auto"/>
          <w:sz w:val="24"/>
          <w:szCs w:val="24"/>
        </w:rPr>
        <w:t>每超过1日支付违约金</w:t>
      </w:r>
      <w:r>
        <w:rPr>
          <w:rFonts w:hint="eastAsia" w:ascii="宋体" w:hAnsi="宋体" w:cs="宋体"/>
          <w:bCs/>
          <w:color w:val="auto"/>
          <w:sz w:val="24"/>
          <w:szCs w:val="24"/>
          <w:u w:val="single"/>
        </w:rPr>
        <w:t>合同暂定总价的</w:t>
      </w:r>
      <w:r>
        <w:rPr>
          <w:rFonts w:hint="eastAsia" w:ascii="宋体" w:hAnsi="宋体" w:cs="宋体"/>
          <w:bCs/>
          <w:sz w:val="24"/>
          <w:szCs w:val="24"/>
          <w:u w:val="single"/>
        </w:rPr>
        <w:t>1%</w:t>
      </w:r>
      <w:r>
        <w:rPr>
          <w:rFonts w:hint="eastAsia" w:ascii="宋体" w:hAnsi="宋体" w:cs="宋体"/>
          <w:bCs/>
          <w:color w:val="auto"/>
          <w:sz w:val="24"/>
          <w:szCs w:val="24"/>
        </w:rPr>
        <w:t>，超过</w:t>
      </w:r>
      <w:r>
        <w:rPr>
          <w:rFonts w:hint="eastAsia" w:ascii="宋体" w:hAnsi="宋体" w:cs="宋体"/>
          <w:bCs/>
          <w:color w:val="auto"/>
          <w:sz w:val="24"/>
          <w:szCs w:val="24"/>
          <w:u w:val="single"/>
          <w:lang w:val="en-US" w:eastAsia="zh-CN"/>
        </w:rPr>
        <w:t>20</w:t>
      </w:r>
      <w:r>
        <w:rPr>
          <w:rFonts w:hint="eastAsia"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合同暂定总价的20%</w:t>
      </w:r>
      <w:r>
        <w:rPr>
          <w:rFonts w:hint="eastAsia" w:ascii="宋体" w:hAnsi="宋体" w:cs="宋体"/>
          <w:bCs/>
          <w:color w:val="auto"/>
          <w:sz w:val="24"/>
          <w:szCs w:val="24"/>
        </w:rPr>
        <w:t>作为违约金。</w:t>
      </w:r>
    </w:p>
    <w:p>
      <w:pPr>
        <w:topLinePunct/>
        <w:spacing w:line="500" w:lineRule="exact"/>
        <w:ind w:firstLine="480"/>
        <w:rPr>
          <w:rFonts w:ascii="宋体" w:hAnsi="宋体" w:cs="宋体"/>
          <w:color w:val="auto"/>
          <w:sz w:val="24"/>
          <w:szCs w:val="24"/>
        </w:rPr>
      </w:pPr>
      <w:r>
        <w:rPr>
          <w:rFonts w:hint="eastAsia" w:ascii="宋体" w:hAnsi="宋体" w:cs="宋体"/>
          <w:color w:val="auto"/>
          <w:sz w:val="24"/>
          <w:szCs w:val="24"/>
        </w:rPr>
        <w:t>9.5乙方违反本合同保密协议的，甲方有权解除合同，乙方应返还已收的合同款项，并赔偿由此给甲方造成的损失。</w:t>
      </w:r>
    </w:p>
    <w:p>
      <w:pPr>
        <w:spacing w:before="156" w:beforeLines="50" w:after="156" w:afterLines="50" w:line="500" w:lineRule="exact"/>
        <w:ind w:firstLine="482" w:firstLineChars="200"/>
        <w:jc w:val="left"/>
        <w:rPr>
          <w:rFonts w:ascii="宋体" w:hAnsi="宋体" w:cs="宋体"/>
          <w:color w:val="auto"/>
          <w:sz w:val="24"/>
          <w:szCs w:val="24"/>
        </w:rPr>
      </w:pPr>
      <w:r>
        <w:rPr>
          <w:rFonts w:hint="eastAsia" w:ascii="宋体" w:hAnsi="宋体" w:cs="宋体"/>
          <w:b/>
          <w:bCs/>
          <w:color w:val="auto"/>
          <w:sz w:val="24"/>
          <w:szCs w:val="24"/>
        </w:rPr>
        <w:t>十、不可抗力</w:t>
      </w:r>
    </w:p>
    <w:p>
      <w:pPr>
        <w:widowControl/>
        <w:autoSpaceDE w:val="0"/>
        <w:autoSpaceDN w:val="0"/>
        <w:adjustRightIn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szCs w:val="24"/>
        </w:rPr>
      </w:pPr>
      <w:r>
        <w:rPr>
          <w:rFonts w:hint="eastAsia" w:ascii="宋体" w:hAnsi="宋体" w:cs="宋体"/>
          <w:bCs/>
          <w:color w:val="auto"/>
          <w:sz w:val="24"/>
          <w:szCs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szCs w:val="24"/>
        </w:rPr>
      </w:pPr>
      <w:r>
        <w:rPr>
          <w:rFonts w:hint="eastAsia" w:ascii="宋体" w:hAnsi="宋体" w:cs="宋体"/>
          <w:b/>
          <w:bCs/>
          <w:color w:val="auto"/>
          <w:sz w:val="24"/>
          <w:szCs w:val="24"/>
        </w:rPr>
        <w:t>十一、争议解决</w:t>
      </w:r>
    </w:p>
    <w:p>
      <w:pPr>
        <w:spacing w:line="500" w:lineRule="exact"/>
        <w:ind w:firstLine="482"/>
        <w:rPr>
          <w:rFonts w:ascii="宋体" w:hAnsi="宋体" w:cs="宋体"/>
          <w:bCs/>
          <w:color w:val="auto"/>
          <w:sz w:val="24"/>
          <w:szCs w:val="24"/>
        </w:rPr>
      </w:pPr>
      <w:r>
        <w:rPr>
          <w:rFonts w:hint="eastAsia" w:ascii="宋体" w:hAnsi="宋体" w:cs="宋体"/>
          <w:bCs/>
          <w:color w:val="auto"/>
          <w:sz w:val="24"/>
          <w:szCs w:val="24"/>
        </w:rPr>
        <w:t>11.1甲乙双方应通过友好协商，解决在执行本合同所发生的或与本合同有关的一切争议。如协商不能解决争议，任何一方均可依法向甲方所在地人民法院提起诉讼。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auto"/>
          <w:sz w:val="24"/>
          <w:szCs w:val="24"/>
        </w:rPr>
      </w:pPr>
      <w:r>
        <w:rPr>
          <w:rFonts w:hint="eastAsia" w:ascii="宋体" w:hAnsi="宋体" w:cs="宋体"/>
          <w:bCs/>
          <w:color w:val="auto"/>
          <w:sz w:val="24"/>
          <w:szCs w:val="24"/>
        </w:rPr>
        <w:t>11.2</w:t>
      </w:r>
      <w:r>
        <w:rPr>
          <w:rFonts w:hint="eastAsia" w:ascii="宋体" w:hAnsi="宋体" w:cs="宋体"/>
          <w:color w:val="auto"/>
          <w:sz w:val="24"/>
          <w:szCs w:val="24"/>
        </w:rPr>
        <w:t>在甲方同意的情况下，除有</w:t>
      </w:r>
      <w:r>
        <w:rPr>
          <w:rFonts w:hint="eastAsia" w:ascii="宋体" w:hAnsi="宋体" w:cs="宋体"/>
          <w:color w:val="auto"/>
          <w:sz w:val="24"/>
          <w:szCs w:val="24"/>
          <w:lang w:eastAsia="zh-CN"/>
        </w:rPr>
        <w:t>争议</w:t>
      </w:r>
      <w:r>
        <w:rPr>
          <w:rFonts w:hint="eastAsia" w:ascii="宋体" w:hAnsi="宋体" w:cs="宋体"/>
          <w:color w:val="auto"/>
          <w:sz w:val="24"/>
          <w:szCs w:val="24"/>
        </w:rPr>
        <w:t>之外的合同其它部分在</w:t>
      </w:r>
      <w:r>
        <w:rPr>
          <w:rFonts w:hint="eastAsia" w:ascii="宋体" w:hAnsi="宋体" w:cs="宋体"/>
          <w:color w:val="auto"/>
          <w:sz w:val="24"/>
          <w:szCs w:val="24"/>
          <w:lang w:eastAsia="zh-CN"/>
        </w:rPr>
        <w:t>争议</w:t>
      </w:r>
      <w:r>
        <w:rPr>
          <w:rFonts w:hint="eastAsia" w:ascii="宋体" w:hAnsi="宋体" w:cs="宋体"/>
          <w:color w:val="auto"/>
          <w:sz w:val="24"/>
          <w:szCs w:val="24"/>
        </w:rPr>
        <w:t>解决前应继续执行。</w:t>
      </w:r>
    </w:p>
    <w:p>
      <w:pPr>
        <w:spacing w:line="500" w:lineRule="exact"/>
        <w:ind w:firstLine="482"/>
        <w:jc w:val="left"/>
        <w:rPr>
          <w:rFonts w:ascii="宋体" w:hAnsi="宋体" w:cs="宋体"/>
          <w:b/>
          <w:bCs/>
          <w:color w:val="auto"/>
          <w:sz w:val="24"/>
          <w:szCs w:val="24"/>
        </w:rPr>
      </w:pPr>
      <w:r>
        <w:rPr>
          <w:rFonts w:hint="eastAsia" w:ascii="宋体" w:hAnsi="宋体" w:cs="宋体"/>
          <w:b/>
          <w:bCs/>
          <w:color w:val="auto"/>
          <w:sz w:val="24"/>
          <w:szCs w:val="24"/>
        </w:rPr>
        <w:t>十二、合同生效及其他</w:t>
      </w:r>
    </w:p>
    <w:p>
      <w:pPr>
        <w:spacing w:line="500" w:lineRule="exact"/>
        <w:ind w:firstLine="480"/>
        <w:rPr>
          <w:rFonts w:hint="eastAsia" w:ascii="宋体" w:hAnsi="宋体" w:eastAsia="宋体" w:cs="宋体"/>
          <w:color w:val="auto"/>
          <w:sz w:val="24"/>
          <w:szCs w:val="24"/>
          <w:lang w:val="en-US" w:eastAsia="zh-CN"/>
        </w:rPr>
      </w:pPr>
      <w:r>
        <w:rPr>
          <w:rFonts w:hint="eastAsia" w:ascii="宋体" w:hAnsi="宋体" w:cs="宋体"/>
          <w:color w:val="auto"/>
          <w:sz w:val="24"/>
          <w:szCs w:val="24"/>
        </w:rPr>
        <w:t>12.1本合同经双方法定代表人或授权代表签</w:t>
      </w:r>
      <w:r>
        <w:rPr>
          <w:rFonts w:hint="eastAsia" w:ascii="宋体" w:hAnsi="宋体" w:cs="宋体"/>
          <w:color w:val="auto"/>
          <w:sz w:val="24"/>
          <w:szCs w:val="24"/>
          <w:lang w:val="en-US" w:eastAsia="zh-CN"/>
        </w:rPr>
        <w:t>名</w:t>
      </w:r>
      <w:r>
        <w:rPr>
          <w:rFonts w:hint="eastAsia" w:ascii="宋体" w:hAnsi="宋体" w:cs="宋体"/>
          <w:color w:val="auto"/>
          <w:sz w:val="24"/>
          <w:szCs w:val="24"/>
        </w:rPr>
        <w:t>并加盖双方公章后生效</w:t>
      </w:r>
      <w:r>
        <w:rPr>
          <w:rFonts w:hint="eastAsia" w:ascii="宋体" w:hAnsi="宋体" w:cs="宋体"/>
          <w:color w:val="auto"/>
          <w:sz w:val="24"/>
          <w:szCs w:val="24"/>
          <w:lang w:eastAsia="zh-CN"/>
        </w:rPr>
        <w:t>。</w:t>
      </w:r>
    </w:p>
    <w:p>
      <w:pPr>
        <w:spacing w:line="500" w:lineRule="exact"/>
        <w:ind w:firstLine="480"/>
        <w:rPr>
          <w:rFonts w:ascii="宋体" w:hAnsi="宋体" w:cs="宋体"/>
          <w:color w:val="auto"/>
          <w:sz w:val="24"/>
          <w:szCs w:val="24"/>
        </w:rPr>
      </w:pPr>
      <w:r>
        <w:rPr>
          <w:rFonts w:hint="eastAsia" w:ascii="宋体" w:hAnsi="宋体" w:cs="宋体"/>
          <w:color w:val="auto"/>
          <w:sz w:val="24"/>
          <w:szCs w:val="24"/>
        </w:rPr>
        <w:t>12.2本合同正文一式</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份，其中：甲方</w:t>
      </w:r>
      <w:r>
        <w:rPr>
          <w:rFonts w:hint="eastAsia" w:ascii="宋体" w:hAnsi="宋体" w:cs="宋体"/>
          <w:color w:val="auto"/>
          <w:sz w:val="24"/>
          <w:szCs w:val="24"/>
          <w:u w:val="single"/>
        </w:rPr>
        <w:t xml:space="preserve">    …   </w:t>
      </w:r>
      <w:r>
        <w:rPr>
          <w:rFonts w:hint="eastAsia" w:ascii="宋体" w:hAnsi="宋体" w:cs="宋体"/>
          <w:color w:val="auto"/>
          <w:sz w:val="24"/>
          <w:szCs w:val="24"/>
        </w:rPr>
        <w:t>份，乙方</w:t>
      </w:r>
      <w:r>
        <w:rPr>
          <w:rFonts w:hint="eastAsia" w:ascii="宋体" w:hAnsi="宋体" w:cs="宋体"/>
          <w:color w:val="auto"/>
          <w:sz w:val="24"/>
          <w:szCs w:val="24"/>
          <w:u w:val="single"/>
        </w:rPr>
        <w:t xml:space="preserve">   …   </w:t>
      </w:r>
      <w:r>
        <w:rPr>
          <w:rFonts w:hint="eastAsia" w:ascii="宋体" w:hAnsi="宋体" w:cs="宋体"/>
          <w:color w:val="auto"/>
          <w:sz w:val="24"/>
          <w:szCs w:val="24"/>
        </w:rPr>
        <w:t>份。</w:t>
      </w:r>
    </w:p>
    <w:p>
      <w:pPr>
        <w:spacing w:line="500" w:lineRule="exact"/>
        <w:ind w:firstLine="480"/>
        <w:rPr>
          <w:rFonts w:ascii="宋体" w:hAnsi="宋体" w:cs="宋体"/>
          <w:color w:val="auto"/>
          <w:sz w:val="24"/>
          <w:szCs w:val="24"/>
        </w:rPr>
      </w:pPr>
      <w:r>
        <w:rPr>
          <w:rFonts w:hint="eastAsia" w:ascii="宋体" w:hAnsi="宋体" w:cs="宋体"/>
          <w:color w:val="auto"/>
          <w:sz w:val="24"/>
          <w:szCs w:val="24"/>
        </w:rPr>
        <w:t>12.3补充条款</w:t>
      </w:r>
      <w:r>
        <w:rPr>
          <w:rFonts w:hint="eastAsia" w:ascii="宋体" w:hAnsi="宋体" w:cs="宋体"/>
          <w:color w:val="auto"/>
          <w:sz w:val="24"/>
          <w:szCs w:val="24"/>
          <w:u w:val="single"/>
        </w:rPr>
        <w:t xml:space="preserve">：… </w:t>
      </w:r>
    </w:p>
    <w:p>
      <w:pPr>
        <w:spacing w:line="500" w:lineRule="exact"/>
        <w:ind w:firstLine="480"/>
        <w:rPr>
          <w:rFonts w:hint="eastAsia" w:ascii="宋体" w:hAnsi="宋体" w:cs="宋体"/>
          <w:color w:val="auto"/>
          <w:sz w:val="24"/>
          <w:szCs w:val="24"/>
        </w:rPr>
      </w:pPr>
    </w:p>
    <w:p>
      <w:pPr>
        <w:spacing w:line="500" w:lineRule="exact"/>
        <w:ind w:firstLine="480"/>
        <w:rPr>
          <w:rFonts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eastAsia="zh-CN"/>
        </w:rPr>
        <w:t>：</w:t>
      </w:r>
      <w:r>
        <w:rPr>
          <w:rFonts w:hint="eastAsia" w:ascii="宋体" w:hAnsi="宋体" w:cs="宋体"/>
          <w:color w:val="auto"/>
          <w:sz w:val="24"/>
          <w:szCs w:val="24"/>
        </w:rPr>
        <w:t>1.</w:t>
      </w:r>
      <w:r>
        <w:rPr>
          <w:rFonts w:hint="eastAsia" w:ascii="宋体" w:hAnsi="宋体" w:cs="宋体"/>
          <w:sz w:val="24"/>
          <w:szCs w:val="24"/>
        </w:rPr>
        <w:t>发包通知书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 xml:space="preserve">      2.廉洁协议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3.保密协议</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b w:val="0"/>
          <w:color w:val="auto"/>
          <w:sz w:val="24"/>
          <w:szCs w:val="24"/>
        </w:rPr>
        <w:t>营运场所施工安全协议书</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color w:val="auto"/>
          <w:sz w:val="24"/>
          <w:szCs w:val="24"/>
          <w:lang w:val="en-US" w:eastAsia="zh-CN"/>
        </w:rPr>
      </w:pPr>
      <w:r>
        <w:rPr>
          <w:rFonts w:hint="eastAsia" w:ascii="宋体" w:hAnsi="宋体" w:cs="宋体"/>
          <w:color w:val="auto"/>
          <w:sz w:val="24"/>
          <w:szCs w:val="24"/>
        </w:rPr>
        <w:t>5.</w:t>
      </w:r>
      <w:r>
        <w:rPr>
          <w:rFonts w:hint="eastAsia" w:ascii="宋体" w:hAnsi="宋体" w:cs="宋体"/>
          <w:color w:val="auto"/>
          <w:sz w:val="24"/>
          <w:szCs w:val="24"/>
          <w:lang w:val="en-US" w:eastAsia="zh-CN"/>
        </w:rPr>
        <w:t>技术需求书</w:t>
      </w:r>
    </w:p>
    <w:p>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cs="宋体"/>
          <w:color w:val="auto"/>
          <w:sz w:val="24"/>
          <w:szCs w:val="24"/>
        </w:rPr>
      </w:pPr>
      <w:r>
        <w:rPr>
          <w:rFonts w:hint="eastAsia" w:ascii="宋体" w:hAnsi="宋体" w:cs="宋体"/>
          <w:color w:val="auto"/>
          <w:sz w:val="24"/>
          <w:szCs w:val="24"/>
        </w:rPr>
        <w:t>6.项目投入人员架构表</w:t>
      </w:r>
    </w:p>
    <w:p>
      <w:pPr>
        <w:spacing w:line="500" w:lineRule="exact"/>
        <w:ind w:firstLine="1200" w:firstLineChars="5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.履约保函（模板）（如需）</w:t>
      </w:r>
    </w:p>
    <w:p>
      <w:pPr>
        <w:pStyle w:val="2"/>
        <w:rPr>
          <w:rFonts w:hint="default"/>
          <w:lang w:val="en-US" w:eastAsia="zh-CN"/>
        </w:rPr>
      </w:pP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甲方：广州市净水有限公司（盖章）     乙方：（盖章）</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法定代表人或                         法定代表人或</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授权代理人：                         授权代理人：</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地址：                               地址：</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经办人：                             经办人：</w:t>
      </w:r>
    </w:p>
    <w:p>
      <w:pPr>
        <w:spacing w:line="500" w:lineRule="exact"/>
        <w:rPr>
          <w:rFonts w:ascii="宋体" w:hAnsi="宋体" w:eastAsia="宋体" w:cs="宋体"/>
          <w:color w:val="auto"/>
          <w:sz w:val="24"/>
          <w:szCs w:val="24"/>
        </w:rPr>
      </w:pPr>
      <w:r>
        <w:rPr>
          <w:rFonts w:hint="eastAsia" w:ascii="宋体" w:hAnsi="宋体" w:eastAsia="宋体" w:cs="宋体"/>
          <w:color w:val="auto"/>
          <w:sz w:val="24"/>
          <w:szCs w:val="24"/>
        </w:rPr>
        <w:t>联系电话：                           联系电话：</w:t>
      </w:r>
    </w:p>
    <w:p>
      <w:pPr>
        <w:spacing w:line="500" w:lineRule="exact"/>
        <w:ind w:left="6360" w:hanging="6360" w:hangingChars="2650"/>
        <w:rPr>
          <w:rFonts w:ascii="宋体" w:hAnsi="宋体" w:eastAsia="宋体" w:cs="宋体"/>
          <w:color w:val="auto"/>
          <w:sz w:val="24"/>
          <w:szCs w:val="24"/>
        </w:rPr>
      </w:pPr>
      <w:r>
        <w:rPr>
          <w:rFonts w:hint="eastAsia" w:ascii="宋体" w:hAnsi="宋体" w:eastAsia="宋体" w:cs="宋体"/>
          <w:color w:val="auto"/>
          <w:sz w:val="24"/>
          <w:szCs w:val="24"/>
        </w:rPr>
        <w:t>传真：                               传真：</w:t>
      </w:r>
    </w:p>
    <w:p>
      <w:pPr>
        <w:spacing w:line="500" w:lineRule="exact"/>
        <w:ind w:left="6360" w:hanging="6360" w:hangingChars="2650"/>
        <w:rPr>
          <w:rFonts w:ascii="宋体" w:hAnsi="宋体" w:eastAsia="宋体" w:cs="宋体"/>
          <w:color w:val="auto"/>
          <w:sz w:val="24"/>
          <w:szCs w:val="24"/>
        </w:rPr>
      </w:pPr>
      <w:r>
        <w:rPr>
          <w:rFonts w:hint="eastAsia" w:ascii="宋体" w:hAnsi="宋体" w:eastAsia="宋体" w:cs="宋体"/>
          <w:color w:val="auto"/>
          <w:sz w:val="24"/>
          <w:szCs w:val="24"/>
        </w:rPr>
        <w:t xml:space="preserve">签署日期：    年    月    日         签署日期：    年    月    日  </w:t>
      </w:r>
    </w:p>
    <w:p>
      <w:pPr>
        <w:spacing w:line="300" w:lineRule="auto"/>
        <w:rPr>
          <w:rFonts w:ascii="仿宋_GB2312" w:eastAsia="仿宋_GB2312"/>
          <w:color w:val="auto"/>
          <w:w w:val="90"/>
          <w:kern w:val="10"/>
          <w:sz w:val="24"/>
        </w:rPr>
      </w:pPr>
      <w:r>
        <w:rPr>
          <w:rFonts w:hint="eastAsia" w:ascii="仿宋_GB2312" w:eastAsia="仿宋_GB2312"/>
          <w:color w:val="auto"/>
          <w:w w:val="90"/>
          <w:kern w:val="10"/>
          <w:sz w:val="24"/>
        </w:rPr>
        <w:t xml:space="preserve">                                      </w:t>
      </w:r>
    </w:p>
    <w:p>
      <w:pPr>
        <w:rPr>
          <w:rFonts w:ascii="仿宋_GB2312" w:eastAsia="仿宋_GB2312"/>
          <w:color w:val="auto"/>
          <w:sz w:val="28"/>
          <w:szCs w:val="28"/>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br w:type="page"/>
      </w:r>
    </w:p>
    <w:p>
      <w:pPr>
        <w:widowControl/>
        <w:jc w:val="lef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附件1发包通知书</w:t>
      </w:r>
    </w:p>
    <w:p>
      <w:pPr>
        <w:widowControl/>
        <w:jc w:val="left"/>
        <w:rPr>
          <w:rFonts w:ascii="宋体" w:hAnsi="宋体" w:cs="宋体"/>
          <w:color w:val="auto"/>
          <w:szCs w:val="21"/>
        </w:rPr>
      </w:pPr>
      <w:r>
        <w:rPr>
          <w:rFonts w:hint="eastAsia" w:ascii="宋体" w:hAnsi="宋体" w:cs="宋体"/>
          <w:b/>
          <w:bCs/>
          <w:color w:val="auto"/>
          <w:szCs w:val="21"/>
        </w:rPr>
        <w:t>附件2</w:t>
      </w:r>
    </w:p>
    <w:p>
      <w:pPr>
        <w:spacing w:line="360" w:lineRule="auto"/>
        <w:jc w:val="right"/>
        <w:rPr>
          <w:rFonts w:ascii="宋体" w:hAnsi="宋体" w:cs="宋体"/>
          <w:b/>
          <w:color w:val="auto"/>
          <w:szCs w:val="21"/>
        </w:rPr>
      </w:pPr>
      <w:r>
        <w:rPr>
          <w:rFonts w:hint="eastAsia" w:ascii="宋体" w:hAnsi="宋体" w:cs="宋体"/>
          <w:b/>
          <w:color w:val="auto"/>
          <w:szCs w:val="21"/>
        </w:rPr>
        <w:t xml:space="preserve">                </w:t>
      </w:r>
    </w:p>
    <w:p>
      <w:pPr>
        <w:spacing w:line="360" w:lineRule="auto"/>
        <w:jc w:val="center"/>
        <w:rPr>
          <w:rFonts w:ascii="宋体" w:hAnsi="宋体" w:cs="宋体"/>
          <w:b/>
          <w:color w:val="auto"/>
          <w:szCs w:val="21"/>
        </w:rPr>
      </w:pPr>
      <w:r>
        <w:rPr>
          <w:rFonts w:hint="eastAsia" w:ascii="宋体" w:hAnsi="宋体" w:cs="宋体"/>
          <w:b/>
          <w:color w:val="auto"/>
          <w:szCs w:val="21"/>
        </w:rPr>
        <w:t>廉洁协议</w:t>
      </w:r>
    </w:p>
    <w:p>
      <w:pPr>
        <w:spacing w:line="360" w:lineRule="auto"/>
        <w:ind w:firstLine="472" w:firstLineChars="225"/>
        <w:rPr>
          <w:rFonts w:ascii="宋体" w:hAnsi="宋体" w:cs="宋体"/>
          <w:color w:val="auto"/>
          <w:szCs w:val="21"/>
        </w:rPr>
      </w:pPr>
      <w:r>
        <w:rPr>
          <w:rFonts w:hint="eastAsia" w:ascii="宋体" w:hAnsi="宋体" w:cs="宋体"/>
          <w:color w:val="auto"/>
          <w:szCs w:val="21"/>
        </w:rPr>
        <w:t>为促进双方诚信经营、廉洁从业，防范商业贿赂，保护国家、集体和当事人的合法权益，根据国家有关法律法规和广东省、广州市廉政建设的规定，</w:t>
      </w:r>
      <w:r>
        <w:rPr>
          <w:rFonts w:hint="eastAsia" w:ascii="宋体" w:hAnsi="宋体" w:cs="宋体"/>
          <w:color w:val="auto"/>
          <w:szCs w:val="21"/>
          <w:u w:val="single"/>
        </w:rPr>
        <w:t>广州市净水有限公司</w:t>
      </w:r>
      <w:r>
        <w:rPr>
          <w:rFonts w:hint="eastAsia" w:ascii="宋体" w:hAnsi="宋体" w:cs="宋体"/>
          <w:color w:val="auto"/>
          <w:szCs w:val="21"/>
        </w:rPr>
        <w:t>(以下称甲方)与(以下称乙方)，特此订立本协议共同遵照执行。</w:t>
      </w:r>
    </w:p>
    <w:p>
      <w:pPr>
        <w:spacing w:line="360" w:lineRule="auto"/>
        <w:ind w:firstLine="422" w:firstLineChars="200"/>
        <w:rPr>
          <w:rFonts w:ascii="宋体" w:hAnsi="宋体" w:cs="宋体"/>
          <w:color w:val="auto"/>
          <w:szCs w:val="21"/>
        </w:rPr>
      </w:pPr>
      <w:r>
        <w:rPr>
          <w:rFonts w:hint="eastAsia" w:ascii="宋体" w:hAnsi="宋体" w:cs="宋体"/>
          <w:b/>
          <w:bCs/>
          <w:color w:val="auto"/>
          <w:szCs w:val="21"/>
        </w:rPr>
        <w:t>第一条甲乙双方的权利和义务</w:t>
      </w:r>
    </w:p>
    <w:p>
      <w:pPr>
        <w:spacing w:line="360" w:lineRule="auto"/>
        <w:ind w:firstLine="315" w:firstLineChars="150"/>
        <w:rPr>
          <w:rFonts w:ascii="宋体" w:hAnsi="宋体" w:cs="宋体"/>
          <w:color w:val="auto"/>
          <w:szCs w:val="21"/>
        </w:rPr>
      </w:pPr>
      <w:r>
        <w:rPr>
          <w:rFonts w:hint="eastAsia" w:ascii="宋体" w:hAnsi="宋体" w:cs="宋体"/>
          <w:color w:val="auto"/>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color w:val="auto"/>
          <w:szCs w:val="21"/>
        </w:rPr>
      </w:pPr>
      <w:r>
        <w:rPr>
          <w:rFonts w:hint="eastAsia" w:ascii="宋体" w:hAnsi="宋体" w:cs="宋体"/>
          <w:color w:val="auto"/>
          <w:szCs w:val="21"/>
        </w:rPr>
        <w:t>（二）严格执行</w:t>
      </w:r>
      <w:r>
        <w:rPr>
          <w:rFonts w:hint="eastAsia" w:ascii="宋体" w:hAnsi="宋体" w:cs="宋体"/>
          <w:color w:val="auto"/>
          <w:szCs w:val="21"/>
          <w:u w:val="single"/>
          <w:lang w:val="zh-CN" w:eastAsia="zh-CN"/>
        </w:rPr>
        <w:t>沥滘智慧安防系统工程项目</w:t>
      </w:r>
      <w:r>
        <w:rPr>
          <w:rFonts w:hint="eastAsia" w:ascii="宋体" w:hAnsi="宋体" w:cs="宋体"/>
          <w:color w:val="auto"/>
          <w:szCs w:val="21"/>
        </w:rPr>
        <w:t>合同（以下简称：主合同），自觉履行合同约定的相关义务。</w:t>
      </w:r>
    </w:p>
    <w:p>
      <w:pPr>
        <w:spacing w:line="360" w:lineRule="auto"/>
        <w:ind w:firstLine="315" w:firstLineChars="150"/>
        <w:rPr>
          <w:rFonts w:ascii="宋体" w:hAnsi="宋体" w:cs="宋体"/>
          <w:color w:val="auto"/>
          <w:szCs w:val="21"/>
        </w:rPr>
      </w:pPr>
      <w:r>
        <w:rPr>
          <w:rFonts w:hint="eastAsia" w:ascii="宋体" w:hAnsi="宋体" w:cs="宋体"/>
          <w:color w:val="auto"/>
          <w:szCs w:val="21"/>
        </w:rPr>
        <w:t>（三）在业务活动中坚持公开、公正、诚信、透明的原则，不得损害国家、集体利益。</w:t>
      </w:r>
    </w:p>
    <w:p>
      <w:pPr>
        <w:spacing w:line="360" w:lineRule="auto"/>
        <w:ind w:firstLine="315" w:firstLineChars="150"/>
        <w:rPr>
          <w:rFonts w:ascii="宋体" w:hAnsi="宋体" w:cs="宋体"/>
          <w:color w:val="auto"/>
          <w:szCs w:val="21"/>
        </w:rPr>
      </w:pPr>
      <w:r>
        <w:rPr>
          <w:rFonts w:hint="eastAsia" w:ascii="宋体" w:hAnsi="宋体" w:cs="宋体"/>
          <w:color w:val="auto"/>
          <w:szCs w:val="21"/>
        </w:rPr>
        <w:t>（四）建立健全廉洁从业制度，开展廉洁教育，公布举报电话，监督并认真查处不廉洁及违法违纪行为。</w:t>
      </w:r>
    </w:p>
    <w:p>
      <w:pPr>
        <w:spacing w:line="360" w:lineRule="auto"/>
        <w:ind w:firstLine="315" w:firstLineChars="150"/>
        <w:rPr>
          <w:rFonts w:ascii="宋体" w:hAnsi="宋体" w:cs="宋体"/>
          <w:color w:val="auto"/>
          <w:szCs w:val="21"/>
        </w:rPr>
      </w:pPr>
      <w:r>
        <w:rPr>
          <w:rFonts w:hint="eastAsia" w:ascii="宋体" w:hAnsi="宋体" w:cs="宋体"/>
          <w:color w:val="auto"/>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color w:val="auto"/>
          <w:szCs w:val="21"/>
        </w:rPr>
      </w:pPr>
      <w:r>
        <w:rPr>
          <w:rFonts w:hint="eastAsia" w:ascii="宋体" w:hAnsi="宋体" w:cs="宋体"/>
          <w:b/>
          <w:bCs/>
          <w:color w:val="auto"/>
          <w:szCs w:val="21"/>
        </w:rPr>
        <w:t>第二条甲方的义务</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color w:val="auto"/>
          <w:szCs w:val="21"/>
        </w:rPr>
      </w:pPr>
      <w:r>
        <w:rPr>
          <w:rFonts w:hint="eastAsia" w:ascii="宋体" w:hAnsi="宋体" w:cs="宋体"/>
          <w:color w:val="auto"/>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color w:val="auto"/>
          <w:szCs w:val="21"/>
        </w:rPr>
      </w:pPr>
      <w:r>
        <w:rPr>
          <w:rFonts w:hint="eastAsia" w:ascii="宋体" w:hAnsi="宋体" w:cs="宋体"/>
          <w:color w:val="auto"/>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color w:val="auto"/>
          <w:szCs w:val="21"/>
        </w:rPr>
      </w:pPr>
      <w:r>
        <w:rPr>
          <w:rFonts w:hint="eastAsia" w:ascii="宋体" w:hAnsi="宋体" w:cs="宋体"/>
          <w:color w:val="auto"/>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color w:val="auto"/>
          <w:szCs w:val="21"/>
        </w:rPr>
      </w:pPr>
      <w:r>
        <w:rPr>
          <w:rFonts w:hint="eastAsia" w:ascii="宋体" w:hAnsi="宋体" w:cs="宋体"/>
          <w:color w:val="auto"/>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color w:val="auto"/>
          <w:szCs w:val="21"/>
        </w:rPr>
      </w:pPr>
      <w:r>
        <w:rPr>
          <w:rFonts w:hint="eastAsia" w:ascii="宋体" w:hAnsi="宋体" w:cs="宋体"/>
          <w:color w:val="auto"/>
          <w:szCs w:val="21"/>
        </w:rPr>
        <w:t>（七）甲方工作人员不得接受乙方给予或赠送的干股或红利。</w:t>
      </w:r>
    </w:p>
    <w:p>
      <w:pPr>
        <w:spacing w:line="360" w:lineRule="auto"/>
        <w:ind w:firstLine="422" w:firstLineChars="200"/>
        <w:rPr>
          <w:rFonts w:ascii="宋体" w:hAnsi="宋体" w:cs="宋体"/>
          <w:color w:val="auto"/>
          <w:szCs w:val="21"/>
        </w:rPr>
      </w:pPr>
      <w:r>
        <w:rPr>
          <w:rFonts w:hint="eastAsia" w:ascii="宋体" w:hAnsi="宋体" w:cs="宋体"/>
          <w:b/>
          <w:bCs/>
          <w:color w:val="auto"/>
          <w:szCs w:val="21"/>
        </w:rPr>
        <w:t>第三条乙方的义务</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（一）乙方不得以任何理由向甲方及其工作人员行贿或馈赠礼金、有价证券、贵重礼品。</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color w:val="auto"/>
          <w:szCs w:val="21"/>
        </w:rPr>
      </w:pPr>
      <w:r>
        <w:rPr>
          <w:rFonts w:hint="eastAsia" w:ascii="宋体" w:hAnsi="宋体" w:cs="宋体"/>
          <w:color w:val="auto"/>
          <w:szCs w:val="21"/>
        </w:rPr>
        <w:t>（三）乙方不得以任何理由安排甲方工作人员参加可能影响相关业务公开、公正、公平性的宴请及娱乐活动。</w:t>
      </w:r>
    </w:p>
    <w:p>
      <w:pPr>
        <w:pStyle w:val="15"/>
        <w:rPr>
          <w:rFonts w:ascii="宋体" w:hAnsi="宋体" w:cs="宋体"/>
          <w:color w:val="auto"/>
          <w:szCs w:val="21"/>
        </w:rPr>
      </w:pPr>
      <w:r>
        <w:rPr>
          <w:rFonts w:hint="eastAsia" w:ascii="宋体" w:hAnsi="宋体" w:cs="宋体"/>
          <w:color w:val="auto"/>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color w:val="auto"/>
          <w:szCs w:val="21"/>
        </w:rPr>
      </w:pPr>
      <w:r>
        <w:rPr>
          <w:rFonts w:hint="eastAsia" w:ascii="宋体" w:hAnsi="宋体" w:cs="宋体"/>
          <w:color w:val="auto"/>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color w:val="auto"/>
          <w:szCs w:val="21"/>
        </w:rPr>
      </w:pPr>
      <w:r>
        <w:rPr>
          <w:rFonts w:hint="eastAsia" w:ascii="宋体" w:hAnsi="宋体" w:cs="宋体"/>
          <w:color w:val="auto"/>
          <w:szCs w:val="21"/>
        </w:rPr>
        <w:t>（七）乙方不得向甲方工作人员提供干股或红利。</w:t>
      </w:r>
    </w:p>
    <w:p>
      <w:pPr>
        <w:spacing w:line="360" w:lineRule="auto"/>
        <w:ind w:firstLine="422" w:firstLineChars="200"/>
        <w:rPr>
          <w:rFonts w:ascii="宋体" w:hAnsi="宋体" w:cs="宋体"/>
          <w:color w:val="auto"/>
          <w:szCs w:val="21"/>
        </w:rPr>
      </w:pPr>
      <w:r>
        <w:rPr>
          <w:rFonts w:hint="eastAsia" w:ascii="宋体" w:hAnsi="宋体" w:cs="宋体"/>
          <w:b/>
          <w:bCs/>
          <w:color w:val="auto"/>
          <w:szCs w:val="21"/>
        </w:rPr>
        <w:t>第四条违约责任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color w:val="auto"/>
          <w:szCs w:val="21"/>
        </w:rPr>
      </w:pPr>
      <w:r>
        <w:rPr>
          <w:rFonts w:hint="eastAsia" w:ascii="宋体" w:hAnsi="宋体" w:cs="宋体"/>
          <w:color w:val="auto"/>
          <w:szCs w:val="21"/>
        </w:rPr>
        <w:t>甲方举报投诉联系部门：广州市净水有限公司</w:t>
      </w:r>
      <w:r>
        <w:rPr>
          <w:rFonts w:hint="eastAsia" w:ascii="宋体" w:hAnsi="宋体" w:cs="宋体"/>
          <w:color w:val="auto"/>
          <w:szCs w:val="21"/>
          <w:u w:val="single"/>
        </w:rPr>
        <w:t>纪检室</w:t>
      </w:r>
      <w:r>
        <w:rPr>
          <w:rFonts w:hint="eastAsia" w:ascii="宋体" w:hAnsi="宋体" w:cs="宋体"/>
          <w:color w:val="auto"/>
          <w:szCs w:val="21"/>
        </w:rPr>
        <w:t>，联系电话：</w:t>
      </w:r>
      <w:r>
        <w:rPr>
          <w:rFonts w:hint="eastAsia" w:ascii="宋体" w:hAnsi="宋体" w:cs="宋体"/>
          <w:color w:val="auto"/>
          <w:szCs w:val="21"/>
          <w:u w:val="single"/>
        </w:rPr>
        <w:t xml:space="preserve"> 020-38890265 </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1、扣除乙方全部履约保证金；</w:t>
      </w:r>
    </w:p>
    <w:p>
      <w:pPr>
        <w:spacing w:line="360" w:lineRule="auto"/>
        <w:ind w:firstLine="420" w:firstLineChars="200"/>
        <w:rPr>
          <w:rFonts w:ascii="宋体" w:hAnsi="宋体" w:cs="宋体"/>
          <w:color w:val="auto"/>
          <w:szCs w:val="21"/>
        </w:rPr>
      </w:pPr>
      <w:r>
        <w:rPr>
          <w:rFonts w:hint="eastAsia" w:ascii="宋体" w:hAnsi="宋体" w:cs="宋体"/>
          <w:color w:val="auto"/>
          <w:szCs w:val="21"/>
        </w:rPr>
        <w:t>2、解除主合同；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3、追究乙方合同其他违约责任；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color w:val="auto"/>
          <w:szCs w:val="21"/>
        </w:rPr>
      </w:pPr>
      <w:r>
        <w:rPr>
          <w:rFonts w:hint="eastAsia" w:ascii="宋体" w:hAnsi="宋体" w:cs="宋体"/>
          <w:color w:val="auto"/>
          <w:szCs w:val="21"/>
        </w:rPr>
        <w:t>乙方无条件接受甲方处理意见并承担给甲方造成的损失，全额返还用不正当手段获取的非法所得，并承担相应的法律责任。</w:t>
      </w:r>
    </w:p>
    <w:p>
      <w:pPr>
        <w:rPr>
          <w:rFonts w:ascii="宋体" w:hAnsi="宋体" w:cs="宋体"/>
          <w:color w:val="auto"/>
          <w:kern w:val="0"/>
          <w:szCs w:val="21"/>
        </w:rPr>
      </w:pPr>
      <w:r>
        <w:rPr>
          <w:rFonts w:hint="eastAsia" w:ascii="宋体" w:hAnsi="宋体" w:cs="宋体"/>
          <w:b/>
          <w:bCs/>
          <w:color w:val="auto"/>
          <w:szCs w:val="21"/>
        </w:rPr>
        <w:t xml:space="preserve">第五条 </w:t>
      </w:r>
      <w:r>
        <w:rPr>
          <w:rFonts w:hint="eastAsia" w:ascii="宋体" w:hAnsi="宋体" w:cs="宋体"/>
          <w:color w:val="auto"/>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color w:val="auto"/>
          <w:szCs w:val="21"/>
        </w:rPr>
      </w:pPr>
      <w:r>
        <w:rPr>
          <w:rFonts w:hint="eastAsia" w:ascii="宋体" w:hAnsi="宋体" w:cs="宋体"/>
          <w:b/>
          <w:color w:val="auto"/>
          <w:szCs w:val="21"/>
        </w:rPr>
        <w:t>第六条</w:t>
      </w:r>
      <w:r>
        <w:rPr>
          <w:rFonts w:hint="eastAsia" w:ascii="宋体" w:hAnsi="宋体" w:cs="宋体"/>
          <w:color w:val="auto"/>
          <w:szCs w:val="21"/>
        </w:rPr>
        <w:t>本协议作为</w:t>
      </w:r>
      <w:r>
        <w:rPr>
          <w:rFonts w:hint="eastAsia" w:ascii="宋体" w:hAnsi="宋体" w:cs="宋体"/>
          <w:color w:val="auto"/>
          <w:szCs w:val="21"/>
          <w:u w:val="single"/>
          <w:lang w:val="zh-CN" w:eastAsia="zh-CN"/>
        </w:rPr>
        <w:t>沥滘智慧安防系统工程项目（</w:t>
      </w:r>
      <w:r>
        <w:rPr>
          <w:rFonts w:hint="eastAsia" w:ascii="宋体" w:hAnsi="宋体" w:cs="宋体"/>
          <w:color w:val="auto"/>
          <w:szCs w:val="21"/>
          <w:u w:val="single"/>
        </w:rPr>
        <w:t>穗净水合[     ]    号</w:t>
      </w:r>
      <w:r>
        <w:rPr>
          <w:rFonts w:hint="eastAsia" w:ascii="宋体" w:hAnsi="宋体" w:cs="宋体"/>
          <w:color w:val="auto"/>
          <w:szCs w:val="21"/>
          <w:u w:val="single"/>
          <w:lang w:eastAsia="zh-CN"/>
        </w:rPr>
        <w:t>）</w:t>
      </w:r>
      <w:r>
        <w:rPr>
          <w:rFonts w:hint="eastAsia" w:ascii="宋体" w:hAnsi="宋体" w:cs="宋体"/>
          <w:color w:val="auto"/>
          <w:szCs w:val="21"/>
        </w:rPr>
        <w:t>的</w:t>
      </w:r>
      <w:r>
        <w:rPr>
          <w:rFonts w:hint="eastAsia" w:ascii="宋体" w:hAnsi="宋体" w:cs="宋体"/>
          <w:color w:val="auto"/>
          <w:szCs w:val="21"/>
          <w:lang w:val="en-US" w:eastAsia="zh-CN"/>
        </w:rPr>
        <w:t>合同</w:t>
      </w:r>
      <w:r>
        <w:rPr>
          <w:rFonts w:hint="eastAsia" w:ascii="宋体" w:hAnsi="宋体" w:cs="宋体"/>
          <w:color w:val="auto"/>
          <w:szCs w:val="21"/>
        </w:rPr>
        <w:t>附件，并具有同等的法律效力，本协议自双方签字盖章之日起生效，与主合同同时终止。</w:t>
      </w:r>
    </w:p>
    <w:p>
      <w:pPr>
        <w:spacing w:line="360" w:lineRule="auto"/>
        <w:ind w:firstLine="422" w:firstLineChars="200"/>
        <w:rPr>
          <w:rFonts w:ascii="宋体" w:hAnsi="宋体" w:cs="宋体"/>
          <w:color w:val="auto"/>
          <w:szCs w:val="21"/>
        </w:rPr>
      </w:pPr>
      <w:r>
        <w:rPr>
          <w:rFonts w:hint="eastAsia" w:ascii="宋体" w:hAnsi="宋体" w:cs="宋体"/>
          <w:b/>
          <w:color w:val="auto"/>
          <w:szCs w:val="21"/>
        </w:rPr>
        <w:t>第七条</w:t>
      </w:r>
      <w:r>
        <w:rPr>
          <w:rFonts w:hint="eastAsia" w:ascii="宋体" w:hAnsi="宋体" w:cs="宋体"/>
          <w:color w:val="auto"/>
          <w:szCs w:val="21"/>
        </w:rPr>
        <w:t>本协议一式</w:t>
      </w:r>
      <w:r>
        <w:rPr>
          <w:rFonts w:hint="eastAsia" w:ascii="宋体" w:hAnsi="宋体" w:cs="宋体"/>
          <w:color w:val="auto"/>
          <w:szCs w:val="21"/>
          <w:u w:val="single"/>
        </w:rPr>
        <w:t xml:space="preserve"> …  </w:t>
      </w:r>
      <w:r>
        <w:rPr>
          <w:rFonts w:hint="eastAsia" w:ascii="宋体" w:hAnsi="宋体" w:cs="宋体"/>
          <w:color w:val="auto"/>
          <w:szCs w:val="21"/>
        </w:rPr>
        <w:t>份，甲方</w:t>
      </w:r>
      <w:r>
        <w:rPr>
          <w:rFonts w:hint="eastAsia" w:ascii="宋体" w:hAnsi="宋体" w:cs="宋体"/>
          <w:color w:val="auto"/>
          <w:szCs w:val="21"/>
          <w:u w:val="single"/>
        </w:rPr>
        <w:t xml:space="preserve"> … </w:t>
      </w:r>
      <w:r>
        <w:rPr>
          <w:rFonts w:hint="eastAsia" w:ascii="宋体" w:hAnsi="宋体" w:cs="宋体"/>
          <w:color w:val="auto"/>
          <w:szCs w:val="21"/>
        </w:rPr>
        <w:t>份，乙方</w:t>
      </w:r>
      <w:r>
        <w:rPr>
          <w:rFonts w:hint="eastAsia" w:ascii="宋体" w:hAnsi="宋体" w:cs="宋体"/>
          <w:color w:val="auto"/>
          <w:szCs w:val="21"/>
          <w:u w:val="single"/>
        </w:rPr>
        <w:t>…</w:t>
      </w:r>
      <w:r>
        <w:rPr>
          <w:rFonts w:hint="eastAsia" w:ascii="宋体" w:hAnsi="宋体" w:cs="宋体"/>
          <w:color w:val="auto"/>
          <w:szCs w:val="21"/>
        </w:rPr>
        <w:t>份。</w:t>
      </w: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甲方（盖章）：                     乙方（盖章）：</w:t>
      </w:r>
    </w:p>
    <w:p>
      <w:pPr>
        <w:pStyle w:val="45"/>
        <w:tabs>
          <w:tab w:val="left" w:pos="5100"/>
        </w:tabs>
        <w:spacing w:line="360" w:lineRule="auto"/>
        <w:ind w:left="7200" w:firstLine="0" w:firstLineChars="0"/>
        <w:jc w:val="left"/>
        <w:rPr>
          <w:rFonts w:ascii="宋体" w:hAnsi="宋体" w:cs="宋体"/>
          <w:color w:val="auto"/>
          <w:szCs w:val="21"/>
        </w:rPr>
      </w:pPr>
    </w:p>
    <w:p>
      <w:pPr>
        <w:tabs>
          <w:tab w:val="left" w:pos="5100"/>
        </w:tabs>
        <w:spacing w:line="360" w:lineRule="auto"/>
        <w:ind w:left="6300" w:hanging="6300" w:hangingChars="3000"/>
        <w:rPr>
          <w:rFonts w:ascii="宋体" w:hAnsi="宋体" w:cs="宋体"/>
          <w:color w:val="auto"/>
          <w:szCs w:val="21"/>
        </w:rPr>
      </w:pPr>
      <w:r>
        <w:rPr>
          <w:rFonts w:hint="eastAsia" w:ascii="宋体" w:hAnsi="宋体" w:cs="宋体"/>
          <w:color w:val="auto"/>
          <w:szCs w:val="21"/>
        </w:rPr>
        <w:t>签约代表：                         签约代表：</w:t>
      </w:r>
    </w:p>
    <w:p>
      <w:pPr>
        <w:tabs>
          <w:tab w:val="left" w:pos="4170"/>
        </w:tabs>
        <w:spacing w:line="360" w:lineRule="auto"/>
        <w:rPr>
          <w:rFonts w:ascii="宋体" w:hAnsi="宋体" w:cs="宋体"/>
          <w:color w:val="auto"/>
          <w:szCs w:val="21"/>
        </w:rPr>
      </w:pPr>
      <w:r>
        <w:rPr>
          <w:rFonts w:hint="eastAsia" w:ascii="宋体" w:hAnsi="宋体" w:cs="宋体"/>
          <w:color w:val="auto"/>
          <w:szCs w:val="21"/>
        </w:rPr>
        <w:t>日期:    年  月  日</w:t>
      </w:r>
      <w:r>
        <w:rPr>
          <w:rFonts w:hint="eastAsia" w:ascii="宋体" w:hAnsi="宋体" w:cs="宋体"/>
          <w:color w:val="auto"/>
          <w:szCs w:val="21"/>
        </w:rPr>
        <w:tab/>
      </w:r>
      <w:r>
        <w:rPr>
          <w:rFonts w:hint="eastAsia" w:ascii="宋体" w:hAnsi="宋体" w:cs="宋体"/>
          <w:color w:val="auto"/>
          <w:szCs w:val="21"/>
        </w:rPr>
        <w:t>日期：  年  月  日</w:t>
      </w:r>
    </w:p>
    <w:p>
      <w:pPr>
        <w:rPr>
          <w:rFonts w:hint="eastAsia" w:ascii="宋体" w:hAnsi="宋体" w:cs="宋体"/>
          <w:color w:val="auto"/>
          <w:szCs w:val="21"/>
        </w:rPr>
      </w:pPr>
      <w:r>
        <w:rPr>
          <w:rFonts w:hint="eastAsia" w:ascii="宋体" w:hAnsi="宋体" w:cs="宋体"/>
          <w:color w:val="auto"/>
          <w:szCs w:val="21"/>
        </w:rPr>
        <w:br w:type="page"/>
      </w:r>
    </w:p>
    <w:p>
      <w:pPr>
        <w:spacing w:line="540" w:lineRule="exact"/>
        <w:rPr>
          <w:rFonts w:ascii="宋体" w:hAnsi="宋体" w:cs="宋体"/>
          <w:color w:val="auto"/>
          <w:szCs w:val="21"/>
        </w:rPr>
      </w:pPr>
      <w:r>
        <w:rPr>
          <w:rFonts w:hint="eastAsia" w:ascii="宋体" w:hAnsi="宋体" w:cs="宋体"/>
          <w:b/>
          <w:bCs/>
          <w:color w:val="auto"/>
          <w:szCs w:val="21"/>
        </w:rPr>
        <w:t>附件3</w:t>
      </w:r>
    </w:p>
    <w:p>
      <w:pPr>
        <w:spacing w:line="560" w:lineRule="exact"/>
        <w:jc w:val="center"/>
        <w:rPr>
          <w:rFonts w:ascii="宋体" w:hAnsi="宋体" w:cs="宋体"/>
          <w:b/>
          <w:color w:val="auto"/>
          <w:szCs w:val="21"/>
        </w:rPr>
      </w:pPr>
      <w:r>
        <w:rPr>
          <w:rFonts w:hint="eastAsia" w:ascii="宋体" w:hAnsi="宋体" w:cs="宋体"/>
          <w:color w:val="auto"/>
          <w:szCs w:val="21"/>
          <w:u w:val="single"/>
          <w:lang w:val="zh-CN" w:eastAsia="zh-CN"/>
        </w:rPr>
        <w:t>沥滘智慧安防系统工程项目</w:t>
      </w:r>
      <w:r>
        <w:rPr>
          <w:rFonts w:hint="eastAsia" w:ascii="宋体" w:hAnsi="宋体" w:cs="宋体"/>
          <w:b/>
          <w:color w:val="auto"/>
          <w:szCs w:val="21"/>
          <w:u w:val="single"/>
        </w:rPr>
        <w:t xml:space="preserve"> </w:t>
      </w:r>
      <w:r>
        <w:rPr>
          <w:rFonts w:hint="eastAsia" w:ascii="宋体" w:hAnsi="宋体" w:cs="宋体"/>
          <w:b/>
          <w:color w:val="auto"/>
          <w:szCs w:val="21"/>
        </w:rPr>
        <w:t>保密协议</w:t>
      </w:r>
    </w:p>
    <w:p>
      <w:pPr>
        <w:kinsoku w:val="0"/>
        <w:overflowPunct w:val="0"/>
        <w:autoSpaceDE w:val="0"/>
        <w:autoSpaceDN w:val="0"/>
        <w:spacing w:line="440" w:lineRule="exact"/>
        <w:jc w:val="left"/>
        <w:textAlignment w:val="baseline"/>
        <w:rPr>
          <w:rFonts w:ascii="宋体" w:hAnsi="宋体" w:cs="宋体"/>
          <w:color w:val="auto"/>
          <w:szCs w:val="21"/>
        </w:rPr>
      </w:pPr>
      <w:r>
        <w:rPr>
          <w:rFonts w:hint="eastAsia" w:ascii="宋体" w:hAnsi="宋体" w:cs="宋体"/>
          <w:color w:val="auto"/>
          <w:szCs w:val="21"/>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rPr>
      </w:pPr>
      <w:r>
        <w:rPr>
          <w:rFonts w:hint="eastAsia" w:ascii="宋体" w:hAnsi="宋体" w:cs="宋体"/>
          <w:color w:val="auto"/>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甲乙双方就</w:t>
      </w:r>
      <w:r>
        <w:rPr>
          <w:rFonts w:hint="eastAsia" w:ascii="宋体" w:hAnsi="宋体" w:cs="宋体"/>
          <w:color w:val="auto"/>
          <w:szCs w:val="21"/>
          <w:u w:val="single"/>
        </w:rPr>
        <w:t xml:space="preserve"> </w:t>
      </w:r>
      <w:r>
        <w:rPr>
          <w:rFonts w:hint="eastAsia" w:ascii="宋体" w:hAnsi="宋体" w:cs="宋体"/>
          <w:color w:val="auto"/>
          <w:szCs w:val="21"/>
          <w:u w:val="single"/>
          <w:lang w:val="zh-CN" w:eastAsia="zh-CN"/>
        </w:rPr>
        <w:t>沥滘智慧安防系统工程项目</w:t>
      </w:r>
      <w:r>
        <w:rPr>
          <w:rFonts w:hint="eastAsia" w:ascii="宋体" w:hAnsi="宋体" w:cs="宋体"/>
          <w:color w:val="auto"/>
          <w:szCs w:val="21"/>
          <w:u w:val="single"/>
        </w:rPr>
        <w:t xml:space="preserve"> </w:t>
      </w:r>
      <w:r>
        <w:rPr>
          <w:rFonts w:hint="eastAsia" w:ascii="宋体" w:hAnsi="宋体" w:cs="宋体"/>
          <w:color w:val="auto"/>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color w:val="auto"/>
          <w:szCs w:val="21"/>
        </w:rPr>
      </w:pPr>
      <w:r>
        <w:rPr>
          <w:rFonts w:hint="eastAsia" w:ascii="宋体" w:hAnsi="宋体" w:cs="宋体"/>
          <w:color w:val="auto"/>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color w:val="auto"/>
          <w:szCs w:val="21"/>
        </w:rPr>
      </w:pPr>
      <w:r>
        <w:rPr>
          <w:rFonts w:hint="eastAsia" w:ascii="宋体" w:hAnsi="宋体" w:cs="宋体"/>
          <w:color w:val="auto"/>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rPr>
      </w:pPr>
      <w:r>
        <w:rPr>
          <w:rFonts w:hint="eastAsia" w:ascii="宋体" w:hAnsi="宋体" w:cs="宋体"/>
          <w:color w:val="auto"/>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color w:val="auto"/>
          <w:szCs w:val="21"/>
        </w:rPr>
      </w:pPr>
      <w:r>
        <w:rPr>
          <w:rFonts w:hint="eastAsia" w:ascii="宋体" w:hAnsi="宋体" w:cs="宋体"/>
          <w:color w:val="auto"/>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rPr>
      </w:pPr>
      <w:r>
        <w:rPr>
          <w:rFonts w:hint="eastAsia" w:ascii="宋体" w:hAnsi="宋体" w:cs="宋体"/>
          <w:color w:val="auto"/>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rPr>
      </w:pPr>
      <w:r>
        <w:rPr>
          <w:rFonts w:hint="eastAsia" w:ascii="宋体" w:hAnsi="宋体" w:cs="宋体"/>
          <w:color w:val="auto"/>
          <w:szCs w:val="21"/>
        </w:rPr>
        <w:t>三、本协议作为</w:t>
      </w:r>
      <w:r>
        <w:rPr>
          <w:rFonts w:hint="eastAsia" w:ascii="宋体" w:hAnsi="宋体" w:cs="宋体"/>
          <w:color w:val="auto"/>
          <w:szCs w:val="21"/>
          <w:u w:val="single"/>
          <w:lang w:val="zh-CN" w:eastAsia="zh-CN"/>
        </w:rPr>
        <w:t>沥滘智慧安防系统工程项目</w:t>
      </w:r>
      <w:r>
        <w:rPr>
          <w:rFonts w:hint="eastAsia" w:ascii="宋体" w:hAnsi="宋体" w:cs="宋体"/>
          <w:color w:val="auto"/>
          <w:szCs w:val="21"/>
          <w:u w:val="single"/>
        </w:rPr>
        <w:t>合同</w:t>
      </w:r>
      <w:r>
        <w:rPr>
          <w:rFonts w:hint="eastAsia" w:ascii="宋体" w:hAnsi="宋体" w:cs="宋体"/>
          <w:color w:val="auto"/>
          <w:szCs w:val="21"/>
          <w:u w:val="single"/>
          <w:lang w:eastAsia="zh-CN"/>
        </w:rPr>
        <w:t>（</w:t>
      </w:r>
      <w:r>
        <w:rPr>
          <w:rFonts w:hint="eastAsia" w:ascii="宋体" w:hAnsi="宋体" w:cs="宋体"/>
          <w:color w:val="auto"/>
          <w:szCs w:val="21"/>
          <w:u w:val="single"/>
        </w:rPr>
        <w:t>穗净水合[     ]    号</w:t>
      </w:r>
      <w:r>
        <w:rPr>
          <w:rFonts w:hint="eastAsia" w:ascii="宋体" w:hAnsi="宋体" w:cs="宋体"/>
          <w:color w:val="auto"/>
          <w:szCs w:val="21"/>
          <w:u w:val="single"/>
          <w:lang w:eastAsia="zh-CN"/>
        </w:rPr>
        <w:t>）</w:t>
      </w:r>
      <w:r>
        <w:rPr>
          <w:rFonts w:hint="eastAsia" w:ascii="宋体" w:hAnsi="宋体" w:cs="宋体"/>
          <w:color w:val="auto"/>
          <w:szCs w:val="21"/>
        </w:rPr>
        <w:t>的</w:t>
      </w:r>
      <w:r>
        <w:rPr>
          <w:rFonts w:hint="eastAsia" w:ascii="宋体" w:hAnsi="宋体" w:cs="宋体"/>
          <w:color w:val="auto"/>
          <w:szCs w:val="21"/>
          <w:lang w:val="en-US" w:eastAsia="zh-CN"/>
        </w:rPr>
        <w:t>合同</w:t>
      </w:r>
      <w:r>
        <w:rPr>
          <w:rFonts w:hint="eastAsia" w:ascii="宋体" w:hAnsi="宋体" w:cs="宋体"/>
          <w:color w:val="auto"/>
          <w:szCs w:val="21"/>
        </w:rPr>
        <w:t>附件，并具有同等的法律效力，本协议自双方签字盖章之日起生效，与主合同同时终止。</w:t>
      </w:r>
    </w:p>
    <w:p>
      <w:pPr>
        <w:spacing w:line="440" w:lineRule="exact"/>
        <w:ind w:firstLine="420" w:firstLineChars="200"/>
        <w:rPr>
          <w:rFonts w:ascii="宋体" w:hAnsi="宋体" w:cs="宋体"/>
          <w:color w:val="auto"/>
          <w:szCs w:val="21"/>
        </w:rPr>
      </w:pPr>
      <w:r>
        <w:rPr>
          <w:rFonts w:hint="eastAsia" w:ascii="宋体" w:hAnsi="宋体" w:cs="宋体"/>
          <w:color w:val="auto"/>
          <w:szCs w:val="21"/>
        </w:rPr>
        <w:t>四、本协议一式</w:t>
      </w:r>
      <w:r>
        <w:rPr>
          <w:rFonts w:hint="eastAsia" w:ascii="宋体" w:hAnsi="宋体" w:cs="宋体"/>
          <w:color w:val="auto"/>
          <w:szCs w:val="21"/>
          <w:u w:val="single"/>
        </w:rPr>
        <w:t xml:space="preserve">… </w:t>
      </w:r>
      <w:r>
        <w:rPr>
          <w:rFonts w:hint="eastAsia" w:ascii="宋体" w:hAnsi="宋体" w:cs="宋体"/>
          <w:color w:val="auto"/>
          <w:szCs w:val="21"/>
        </w:rPr>
        <w:t>份，甲方执</w:t>
      </w:r>
      <w:r>
        <w:rPr>
          <w:rFonts w:hint="eastAsia" w:ascii="宋体" w:hAnsi="宋体" w:cs="宋体"/>
          <w:color w:val="auto"/>
          <w:szCs w:val="21"/>
          <w:u w:val="single"/>
        </w:rPr>
        <w:t xml:space="preserve"> … </w:t>
      </w:r>
      <w:r>
        <w:rPr>
          <w:rFonts w:hint="eastAsia" w:ascii="宋体" w:hAnsi="宋体" w:cs="宋体"/>
          <w:color w:val="auto"/>
          <w:szCs w:val="21"/>
        </w:rPr>
        <w:t>份，乙方执</w:t>
      </w:r>
      <w:r>
        <w:rPr>
          <w:rFonts w:hint="eastAsia" w:ascii="宋体" w:hAnsi="宋体" w:cs="宋体"/>
          <w:color w:val="auto"/>
          <w:szCs w:val="21"/>
          <w:u w:val="single"/>
        </w:rPr>
        <w:t xml:space="preserve"> … </w:t>
      </w:r>
      <w:r>
        <w:rPr>
          <w:rFonts w:hint="eastAsia" w:ascii="宋体" w:hAnsi="宋体" w:cs="宋体"/>
          <w:color w:val="auto"/>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rPr>
      </w:pPr>
      <w:r>
        <w:rPr>
          <w:rFonts w:hint="eastAsia" w:ascii="宋体" w:hAnsi="宋体" w:cs="宋体"/>
          <w:color w:val="auto"/>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rPr>
      </w:pPr>
      <w:r>
        <w:rPr>
          <w:rFonts w:hint="eastAsia" w:ascii="宋体" w:hAnsi="宋体" w:cs="宋体"/>
          <w:color w:val="auto"/>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rPr>
      </w:pPr>
      <w:r>
        <w:rPr>
          <w:rFonts w:hint="eastAsia" w:ascii="宋体" w:hAnsi="宋体" w:cs="宋体"/>
          <w:color w:val="auto"/>
          <w:szCs w:val="21"/>
        </w:rPr>
        <w:t xml:space="preserve">日期：                       日期：  </w:t>
      </w:r>
    </w:p>
    <w:bookmarkEnd w:id="52"/>
    <w:p>
      <w:pPr>
        <w:spacing w:line="540" w:lineRule="exact"/>
        <w:rPr>
          <w:rFonts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br w:type="page"/>
      </w:r>
    </w:p>
    <w:p>
      <w:pPr>
        <w:spacing w:line="360" w:lineRule="auto"/>
        <w:rPr>
          <w:rFonts w:ascii="黑体" w:hAnsi="Batang" w:eastAsia="黑体" w:cs="Batang"/>
          <w:bCs/>
          <w:kern w:val="0"/>
          <w:sz w:val="44"/>
          <w:szCs w:val="44"/>
        </w:rPr>
      </w:pPr>
      <w:bookmarkStart w:id="53" w:name="_Toc243_WPSOffice_Level2"/>
      <w:r>
        <w:rPr>
          <w:rFonts w:hint="eastAsia" w:ascii="宋体" w:hAnsi="宋体" w:cs="宋体"/>
          <w:b/>
          <w:szCs w:val="21"/>
        </w:rPr>
        <w:t>附件4：营运场所施工安全协议书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29"/>
          <w:rFonts w:asciiTheme="minorEastAsia" w:hAnsiTheme="minorEastAsia" w:eastAsiaTheme="minorEastAsia"/>
          <w:b w:val="0"/>
          <w:u w:val="single"/>
        </w:rPr>
      </w:pP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 xml:space="preserve"> 二、双方的责任、权利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（一）甲方的责任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不得明示或者暗示乙方购买、租赁、使用不符合安全施工要求的安全防护用具、机械设备、施工机具及配件、消防设施和器材。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检查乙方安全措施的投入。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（二）甲方的权利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（1）经济处罚；</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（2）诚信扣分；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（5）向行业协会（包括但不限于广东省市政行业协会、广州市市政行业协会等）反映。</w:t>
      </w:r>
    </w:p>
    <w:p>
      <w:pPr>
        <w:spacing w:line="360" w:lineRule="auto"/>
        <w:ind w:firstLine="480"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乙方应在施工前重新识别现场的安全风险并采取措施进行管控。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乙方应保证施工安全措施投入。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乙方必须严格按照甲方制定的《标准》要求，落实各项安全管理工作。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乙方发生突发事件时，应立即报甲方，并同时积极主动地开展应急救援，采取有效措施将事故影响控制在最小范围内。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三、事故责任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7.本协议未尽事宜，依据有关法规。规章处理，法规、规章没有明确规定的，经双方协商处理解决。</w:t>
      </w:r>
    </w:p>
    <w:p>
      <w:pPr>
        <w:pStyle w:val="59"/>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bookmarkEnd w:id="53"/>
    <w:p>
      <w:pP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br w:type="page"/>
      </w:r>
    </w:p>
    <w:p>
      <w:pPr>
        <w:rPr>
          <w:rFonts w:hint="eastAsia" w:asciiTheme="minorEastAsia" w:hAnsiTheme="minorEastAsia" w:eastAsiaTheme="minorEastAsia" w:cstheme="minorEastAsia"/>
          <w:color w:val="auto"/>
          <w:szCs w:val="21"/>
          <w:lang w:eastAsia="zh-CN"/>
        </w:rPr>
      </w:pPr>
      <w:bookmarkStart w:id="54" w:name="_Toc10686_WPSOffice_Level2"/>
      <w:r>
        <w:rPr>
          <w:rFonts w:hint="eastAsia" w:asciiTheme="minorEastAsia" w:hAnsiTheme="minorEastAsia" w:eastAsiaTheme="minorEastAsia" w:cstheme="minorEastAsia"/>
          <w:b/>
          <w:bCs/>
          <w:color w:val="auto"/>
          <w:szCs w:val="21"/>
          <w:lang w:val="en-US" w:eastAsia="zh-CN"/>
        </w:rPr>
        <w:t>附件5：</w:t>
      </w:r>
      <w:r>
        <w:rPr>
          <w:rFonts w:hint="eastAsia" w:asciiTheme="minorEastAsia" w:hAnsiTheme="minorEastAsia" w:eastAsiaTheme="minorEastAsia" w:cstheme="minorEastAsia"/>
          <w:b/>
          <w:bCs/>
          <w:color w:val="auto"/>
          <w:szCs w:val="21"/>
          <w:lang w:eastAsia="zh-CN"/>
        </w:rPr>
        <w:t>技术需求</w:t>
      </w:r>
      <w:r>
        <w:rPr>
          <w:rFonts w:hint="eastAsia" w:asciiTheme="minorEastAsia" w:hAnsiTheme="minorEastAsia" w:eastAsiaTheme="minorEastAsia" w:cstheme="minorEastAsia"/>
          <w:b/>
          <w:bCs/>
          <w:color w:val="auto"/>
          <w:szCs w:val="21"/>
          <w:lang w:val="en-US" w:eastAsia="zh-CN"/>
        </w:rPr>
        <w:t>书</w:t>
      </w:r>
      <w:bookmarkEnd w:id="54"/>
    </w:p>
    <w:p>
      <w:pPr>
        <w:jc w:val="center"/>
        <w:rPr>
          <w:rFonts w:hint="eastAsia" w:asciiTheme="minorEastAsia" w:hAnsiTheme="minorEastAsia" w:eastAsiaTheme="minorEastAsia" w:cstheme="minorEastAsia"/>
          <w:b/>
          <w:bCs/>
          <w:color w:val="auto"/>
          <w:szCs w:val="21"/>
          <w:lang w:eastAsia="zh-CN"/>
        </w:rPr>
      </w:pPr>
      <w:bookmarkStart w:id="55" w:name="_Toc31231_WPSOffice_Level2"/>
      <w:r>
        <w:rPr>
          <w:rFonts w:hint="eastAsia" w:asciiTheme="minorEastAsia" w:hAnsiTheme="minorEastAsia" w:eastAsiaTheme="minorEastAsia" w:cstheme="minorEastAsia"/>
          <w:b/>
          <w:bCs/>
          <w:color w:val="auto"/>
          <w:szCs w:val="21"/>
          <w:lang w:eastAsia="zh-CN"/>
        </w:rPr>
        <w:t>技术需求</w:t>
      </w:r>
      <w:r>
        <w:rPr>
          <w:rFonts w:hint="eastAsia" w:asciiTheme="minorEastAsia" w:hAnsiTheme="minorEastAsia" w:eastAsiaTheme="minorEastAsia" w:cstheme="minorEastAsia"/>
          <w:b/>
          <w:bCs/>
          <w:color w:val="auto"/>
          <w:szCs w:val="21"/>
          <w:lang w:val="en-US" w:eastAsia="zh-CN"/>
        </w:rPr>
        <w:t>书</w:t>
      </w:r>
      <w:bookmarkEnd w:id="55"/>
    </w:p>
    <w:p>
      <w:pPr>
        <w:pStyle w:val="4"/>
        <w:jc w:val="left"/>
        <w:rPr>
          <w:rFonts w:hint="eastAsia" w:ascii="宋体" w:hAnsi="宋体" w:eastAsia="宋体" w:cs="宋体"/>
          <w:b w:val="0"/>
          <w:bCs w:val="0"/>
          <w:color w:val="auto"/>
          <w:kern w:val="2"/>
          <w:sz w:val="21"/>
          <w:szCs w:val="21"/>
          <w:lang w:val="en-US" w:eastAsia="zh-CN" w:bidi="ar-SA"/>
        </w:rPr>
      </w:pPr>
      <w:bookmarkStart w:id="56" w:name="_Toc17699_WPSOffice_Level2"/>
      <w:r>
        <w:rPr>
          <w:rFonts w:hint="eastAsia" w:ascii="宋体" w:hAnsi="宋体" w:eastAsia="宋体" w:cs="宋体"/>
          <w:b w:val="0"/>
          <w:bCs w:val="0"/>
          <w:color w:val="auto"/>
          <w:kern w:val="2"/>
          <w:sz w:val="21"/>
          <w:szCs w:val="21"/>
          <w:lang w:val="en-US" w:eastAsia="zh-CN" w:bidi="ar-SA"/>
        </w:rPr>
        <w:t>一</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技术要求</w:t>
      </w:r>
      <w:bookmarkEnd w:id="56"/>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供应商递交响应文件时须出具承诺函，承诺所提供报价货物/设备备件均为制造商全新原装产品。.2.</w:t>
      </w:r>
      <w:r>
        <w:rPr>
          <w:rFonts w:hint="eastAsia" w:ascii="宋体" w:hAnsi="宋体" w:eastAsia="宋体" w:cs="宋体"/>
          <w:color w:val="auto"/>
          <w:szCs w:val="21"/>
          <w:lang w:val="zh-CN" w:eastAsia="zh-CN"/>
        </w:rPr>
        <w:t>供应商必须具备</w:t>
      </w:r>
      <w:r>
        <w:rPr>
          <w:rFonts w:hint="eastAsia" w:ascii="宋体" w:hAnsi="宋体" w:eastAsia="宋体" w:cs="宋体"/>
          <w:color w:val="auto"/>
          <w:szCs w:val="21"/>
          <w:lang w:val="en-US" w:eastAsia="zh-CN"/>
        </w:rPr>
        <w:t>安防系统</w:t>
      </w:r>
      <w:r>
        <w:rPr>
          <w:rFonts w:hint="eastAsia" w:ascii="宋体" w:hAnsi="宋体" w:eastAsia="宋体" w:cs="宋体"/>
          <w:color w:val="auto"/>
          <w:szCs w:val="21"/>
          <w:lang w:val="zh-CN" w:eastAsia="zh-CN"/>
        </w:rPr>
        <w:t>平台自主研发能力。</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3.品牌要求：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 w:eastAsia="zh-SG"/>
        </w:rPr>
      </w:pPr>
      <w:r>
        <w:rPr>
          <w:rFonts w:hint="eastAsia" w:ascii="宋体" w:hAnsi="宋体" w:eastAsia="宋体" w:cs="宋体"/>
          <w:color w:val="auto"/>
          <w:szCs w:val="21"/>
          <w:lang w:val="en-US" w:eastAsia="zh-CN"/>
        </w:rPr>
        <w:t>（1）</w:t>
      </w:r>
      <w:r>
        <w:rPr>
          <w:rFonts w:hint="eastAsia" w:ascii="宋体" w:hAnsi="宋体" w:eastAsia="宋体" w:cs="宋体"/>
          <w:b w:val="0"/>
          <w:bCs w:val="0"/>
          <w:color w:val="auto"/>
          <w:sz w:val="21"/>
          <w:szCs w:val="21"/>
        </w:rPr>
        <w:t>关于本项目涉及到的刷卡摆闸、人脸识别闸机头、访客管理设备、门岗测温一体机、200万暖光变焦抓拍一体机、车辆道闸、人脸门禁一体机、200万枪型摄像机、400万近距离人脸识别摄像机、400万远距离人脸识别摄像机、400万智能周界摄像机、人脸算法服务器、视频存储服务器</w:t>
      </w:r>
      <w:r>
        <w:rPr>
          <w:rFonts w:hint="eastAsia" w:ascii="宋体" w:hAnsi="宋体" w:eastAsia="宋体" w:cs="宋体"/>
          <w:color w:val="auto"/>
          <w:szCs w:val="21"/>
          <w:lang w:val="en-US" w:eastAsia="zh-CN"/>
        </w:rPr>
        <w:t>，品牌参照或相当于海康威视/浙江大华/汉邦高科等国产知名品牌，</w:t>
      </w:r>
      <w:r>
        <w:rPr>
          <w:rFonts w:hint="eastAsia" w:ascii="宋体" w:hAnsi="宋体" w:eastAsia="宋体" w:cs="宋体"/>
          <w:color w:val="auto"/>
          <w:szCs w:val="21"/>
          <w:lang w:val="en" w:eastAsia="zh-SG"/>
        </w:rPr>
        <w:t>技术先进</w:t>
      </w:r>
      <w:r>
        <w:rPr>
          <w:rFonts w:hint="eastAsia" w:ascii="宋体" w:hAnsi="宋体" w:eastAsia="宋体" w:cs="宋体"/>
          <w:color w:val="auto"/>
          <w:szCs w:val="21"/>
          <w:lang w:val="en-US" w:eastAsia="zh-CN"/>
        </w:rPr>
        <w:t>，稳定可靠，</w:t>
      </w:r>
      <w:r>
        <w:rPr>
          <w:rFonts w:hint="eastAsia" w:ascii="宋体" w:hAnsi="宋体" w:eastAsia="宋体" w:cs="宋体"/>
          <w:color w:val="auto"/>
          <w:szCs w:val="21"/>
          <w:lang w:val="en" w:eastAsia="zh-SG"/>
        </w:rPr>
        <w:t>拥有自己的服务队伍。</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 w:eastAsia="zh-SG"/>
        </w:rPr>
      </w:pPr>
      <w:r>
        <w:rPr>
          <w:rFonts w:hint="eastAsia" w:ascii="宋体" w:hAnsi="宋体" w:eastAsia="宋体" w:cs="宋体"/>
          <w:color w:val="auto"/>
          <w:szCs w:val="21"/>
          <w:lang w:val="en-US" w:eastAsia="zh-CN"/>
        </w:rPr>
        <w:t>（2）</w:t>
      </w:r>
      <w:r>
        <w:rPr>
          <w:rFonts w:hint="eastAsia" w:ascii="宋体" w:hAnsi="宋体" w:eastAsia="宋体" w:cs="宋体"/>
          <w:b w:val="0"/>
          <w:bCs w:val="0"/>
          <w:color w:val="auto"/>
          <w:sz w:val="21"/>
          <w:szCs w:val="21"/>
        </w:rPr>
        <w:t>6TB硬盘、6TB企业级硬盘</w:t>
      </w:r>
      <w:r>
        <w:rPr>
          <w:rFonts w:hint="eastAsia" w:ascii="宋体" w:hAnsi="宋体" w:eastAsia="宋体" w:cs="宋体"/>
          <w:color w:val="auto"/>
          <w:szCs w:val="21"/>
          <w:lang w:val="en-US" w:eastAsia="zh-CN"/>
        </w:rPr>
        <w:t>：品牌参照或相当于希捷/西部数据/东芝等知名品牌，</w:t>
      </w:r>
      <w:r>
        <w:rPr>
          <w:rFonts w:hint="eastAsia" w:ascii="宋体" w:hAnsi="宋体" w:eastAsia="宋体" w:cs="宋体"/>
          <w:color w:val="auto"/>
          <w:szCs w:val="21"/>
          <w:lang w:val="en" w:eastAsia="zh-SG"/>
        </w:rPr>
        <w:t>技术先进，</w:t>
      </w:r>
      <w:r>
        <w:rPr>
          <w:rFonts w:hint="eastAsia" w:ascii="宋体" w:hAnsi="宋体" w:eastAsia="宋体" w:cs="宋体"/>
          <w:color w:val="auto"/>
          <w:szCs w:val="21"/>
          <w:lang w:val="en-US" w:eastAsia="zh-CN"/>
        </w:rPr>
        <w:t>稳定可靠</w:t>
      </w:r>
      <w:r>
        <w:rPr>
          <w:rFonts w:hint="eastAsia" w:ascii="宋体" w:hAnsi="宋体" w:eastAsia="宋体" w:cs="宋体"/>
          <w:color w:val="auto"/>
          <w:szCs w:val="21"/>
          <w:lang w:val="en" w:eastAsia="zh-SG"/>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 w:eastAsia="zh-SG"/>
        </w:rPr>
      </w:pPr>
      <w:r>
        <w:rPr>
          <w:rFonts w:hint="eastAsia" w:ascii="宋体" w:hAnsi="宋体" w:eastAsia="宋体" w:cs="宋体"/>
          <w:color w:val="auto"/>
          <w:szCs w:val="21"/>
          <w:lang w:val="en-US" w:eastAsia="zh-CN"/>
        </w:rPr>
        <w:t>（3）</w:t>
      </w:r>
      <w:r>
        <w:rPr>
          <w:rFonts w:hint="eastAsia" w:ascii="宋体" w:hAnsi="宋体" w:eastAsia="宋体" w:cs="宋体"/>
          <w:b w:val="0"/>
          <w:bCs w:val="0"/>
          <w:color w:val="auto"/>
          <w:sz w:val="21"/>
          <w:szCs w:val="21"/>
        </w:rPr>
        <w:t>24口千兆接入</w:t>
      </w:r>
      <w:r>
        <w:rPr>
          <w:rFonts w:hint="eastAsia" w:ascii="宋体" w:hAnsi="宋体" w:eastAsia="宋体" w:cs="宋体"/>
          <w:color w:val="auto"/>
          <w:szCs w:val="21"/>
          <w:lang w:val="en-US" w:eastAsia="zh-CN"/>
        </w:rPr>
        <w:t>：品牌参照或相当于华为/华三等国产知名品牌，</w:t>
      </w:r>
      <w:r>
        <w:rPr>
          <w:rFonts w:hint="eastAsia" w:ascii="宋体" w:hAnsi="宋体" w:eastAsia="宋体" w:cs="宋体"/>
          <w:color w:val="auto"/>
          <w:szCs w:val="21"/>
          <w:lang w:val="en" w:eastAsia="zh-SG"/>
        </w:rPr>
        <w:t>技术先进，</w:t>
      </w:r>
      <w:r>
        <w:rPr>
          <w:rFonts w:hint="eastAsia" w:ascii="宋体" w:hAnsi="宋体" w:eastAsia="宋体" w:cs="宋体"/>
          <w:color w:val="auto"/>
          <w:szCs w:val="21"/>
          <w:lang w:val="en-US" w:eastAsia="zh-CN"/>
        </w:rPr>
        <w:t>稳定可靠</w:t>
      </w:r>
      <w:r>
        <w:rPr>
          <w:rFonts w:hint="eastAsia" w:ascii="宋体" w:hAnsi="宋体" w:eastAsia="宋体" w:cs="宋体"/>
          <w:color w:val="auto"/>
          <w:szCs w:val="21"/>
          <w:lang w:val="en" w:eastAsia="zh-SG"/>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_GB2312" w:hAnsi="仿宋_GB2312" w:eastAsia="仿宋_GB2312" w:cs="仿宋_GB2312"/>
          <w:color w:val="auto"/>
          <w:sz w:val="28"/>
          <w:szCs w:val="28"/>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.拟采购的软硬件配置要求如下（以下指标若出现负偏离，则视</w:t>
      </w:r>
      <w:r>
        <w:rPr>
          <w:rFonts w:hint="eastAsia" w:ascii="宋体" w:hAnsi="宋体" w:cs="宋体"/>
          <w:color w:val="auto"/>
          <w:szCs w:val="21"/>
          <w:lang w:val="en-US" w:eastAsia="zh-CN"/>
        </w:rPr>
        <w:t>为</w:t>
      </w:r>
      <w:r>
        <w:rPr>
          <w:rFonts w:hint="eastAsia" w:ascii="宋体" w:hAnsi="宋体" w:eastAsia="宋体" w:cs="宋体"/>
          <w:color w:val="auto"/>
          <w:szCs w:val="21"/>
          <w:lang w:val="en-US" w:eastAsia="zh-CN"/>
        </w:rPr>
        <w:t>无效报价处理）：</w:t>
      </w:r>
    </w:p>
    <w:tbl>
      <w:tblPr>
        <w:tblStyle w:val="26"/>
        <w:tblW w:w="53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86"/>
        <w:gridCol w:w="897"/>
        <w:gridCol w:w="7574"/>
        <w:gridCol w:w="486"/>
        <w:gridCol w:w="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2" w:hRule="atLeast"/>
          <w:jc w:val="center"/>
        </w:trPr>
        <w:tc>
          <w:tcPr>
            <w:tcW w:w="29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序号</w:t>
            </w:r>
          </w:p>
        </w:tc>
        <w:tc>
          <w:tcPr>
            <w:tcW w:w="4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产品名称</w:t>
            </w:r>
          </w:p>
        </w:tc>
        <w:tc>
          <w:tcPr>
            <w:tcW w:w="377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配置</w:t>
            </w:r>
          </w:p>
        </w:tc>
        <w:tc>
          <w:tcPr>
            <w:tcW w:w="2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数量</w:t>
            </w:r>
          </w:p>
        </w:tc>
        <w:tc>
          <w:tcPr>
            <w:tcW w:w="23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tabs>
                <w:tab w:val="left" w:pos="372"/>
              </w:tabs>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一、软硬件设备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1、访客管理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刷卡摆闸（左）</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产品尺寸：1500.0mm×200.0mm×970.0mm（长×宽×高）；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通道宽度：不锈钢：600mm-1500mm亚克力：600mm-900mm；功耗：单机芯：≤5W（待机），≤70W（工作）双机芯：10W（待机），≤140W（工作）；</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驱动电机：直流无刷电机；开门模式：刷卡/人脸识别；使用环境：室外、室内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1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刷卡摆闸（右）</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产品尺寸：1500.0mm×200.0mm×970.0mm（长×宽×高）；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通道宽度：不锈钢：600mm-1500mm亚克力：600mm-900mm；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驱动电机：直流无刷电机；开门模式：刷卡/人脸识别；使用环境：室外、室内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人脸识别闸机头</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开门模式：支持远程/密码/二维码/人脸识别开门模式，支持组合开门模式设置；报警输入1路（开关量）；报警输出1路（继电器）；</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RS-232接口1个；  报警联动；  使用环境：室外</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人证闸机头支架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外壳材料：铝合金金属边框；工作温度：-30℃-+70℃；使用环境：室内室外</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无线遥控器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接收器：电压DC24V；电流0.1A；接收灵敏度-107dBm；四路继电器输出，信号互锁、信号非锁、信号自锁、信号两路自锁和两路非锁并存；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遥控器：电压：DC12V（10号干电池）；电流：38mA（待机为0）；输出功率16dBm；按键数量：4个；工作温度：-10℃-+70℃，工作湿度：≤93%；重量:0.3KG；</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包含一个接收器、两个遥控器（含干电池）</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通道摆臂</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左闸摆臂和右闸摆臂料号一致，每个通道需要两个摆臂。</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摆臂长度表示支持的净通道宽度为600mm，非单个摆臂实际长度。</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门禁读卡器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支持刷卡开门模式；支持普通Mifare卡识别、二代身份证卡、公交IC卡、银行IC卡等卡片的物理卡号读取。</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8</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人脸孔支架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直径100mm，高度33mm</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设备适配费</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第三方人脸闸机、车辆道闸的设备适配费</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0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10</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访客管理设备</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1.支持内网访客预约审批，访客到达现场刷身份证进行核验，核验成功后，即可授权人脸至相应的闸机，访客刷脸进入。同时，人员出入及审批记录可追溯，大大提升访客拜访体验和企业形象；</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2.采用200万双目摄像头；</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3.支持摄像头角度180度可调，可适应不同身高人员登记；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4.支持脱机运行，身份证比对记录存储和上传；</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5.支持双网口，内外网数据隔离，通信数据采用加密处理，更安全。</w:t>
            </w:r>
          </w:p>
          <w:p>
            <w:pPr>
              <w:widowControl/>
              <w:jc w:val="left"/>
              <w:textAlignment w:val="center"/>
              <w:rPr>
                <w:rFonts w:ascii="仿宋" w:hAnsi="仿宋" w:eastAsia="仿宋" w:cs="仿宋"/>
                <w:b/>
                <w:bCs/>
                <w:strike/>
                <w:color w:val="0000FF"/>
                <w:kern w:val="0"/>
                <w:szCs w:val="21"/>
                <w:u w:val="single"/>
                <w:lang w:bidi="ar"/>
              </w:rPr>
            </w:pPr>
            <w:r>
              <w:rPr>
                <w:rFonts w:hint="eastAsia" w:ascii="仿宋" w:hAnsi="仿宋" w:eastAsia="仿宋" w:cs="仿宋"/>
                <w:i w:val="0"/>
                <w:color w:val="auto"/>
                <w:kern w:val="0"/>
                <w:sz w:val="21"/>
                <w:szCs w:val="21"/>
                <w:highlight w:val="none"/>
                <w:u w:val="none"/>
                <w:lang w:val="en-US" w:eastAsia="zh-CN" w:bidi="ar"/>
              </w:rPr>
              <w:t>6.用户数：40000个；</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p>
          <w:p>
            <w:pPr>
              <w:keepNext w:val="0"/>
              <w:keepLines w:val="0"/>
              <w:widowControl/>
              <w:suppressLineNumbers w:val="0"/>
              <w:jc w:val="left"/>
              <w:textAlignment w:val="center"/>
              <w:rPr>
                <w:rFonts w:hint="eastAsia"/>
                <w:color w:val="auto"/>
              </w:rPr>
            </w:pPr>
            <w:r>
              <w:rPr>
                <w:rFonts w:hint="eastAsia" w:ascii="仿宋" w:hAnsi="仿宋" w:eastAsia="仿宋" w:cs="仿宋"/>
                <w:i w:val="0"/>
                <w:color w:val="auto"/>
                <w:kern w:val="0"/>
                <w:sz w:val="21"/>
                <w:szCs w:val="21"/>
                <w:highlight w:val="none"/>
                <w:u w:val="none"/>
                <w:lang w:val="en-US" w:eastAsia="zh-CN" w:bidi="ar"/>
              </w:rPr>
              <w:t>7.支持照片、视频防假体检测功能。</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门岗测温一体机（室内）</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摄像头采用 200万CMOS，支持真实宽动态；</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支持自动补光，可有效降低环境光污染；支持人脸识别；</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支持测温功能开启/关闭模式，测温范围30℃～45℃，测温距离0.3m～0.7m，测温误差≤0.5℃，测温精度0.1℃，实现高温异常事件告警；</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支持未佩戴口罩检测模式，实现未佩戴口罩异常事件告警；支持胁迫报警、防拆报警、闯入报警、门超时报警、非法卡超次报警</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2、车辆管理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200万暖光变焦抓拍一体机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LED屏显示屏，亮度可根据环境亮度自适应；镜头标配：2.7-13.5mm电动变焦镜头；补光灯；抓拍距离：2.5-8m；支持二维码显示；支持语音播报；支持视频检测、I/O线圈、雷达三种触发方式；支持车型、车标、车系、车身颜色、车牌颜色、车牌号码、车牌类型、无牌车、新能源车牌识别；除雾功能支持自动除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2.车标识别功能：在天气晴朗无雾，车牌无遮挡，无污损，车身无大面积遮挡的条件下进项测试，白天测试时的环境光照度应不低于200lx，晚上测试时的辅助设备照明度应不高于100lx。车标识别率：≥99%；</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single"/>
                <w:lang w:val="en-US" w:eastAsia="zh-CN" w:bidi="ar"/>
              </w:rPr>
            </w:pPr>
            <w:r>
              <w:rPr>
                <w:rFonts w:hint="eastAsia" w:ascii="仿宋" w:hAnsi="仿宋" w:eastAsia="仿宋" w:cs="仿宋"/>
                <w:i w:val="0"/>
                <w:color w:val="auto"/>
                <w:kern w:val="0"/>
                <w:sz w:val="21"/>
                <w:szCs w:val="21"/>
                <w:highlight w:val="none"/>
                <w:u w:val="none"/>
                <w:lang w:val="en-US" w:eastAsia="zh-CN" w:bidi="ar"/>
              </w:rPr>
              <w:t>3.车型识别功能：在天气晴朗无雾，车牌无遮挡，无污损，车身无大面积遮挡的条件下进项测试，白天测试时的环境光照度应不低于200lx，晚上测试时的辅助设备照明度应不高于100lx。车型识别率：≥99%；</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p>
          <w:p>
            <w:pPr>
              <w:keepNext w:val="0"/>
              <w:keepLines w:val="0"/>
              <w:widowControl/>
              <w:suppressLineNumbers w:val="0"/>
              <w:jc w:val="left"/>
              <w:textAlignment w:val="center"/>
              <w:rPr>
                <w:rFonts w:hint="default" w:eastAsia="仿宋_GB2312"/>
                <w:color w:val="auto"/>
                <w:lang w:val="en-US" w:eastAsia="zh-CN"/>
              </w:rPr>
            </w:pPr>
            <w:r>
              <w:rPr>
                <w:rFonts w:hint="eastAsia" w:ascii="仿宋" w:hAnsi="仿宋" w:eastAsia="仿宋" w:cs="仿宋"/>
                <w:i w:val="0"/>
                <w:color w:val="auto"/>
                <w:kern w:val="0"/>
                <w:sz w:val="21"/>
                <w:szCs w:val="21"/>
                <w:highlight w:val="none"/>
                <w:u w:val="none"/>
                <w:lang w:val="en-US" w:eastAsia="zh-CN" w:bidi="ar"/>
              </w:rPr>
              <w:t>4.道闸设备状态获取功能：持获取道闸运行状态、工作状态、道闸运行次数、设备型号和故障代码。</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4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直杆广告3米道闸（右向）  </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工作电源：220V±10%、50/60Hz   电机功率：200W</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工作温度：-30～50℃            广告杆长度：3m</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起落杆速度：&gt;=6s</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直杆广告道闸配杆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广告道闸3米</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右向直臂道闸</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杆件类型：直杆，杆长3米；支持遥控器远程开关；</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支持压力波防砸、雷达防砸、线圈防砸、红外防砸；</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道闸配杆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外壳材料铝合金，直臂，不分左右3米</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出入口防砸雷达</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支持全系道闸应用场景；支持串口和手机WIFI调试和设置；</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支持虚警点检测及剔除；支持通过485连接相机读取雷达参数及雷达日志记录。</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雷达配套电源</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AC220V转DC12V电源适配器，可用于给雷达、相机等供电。</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3、人脸门禁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9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人脸门禁一体机(室外)</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采用7英寸液晶屏， 200万像素摄像头</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IP67防护等级；支持10万个用户、10万张人脸，支持人脸、IC卡、密码等多种识别方式；支持显示人脸框，并实时检测最大人脸；支持识别区域及人脸目标大小设置；支持活体检测功能；支持逆光、顺光等强光场景的稳定识别，场景适应性更广；支持防拆报警、闯入报警、门超时报警、非法卡超次报警。</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磁力锁</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铝合金、电镀拉丝；锁状态信号输出；断电开门；适用木门\金属门\防火门等。</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出门按钮</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塑料外壳，坚固耐用。</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0"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4、安全帽/烟火/水浸识别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安全帽监测一体机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1.室内、室外，白天环境或夜间灯光充足的全彩画面；识别精确率：90%以上；最小检测尺寸：40*40像素；支持画面中自定义分析区域；响应时间：延时1-4S；</w:t>
            </w:r>
          </w:p>
          <w:p>
            <w:pPr>
              <w:keepNext w:val="0"/>
              <w:keepLines w:val="0"/>
              <w:widowControl/>
              <w:suppressLineNumbers w:val="0"/>
              <w:jc w:val="both"/>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2.软硬一体机，利旧现有监控摄像头，满足70路摄像头实现安全帽检测。</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5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明火监测一体机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1.室内、室外，夜间白天，红色明火；需要对场景样本采集进行训练；识别精确率：90%以上；最小检测尺寸：40 x 40像素；支持画面中自定义分析区域；成像分辨率：1080P以上；视频角度：与水平线角度不小于10度；色彩要求：彩色；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2.软硬一体机，利旧现有监控摄像头，满足31路摄像头实现明火检测。</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9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烟雾监测一体机</w:t>
            </w:r>
          </w:p>
        </w:tc>
        <w:tc>
          <w:tcPr>
            <w:tcW w:w="3779" w:type="pct"/>
            <w:tcBorders>
              <w:tl2br w:val="nil"/>
              <w:tr2bl w:val="nil"/>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1.室内下白色烟雾识别精确率：90%以上；最小检测尺寸：100 x 60像素；</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分析区域：支持画面中自定义分析区域；成像分辨率：1080P 以上；</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视频角度：与水平线角度不小于10度；色彩要求：彩色；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2.软硬一体机，利旧现有监控摄像头，31路摄像头实现烟雾检测。</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0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水浸监测一体机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1.检测指定区域内积水；分辨率：1080P以上；识别率：80%左右；</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最小检测尺寸：检测目标占画面比例不小于10%；环境：白天无明显遮挡物；</w:t>
            </w:r>
          </w:p>
          <w:p>
            <w:pPr>
              <w:keepNext w:val="0"/>
              <w:keepLines w:val="0"/>
              <w:widowControl/>
              <w:numPr>
                <w:ilvl w:val="0"/>
                <w:numId w:val="0"/>
              </w:numPr>
              <w:suppressLineNumbers w:val="0"/>
              <w:jc w:val="left"/>
              <w:textAlignment w:val="center"/>
              <w:rPr>
                <w:rFonts w:hint="default"/>
                <w:color w:val="auto"/>
                <w:lang w:val="en-US" w:eastAsia="zh-CN"/>
              </w:rPr>
            </w:pPr>
            <w:r>
              <w:rPr>
                <w:rFonts w:hint="eastAsia" w:ascii="仿宋" w:hAnsi="仿宋" w:eastAsia="仿宋" w:cs="仿宋"/>
                <w:i w:val="0"/>
                <w:color w:val="auto"/>
                <w:kern w:val="0"/>
                <w:sz w:val="21"/>
                <w:szCs w:val="21"/>
                <w:highlight w:val="none"/>
                <w:u w:val="none"/>
                <w:lang w:val="en-US" w:eastAsia="zh-CN" w:bidi="ar"/>
              </w:rPr>
              <w:t>2.软硬一体机，利旧现有监控摄像头，27路摄像头实现水浸检测；</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3.算法管理；设备管理；报警管理；数据管理平台子模块；</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2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200万枪型摄像机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高性能200万像素，低照度效果好，图像清晰度高；支持H.265编码，压缩比高，实现超低码流传输；内置红外补光灯，最大红外监控距离50米；支持走廊模式，宽动态，3D降噪，强光抑制，背光补偿，数字水印，适用不同监控环境；支持SMART H.264/H.265，灵活编码，适用不同带宽和存储环境；支持DC12V/POE供电方式，电压值12V，方便工程安装；</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2.配套壁装支架。</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15</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5、入侵检测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0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400万近距离人脸识别摄像机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1.传感器类型1/3英寸CMOS；像素400万；最大分辨率2688×1520；</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最低照度：0.002Lux(彩色模式)；0.0002Lux(黑白模式)；0Lux(补光灯开启)；最大补光距离60m（红外）；镜头类型：电动变焦；镜头焦距：2.7-13.5mm；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支持人脸检测、跟踪、抓拍；支持上报最优的人脸抓图；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支持人脸增强、人脸曝光；支持实时抓拍、优选抓拍。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2.智能行为分析功能检验：可最多设置10组布防时间，在布防时间内开启智能行为分析功能，可对人、车、人和车进行检测</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default"/>
                <w:lang w:val="en-US" w:eastAsia="zh-CN"/>
              </w:rPr>
            </w:pPr>
            <w:r>
              <w:rPr>
                <w:rFonts w:hint="default" w:ascii="仿宋" w:hAnsi="仿宋" w:eastAsia="仿宋" w:cs="仿宋"/>
                <w:i w:val="0"/>
                <w:color w:val="auto"/>
                <w:kern w:val="0"/>
                <w:sz w:val="21"/>
                <w:szCs w:val="21"/>
                <w:highlight w:val="none"/>
                <w:u w:val="none"/>
                <w:lang w:val="en-US" w:eastAsia="zh-CN" w:bidi="ar"/>
              </w:rPr>
              <w:t>3</w:t>
            </w:r>
            <w:r>
              <w:rPr>
                <w:rFonts w:hint="eastAsia" w:ascii="仿宋" w:hAnsi="仿宋" w:eastAsia="仿宋" w:cs="仿宋"/>
                <w:i w:val="0"/>
                <w:color w:val="auto"/>
                <w:kern w:val="0"/>
                <w:sz w:val="21"/>
                <w:szCs w:val="21"/>
                <w:highlight w:val="none"/>
                <w:u w:val="none"/>
                <w:lang w:val="en-US" w:eastAsia="zh-CN" w:bidi="ar"/>
              </w:rPr>
              <w:t>.具有1个RJ45网络接口、3路报警输入、2路报警输出、1路音频输入、1路音频输出、1个内置麦克风、1个RS232接口、1个SD卡插槽、1个复位按键</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57</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5"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轻型枪机壁装支架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铝合金；白色；壁装；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57</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400万远距离人脸识别摄像机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1.传感器类型1/1.8英寸CMOS；像素400万；最大分辨率2688×1520；</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最低照度：0.001Lux(彩色模式)、0.0001Lux(黑白模式)、0Lux(补光灯开启)；最大补光距离35m(人脸检测距离）、65m(暖光模式视频监控距离)、120m(混光模式视频监控距离)；镜头类型：电动变焦；镜头焦距：8-32mm；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支持人脸检测、跟踪、抓拍；支持上报最优的人脸抓图；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支持人脸增强、人脸曝光；支持实时抓拍、优选抓拍。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2.同一静止场景相同图像质量下设备开启智能编码功能和不开启智能编码相比，码率节约4/5</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default" w:ascii="仿宋" w:hAnsi="仿宋" w:eastAsia="仿宋" w:cs="仿宋"/>
                <w:i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rPr>
            </w:pPr>
            <w:r>
              <w:rPr>
                <w:rFonts w:hint="default" w:ascii="仿宋" w:hAnsi="仿宋" w:eastAsia="仿宋" w:cs="仿宋"/>
                <w:i w:val="0"/>
                <w:color w:val="auto"/>
                <w:kern w:val="0"/>
                <w:sz w:val="21"/>
                <w:szCs w:val="21"/>
                <w:highlight w:val="none"/>
                <w:u w:val="none"/>
                <w:lang w:val="en-US" w:eastAsia="zh-CN" w:bidi="ar"/>
              </w:rPr>
              <w:t>3</w:t>
            </w:r>
            <w:r>
              <w:rPr>
                <w:rFonts w:hint="eastAsia" w:ascii="仿宋" w:hAnsi="仿宋" w:eastAsia="仿宋" w:cs="仿宋"/>
                <w:i w:val="0"/>
                <w:color w:val="auto"/>
                <w:kern w:val="0"/>
                <w:sz w:val="21"/>
                <w:szCs w:val="21"/>
                <w:highlight w:val="none"/>
                <w:u w:val="none"/>
                <w:lang w:val="en-US" w:eastAsia="zh-CN" w:bidi="ar"/>
              </w:rPr>
              <w:t>.可通过IE浏览器在视频图像上叠加最多 20行字符，字符可选择项包括通道名称、 时间、地理位置，可设置字体颜色和设置字符大小为最大、 大、中、小共4档，支持文字左右对齐， 可设置叠加位置，字符叠加字库支持矢量类型</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普通壁装枪机支架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铝合金；白色；壁装；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3.5m杆，0.5m横臂，材质钢材+喷涂（属于治安立杆，含地笼）</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15</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3.5m杆，0.5m横臂，材质钢材+喷涂（水池点位安装，不做基础）</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6、智能周界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400万智能周界摄像机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传感器类型：1/2.7英寸CMOS；像素：400万；最低照度：0.002Lux(彩色模式)、0.0002Lux(黑白模式)；支持周界防范绊线入侵检测、区域入侵检测；</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视频压缩标准：支持H.265、H.264；宽动态120dB；支持透雾功能；</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内置扬声器；白光报警、声音报警；接入标准ONVIF；GB/T28181；</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供电方式：DC12V/POE；防护等级：IP67</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普通壁装枪机支架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铝合金；壁装；</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63</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3.5m杆，0.5m横臂，材质钢材+喷涂（水池点位安装，不做基础）</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7、园区综合管理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园区综合管理平台一体机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集成管理人脸闸机、车辆管理、人脸门禁、人脸识别、智能周界等子系统。</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模块组件化设计：可以随意组合成不同的产品，支持灵活扩展；</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业务化首页设计：支持用户自定义配置业务数据展现，展示重要的数据；</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车辆管理：实现不停车出入功能、车牌号自动识别、雷达防砸、出入停车场迅速准确、无卡管理模式、权限设置、报表统计。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人脸门禁管理：开门计划、人脸库采集录入、人脸授权、人脸识别开门；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人脸闸机：非法通行、非法闯入报警，假体检测报警，人脸开门记录查询；</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丰富的智能化功能：支持IVS-B/PC等智能设备接入，实现人脸识别、轨迹回溯；</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人脸识别管理：人脸检测抓拍、抓拍库检索、注册库管理、注册库查询、陌生人/黑名单入侵检测、结构化查询、人脸属性查证；支持多址模式下800M码流的接入、转发和存储；支持绑定模式下1500M码流的接入、转发和存储； </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支持ONVIF、GB/T28181标准协议的设备接入；支持GB/T28181、DB33等标准协议的平台接入；支持B/S、C/S客户端，以及iphone、ipad、android等移动端应用； 支持二次开发，提供平台SDK开发包、webservice、REST接口。</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6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人脸算法服务器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1.支持不少于2万、不超过50万张人脸图片，不超过50个人脸名单库；</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2.支持&gt;=20万张车牌名单，&gt;=30个车牌库,支持黑名单/白名单；</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3.支持16路人脸识别（1080p视频流）或80张/秒图片流比对报警；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4.支持1000万条人脸历史抓拍库;</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5.支持联动录像，抓图，日志，预置点，本地报警输出，IPC报警输出，门禁，语音播报；</w:t>
            </w:r>
          </w:p>
          <w:p>
            <w:pPr>
              <w:widowControl/>
              <w:jc w:val="left"/>
              <w:textAlignment w:val="center"/>
              <w:rPr>
                <w:rFonts w:ascii="仿宋" w:hAnsi="仿宋" w:eastAsia="仿宋" w:cs="仿宋"/>
                <w:kern w:val="0"/>
                <w:szCs w:val="21"/>
                <w:highlight w:val="yellow"/>
                <w:lang w:bidi="ar"/>
              </w:rPr>
            </w:pPr>
            <w:r>
              <w:rPr>
                <w:rFonts w:hint="eastAsia" w:ascii="仿宋" w:hAnsi="仿宋" w:eastAsia="仿宋" w:cs="仿宋"/>
                <w:i w:val="0"/>
                <w:color w:val="auto"/>
                <w:kern w:val="0"/>
                <w:sz w:val="21"/>
                <w:szCs w:val="21"/>
                <w:highlight w:val="none"/>
                <w:u w:val="none"/>
                <w:lang w:val="en-US" w:eastAsia="zh-CN" w:bidi="ar"/>
              </w:rPr>
              <w:t>6.最大支持16路实时人脸检测、录像、抓图、报警日志记录；可在视频画面显示人员的年龄段、性别、是否戴眼镜、是否戴口罩等信息</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default"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ascii="仿宋" w:hAnsi="仿宋" w:eastAsia="仿宋" w:cs="仿宋"/>
                <w:b/>
                <w:bCs/>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支持以图搜图，可对最多10张目标人脸进行相似图片搜索，并设置相似度阈值，当搜索出符合目标相似度阈值的图片后，可查看关联图片并回放关联录像文件，相似度阈值可设置为0-100，搜索结果可以图表和列表两种方式展示；</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default"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eastAsia="仿宋"/>
                <w:color w:val="auto"/>
                <w:lang w:val="en-US" w:eastAsia="zh-CN"/>
              </w:rPr>
            </w:pPr>
            <w:r>
              <w:rPr>
                <w:rFonts w:hint="eastAsia" w:ascii="仿宋" w:hAnsi="仿宋" w:eastAsia="仿宋" w:cs="仿宋"/>
                <w:i w:val="0"/>
                <w:color w:val="auto"/>
                <w:kern w:val="0"/>
                <w:sz w:val="21"/>
                <w:szCs w:val="21"/>
                <w:highlight w:val="none"/>
                <w:u w:val="none"/>
                <w:lang w:val="en-US" w:eastAsia="zh-CN" w:bidi="ar"/>
              </w:rPr>
              <w:t>8.支持根据人脸属性设置在预览画面中显示目标检测框；接入具有人脸侦测报警功能的摄像机，可接收摄像机发出的人脸侦测报警信息</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eastAsia" w:ascii="仿宋" w:hAnsi="仿宋" w:eastAsia="仿宋" w:cs="仿宋"/>
                <w:color w:val="auto"/>
                <w:kern w:val="0"/>
                <w:szCs w:val="21"/>
                <w:highlight w:val="none"/>
                <w:u w:val="single"/>
                <w:lang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4"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6TB硬盘</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6000G；5400RPM；256M；SATA</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视频存储服务器 </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auto"/>
                <w:kern w:val="0"/>
                <w:szCs w:val="21"/>
                <w:highlight w:val="none"/>
                <w:u w:val="none"/>
                <w:lang w:val="en-US" w:eastAsia="zh-CN" w:bidi="ar"/>
              </w:rPr>
            </w:pPr>
            <w:r>
              <w:rPr>
                <w:rFonts w:hint="eastAsia" w:ascii="仿宋" w:hAnsi="仿宋" w:eastAsia="仿宋" w:cs="仿宋"/>
                <w:color w:val="auto"/>
                <w:kern w:val="0"/>
                <w:szCs w:val="21"/>
                <w:highlight w:val="none"/>
                <w:u w:val="none"/>
                <w:lang w:val="en-US" w:eastAsia="zh-CN" w:bidi="ar"/>
              </w:rPr>
              <w:t>1.单台支持插入不少于48个硬盘。</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2.高安全：多种RAID模式支持，电源、风扇、接口、数据通道冗余；</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3.低成本：前端直接存储，多协议支持；</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4.高性能：支持400路私有、onvif、国标等前端1:1:1接入、存储和转发；</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5.高扩展：支持内存、网口、光口、PCI-E外设；</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6.可信赖：数以千计的大型成功案例，优异的客户体验，广泛的客户接受度；</w:t>
            </w:r>
          </w:p>
          <w:p>
            <w:pPr>
              <w:keepNext w:val="0"/>
              <w:keepLines w:val="0"/>
              <w:widowControl/>
              <w:suppressLineNumbers w:val="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val="en-US" w:eastAsia="zh-CN" w:bidi="ar"/>
              </w:rPr>
              <w:t>7.支持单个SAMBA共享文件夹，可对128个用户同时进行管理；支持单个ftp共享文件夹，可对128个用户同时进行管理</w:t>
            </w:r>
            <w:r>
              <w:rPr>
                <w:rFonts w:hint="eastAsia" w:ascii="仿宋" w:hAnsi="仿宋" w:eastAsia="仿宋" w:cs="仿宋"/>
                <w:color w:val="auto"/>
                <w:kern w:val="0"/>
                <w:szCs w:val="21"/>
                <w:highlight w:val="none"/>
                <w:u w:val="none"/>
                <w:lang w:bidi="ar"/>
              </w:rPr>
              <w:t>（报价响应时提供公安部有效检测报告复印件加盖原厂公章或投标专用章）。</w:t>
            </w:r>
          </w:p>
          <w:p>
            <w:pPr>
              <w:keepNext w:val="0"/>
              <w:keepLines w:val="0"/>
              <w:widowControl/>
              <w:jc w:val="left"/>
              <w:textAlignment w:val="center"/>
              <w:rPr>
                <w:rFonts w:hint="eastAsia" w:ascii="仿宋" w:hAnsi="仿宋" w:eastAsia="仿宋" w:cs="仿宋"/>
                <w:b w:val="0"/>
                <w:bCs w:val="0"/>
                <w:color w:val="auto"/>
                <w:kern w:val="0"/>
                <w:sz w:val="21"/>
                <w:szCs w:val="21"/>
                <w:highlight w:val="none"/>
                <w:u w:val="none"/>
                <w:lang w:val="en-US" w:eastAsia="zh-CN" w:bidi="ar"/>
              </w:rPr>
            </w:pPr>
            <w:r>
              <w:rPr>
                <w:rFonts w:hint="eastAsia" w:ascii="仿宋" w:hAnsi="仿宋" w:eastAsia="仿宋" w:cs="仿宋"/>
                <w:b w:val="0"/>
                <w:bCs w:val="0"/>
                <w:color w:val="auto"/>
                <w:kern w:val="0"/>
                <w:sz w:val="21"/>
                <w:szCs w:val="21"/>
                <w:highlight w:val="none"/>
                <w:u w:val="none"/>
                <w:lang w:val="en-US" w:eastAsia="zh-CN" w:bidi="ar"/>
              </w:rPr>
              <w:t>8.采用LINUX操作系统，具有1个控制单元，1个64位六核处理器，8GB内存，可扩展至128GB。具有128GB SSD固态硬盘，可扩展至2个512GB SSD固态硬盘。可扩展1个2.5英寸SATA硬盘。具有2个可热插拔BBU电源，可扩展至4个可热插拔BBU电源</w:t>
            </w:r>
            <w:r>
              <w:rPr>
                <w:rFonts w:hint="eastAsia" w:ascii="仿宋" w:hAnsi="仿宋" w:eastAsia="仿宋" w:cs="仿宋"/>
                <w:b w:val="0"/>
                <w:bCs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b w:val="0"/>
                <w:bCs w:val="0"/>
                <w:color w:val="auto"/>
                <w:kern w:val="0"/>
                <w:sz w:val="21"/>
                <w:szCs w:val="21"/>
                <w:highlight w:val="none"/>
                <w:u w:val="none"/>
                <w:lang w:val="en-US" w:eastAsia="zh-CN" w:bidi="ar"/>
              </w:rPr>
              <w:t xml:space="preserve">。 </w:t>
            </w:r>
          </w:p>
          <w:p>
            <w:pPr>
              <w:pStyle w:val="2"/>
              <w:spacing w:before="0" w:after="0" w:line="240" w:lineRule="auto"/>
              <w:rPr>
                <w:rFonts w:hint="default"/>
                <w:lang w:val="en-US" w:eastAsia="zh-CN"/>
              </w:rPr>
            </w:pPr>
            <w:r>
              <w:rPr>
                <w:rFonts w:hint="eastAsia" w:ascii="仿宋" w:hAnsi="仿宋" w:eastAsia="仿宋" w:cs="仿宋"/>
                <w:b w:val="0"/>
                <w:bCs w:val="0"/>
                <w:color w:val="auto"/>
                <w:kern w:val="0"/>
                <w:sz w:val="21"/>
                <w:szCs w:val="21"/>
                <w:highlight w:val="none"/>
                <w:u w:val="none"/>
                <w:lang w:val="en-US" w:eastAsia="zh-CN" w:bidi="ar"/>
              </w:rPr>
              <w:t>9.前面板具有锁止功能，加锁后硬盘无法取出，具有可拆卸式防尘滤网</w:t>
            </w:r>
            <w:r>
              <w:rPr>
                <w:rFonts w:hint="eastAsia" w:ascii="仿宋" w:hAnsi="仿宋" w:eastAsia="仿宋" w:cs="仿宋"/>
                <w:b w:val="0"/>
                <w:bCs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b w:val="0"/>
                <w:bCs w:val="0"/>
                <w:color w:val="auto"/>
                <w:kern w:val="0"/>
                <w:sz w:val="21"/>
                <w:szCs w:val="21"/>
                <w:highlight w:val="none"/>
                <w:u w:val="none"/>
                <w:lang w:val="en-US" w:eastAsia="zh-CN" w:bidi="ar"/>
              </w:rPr>
              <w:t>。</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6T企业级硬盘</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6000G；7200RPM；256M；SATA</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67</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机柜</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42U，配1条8位10A的PDU，配套层板</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8、紧急对讲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报警管理主机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管理主机远程管理所有辖区内对讲终端，可监控在线、工作状态和异常状态可实现远程双向可视对讲、监听、监视、定时播放背景音乐。</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支持喧哗报警（与对讲终端配合使用）。</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8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IP地址盒</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1.IP对讲系统的核心控制枢纽监视所有终端状态，通过控制主机屏幕可以一览所有网点终端在线离线状态；</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2.选中一个网点终端，点击发起对该网点某个面板的监听和对讲；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3.网点终端可配置详细的信息，如地理位置，网点性质，求助呼叫时弹屏显示；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4.分组维护，分组管理可以根据需求将多个网点终端分为一组同时处理；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5.选中一个网点终端，点击实现该终端上监控远程控制；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6.来电显示，系统收到求助时，弹屏主叫详细（主叫号码，主叫名称）；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7.系统接听求助后，根据情况可以发起电话转接，保持等业务；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8.所有终端维护检测，单台支持不少于500路接入，支持多台服务器级联互通。</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1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IP报警柱</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720P/1080P高清摄像可选；全双工语音对讲，无回声啸叫；</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内置高灵敏度麦克风，可实现不小于2米对讲；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采用动态降噪，可在高噪声环境中清晰拾音；内嵌全频段优质扬声器；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内置防破音技术，最大限度保护扬声器的输出；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先进的数字回声消除技术，全面消除回声；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采用厚铝面板，四周带边密封并有防水槽设计；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红波按钮常亮，户外、夜视都能清晰可见，具备10万次寿命，抗击打和冲击。</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声光报警器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声光报警器，LED跑马灯</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电源</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电源DC12/2A</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center"/>
        </w:trPr>
        <w:tc>
          <w:tcPr>
            <w:tcW w:w="5000"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9、AR实景监测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AR实景监测平台</w:t>
            </w:r>
          </w:p>
        </w:tc>
        <w:tc>
          <w:tcPr>
            <w:tcW w:w="3779" w:type="pct"/>
            <w:tcBorders>
              <w:tl2br w:val="nil"/>
              <w:tr2bl w:val="nil"/>
            </w:tcBorders>
            <w:shd w:val="clear" w:color="auto" w:fill="auto"/>
            <w:tcMar>
              <w:top w:w="15" w:type="dxa"/>
              <w:left w:w="15" w:type="dxa"/>
              <w:right w:w="15" w:type="dxa"/>
            </w:tcMar>
            <w:vAlign w:val="center"/>
          </w:tcPr>
          <w:p>
            <w:pPr>
              <w:numPr>
                <w:ilvl w:val="0"/>
                <w:numId w:val="0"/>
              </w:num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功能：</w:t>
            </w:r>
          </w:p>
          <w:p>
            <w:pPr>
              <w:numPr>
                <w:ilvl w:val="0"/>
                <w:numId w:val="0"/>
              </w:num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1.高点防控单元对沥滘水厂进行全局监控；</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2.低点防控单元进行快速调看；</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3.通过高点防控单元的智能标签技术，支持在视频画面上增加静态标签和动态标签，支持标签检索、定位、方位感知；</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4.可快速通过视频直观了解视频及位置信息，进行人员调配和视频联动；</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5.系统支持对前端设备、标签、POI等AR资源属性进行模糊搜索的功能；</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6.支持在视频中添加620个背景或设备标签；</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7.通过百度地图或谷歌地图定位设备安装位置的经纬度后，依此坐标为圆心，半径小于800米范围内，对同一经纬度的目标，实时视频内GPS标签的位置与百度或谷歌地图的位置相差不超过10米；</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8.系统支持对带GPS的前端设备进行扫描，并可将扫描结果自动在视频画面上标定的功能；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9.系统支持全景摄像机与多摄像机协同，在全景摄像机监控范围内点击或框选某一区域，可联动选中区域附近的多个球机自动打开并转向、拉近至联动区域，球机同步显示全景摄像机中添加标签的功能；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10.系统收到警情时，高点画面根据警情GPS坐标自动定位到目标位置，自动打开周边的一个或多个低点监控，同时显示周边警力信息，可进行定位、视频回传的功能；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11.系统支持对报警内容、图片、类型、窗口位置、大小、抓拍图片数量、声音等自定义的功能；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系统支持自定义标签类型，可根据不同标签类型进行名称、类型、是否必填等设置，类型支持文字、图片、图片集、文件、显示网页、查询数据、查询数据表等，其中网页可设置浏览器内核、窗口大小，文件支持多种类型上传等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13.系统支持不少于3级图层显示，可根据摄像机镜头变倍显示相应图层标签的功能；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14.系统前端设备图标及标签可在视频画面中跟随所标定的目标物进行移动的功能；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15.系统根据目标设备按距离检索附近摄像机，并对摄像机定位、查看实时视频和录像，并可将录像添加至案件线索的功能；</w:t>
            </w:r>
          </w:p>
          <w:p>
            <w:pPr>
              <w:pStyle w:val="32"/>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应用子模块：</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16.视频监控联动应用子模块，实现视频资源的整合，可查看实时视频、录像、云台、预置位调用等相关功能。通过增强现实动态标签技术在全局监控画面上叠加摄像头标签，通过视频画中画联动功能同时展示多路视频资源。</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17.车辆管理联动应用子模块，实现在客户端实时掌握车辆卡口数据情况，包括抓拍卡口过车数据信息，报警车辆的数据信息。结合系统对卡口系统报警事件处理机制，快速定位到报警点位并启动对应的处理预案，大大提高中控对车辆卡口报警事件的处理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18.安全帽识别联动应用子模块，实现获取没佩戴安全帽人员的报警信息，联动高低视频进行现场定位，提高处置效率。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19.人脸识别联动应用子模块，实现接收人脸识别系统实时比对信息，在客户端实时掌握人脸卡口数据情况，如人员的基本信息（性别，年龄等）、抓拍识别人员图片、黑名单人员图片等实现人脸报警定位。同时结合系统对人脸识别报警事件的处理机制，快速定位到报警点位并启动对应的处理预案，大大提高中控对人脸报警事件的处理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20.周界防范联动应用子模块，实现及时获取落水、禁入区报警信息，同时联动高低视频进行现场定位，提高处置效率。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21.烟火检测联动及应用子模块，实现及时获取明火、烟雾等报警信息，同时联动高低视频进行现场定位，提高处置效率。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22.水浸监测联动应用子模块，实现及时获取水浸、水淹等报警信息，联动视频资源进行现场定位，提高处置效率。</w:t>
            </w:r>
          </w:p>
          <w:p>
            <w:pPr>
              <w:keepNext w:val="0"/>
              <w:keepLines w:val="0"/>
              <w:widowControl/>
              <w:suppressLineNumbers w:val="0"/>
              <w:jc w:val="both"/>
              <w:textAlignment w:val="center"/>
              <w:rPr>
                <w:rFonts w:hint="eastAsia"/>
                <w:color w:val="auto"/>
              </w:rPr>
            </w:pPr>
            <w:r>
              <w:rPr>
                <w:rFonts w:hint="eastAsia" w:ascii="仿宋" w:hAnsi="仿宋" w:eastAsia="仿宋" w:cs="仿宋"/>
                <w:i w:val="0"/>
                <w:color w:val="auto"/>
                <w:kern w:val="0"/>
                <w:sz w:val="21"/>
                <w:szCs w:val="21"/>
                <w:highlight w:val="none"/>
                <w:u w:val="none"/>
                <w:lang w:val="en-US" w:eastAsia="zh-CN" w:bidi="ar"/>
              </w:rPr>
              <w:t>23.消安联动子模块，对接现有消防系统，采集消防告警数据，将现有视频与消防系统联动，当产生消防告警时，调动周边摄像头进行现场情况查看，联动门禁、道闸常开，保障人员、车辆安全逃离。消防安全智能化云平台集成消防数据中心、可视化阅读；</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48"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预案组件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预案组件：突破传统基于地图的方式决策者可直接实现实时实景可视化预案；</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实景可视化预案：指挥员可直接在实景地图上实现精细化的人员部署，比如某个点位部署多少人员等，同时制定出应急疏散路线，通过画分控线的方式进行分区管理等，当启动预案后，各类资源是否到位，在视频上便可一目了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预案导入：可以根据不同的任务导入不同的实景预案；</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分层显示：根据不同的显示策略，可以分层显示实时的资源、预案的资源等。</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7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报警组件</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报警组件：报警中心，包含实时报警联动、报警规则配置及报警历史查询；</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标准接口：可对接如视频监控、人脸识别、安全帽检测、周界防范等各类系统报警信息，形成报警视频联动中心；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报警与视频实时联动：安防系统接收到实时报警信息，系统能够自动转动高点画面到报警点，并根据联动机制自动打开周边的一个或多个低点地面监控；</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分屏显示：系统可自动将报警联动的低点监控视频在第二块显示屏上显示；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报警历史查询：可以查询对接系统推送过来的告警或历史报警信息，支持分页显示，支持按报警类型、时间等模糊搜索。</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平台级联模块</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支持水厂系统平台上下级级联。</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1.各下级独立建设系统，管辖本水厂资源；</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2.总级独立建设系统（上级），对自建区域直接接入的水厂的高点范围内的内容进行管理；同时通过向下级联各下级平台，实现对下级平台所接入的各水厂的高点标签、报警信息、预案等进行查看、调用；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3.下级平台能直接将设备数据共享到上级平台查看和操作，下级共享到上级的设备数据，由上级平台本地进行权限控制。</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6"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软件许可</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已建低点监控摄像机接入许可，利旧接入既有视频资源</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300</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0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鹰眼摄像机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图像传感器：【全景】4个1/1.8" 8MP Progressive Scan CMOS</w:t>
            </w:r>
          </w:p>
          <w:p>
            <w:pPr>
              <w:keepNext w:val="0"/>
              <w:keepLines w:val="0"/>
              <w:widowControl/>
              <w:suppressLineNumbers w:val="0"/>
              <w:ind w:firstLine="630" w:firstLineChars="30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【细节】1/1.8"CMOS 8MP Progressive Scan CMOS（全景+细节联动球）</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最低照度：【全景】彩色≤0.001lux;黑白≤0.0001lux</w:t>
            </w:r>
          </w:p>
          <w:p>
            <w:pPr>
              <w:keepNext w:val="0"/>
              <w:keepLines w:val="0"/>
              <w:widowControl/>
              <w:suppressLineNumbers w:val="0"/>
              <w:ind w:firstLine="630" w:firstLineChars="30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【细节】彩色≤0.001lux;黑白≤0.0001lux</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光学变倍：33倍   数字变倍：16倍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焦距：【全景】4.0mm   【细节】6.5mm～215mm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视场角：【全景】水平180°、垂直90°【细节】2.0～58.6°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云台范围：水平0-360°、垂直-90～90°并支持连续翻转功能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云台精度：0.01°  键控速度：420°/s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分辨率及帧率：【全景】主码流：7680x4320、3840x2160;子码流：1920x1080、1280x720【细节】主码流：3840x2160、1920x1080、1280x720辅码流：704x576、704x480、640x480;第三码流：720x576     视频压缩标准：H.265，H.264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网络接口：1路10/100/1000MBaseT以太网，RJ45接口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存储：支持Micro SD(即TF卡)，最大支持512G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接口：报警输入/输出各两路，音频输入/输出各1路，1路RS-485接口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红外照射距离： 500m能看清人车轮廓 电源及功耗：DC24V ±20%，78W max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工作温湿度和湿度：-40℃～70℃；湿度小于93%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防护等级：IP67,TVS 8000V防雷、防浪涌、防突波，符合GB/T17626.5四级标准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尺寸：490mm×452mm×305mm  重量：≤18KG</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空间定位模块：本模块实现在运动平台上超远距离目标点在镜头中的相对位置定位及其逆运算。融合惯性测量单元、高精度测角等其他传感器数据，结合学习型算法修正的通用光学镜头的实时数据，通过机器学习的图像回归算法和扩展卡尔曼滤波等算法，实现三维空间的公里级远距离定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标签模块：本模块包括了AR编码、标签信息跨平台传输、存储、搜索计算等功能。标签信息包括动静态标签的内容及相关姿态数据。</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1.AR编码功能：基于高度定制的硬件加速H264/H265编码的AR编码，将AR标签信息融入视频码流。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2.静态标签功能：实现静态目标与视频画面的关联。在云台运动、镜头变焦过程中，始终保证标签定位于目标之上。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3.动态标签功能：可通过客户端软件输入目标的GPS坐标信息，在全景通道和细节通道的视频画面上添加目标的GPS动态标签。</w:t>
            </w:r>
            <w:r>
              <w:rPr>
                <w:rFonts w:hint="eastAsia" w:ascii="仿宋" w:hAnsi="仿宋" w:eastAsia="仿宋" w:cs="仿宋"/>
                <w:color w:val="auto"/>
                <w:kern w:val="0"/>
                <w:szCs w:val="21"/>
                <w:highlight w:val="none"/>
                <w:u w:val="single"/>
                <w:lang w:val="en-US" w:eastAsia="zh-CN" w:bidi="ar"/>
              </w:rPr>
              <w:t>（在报价响应时需要提供公安部检测中心出具的检验或检测报告复印件并加盖原厂公章为准，需标明该项内容在检验报告中对应的检验结果页码及序号）</w:t>
            </w:r>
            <w:r>
              <w:rPr>
                <w:rFonts w:hint="eastAsia"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4.动态标签跟随：当球机转动、镜头变倍、标签的GPS坐标信息发生变化时，GPS动态标签可随之改变。</w:t>
            </w:r>
            <w:r>
              <w:rPr>
                <w:rFonts w:hint="eastAsia" w:ascii="仿宋" w:hAnsi="仿宋" w:eastAsia="仿宋" w:cs="仿宋"/>
                <w:color w:val="auto"/>
                <w:kern w:val="0"/>
                <w:szCs w:val="21"/>
                <w:highlight w:val="none"/>
                <w:u w:val="single"/>
                <w:lang w:bidi="ar"/>
              </w:rPr>
              <w:t>（在报价响应时需要提供公安部检测中心出具的检验或检测报告复印件并加盖</w:t>
            </w:r>
            <w:r>
              <w:rPr>
                <w:rFonts w:hint="eastAsia" w:ascii="仿宋" w:hAnsi="仿宋" w:eastAsia="仿宋" w:cs="仿宋"/>
                <w:color w:val="auto"/>
                <w:kern w:val="0"/>
                <w:szCs w:val="21"/>
                <w:highlight w:val="none"/>
                <w:u w:val="single"/>
                <w:lang w:eastAsia="zh-CN" w:bidi="ar"/>
              </w:rPr>
              <w:t>原厂</w:t>
            </w:r>
            <w:r>
              <w:rPr>
                <w:rFonts w:hint="eastAsia" w:ascii="仿宋" w:hAnsi="仿宋" w:eastAsia="仿宋" w:cs="仿宋"/>
                <w:color w:val="auto"/>
                <w:kern w:val="0"/>
                <w:szCs w:val="21"/>
                <w:highlight w:val="none"/>
                <w:u w:val="single"/>
                <w:lang w:bidi="ar"/>
              </w:rPr>
              <w:t>公章为准，需标明该项内容在检验报告中对应的检验结果页码及序号）。</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GPS动态标签偏差范围：通过百度地图或谷歌地图标定样机位置的经、纬度后，对距离样机小于800米的目标设置GPS动态标签，在监控画面中，GPS动态标签位置相对于目标的位置在百度地图或谷歌地图上的水平距离应≤10米。</w:t>
            </w:r>
            <w:r>
              <w:rPr>
                <w:rFonts w:hint="eastAsia" w:ascii="仿宋" w:hAnsi="仿宋" w:eastAsia="仿宋" w:cs="仿宋"/>
                <w:color w:val="auto"/>
                <w:kern w:val="0"/>
                <w:szCs w:val="21"/>
                <w:highlight w:val="none"/>
                <w:u w:val="single"/>
                <w:lang w:bidi="ar"/>
              </w:rPr>
              <w:t>（在报价响应时需要提供公安部检测中心出具的检验或检测报告复印件并加盖</w:t>
            </w:r>
            <w:r>
              <w:rPr>
                <w:rFonts w:hint="eastAsia" w:ascii="仿宋" w:hAnsi="仿宋" w:eastAsia="仿宋" w:cs="仿宋"/>
                <w:color w:val="auto"/>
                <w:kern w:val="0"/>
                <w:szCs w:val="21"/>
                <w:highlight w:val="none"/>
                <w:u w:val="single"/>
                <w:lang w:eastAsia="zh-CN" w:bidi="ar"/>
              </w:rPr>
              <w:t>原厂</w:t>
            </w:r>
            <w:r>
              <w:rPr>
                <w:rFonts w:hint="eastAsia" w:ascii="仿宋" w:hAnsi="仿宋" w:eastAsia="仿宋" w:cs="仿宋"/>
                <w:color w:val="auto"/>
                <w:kern w:val="0"/>
                <w:szCs w:val="21"/>
                <w:highlight w:val="none"/>
                <w:u w:val="single"/>
                <w:lang w:bidi="ar"/>
              </w:rPr>
              <w:t>公章为准，需标明该项内容在检验报告中对应的检验结果页码及序号）。</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6.超级透明通道功能：穿透私有网关、各类协议、流媒体，将AR标签从摄像机端信息无损地传输到后端。</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中心管理服务器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系统参数：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中心管理单元提供统一的认证、授权、管理的设备。作为认证设备，支持公安PKI的集成。</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作为中心管理单元，对系统内的用户、角色、权限、视频监控设备、报警设备、各种服务器（报警管理服务器、存储管理服务器、流媒体服务器、电视墙服务器等）进行集中配置管理。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提供各类安防监控业务应用，提供完善的日志管理和审计功能。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同时，校时功能能对监控专网内全部设备进行网络校时，保持全部设备时间统一，可由操作员发起手动校时或中心服务器启用定时自动校时功能。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支持多机堆叠、线性扩充视频接入管理能力。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硬件参数：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大小：2U      CPU ：E5-2620V4 2.10GHz（8核）×2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内存：32G     硬盘：1T×2   网卡：4口1000Mbps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电源：1+1冗余电源   其他：配备光驱</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21"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8</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媒体转发服务器</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系统参数：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媒体转发单元是针对于网络监控系统的专用的流媒体转发设备；</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能接入符合接入协议的标准设备（国标GB28181、ONVIF等）；</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也能接入非标准设备，非标准的设备可以通过自有协议、或SDK的方式来提供访问，能同时支持这两种方式。</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能配置设备运行所需要的参数，控制设备的开关机、启用、停止，向设备发送控制命令，检测设备的运行状态和故障信息。</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可根据用户客户端或相关服务、第三方系统的请求，可以转发单独的音频或视频，也可以是同步的音视频复合流。</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提供智能化视频流转、分发管理功能，不受前端编码格式限制，支持多级视频流转分发功能。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提供流媒体的集群管理及负载均衡服务，可将视频分发任务动态均衡到各个流媒体上，故障流媒体的分发任务将自动分配到其他流媒体。</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支持集群部署，支持多网卡绑定策略</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单台设备支持200路1080P视频并发转发</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支持多级流媒体级联转发能力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支持多机堆叠、线性扩充流媒体并发能力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硬件参数：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大小：2U      CPU ：E5-2620V4 2.10GHz（8核）×2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内存：32G     硬盘：1T×2   网卡：4口1000Mbps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电源：1+1冗余电源   其他：配备光驱</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2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9</w:t>
            </w:r>
          </w:p>
        </w:tc>
        <w:tc>
          <w:tcPr>
            <w:tcW w:w="4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Style w:val="68"/>
                <w:rFonts w:hint="eastAsia" w:ascii="仿宋" w:hAnsi="仿宋" w:eastAsia="仿宋" w:cs="仿宋"/>
                <w:color w:val="auto"/>
                <w:sz w:val="21"/>
                <w:szCs w:val="21"/>
                <w:highlight w:val="none"/>
                <w:lang w:val="en-US" w:eastAsia="zh-CN" w:bidi="ar"/>
              </w:rPr>
              <w:t>24口千兆接入交换机</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1.应用层级：三层</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2.传输速率：10/100/1000Mbps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3.交换容量：336Gbps/3.36Tbps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4.包转发率：51Mpps/126Mpps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5.24个10/100/1000Base-T以太网端口，4个千兆SFP</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6.控制端口：1个console口</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7.堆叠功能：可堆叠</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8.VLAN 特性：支持 4K 个 VLAN，支持 Guest VLAN、 Voice VLAN，支持 GVRP 协议，支持 MUX VLAN 功能，支持基于 MAC/协议/IP 子网/策略/端口的 VLAN，支持 1:1 和 N:1 VLAN Mapping </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9.IP 路由：静态路由，支持 RIP、 RIPng、 OSPF、 OSPFv3 协议</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10.环网保护技术：支持 RRPP 环型拓扑和 RRPP 多实例，支持SmartLink树型拓朴和SmartLink多实例，提供主备链路的毫秒级保护，支持智能以太保护SEP 协议，支持ERPS以太环保护协议（G.8032），支持STP（IEEE 802.1d），RSTP（IEEE 802.1w）和MSTP（IEEE 802.1s）协议，支持BPDU保护、根保护和环回保护，支持BPDU Tunnel</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11.电源：交流供电</w:t>
            </w:r>
          </w:p>
        </w:tc>
        <w:tc>
          <w:tcPr>
            <w:tcW w:w="24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1" w:hRule="atLeast"/>
          <w:jc w:val="center"/>
        </w:trPr>
        <w:tc>
          <w:tcPr>
            <w:tcW w:w="5000" w:type="pct"/>
            <w:gridSpan w:val="5"/>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二、集成施工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447"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设备及辅材安装、管材及敷设</w:t>
            </w: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访客管理</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车辆管理</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人脸门禁</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入侵检测</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智能周界（水池周界+围墙周界）</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紧急对讲</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0"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AR高点球机</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8</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中控机房</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29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447"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77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水浸、烟火异常监控</w:t>
            </w:r>
          </w:p>
        </w:tc>
        <w:tc>
          <w:tcPr>
            <w:tcW w:w="242"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237"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项目交付中所需线材等辅助性材料包含在报价中。</w:t>
      </w:r>
    </w:p>
    <w:p>
      <w:pPr>
        <w:adjustRightInd w:val="0"/>
        <w:snapToGrid w:val="0"/>
        <w:spacing w:line="440" w:lineRule="exact"/>
        <w:jc w:val="left"/>
        <w:rPr>
          <w:rFonts w:hint="eastAsia" w:ascii="宋体" w:hAnsi="宋体" w:eastAsia="宋体" w:cs="宋体"/>
          <w:color w:val="auto"/>
          <w:szCs w:val="21"/>
        </w:rPr>
      </w:pPr>
      <w:bookmarkStart w:id="57" w:name="_Toc13104_WPSOffice_Level2"/>
      <w:r>
        <w:rPr>
          <w:rFonts w:hint="eastAsia" w:ascii="宋体" w:hAnsi="宋体" w:eastAsia="宋体" w:cs="宋体"/>
          <w:color w:val="auto"/>
          <w:szCs w:val="21"/>
        </w:rPr>
        <w:t>二</w:t>
      </w:r>
      <w:r>
        <w:rPr>
          <w:rFonts w:hint="eastAsia" w:ascii="宋体" w:hAnsi="宋体" w:cs="宋体"/>
          <w:color w:val="auto"/>
          <w:szCs w:val="21"/>
          <w:lang w:eastAsia="zh-CN"/>
        </w:rPr>
        <w:t>、</w:t>
      </w:r>
      <w:r>
        <w:rPr>
          <w:rFonts w:hint="eastAsia" w:ascii="宋体" w:hAnsi="宋体" w:eastAsia="宋体" w:cs="宋体"/>
          <w:color w:val="auto"/>
          <w:szCs w:val="21"/>
        </w:rPr>
        <w:t>服务要求</w:t>
      </w:r>
      <w:bookmarkEnd w:id="57"/>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项目必须提供的具体服务内容如下：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bookmarkStart w:id="58" w:name="_Toc23640_WPSOffice_Level3"/>
      <w:r>
        <w:rPr>
          <w:rFonts w:hint="eastAsia" w:ascii="宋体" w:hAnsi="宋体" w:eastAsia="宋体" w:cs="宋体"/>
          <w:color w:val="auto"/>
          <w:szCs w:val="21"/>
          <w:lang w:val="en-US" w:eastAsia="zh-CN"/>
        </w:rPr>
        <w:t>1.质保期服务内容</w:t>
      </w:r>
      <w:bookmarkEnd w:id="58"/>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（1）报价人明确承诺:本项目的软硬件需提供一年</w:t>
      </w:r>
      <w:r>
        <w:rPr>
          <w:rFonts w:hint="eastAsia" w:ascii="宋体" w:hAnsi="宋体" w:cs="宋体"/>
          <w:color w:val="auto"/>
          <w:szCs w:val="21"/>
          <w:lang w:val="en-US" w:eastAsia="zh-CN"/>
        </w:rPr>
        <w:t>免费</w:t>
      </w:r>
      <w:r>
        <w:rPr>
          <w:rFonts w:hint="eastAsia" w:ascii="宋体" w:hAnsi="宋体" w:eastAsia="宋体" w:cs="宋体"/>
          <w:color w:val="auto"/>
          <w:szCs w:val="21"/>
          <w:lang w:val="en-US" w:eastAsia="zh-CN"/>
        </w:rPr>
        <w:t>售后服务。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（2）报价人产品属于国家规定“三包”范围的，其产品质量保证期不得低于“三包”规定。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（3）报价人的质量保证期承诺优于国家“三包”规定的，按承包人实际承诺执行。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（4）报价人产品由原厂负责标准售后服务的，应当在报价文件中予以明确说明,并附厂家售后服务承诺内容。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bookmarkStart w:id="59" w:name="_Toc15957_WPSOffice_Level3"/>
      <w:r>
        <w:rPr>
          <w:rFonts w:hint="eastAsia" w:ascii="宋体" w:hAnsi="宋体" w:eastAsia="宋体" w:cs="宋体"/>
          <w:color w:val="auto"/>
          <w:szCs w:val="21"/>
          <w:lang w:val="en-US" w:eastAsia="zh-CN"/>
        </w:rPr>
        <w:t>2.售后服务内容</w:t>
      </w:r>
      <w:bookmarkEnd w:id="59"/>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（1）承包人在质量保证期内应当为询价人提供以下技术支持和服务: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A、电话咨询</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承包人应当为询价人提供其单位以及原厂的技术援助电话，解答询价人在使用中遇到的问题，及时为询价人提出解决问题的建议。</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B、现场响应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询价人遇到使用及技术问题，电话咨询不能解决的，承包人应在1小时内到达现场进行处理，确保产品正常工作﹔无法在2小时内解决的，应在2小时内提供备用产品，使询价人能够正常使用。</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C、技术升级</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在质保期内，如果承包人的销售的产品发现漏洞或能够技术升级，承包人应及时通知询价人，如询价人有相应要求，承包人应对询价人购买的产品进行升级服务。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（2）质保期外服务要求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A、质量保证期过后，承包人应同样提供免费电话咨询服务，并应承诺提供产品上门维护服务。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B、质量保证期过后，询价人需要继续由承包人提供售后服务的，该承包人应以优惠价格提供售后服务。</w:t>
      </w:r>
    </w:p>
    <w:p>
      <w:pPr>
        <w:adjustRightInd w:val="0"/>
        <w:snapToGrid w:val="0"/>
        <w:spacing w:line="440" w:lineRule="exact"/>
        <w:jc w:val="left"/>
        <w:rPr>
          <w:rFonts w:hint="eastAsia" w:ascii="宋体" w:hAnsi="宋体" w:eastAsia="宋体" w:cs="宋体"/>
          <w:color w:val="auto"/>
          <w:szCs w:val="21"/>
          <w:lang w:val="en-US" w:eastAsia="zh-CN"/>
        </w:rPr>
      </w:pPr>
      <w:bookmarkStart w:id="60" w:name="_Toc12552_WPSOffice_Level2"/>
      <w:r>
        <w:rPr>
          <w:rFonts w:hint="eastAsia" w:ascii="宋体" w:hAnsi="宋体" w:eastAsia="宋体" w:cs="宋体"/>
          <w:color w:val="auto"/>
          <w:szCs w:val="21"/>
          <w:lang w:val="en-US" w:eastAsia="zh-CN"/>
        </w:rPr>
        <w:t>三、培训要求</w:t>
      </w:r>
      <w:bookmarkEnd w:id="60"/>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承包单位应根据项目实施的计划、进度和需要与询价人的合理要求，及时安排对询价人的相关人员进行培训。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培训目标为使受训者能够独立、熟练地完成操作，实现本项目所有软硬件的基本操作。具体如下：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由承包单位组织正式培训，采用准备好的注释、讲义、讨论会、视听演示以及在现场进行实际操作示范，培训人员应做好操作、管理、维护的充分准备，承包单位应提交一份培训计划给询价人以获批准。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bookmarkStart w:id="61" w:name="_Toc1579_WPSOffice_Level3"/>
      <w:r>
        <w:rPr>
          <w:rFonts w:hint="eastAsia" w:ascii="宋体" w:hAnsi="宋体" w:eastAsia="宋体" w:cs="宋体"/>
          <w:color w:val="auto"/>
          <w:szCs w:val="21"/>
          <w:lang w:val="en-US" w:eastAsia="zh-CN"/>
        </w:rPr>
        <w:t>1.培训范围：软硬件设备以及系统的维护操作</w:t>
      </w:r>
      <w:bookmarkEnd w:id="61"/>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bookmarkStart w:id="62" w:name="_Toc24181_WPSOffice_Level3"/>
      <w:r>
        <w:rPr>
          <w:rFonts w:hint="eastAsia" w:ascii="宋体" w:hAnsi="宋体" w:eastAsia="宋体" w:cs="宋体"/>
          <w:color w:val="auto"/>
          <w:szCs w:val="21"/>
          <w:lang w:val="en-US" w:eastAsia="zh-CN"/>
        </w:rPr>
        <w:t>2.培训地点：广州市净水有限公司</w:t>
      </w:r>
      <w:bookmarkEnd w:id="6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bookmarkStart w:id="63" w:name="_Toc6823_WPSOffice_Level3"/>
      <w:r>
        <w:rPr>
          <w:rFonts w:hint="eastAsia" w:ascii="宋体" w:hAnsi="宋体" w:eastAsia="宋体" w:cs="宋体"/>
          <w:color w:val="auto"/>
          <w:szCs w:val="21"/>
          <w:lang w:val="en-US" w:eastAsia="zh-CN"/>
        </w:rPr>
        <w:t>3.培训时间：在项目施工完成后进行培训</w:t>
      </w:r>
      <w:bookmarkEnd w:id="63"/>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bookmarkStart w:id="64" w:name="_Toc22927_WPSOffice_Level3"/>
      <w:r>
        <w:rPr>
          <w:rFonts w:hint="eastAsia" w:ascii="宋体" w:hAnsi="宋体" w:eastAsia="宋体" w:cs="宋体"/>
          <w:color w:val="auto"/>
          <w:szCs w:val="21"/>
          <w:lang w:val="en-US" w:eastAsia="zh-CN"/>
        </w:rPr>
        <w:t>4.培训内容：</w:t>
      </w:r>
      <w:bookmarkEnd w:id="64"/>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根据用户对设备日常维护需求提供相关的培训及答疑，次数不少于1次。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若用户对设备以及系统日常维护管理及使用仍存在疑问，在运行和维护期间乙方必须持续提供咨询服务。</w:t>
      </w:r>
    </w:p>
    <w:p>
      <w:pPr>
        <w:adjustRightInd w:val="0"/>
        <w:snapToGrid w:val="0"/>
        <w:spacing w:line="440" w:lineRule="exact"/>
        <w:jc w:val="left"/>
        <w:rPr>
          <w:rFonts w:hint="default" w:ascii="宋体" w:hAnsi="宋体" w:eastAsia="宋体" w:cs="宋体"/>
          <w:color w:val="auto"/>
          <w:szCs w:val="21"/>
          <w:lang w:val="en-US" w:eastAsia="zh-CN"/>
        </w:rPr>
      </w:pPr>
      <w:bookmarkStart w:id="65" w:name="_Toc31795_WPSOffice_Level2"/>
      <w:r>
        <w:rPr>
          <w:rFonts w:hint="eastAsia" w:ascii="宋体" w:hAnsi="宋体" w:eastAsia="宋体" w:cs="宋体"/>
          <w:color w:val="auto"/>
          <w:szCs w:val="21"/>
          <w:lang w:val="en-US" w:eastAsia="zh-CN"/>
        </w:rPr>
        <w:t>四、竣工验收条件要求</w:t>
      </w:r>
      <w:bookmarkEnd w:id="65"/>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1.项目采购实施部署安装整体完成起30天内并无任何由于项目引起的故障，包括但不限于</w:t>
      </w:r>
      <w:r>
        <w:rPr>
          <w:rFonts w:hint="eastAsia" w:ascii="宋体" w:hAnsi="宋体" w:cs="宋体"/>
          <w:color w:val="auto"/>
          <w:szCs w:val="21"/>
          <w:lang w:val="en-US" w:eastAsia="zh-CN"/>
        </w:rPr>
        <w:t>软件</w:t>
      </w:r>
      <w:r>
        <w:rPr>
          <w:rFonts w:hint="eastAsia" w:ascii="宋体" w:hAnsi="宋体" w:eastAsia="宋体" w:cs="宋体"/>
          <w:color w:val="auto"/>
          <w:szCs w:val="21"/>
          <w:lang w:val="en-US" w:eastAsia="zh-CN"/>
        </w:rPr>
        <w:t>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Theme="minorEastAsia" w:hAnsiTheme="minorEastAsia" w:eastAsiaTheme="minorEastAsia" w:cstheme="minorEastAsia"/>
          <w:color w:val="auto"/>
          <w:szCs w:val="21"/>
          <w:lang w:val="en-US" w:eastAsia="zh-CN"/>
        </w:rPr>
      </w:pPr>
      <w:r>
        <w:rPr>
          <w:rFonts w:hint="eastAsia" w:ascii="宋体" w:hAnsi="宋体" w:eastAsia="宋体" w:cs="宋体"/>
          <w:color w:val="auto"/>
          <w:szCs w:val="21"/>
          <w:lang w:val="en-US" w:eastAsia="zh-CN"/>
        </w:rPr>
        <w:t>2.完整提供项目的竣工验收报告，软硬件服务授权证明以及相关资料文件（如设备质保卡、软件授权证明</w:t>
      </w:r>
      <w:r>
        <w:rPr>
          <w:rFonts w:hint="eastAsia" w:ascii="宋体" w:hAnsi="宋体" w:cs="宋体"/>
          <w:color w:val="auto"/>
          <w:szCs w:val="21"/>
          <w:lang w:val="en-US" w:eastAsia="zh-CN"/>
        </w:rPr>
        <w:t>、合格证</w:t>
      </w:r>
      <w:r>
        <w:rPr>
          <w:rFonts w:hint="eastAsia" w:ascii="宋体" w:hAnsi="宋体" w:eastAsia="宋体" w:cs="宋体"/>
          <w:color w:val="auto"/>
          <w:szCs w:val="21"/>
          <w:lang w:val="en-US" w:eastAsia="zh-CN"/>
        </w:rPr>
        <w:t>等）、实施中涉及的账号密码、拓扑图、机柜图</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设备点位CAD图、系统效果图等。</w:t>
      </w:r>
      <w:bookmarkStart w:id="66" w:name="_Toc13965_WPSOffice_Level2"/>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Cs w:val="21"/>
          <w:lang w:val="en-US" w:eastAsia="zh-CN"/>
        </w:rPr>
      </w:pPr>
    </w:p>
    <w:p>
      <w:pPr>
        <w:spacing w:line="52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Cs w:val="21"/>
          <w:lang w:val="en-US" w:eastAsia="zh-CN"/>
        </w:rPr>
        <w:t>附件6：</w:t>
      </w:r>
      <w:r>
        <w:rPr>
          <w:rFonts w:hint="eastAsia" w:asciiTheme="minorEastAsia" w:hAnsiTheme="minorEastAsia" w:eastAsiaTheme="minorEastAsia" w:cstheme="minorEastAsia"/>
          <w:b/>
          <w:bCs/>
          <w:color w:val="auto"/>
          <w:szCs w:val="21"/>
        </w:rPr>
        <w:t>项目投入人员架构表</w:t>
      </w:r>
      <w:bookmarkEnd w:id="66"/>
    </w:p>
    <w:p>
      <w:pPr>
        <w:widowControl/>
        <w:jc w:val="left"/>
        <w:rPr>
          <w:rFonts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p>
      <w:pPr>
        <w:widowControl/>
        <w:jc w:val="left"/>
        <w:rPr>
          <w:rFonts w:ascii="宋体" w:hAnsi="宋体" w:cs="宋体"/>
          <w:szCs w:val="21"/>
        </w:rPr>
      </w:pPr>
      <w:r>
        <w:rPr>
          <w:rFonts w:hint="eastAsia" w:ascii="宋体" w:hAnsi="宋体" w:cs="宋体"/>
          <w:b/>
          <w:bCs/>
          <w:szCs w:val="21"/>
        </w:rPr>
        <w:t>附件7：</w:t>
      </w:r>
    </w:p>
    <w:p>
      <w:pPr>
        <w:spacing w:line="360" w:lineRule="auto"/>
        <w:jc w:val="left"/>
        <w:rPr>
          <w:rFonts w:ascii="宋体" w:hAnsi="宋体" w:cs="宋体"/>
          <w:b/>
          <w:bCs/>
          <w:szCs w:val="21"/>
        </w:rPr>
      </w:pPr>
      <w:r>
        <w:rPr>
          <w:rFonts w:hint="eastAsia" w:ascii="宋体" w:hAnsi="宋体" w:cs="宋体"/>
          <w:b/>
          <w:bCs/>
          <w:szCs w:val="21"/>
        </w:rPr>
        <w:t>履约保函（模板）</w:t>
      </w:r>
    </w:p>
    <w:p>
      <w:pPr>
        <w:jc w:val="center"/>
        <w:rPr>
          <w:rFonts w:ascii="宋体" w:hAnsi="宋体" w:cs="宋体"/>
          <w:b/>
          <w:szCs w:val="21"/>
        </w:rPr>
      </w:pPr>
      <w:r>
        <w:rPr>
          <w:rFonts w:hint="eastAsia" w:ascii="宋体" w:hAnsi="宋体" w:cs="宋体"/>
          <w:b/>
          <w:szCs w:val="21"/>
        </w:rPr>
        <w:t>履约保函（模板）</w:t>
      </w:r>
    </w:p>
    <w:p>
      <w:pPr>
        <w:rPr>
          <w:rFonts w:ascii="宋体" w:hAnsi="宋体" w:cs="宋体"/>
          <w:szCs w:val="21"/>
        </w:rPr>
      </w:pPr>
    </w:p>
    <w:p>
      <w:pPr>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（受益人）</w:t>
      </w:r>
      <w:r>
        <w:rPr>
          <w:rFonts w:hint="eastAsia" w:ascii="宋体" w:hAnsi="宋体" w:cs="宋体"/>
          <w:szCs w:val="21"/>
        </w:rPr>
        <w:br w:type="textWrapping"/>
      </w:r>
    </w:p>
    <w:p>
      <w:pPr>
        <w:ind w:firstLine="42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（以下简称“委托人”）与贵方于</w:t>
      </w:r>
      <w:r>
        <w:rPr>
          <w:rFonts w:hint="eastAsia" w:ascii="宋体" w:hAnsi="宋体" w:cs="宋体"/>
          <w:szCs w:val="21"/>
          <w:u w:val="single"/>
        </w:rPr>
        <w:t xml:space="preserve">   年  月  日</w:t>
      </w:r>
      <w:r>
        <w:rPr>
          <w:rFonts w:hint="eastAsia" w:ascii="宋体" w:hAnsi="宋体" w:cs="宋体"/>
          <w:szCs w:val="21"/>
        </w:rPr>
        <w:t>签订了</w:t>
      </w:r>
      <w:r>
        <w:rPr>
          <w:rFonts w:hint="eastAsia" w:ascii="宋体" w:hAnsi="宋体" w:cs="宋体"/>
          <w:szCs w:val="21"/>
          <w:u w:val="single"/>
        </w:rPr>
        <w:t xml:space="preserve">                     </w:t>
      </w:r>
      <w:r>
        <w:rPr>
          <w:rFonts w:hint="eastAsia" w:ascii="宋体" w:hAnsi="宋体" w:cs="宋体"/>
          <w:szCs w:val="21"/>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szCs w:val="21"/>
        </w:rPr>
      </w:pPr>
      <w:r>
        <w:rPr>
          <w:rFonts w:hint="eastAsia" w:ascii="宋体" w:hAnsi="宋体" w:cs="宋体"/>
          <w:szCs w:val="21"/>
        </w:rPr>
        <w:t>一、我行保证在收到贵单位于保函有效期内送达的依本保函约定的索赔申请后，在个</w:t>
      </w:r>
      <w:r>
        <w:rPr>
          <w:rFonts w:hint="eastAsia" w:ascii="宋体" w:hAnsi="宋体" w:cs="宋体"/>
          <w:szCs w:val="21"/>
          <w:u w:val="single"/>
        </w:rPr>
        <w:t xml:space="preserve">  </w:t>
      </w:r>
      <w:r>
        <w:rPr>
          <w:rFonts w:hint="eastAsia" w:ascii="宋体" w:hAnsi="宋体" w:cs="宋体"/>
          <w:szCs w:val="21"/>
        </w:rPr>
        <w:t>工作日内无条件和不可改变地向贵单位支付最高金额不超过人民币元</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 xml:space="preserve"> ）的履约保证金，并放弃向你方提出任何异议和追索的权利。</w:t>
      </w:r>
    </w:p>
    <w:p>
      <w:pPr>
        <w:ind w:firstLine="420"/>
        <w:rPr>
          <w:rFonts w:ascii="宋体" w:hAnsi="宋体" w:cs="宋体"/>
          <w:szCs w:val="21"/>
        </w:rPr>
      </w:pPr>
      <w:r>
        <w:rPr>
          <w:rFonts w:hint="eastAsia" w:ascii="宋体" w:hAnsi="宋体" w:cs="宋体"/>
          <w:szCs w:val="21"/>
        </w:rPr>
        <w:t>二、贵单位的索赔申请应符合下述条件：</w:t>
      </w:r>
    </w:p>
    <w:p>
      <w:pPr>
        <w:ind w:firstLine="420"/>
        <w:rPr>
          <w:rFonts w:ascii="宋体" w:hAnsi="宋体" w:cs="宋体"/>
          <w:szCs w:val="21"/>
        </w:rPr>
      </w:pPr>
      <w:r>
        <w:rPr>
          <w:rFonts w:hint="eastAsia" w:ascii="宋体" w:hAnsi="宋体" w:cs="宋体"/>
          <w:szCs w:val="21"/>
        </w:rPr>
        <w:t>（一）贵单位法定代表人或其授权代表签字并加盖单位公章；</w:t>
      </w:r>
    </w:p>
    <w:p>
      <w:pPr>
        <w:ind w:firstLine="420"/>
        <w:rPr>
          <w:rFonts w:ascii="宋体" w:hAnsi="宋体" w:cs="宋体"/>
          <w:szCs w:val="21"/>
        </w:rPr>
      </w:pPr>
      <w:r>
        <w:rPr>
          <w:rFonts w:hint="eastAsia" w:ascii="宋体" w:hAnsi="宋体" w:cs="宋体"/>
          <w:szCs w:val="21"/>
        </w:rPr>
        <w:t>（二）在保函有效期内送达我行；</w:t>
      </w:r>
    </w:p>
    <w:p>
      <w:pPr>
        <w:ind w:firstLine="420"/>
        <w:rPr>
          <w:rFonts w:ascii="宋体" w:hAnsi="宋体" w:cs="宋体"/>
          <w:szCs w:val="21"/>
        </w:rPr>
      </w:pPr>
      <w:r>
        <w:rPr>
          <w:rFonts w:hint="eastAsia" w:ascii="宋体" w:hAnsi="宋体" w:cs="宋体"/>
          <w:szCs w:val="21"/>
        </w:rPr>
        <w:t>（三）明确的索赔金额（不得超过本保函第一条所列之限额）。</w:t>
      </w:r>
    </w:p>
    <w:p>
      <w:pPr>
        <w:ind w:firstLine="420"/>
        <w:rPr>
          <w:rFonts w:ascii="宋体" w:hAnsi="宋体" w:cs="宋体"/>
          <w:szCs w:val="21"/>
        </w:rPr>
      </w:pPr>
      <w:r>
        <w:rPr>
          <w:rFonts w:hint="eastAsia" w:ascii="宋体" w:hAnsi="宋体" w:cs="宋体"/>
          <w:szCs w:val="21"/>
        </w:rPr>
        <w:t>三、本保函自签发之日起生效，有效期至</w:t>
      </w:r>
      <w:r>
        <w:rPr>
          <w:rFonts w:hint="eastAsia" w:ascii="宋体" w:hAnsi="宋体" w:cs="宋体"/>
          <w:szCs w:val="21"/>
          <w:u w:val="single"/>
        </w:rPr>
        <w:t xml:space="preserve">  年  月  日</w:t>
      </w:r>
      <w:r>
        <w:rPr>
          <w:rFonts w:hint="eastAsia" w:ascii="宋体" w:hAnsi="宋体" w:cs="宋体"/>
          <w:szCs w:val="21"/>
        </w:rPr>
        <w:t>。本保函于下述任一事项发生之时立即失效，我行在本保函项下的保证义务即刻解除：</w:t>
      </w:r>
    </w:p>
    <w:p>
      <w:pPr>
        <w:ind w:firstLine="420"/>
        <w:rPr>
          <w:rFonts w:ascii="宋体" w:hAnsi="宋体" w:cs="宋体"/>
          <w:szCs w:val="21"/>
        </w:rPr>
      </w:pPr>
      <w:r>
        <w:rPr>
          <w:rFonts w:hint="eastAsia" w:ascii="宋体" w:hAnsi="宋体" w:cs="宋体"/>
          <w:szCs w:val="21"/>
        </w:rPr>
        <w:t>（一）本保函有效期限届满；</w:t>
      </w:r>
    </w:p>
    <w:p>
      <w:pPr>
        <w:ind w:firstLine="420"/>
        <w:rPr>
          <w:rFonts w:ascii="宋体" w:hAnsi="宋体" w:cs="宋体"/>
          <w:szCs w:val="21"/>
        </w:rPr>
      </w:pPr>
      <w:r>
        <w:rPr>
          <w:rFonts w:hint="eastAsia" w:ascii="宋体" w:hAnsi="宋体" w:cs="宋体"/>
          <w:szCs w:val="21"/>
        </w:rPr>
        <w:t>（二）我行保证的义务履行完毕。</w:t>
      </w:r>
    </w:p>
    <w:p>
      <w:pPr>
        <w:ind w:firstLine="420"/>
        <w:rPr>
          <w:rFonts w:ascii="宋体" w:hAnsi="宋体" w:cs="宋体"/>
          <w:szCs w:val="21"/>
        </w:rPr>
      </w:pPr>
      <w:r>
        <w:rPr>
          <w:rFonts w:hint="eastAsia" w:ascii="宋体" w:hAnsi="宋体" w:cs="宋体"/>
          <w:szCs w:val="21"/>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szCs w:val="21"/>
        </w:rPr>
      </w:pPr>
      <w:r>
        <w:rPr>
          <w:rFonts w:hint="eastAsia" w:ascii="宋体" w:hAnsi="宋体" w:cs="宋体"/>
          <w:szCs w:val="21"/>
        </w:rPr>
        <w:t>五、我行向你方支付索赔金额后，本保函担保金额即按贵方通知的索赔金额予以递减。</w:t>
      </w:r>
    </w:p>
    <w:p>
      <w:pPr>
        <w:ind w:firstLine="420"/>
        <w:rPr>
          <w:rFonts w:ascii="宋体" w:hAnsi="宋体" w:cs="宋体"/>
          <w:szCs w:val="21"/>
        </w:rPr>
      </w:pPr>
      <w:r>
        <w:rPr>
          <w:rFonts w:hint="eastAsia" w:ascii="宋体" w:hAnsi="宋体" w:cs="宋体"/>
          <w:szCs w:val="21"/>
        </w:rPr>
        <w:t>六、保函失效后请将保函退回我行注销，无论正本最终退回与否，不影响本保函依上述约定自动失效。</w:t>
      </w:r>
    </w:p>
    <w:p>
      <w:pPr>
        <w:ind w:firstLine="420"/>
        <w:rPr>
          <w:rFonts w:ascii="宋体" w:hAnsi="宋体" w:cs="宋体"/>
          <w:szCs w:val="21"/>
        </w:rPr>
      </w:pPr>
      <w:r>
        <w:rPr>
          <w:rFonts w:hint="eastAsia" w:ascii="宋体" w:hAnsi="宋体" w:cs="宋体"/>
          <w:szCs w:val="21"/>
        </w:rPr>
        <w:t xml:space="preserve">  </w:t>
      </w:r>
    </w:p>
    <w:p>
      <w:pPr>
        <w:ind w:firstLine="420"/>
        <w:rPr>
          <w:rFonts w:ascii="宋体" w:hAnsi="宋体" w:cs="宋体"/>
          <w:szCs w:val="21"/>
        </w:rPr>
      </w:pPr>
    </w:p>
    <w:p>
      <w:pPr>
        <w:ind w:firstLine="420"/>
        <w:rPr>
          <w:rFonts w:ascii="宋体" w:hAnsi="宋体" w:cs="宋体"/>
          <w:szCs w:val="21"/>
        </w:rPr>
      </w:pPr>
      <w:r>
        <w:rPr>
          <w:rFonts w:hint="eastAsia" w:ascii="宋体" w:hAnsi="宋体" w:cs="宋体"/>
          <w:szCs w:val="21"/>
        </w:rPr>
        <w:t xml:space="preserve">                                                   落款</w:t>
      </w:r>
    </w:p>
    <w:p>
      <w:pPr>
        <w:ind w:firstLine="420"/>
        <w:rPr>
          <w:rFonts w:ascii="宋体" w:hAnsi="宋体" w:cs="宋体"/>
          <w:szCs w:val="21"/>
        </w:rPr>
      </w:pPr>
    </w:p>
    <w:p>
      <w:pPr>
        <w:ind w:firstLine="645"/>
        <w:rPr>
          <w:rFonts w:ascii="宋体" w:hAnsi="宋体" w:cs="宋体"/>
          <w:szCs w:val="21"/>
        </w:rPr>
      </w:pPr>
      <w:r>
        <w:rPr>
          <w:rFonts w:hint="eastAsia" w:ascii="宋体" w:hAnsi="宋体" w:cs="宋体"/>
          <w:szCs w:val="21"/>
        </w:rPr>
        <w:t>保函说明：</w:t>
      </w:r>
    </w:p>
    <w:p>
      <w:pPr>
        <w:ind w:firstLine="645"/>
        <w:rPr>
          <w:rFonts w:ascii="宋体" w:hAnsi="宋体" w:cs="宋体"/>
          <w:szCs w:val="21"/>
        </w:rPr>
      </w:pPr>
      <w:r>
        <w:rPr>
          <w:rFonts w:hint="eastAsia" w:ascii="宋体" w:hAnsi="宋体" w:cs="宋体"/>
          <w:szCs w:val="21"/>
        </w:rPr>
        <w:t>保函不得有下列或类似含义的表述：</w:t>
      </w:r>
    </w:p>
    <w:p>
      <w:pPr>
        <w:ind w:firstLine="645"/>
        <w:rPr>
          <w:rFonts w:ascii="宋体" w:hAnsi="宋体" w:cs="宋体"/>
          <w:szCs w:val="21"/>
        </w:rPr>
      </w:pPr>
      <w:r>
        <w:rPr>
          <w:rFonts w:hint="eastAsia" w:ascii="宋体" w:hAnsi="宋体" w:cs="宋体"/>
          <w:szCs w:val="21"/>
        </w:rPr>
        <w:t>1.银行承担的为连带责任保证、一般保证。</w:t>
      </w:r>
    </w:p>
    <w:p>
      <w:pPr>
        <w:ind w:firstLine="645"/>
        <w:rPr>
          <w:rFonts w:ascii="宋体" w:hAnsi="宋体" w:cs="宋体"/>
          <w:szCs w:val="21"/>
        </w:rPr>
      </w:pPr>
      <w:r>
        <w:rPr>
          <w:rFonts w:hint="eastAsia" w:ascii="宋体" w:hAnsi="宋体" w:cs="宋体"/>
          <w:szCs w:val="21"/>
        </w:rPr>
        <w:t>2.未经银行书面同意，受益人与申请人修改合同或其项下附件时，银行的保证义务解除。</w:t>
      </w:r>
    </w:p>
    <w:p>
      <w:pPr>
        <w:ind w:firstLine="645"/>
        <w:rPr>
          <w:rFonts w:ascii="宋体" w:hAnsi="宋体" w:cs="宋体"/>
          <w:szCs w:val="21"/>
        </w:rPr>
      </w:pPr>
      <w:r>
        <w:rPr>
          <w:rFonts w:hint="eastAsia" w:ascii="宋体" w:hAnsi="宋体" w:cs="宋体"/>
          <w:szCs w:val="21"/>
        </w:rPr>
        <w:t>3.合同撤销或无效的，保函失效。</w:t>
      </w:r>
    </w:p>
    <w:p>
      <w:pPr>
        <w:ind w:firstLine="645"/>
        <w:rPr>
          <w:rFonts w:ascii="宋体" w:hAnsi="宋体" w:cs="宋体"/>
          <w:szCs w:val="21"/>
        </w:rPr>
      </w:pPr>
      <w:r>
        <w:rPr>
          <w:rFonts w:hint="eastAsia" w:ascii="宋体" w:hAnsi="宋体" w:cs="宋体"/>
          <w:szCs w:val="21"/>
        </w:rPr>
        <w:t>4.申请人对受益人的抗辩，银行有权向受益人主张。</w:t>
      </w:r>
    </w:p>
    <w:p>
      <w:pPr>
        <w:ind w:firstLine="645"/>
        <w:rPr>
          <w:rFonts w:ascii="宋体" w:hAnsi="宋体" w:cs="宋体"/>
          <w:szCs w:val="21"/>
        </w:rPr>
      </w:pPr>
      <w:r>
        <w:rPr>
          <w:rFonts w:hint="eastAsia" w:ascii="宋体" w:hAnsi="宋体" w:cs="宋体"/>
          <w:szCs w:val="21"/>
        </w:rPr>
        <w:t>5.受益人请求付款的请款单据包含法院裁判文书、仲裁裁决、第三方单位出具的鉴定书等申请人违约的证明材料。</w:t>
      </w:r>
    </w:p>
    <w:p>
      <w:pPr>
        <w:rPr>
          <w:rFonts w:ascii="宋体" w:hAnsi="宋体" w:cs="宋体"/>
          <w:szCs w:val="21"/>
        </w:rPr>
      </w:pPr>
    </w:p>
    <w:p>
      <w:pPr>
        <w:rPr>
          <w:rFonts w:hint="eastAsia" w:ascii="宋体" w:hAnsi="宋体" w:cs="宋体"/>
          <w:color w:val="auto"/>
          <w:szCs w:val="21"/>
        </w:rPr>
      </w:pPr>
      <w:r>
        <w:rPr>
          <w:rFonts w:hint="eastAsia" w:ascii="宋体" w:hAnsi="宋体" w:cs="宋体"/>
          <w:color w:val="auto"/>
          <w:szCs w:val="21"/>
        </w:rPr>
        <w:br w:type="page"/>
      </w:r>
    </w:p>
    <w:p>
      <w:pPr>
        <w:widowControl/>
        <w:jc w:val="center"/>
        <w:rPr>
          <w:rFonts w:hint="eastAsia" w:ascii="仿宋_GB2312" w:hAnsi="仿宋_GB2312" w:eastAsia="仿宋_GB2312" w:cs="仿宋_GB2312"/>
          <w:b/>
          <w:bCs/>
          <w:color w:val="auto"/>
          <w:sz w:val="32"/>
          <w:szCs w:val="32"/>
          <w:lang w:val="zh-CN"/>
        </w:rPr>
      </w:pPr>
      <w:bookmarkStart w:id="67" w:name="_Toc20652_WPSOffice_Level1"/>
      <w:r>
        <w:rPr>
          <w:rFonts w:hint="eastAsia" w:ascii="仿宋_GB2312" w:hAnsi="仿宋_GB2312" w:eastAsia="仿宋_GB2312" w:cs="仿宋_GB2312"/>
          <w:b/>
          <w:bCs/>
          <w:color w:val="auto"/>
          <w:sz w:val="32"/>
          <w:szCs w:val="32"/>
          <w:lang w:val="zh-CN"/>
        </w:rPr>
        <w:t>第五部分　响应文件格式</w:t>
      </w:r>
      <w:bookmarkEnd w:id="67"/>
    </w:p>
    <w:p>
      <w:pPr>
        <w:pStyle w:val="14"/>
        <w:spacing w:line="360" w:lineRule="auto"/>
        <w:rPr>
          <w:rFonts w:hint="eastAsia" w:ascii="仿宋_GB2312" w:hAnsi="仿宋_GB2312" w:eastAsia="仿宋_GB2312" w:cs="仿宋_GB2312"/>
          <w:b/>
          <w:color w:val="auto"/>
          <w:sz w:val="28"/>
          <w:szCs w:val="28"/>
        </w:rPr>
      </w:pPr>
    </w:p>
    <w:p>
      <w:pPr>
        <w:rPr>
          <w:rFonts w:hint="eastAsia" w:ascii="仿宋_GB2312" w:hAnsi="仿宋_GB2312" w:eastAsia="仿宋_GB2312" w:cs="仿宋_GB2312"/>
          <w:color w:val="auto"/>
        </w:rPr>
      </w:pPr>
    </w:p>
    <w:p>
      <w:pPr>
        <w:pStyle w:val="14"/>
        <w:tabs>
          <w:tab w:val="left" w:pos="1260"/>
        </w:tabs>
        <w:jc w:val="center"/>
        <w:rPr>
          <w:rFonts w:hint="eastAsia" w:ascii="仿宋_GB2312" w:hAnsi="仿宋_GB2312" w:eastAsia="仿宋_GB2312" w:cs="仿宋_GB2312"/>
          <w:b/>
          <w:color w:val="auto"/>
          <w:kern w:val="0"/>
          <w:sz w:val="28"/>
          <w:szCs w:val="28"/>
        </w:rPr>
      </w:pPr>
    </w:p>
    <w:p>
      <w:pPr>
        <w:pStyle w:val="14"/>
        <w:tabs>
          <w:tab w:val="left" w:pos="1260"/>
        </w:tabs>
        <w:jc w:val="center"/>
        <w:rPr>
          <w:rFonts w:hint="eastAsia" w:ascii="仿宋_GB2312" w:hAnsi="仿宋_GB2312" w:eastAsia="仿宋_GB2312" w:cs="仿宋_GB2312"/>
          <w:b/>
          <w:color w:val="auto"/>
          <w:kern w:val="0"/>
          <w:sz w:val="28"/>
          <w:szCs w:val="28"/>
          <w:u w:val="single"/>
        </w:rPr>
      </w:pPr>
    </w:p>
    <w:p>
      <w:pPr>
        <w:pStyle w:val="14"/>
        <w:jc w:val="center"/>
        <w:rPr>
          <w:rFonts w:hint="eastAsia" w:ascii="仿宋_GB2312" w:hAnsi="仿宋_GB2312" w:eastAsia="仿宋_GB2312" w:cs="仿宋_GB2312"/>
          <w:b/>
          <w:color w:val="auto"/>
          <w:sz w:val="28"/>
          <w:szCs w:val="28"/>
          <w:u w:val="single"/>
        </w:rPr>
      </w:pPr>
      <w:bookmarkStart w:id="68" w:name="_Toc13853_WPSOffice_Level2"/>
      <w:r>
        <w:rPr>
          <w:rFonts w:hint="eastAsia" w:ascii="仿宋_GB2312" w:hAnsi="仿宋_GB2312" w:eastAsia="仿宋_GB2312" w:cs="仿宋_GB2312"/>
          <w:b/>
          <w:color w:val="auto"/>
          <w:sz w:val="28"/>
          <w:szCs w:val="28"/>
          <w:u w:val="single"/>
        </w:rPr>
        <w:t>广州市净水有限公司</w:t>
      </w:r>
      <w:r>
        <w:rPr>
          <w:rFonts w:hint="eastAsia" w:ascii="仿宋_GB2312" w:hAnsi="仿宋_GB2312" w:eastAsia="仿宋_GB2312" w:cs="仿宋_GB2312"/>
          <w:b/>
          <w:color w:val="auto"/>
          <w:sz w:val="28"/>
          <w:szCs w:val="28"/>
          <w:u w:val="single"/>
          <w:lang w:val="zh-CN" w:eastAsia="zh-CN"/>
        </w:rPr>
        <w:t>沥滘智慧安防系统工程项目</w:t>
      </w:r>
      <w:bookmarkEnd w:id="68"/>
    </w:p>
    <w:p>
      <w:pPr>
        <w:pStyle w:val="14"/>
        <w:tabs>
          <w:tab w:val="left" w:pos="1260"/>
        </w:tabs>
        <w:jc w:val="center"/>
        <w:rPr>
          <w:rFonts w:hint="eastAsia" w:ascii="仿宋_GB2312" w:hAnsi="仿宋_GB2312" w:eastAsia="仿宋_GB2312" w:cs="仿宋_GB2312"/>
          <w:b/>
          <w:color w:val="auto"/>
          <w:spacing w:val="100"/>
          <w:w w:val="110"/>
          <w:sz w:val="28"/>
          <w:szCs w:val="28"/>
        </w:rPr>
      </w:pPr>
      <w:bookmarkStart w:id="69" w:name="_Toc25855_WPSOffice_Level2"/>
      <w:r>
        <w:rPr>
          <w:rFonts w:hint="eastAsia" w:ascii="仿宋_GB2312" w:hAnsi="仿宋_GB2312" w:eastAsia="仿宋_GB2312" w:cs="仿宋_GB2312"/>
          <w:b/>
          <w:color w:val="auto"/>
          <w:spacing w:val="100"/>
          <w:w w:val="110"/>
          <w:kern w:val="0"/>
          <w:sz w:val="28"/>
          <w:szCs w:val="28"/>
        </w:rPr>
        <w:t>询价响应文件</w:t>
      </w:r>
      <w:bookmarkEnd w:id="69"/>
    </w:p>
    <w:p>
      <w:pPr>
        <w:pStyle w:val="14"/>
        <w:jc w:val="center"/>
        <w:rPr>
          <w:rFonts w:hint="eastAsia" w:ascii="仿宋_GB2312" w:hAnsi="仿宋_GB2312" w:eastAsia="仿宋_GB2312" w:cs="仿宋_GB2312"/>
          <w:b/>
          <w:color w:val="auto"/>
          <w:sz w:val="28"/>
          <w:szCs w:val="28"/>
        </w:rPr>
      </w:pPr>
      <w:bookmarkStart w:id="70" w:name="_Toc25431_WPSOffice_Level2"/>
      <w:r>
        <w:rPr>
          <w:rFonts w:hint="eastAsia" w:ascii="仿宋_GB2312" w:hAnsi="仿宋_GB2312" w:eastAsia="仿宋_GB2312" w:cs="仿宋_GB2312"/>
          <w:b/>
          <w:color w:val="auto"/>
          <w:sz w:val="28"/>
          <w:szCs w:val="28"/>
        </w:rPr>
        <w:t>（正本/副本）</w:t>
      </w:r>
      <w:bookmarkEnd w:id="70"/>
    </w:p>
    <w:p>
      <w:pPr>
        <w:pStyle w:val="14"/>
        <w:jc w:val="center"/>
        <w:rPr>
          <w:rFonts w:hint="eastAsia" w:ascii="仿宋_GB2312" w:hAnsi="仿宋_GB2312" w:eastAsia="仿宋_GB2312" w:cs="仿宋_GB2312"/>
          <w:b/>
          <w:color w:val="auto"/>
          <w:sz w:val="28"/>
          <w:szCs w:val="28"/>
        </w:rPr>
      </w:pPr>
    </w:p>
    <w:p>
      <w:pPr>
        <w:pStyle w:val="14"/>
        <w:jc w:val="center"/>
        <w:rPr>
          <w:rFonts w:hint="eastAsia" w:ascii="仿宋_GB2312" w:hAnsi="仿宋_GB2312" w:eastAsia="仿宋_GB2312" w:cs="仿宋_GB2312"/>
          <w:b/>
          <w:color w:val="auto"/>
          <w:sz w:val="28"/>
          <w:szCs w:val="28"/>
        </w:rPr>
      </w:pPr>
    </w:p>
    <w:p>
      <w:pPr>
        <w:pStyle w:val="14"/>
        <w:spacing w:line="360" w:lineRule="auto"/>
        <w:ind w:firstLine="840" w:firstLineChars="3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000000"/>
          <w:sz w:val="28"/>
          <w:szCs w:val="28"/>
        </w:rPr>
        <w:t>（包、组号）：</w:t>
      </w:r>
      <w:r>
        <w:rPr>
          <w:rFonts w:hint="eastAsia" w:ascii="仿宋_GB2312" w:hAnsi="仿宋_GB2312" w:eastAsia="仿宋_GB2312" w:cs="仿宋_GB2312"/>
          <w:b/>
          <w:color w:val="000000"/>
          <w:sz w:val="28"/>
          <w:szCs w:val="28"/>
          <w:u w:val="single"/>
        </w:rPr>
        <w:t xml:space="preserve">            </w:t>
      </w:r>
    </w:p>
    <w:p>
      <w:pPr>
        <w:pStyle w:val="13"/>
        <w:spacing w:line="360" w:lineRule="auto"/>
        <w:ind w:firstLine="828" w:firstLineChars="296"/>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val="zh-CN" w:eastAsia="zh-CN"/>
        </w:rPr>
        <w:t>广州市净水有限公司沥滘智慧安防系统工程项目</w:t>
      </w: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spacing w:line="360" w:lineRule="auto"/>
        <w:ind w:firstLine="1940" w:firstLineChars="69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p>
    <w:p>
      <w:pPr>
        <w:autoSpaceDE w:val="0"/>
        <w:autoSpaceDN w:val="0"/>
        <w:adjustRightInd w:val="0"/>
        <w:jc w:val="center"/>
        <w:rPr>
          <w:rFonts w:hint="eastAsia" w:ascii="仿宋_GB2312" w:hAnsi="仿宋_GB2312" w:eastAsia="仿宋_GB2312" w:cs="仿宋_GB2312"/>
          <w:color w:val="auto"/>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3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3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3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3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000000"/>
          <w:sz w:val="28"/>
          <w:szCs w:val="28"/>
        </w:rPr>
      </w:pPr>
    </w:p>
    <w:p>
      <w:pPr>
        <w:pStyle w:val="32"/>
        <w:rPr>
          <w:rFonts w:ascii="仿宋_GB2312" w:hAnsi="仿宋_GB2312" w:eastAsia="仿宋_GB2312" w:cs="仿宋_GB2312"/>
          <w:b/>
          <w:bCs/>
          <w:color w:val="000000"/>
          <w:sz w:val="28"/>
          <w:szCs w:val="28"/>
        </w:rPr>
      </w:pPr>
    </w:p>
    <w:p>
      <w:pPr>
        <w:pStyle w:val="32"/>
        <w:rPr>
          <w:rFonts w:ascii="仿宋_GB2312" w:hAnsi="仿宋_GB2312" w:eastAsia="仿宋_GB2312" w:cs="仿宋_GB2312"/>
          <w:b/>
          <w:bCs/>
          <w:color w:val="000000"/>
          <w:sz w:val="28"/>
          <w:szCs w:val="28"/>
        </w:rPr>
      </w:pPr>
    </w:p>
    <w:p>
      <w:pPr>
        <w:pStyle w:val="32"/>
        <w:rPr>
          <w:rFonts w:ascii="仿宋_GB2312" w:hAnsi="仿宋_GB2312" w:eastAsia="仿宋_GB2312" w:cs="仿宋_GB2312"/>
          <w:b/>
          <w:bCs/>
          <w:color w:val="000000"/>
          <w:sz w:val="28"/>
          <w:szCs w:val="28"/>
        </w:rPr>
      </w:pPr>
    </w:p>
    <w:p>
      <w:pPr>
        <w:pStyle w:val="32"/>
        <w:rPr>
          <w:rFonts w:ascii="仿宋_GB2312" w:hAnsi="仿宋_GB2312" w:eastAsia="仿宋_GB2312" w:cs="仿宋_GB2312"/>
          <w:b/>
          <w:bCs/>
          <w:color w:val="000000"/>
          <w:sz w:val="28"/>
          <w:szCs w:val="28"/>
        </w:rPr>
      </w:pPr>
    </w:p>
    <w:p>
      <w:pPr>
        <w:pStyle w:val="32"/>
        <w:rPr>
          <w:rFonts w:ascii="仿宋_GB2312" w:hAnsi="仿宋_GB2312" w:eastAsia="仿宋_GB2312" w:cs="仿宋_GB2312"/>
          <w:b/>
          <w:bCs/>
          <w:color w:val="000000"/>
          <w:sz w:val="28"/>
          <w:szCs w:val="28"/>
        </w:rPr>
      </w:pPr>
    </w:p>
    <w:p>
      <w:pPr>
        <w:pStyle w:val="32"/>
        <w:rPr>
          <w:rFonts w:ascii="仿宋_GB2312" w:hAnsi="仿宋_GB2312" w:eastAsia="仿宋_GB2312" w:cs="仿宋_GB2312"/>
          <w:b/>
          <w:bCs/>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47"/>
        <w:adjustRightInd w:val="0"/>
        <w:snapToGrid w:val="0"/>
        <w:spacing w:line="200" w:lineRule="atLeast"/>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其中税前造价限价为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税率为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000000"/>
          <w:kern w:val="0"/>
          <w:sz w:val="24"/>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41"/>
        <w:spacing w:line="200" w:lineRule="atLeast"/>
        <w:ind w:left="-539" w:leftChars="-257" w:firstLine="496"/>
        <w:rPr>
          <w:rFonts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41"/>
        <w:ind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pStyle w:val="41"/>
        <w:ind w:firstLine="496"/>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拟投入本项目的项目负责人情况表</w:t>
      </w:r>
    </w:p>
    <w:tbl>
      <w:tblPr>
        <w:tblStyle w:val="26"/>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tcPr>
          <w:p>
            <w:pPr>
              <w:jc w:val="center"/>
              <w:rPr>
                <w:rFonts w:ascii="仿宋_GB2312" w:hAnsi="仿宋_GB2312" w:eastAsia="仿宋_GB2312" w:cs="仿宋_GB2312"/>
                <w:b/>
                <w:color w:val="000000"/>
                <w:sz w:val="24"/>
              </w:rPr>
            </w:pPr>
          </w:p>
        </w:tc>
        <w:tc>
          <w:tcPr>
            <w:tcW w:w="1742"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bl>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jc w:val="center"/>
        <w:rPr>
          <w:rFonts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pStyle w:val="3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_GB2312" w:hAnsi="仿宋_GB2312" w:eastAsia="仿宋_GB2312" w:cs="仿宋_GB2312"/>
          <w:color w:val="auto"/>
          <w:sz w:val="28"/>
          <w:szCs w:val="28"/>
        </w:rPr>
      </w:pPr>
      <w:r>
        <w:rPr>
          <w:rFonts w:hint="eastAsia" w:ascii="宋体" w:hAnsi="宋体" w:eastAsia="宋体" w:cs="宋体"/>
          <w:color w:val="auto"/>
          <w:szCs w:val="21"/>
          <w:lang w:val="en-US" w:eastAsia="zh-CN"/>
        </w:rPr>
        <w:t>拟采购的软硬件如下（以下指标若出现负偏离，则视</w:t>
      </w:r>
      <w:r>
        <w:rPr>
          <w:rFonts w:hint="eastAsia" w:ascii="宋体" w:hAnsi="宋体" w:cs="宋体"/>
          <w:color w:val="auto"/>
          <w:szCs w:val="21"/>
          <w:lang w:val="en-US" w:eastAsia="zh-CN"/>
        </w:rPr>
        <w:t>为</w:t>
      </w:r>
      <w:r>
        <w:rPr>
          <w:rFonts w:hint="eastAsia" w:ascii="宋体" w:hAnsi="宋体" w:eastAsia="宋体" w:cs="宋体"/>
          <w:color w:val="auto"/>
          <w:szCs w:val="21"/>
          <w:lang w:val="en-US" w:eastAsia="zh-CN"/>
        </w:rPr>
        <w:t>无效报价处理）：</w:t>
      </w:r>
    </w:p>
    <w:tbl>
      <w:tblPr>
        <w:tblStyle w:val="26"/>
        <w:tblW w:w="52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0"/>
        <w:gridCol w:w="802"/>
        <w:gridCol w:w="7220"/>
        <w:gridCol w:w="345"/>
        <w:gridCol w:w="335"/>
        <w:gridCol w:w="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2" w:hRule="atLeast"/>
          <w:jc w:val="center"/>
        </w:trPr>
        <w:tc>
          <w:tcPr>
            <w:tcW w:w="29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序号</w:t>
            </w:r>
          </w:p>
        </w:tc>
        <w:tc>
          <w:tcPr>
            <w:tcW w:w="3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产品名称</w:t>
            </w:r>
          </w:p>
        </w:tc>
        <w:tc>
          <w:tcPr>
            <w:tcW w:w="352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1"/>
                <w:szCs w:val="21"/>
                <w:highlight w:val="none"/>
                <w:u w:val="none"/>
                <w:lang w:val="en-US"/>
              </w:rPr>
            </w:pPr>
            <w:r>
              <w:rPr>
                <w:rFonts w:hint="eastAsia" w:ascii="仿宋" w:hAnsi="仿宋" w:eastAsia="仿宋" w:cs="仿宋"/>
                <w:b/>
                <w:i w:val="0"/>
                <w:color w:val="auto"/>
                <w:kern w:val="0"/>
                <w:sz w:val="21"/>
                <w:szCs w:val="21"/>
                <w:highlight w:val="none"/>
                <w:u w:val="none"/>
                <w:lang w:val="en-US" w:eastAsia="zh-CN" w:bidi="ar"/>
              </w:rPr>
              <w:t>配置要求</w:t>
            </w:r>
          </w:p>
        </w:tc>
        <w:tc>
          <w:tcPr>
            <w:tcW w:w="16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数量</w:t>
            </w:r>
          </w:p>
        </w:tc>
        <w:tc>
          <w:tcPr>
            <w:tcW w:w="16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单位</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u w:val="none"/>
                <w:lang w:val="en-US" w:eastAsia="zh-CN" w:bidi="ar"/>
              </w:rPr>
              <w:t>响应程度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tabs>
                <w:tab w:val="left" w:pos="372"/>
              </w:tabs>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一、软硬件设备</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tabs>
                <w:tab w:val="left" w:pos="372"/>
              </w:tabs>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2"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1、访客管理</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4"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刷卡摆闸（左）</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产品尺寸：1500.0mm×200.0mm×970.0mm（长×宽×高）；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通道宽度：不锈钢：600mm-1500mm亚克力：600mm-900mm；功耗：单机芯：≤5W（待机），≤70W（工作）双机芯：10W（待机），≤140W（工作）；</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驱动电机：直流无刷电机；开门模式：刷卡/人脸识别；使用环境：室外、室内</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刷卡摆闸（右）</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产品尺寸：1500.0mm×200.0mm×970.0mm（长×宽×高）；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通道宽度：不锈钢：600mm-1500mm亚克力：600mm-900mm；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驱动电机：直流无刷电机；开门模式：刷卡/人脸识别；使用环境：室外、室内</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88"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人脸识别闸机头</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开门模式：支持远程/密码/二维码/人脸识别开门模式，支持组合开门模式设置；报警输入1路（开关量）；报警输出1路（继电器）；</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RS-232接口1个；  报警联动；  使用环境：室外</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人证闸机头支架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外壳材料：铝合金金属边框；工作温度：-30℃-+70℃；使用环境：室内室外</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无线遥控器</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接收器：电压DC24V；电流0.1A；接收灵敏度-107dBm；四路继电器输出，信号互锁、信号非锁、信号自锁、信号两路自锁和两路非锁并存；</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遥控器：电压：DC12V（10号干电池）；电流：38mA（待机为0）；输出功率16dBm；按键数量：4个；工作温度：-10℃-+70℃，工作湿度：≤93%；重量:0.3KG；</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包含一个接收器、两个遥控器（含干电池）</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7"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通道摆臂</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左闸摆臂和右闸摆臂料号一致，每个通道需要两个摆臂。</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摆臂长度表示支持的净通道宽度为600mm，非单个摆臂实际长度。</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门禁读卡器</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支持刷卡开门模式；支持普通Mifare卡识别、二代身份证卡、公交IC卡、银行IC卡等卡片的物理卡号读取。</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8</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人脸孔支架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直径100mm，高度33mm</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82"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设备适配费</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第三方人脸闸机、车辆道闸的设备适配费</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5"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10</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访客管理设备</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1.支持内网访客预约审批，访客到达现场刷身份证进行核验，核验成功后，即可授权人脸至相应的闸机，访客刷脸进入。同时，人员出入及审批记录可追溯，大大提升访客拜访体验和企业形象；</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2.采用200万双目摄像头；</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3.支持摄像头角度180度可调，可适应不同身高人员登记；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4.支持脱机运行，身份证比对记录存储和上传；</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5.支持双网口，内外网数据隔离，通信数据采用加密处理，更安全。</w:t>
            </w:r>
          </w:p>
          <w:p>
            <w:pPr>
              <w:widowControl/>
              <w:jc w:val="left"/>
              <w:textAlignment w:val="center"/>
              <w:rPr>
                <w:rFonts w:ascii="仿宋" w:hAnsi="仿宋" w:eastAsia="仿宋" w:cs="仿宋"/>
                <w:b/>
                <w:bCs/>
                <w:strike/>
                <w:color w:val="0000FF"/>
                <w:kern w:val="0"/>
                <w:szCs w:val="21"/>
                <w:u w:val="single"/>
                <w:lang w:bidi="ar"/>
              </w:rPr>
            </w:pPr>
            <w:r>
              <w:rPr>
                <w:rFonts w:hint="eastAsia" w:ascii="仿宋" w:hAnsi="仿宋" w:eastAsia="仿宋" w:cs="仿宋"/>
                <w:i w:val="0"/>
                <w:color w:val="auto"/>
                <w:kern w:val="0"/>
                <w:sz w:val="21"/>
                <w:szCs w:val="21"/>
                <w:highlight w:val="none"/>
                <w:u w:val="none"/>
                <w:lang w:val="en-US" w:eastAsia="zh-CN" w:bidi="ar"/>
              </w:rPr>
              <w:t>6.用户数：40000个；</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p>
          <w:p>
            <w:pPr>
              <w:keepNext w:val="0"/>
              <w:keepLines w:val="0"/>
              <w:widowControl/>
              <w:suppressLineNumbers w:val="0"/>
              <w:jc w:val="left"/>
              <w:textAlignment w:val="center"/>
              <w:rPr>
                <w:rFonts w:hint="eastAsia"/>
                <w:color w:val="auto"/>
              </w:rPr>
            </w:pPr>
            <w:r>
              <w:rPr>
                <w:rFonts w:hint="eastAsia" w:ascii="仿宋" w:hAnsi="仿宋" w:eastAsia="仿宋" w:cs="仿宋"/>
                <w:i w:val="0"/>
                <w:color w:val="auto"/>
                <w:kern w:val="0"/>
                <w:sz w:val="21"/>
                <w:szCs w:val="21"/>
                <w:highlight w:val="none"/>
                <w:u w:val="none"/>
                <w:lang w:val="en-US" w:eastAsia="zh-CN" w:bidi="ar"/>
              </w:rPr>
              <w:t>7.支持照片、视频防假体检测功能。</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门岗测温一体机（室内）</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摄像头采用 200万CMOS，支持真实宽动态；</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支持自动补光，可有效降低环境光污染；支持人脸识别；</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支持测温功能开启/关闭模式，测温范围30℃～45℃，测温距离0.3m～0.7m，测温误差≤0.5℃，测温精度0.1℃，实现高温异常事件告警；</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支持未佩戴口罩检测模式，实现未佩戴口罩异常事件告警；支持胁迫报警、防拆报警、闯入报警、门超时报警、非法卡超次报警</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2、车辆管理</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200万暖光变焦抓拍一体机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LED屏显示屏，亮度可根据环境亮度自适应；镜头标配：2.7-13.5mm电动变焦镜头；补光灯；抓拍距离：2.5-8m；支持二维码显示；支持语音播报；支持视频检测、I/O线圈、雷达三种触发方式；支持车型、车标、车系、车身颜色、车牌颜色、车牌号码、车牌类型、无牌车、新能源车牌识别；除雾功能支持自动除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2.车标识别功能：在天气晴朗无雾，车牌无遮挡，无污损，车身无大面积遮挡的条件下进项测试，白天测试时的环境光照度应不低于200lx，晚上测试时的辅助设备照明度应不高于100lx。车标识别率：≥99%；</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single"/>
                <w:lang w:val="en-US" w:eastAsia="zh-CN" w:bidi="ar"/>
              </w:rPr>
            </w:pPr>
            <w:r>
              <w:rPr>
                <w:rFonts w:hint="eastAsia" w:ascii="仿宋" w:hAnsi="仿宋" w:eastAsia="仿宋" w:cs="仿宋"/>
                <w:i w:val="0"/>
                <w:color w:val="auto"/>
                <w:kern w:val="0"/>
                <w:sz w:val="21"/>
                <w:szCs w:val="21"/>
                <w:highlight w:val="none"/>
                <w:u w:val="none"/>
                <w:lang w:val="en-US" w:eastAsia="zh-CN" w:bidi="ar"/>
              </w:rPr>
              <w:t>3.车型识别功能：在天气晴朗无雾，车牌无遮挡，无污损，车身无大面积遮挡的条件下进项测试，白天测试时的环境光照度应不低于200lx，晚上测试时的辅助设备照明度应不高于100lx。车型识别率：≥99%；</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p>
          <w:p>
            <w:pPr>
              <w:keepNext w:val="0"/>
              <w:keepLines w:val="0"/>
              <w:widowControl/>
              <w:suppressLineNumbers w:val="0"/>
              <w:jc w:val="left"/>
              <w:textAlignment w:val="center"/>
              <w:rPr>
                <w:rFonts w:hint="default" w:eastAsia="仿宋_GB2312"/>
                <w:color w:val="auto"/>
                <w:lang w:val="en-US" w:eastAsia="zh-CN"/>
              </w:rPr>
            </w:pPr>
            <w:r>
              <w:rPr>
                <w:rFonts w:hint="eastAsia" w:ascii="仿宋" w:hAnsi="仿宋" w:eastAsia="仿宋" w:cs="仿宋"/>
                <w:i w:val="0"/>
                <w:color w:val="auto"/>
                <w:kern w:val="0"/>
                <w:sz w:val="21"/>
                <w:szCs w:val="21"/>
                <w:highlight w:val="none"/>
                <w:u w:val="none"/>
                <w:lang w:val="en-US" w:eastAsia="zh-CN" w:bidi="ar"/>
              </w:rPr>
              <w:t>4.道闸设备状态获取功能：持获取道闸运行状态、工作状态、道闸运行次数、设备型号和故障代码。</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10</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直杆广告3米道闸（右向）  </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工作电源：220V±10%、50/60Hz   电机功率：200W</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工作温度：-30～50℃            广告杆长度：3m</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起落杆速度：&gt;=6s</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直杆广告道闸配杆</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广告道闸3米</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右向直臂道闸</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杆件类型：直杆，杆长3米；支持遥控器远程开关；</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支持压力波防砸、雷达防砸、线圈防砸、红外防砸；</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道闸配杆</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外壳材料铝合金，直臂，不分左右3米</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出入口防砸雷达</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支持全系道闸应用场景；支持串口和手机WIFI调试和设置；</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支持虚警点检测及剔除；支持通过485连接相机读取雷达参数及雷达日志记录。</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4"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雷达配套电源</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AC220V转DC12V电源适配器，可用于给雷达、相机等供电。</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2"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3、人脸门禁</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人脸门禁一体机(室外)</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采用7英寸液晶屏， 200万像素摄像头</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IP67防护等级；支持10万个用户、10万张人脸，支持人脸、IC卡、密码等多种识别方式；支持显示人脸框，并实时检测最大人脸；支持识别区域及人脸目标大小设置；支持活体检测功能；支持逆光、顺光等强光场景的稳定识别，场景适应性更广；支持防拆报警、闯入报警、门超时报警、非法卡超次报警。</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磁力锁</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铝合金、电镀拉丝；锁状态信号输出；断电开门；适用木门\金属门\防火门等。</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8"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出门按钮</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塑料外壳，坚固耐用。</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40"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4、安全帽/烟火/水浸识别</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5"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安全帽监测一体机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1.室内、室外，白天环境或夜间灯光充足的全彩画面；识别精确率：90%以上；最小检测尺寸：40*40像素；支持画面中自定义分析区域；响应时间：延时1-4S；</w:t>
            </w:r>
          </w:p>
          <w:p>
            <w:pPr>
              <w:keepNext w:val="0"/>
              <w:keepLines w:val="0"/>
              <w:widowControl/>
              <w:suppressLineNumbers w:val="0"/>
              <w:jc w:val="both"/>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2.软硬一体机，利旧现有监控摄像头，满足70路摄像头实现安全帽检测。</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明火监测一体机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室外，夜间白天，红色明火；需要对场景样本采集进行训练；识别精确率：90%以上；最小检测尺寸：40x40像素；支持画面中自定义分析区域；成像分辨率：1080P以上；视频角度：与水平线角度不小于10度；色彩要求：彩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2.软硬一体机，利旧现有监控摄像头，满足31路摄像头实现明火检测。</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94"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烟雾监测一体机</w:t>
            </w:r>
          </w:p>
        </w:tc>
        <w:tc>
          <w:tcPr>
            <w:tcW w:w="3521" w:type="pct"/>
            <w:tcBorders>
              <w:tl2br w:val="nil"/>
              <w:tr2bl w:val="nil"/>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1.室内下白色烟雾识别精确率：90%以上；最小检测尺寸：100x60像素；</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分析区域：支持画面中自定义分析区域；成像分辨率：1080P 以上；</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视频角度：与水平线角度不小于10度；色彩要求：彩色；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2.软硬一体机，利旧现有监控摄像头，31路摄像头实现烟雾检测。</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水浸监测一体机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1.检测指定区域内积水；分辨率：1080P以上；识别率：80%左右；</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最小检测尺寸：检测目标占画面比例不小于10%；环境：白天无明显遮挡物；</w:t>
            </w:r>
          </w:p>
          <w:p>
            <w:pPr>
              <w:keepNext w:val="0"/>
              <w:keepLines w:val="0"/>
              <w:widowControl/>
              <w:numPr>
                <w:ilvl w:val="0"/>
                <w:numId w:val="0"/>
              </w:numPr>
              <w:suppressLineNumbers w:val="0"/>
              <w:jc w:val="left"/>
              <w:textAlignment w:val="center"/>
              <w:rPr>
                <w:rFonts w:hint="default"/>
                <w:color w:val="auto"/>
                <w:lang w:val="en-US" w:eastAsia="zh-CN"/>
              </w:rPr>
            </w:pPr>
            <w:r>
              <w:rPr>
                <w:rFonts w:hint="eastAsia" w:ascii="仿宋" w:hAnsi="仿宋" w:eastAsia="仿宋" w:cs="仿宋"/>
                <w:i w:val="0"/>
                <w:color w:val="auto"/>
                <w:kern w:val="0"/>
                <w:sz w:val="21"/>
                <w:szCs w:val="21"/>
                <w:highlight w:val="none"/>
                <w:u w:val="none"/>
                <w:lang w:val="en-US" w:eastAsia="zh-CN" w:bidi="ar"/>
              </w:rPr>
              <w:t>2.软硬一体机，利旧现有监控摄像头，27路摄像头实现水浸检测；</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3.算法管理；设备管理；报警管理；数据管理平台子模块；</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200万枪型摄像机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高性能200万像素，低照度效果好，图像清晰度高；支持H.265编码，压缩比高，实现超低码流传输；内置红外补光灯，最大红外监控距离50米；支持走廊模式，宽动态，3D降噪，强光抑制，背光补偿，数字水印，适用不同监控环境；支持SMART H.264/H.265，灵活编码，适用不同带宽和存储环境；支持DC12V/POE供电方式，电压值12V，方便工程安装；</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2.配套壁装支架。</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15</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5、入侵检测</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400万近距离人脸识别摄像机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1.传感器类型1/3英寸CMOS；像素400万；最大分辨率2688×1520；</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最低照度：0.002Lux(彩色模式)；0.0002Lux(黑白模式)；0Lux(补光灯开启)；最大补光距离60m（红外）；镜头类型：电动变焦；镜头焦距：2.7-13.5mm；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支持人脸检测、跟踪、抓拍；支持上报最优的人脸抓图；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支持人脸增强、人脸曝光；支持实时抓拍、优选抓拍。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2.智能行为分析功能检验：可最多设置10组布防时间，在布防时间内开启智能行为分析功能，可对人、车、人和车进行检测</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default"/>
                <w:lang w:val="en-US" w:eastAsia="zh-CN"/>
              </w:rPr>
            </w:pPr>
            <w:r>
              <w:rPr>
                <w:rFonts w:hint="default" w:ascii="仿宋" w:hAnsi="仿宋" w:eastAsia="仿宋" w:cs="仿宋"/>
                <w:i w:val="0"/>
                <w:color w:val="auto"/>
                <w:kern w:val="0"/>
                <w:sz w:val="21"/>
                <w:szCs w:val="21"/>
                <w:highlight w:val="none"/>
                <w:u w:val="none"/>
                <w:lang w:val="en-US" w:eastAsia="zh-CN" w:bidi="ar"/>
              </w:rPr>
              <w:t>3</w:t>
            </w:r>
            <w:r>
              <w:rPr>
                <w:rFonts w:hint="eastAsia" w:ascii="仿宋" w:hAnsi="仿宋" w:eastAsia="仿宋" w:cs="仿宋"/>
                <w:i w:val="0"/>
                <w:color w:val="auto"/>
                <w:kern w:val="0"/>
                <w:sz w:val="21"/>
                <w:szCs w:val="21"/>
                <w:highlight w:val="none"/>
                <w:u w:val="none"/>
                <w:lang w:val="en-US" w:eastAsia="zh-CN" w:bidi="ar"/>
              </w:rPr>
              <w:t>.具有1个RJ45网络接口、3路报警输入、2路报警输出、1路音频输入、1路音频输出、1个内置麦克风、1个RS232接口、1个SD卡插槽、1个复位按键</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57</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5"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轻型枪机壁装支架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铝合金；白色；壁装；</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57</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400万远距离人脸识别摄像机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1.传感器类型1/1.8英寸CMOS；像素400万；最大分辨率2688×1520；</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最低照度：0.001Lux(彩色模式)、0.0001Lux(黑白模式)、0Lux(补光灯开启)；最大补光距离35m(人脸检测距离）、65m(暖光模式视频监控距离)、120m(混光模式视频监控距离)；镜头类型：电动变焦；镜头焦距：8-32mm；</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支持人脸检测、跟踪、抓拍；支持上报最优的人脸抓图；</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支持人脸增强、人脸曝光；支持实时抓拍、优选抓拍。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2.同一静止场景相同图像质量下设备开启智能编码功能和不开启智能编码相比，码率节约4/5</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default" w:ascii="仿宋" w:hAnsi="仿宋" w:eastAsia="仿宋" w:cs="仿宋"/>
                <w:i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rPr>
            </w:pPr>
            <w:r>
              <w:rPr>
                <w:rFonts w:hint="default" w:ascii="仿宋" w:hAnsi="仿宋" w:eastAsia="仿宋" w:cs="仿宋"/>
                <w:i w:val="0"/>
                <w:color w:val="auto"/>
                <w:kern w:val="0"/>
                <w:sz w:val="21"/>
                <w:szCs w:val="21"/>
                <w:highlight w:val="none"/>
                <w:u w:val="none"/>
                <w:lang w:val="en-US" w:eastAsia="zh-CN" w:bidi="ar"/>
              </w:rPr>
              <w:t>3</w:t>
            </w:r>
            <w:r>
              <w:rPr>
                <w:rFonts w:hint="eastAsia" w:ascii="仿宋" w:hAnsi="仿宋" w:eastAsia="仿宋" w:cs="仿宋"/>
                <w:i w:val="0"/>
                <w:color w:val="auto"/>
                <w:kern w:val="0"/>
                <w:sz w:val="21"/>
                <w:szCs w:val="21"/>
                <w:highlight w:val="none"/>
                <w:u w:val="none"/>
                <w:lang w:val="en-US" w:eastAsia="zh-CN" w:bidi="ar"/>
              </w:rPr>
              <w:t>.可通过IE浏览器在视频图像上叠加最多 20行字符，字符可选择项包括通道名称、 时间、地理位置，可设置字体颜色和设置字符大小为最大、 大、中、小共4档，支持文字左右对齐， 可设置叠加位置，字符叠加字库支持矢量类型</w:t>
            </w:r>
            <w:r>
              <w:rPr>
                <w:rFonts w:hint="eastAsia" w:ascii="仿宋" w:hAnsi="仿宋" w:eastAsia="仿宋" w:cs="仿宋"/>
                <w:i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i w:val="0"/>
                <w:color w:val="auto"/>
                <w:kern w:val="0"/>
                <w:sz w:val="21"/>
                <w:szCs w:val="21"/>
                <w:highlight w:val="none"/>
                <w:u w:val="none"/>
                <w:lang w:val="en-US" w:eastAsia="zh-CN" w:bidi="ar"/>
              </w:rPr>
              <w:t>。</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3</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6"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普通壁装枪机支架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铝合金；白色；壁装；</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3.5m杆，0.5m横臂，材质钢材+喷涂（属于治安立杆，含地笼）</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15</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3.5m杆，0.5m横臂，材质钢材+喷涂（水池点位安装，不做基础）</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6、智能周界</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400万智能周界摄像机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传感器类型：1/2.7英寸CMOS；像素：400万；最低照度：0.002Lux(彩色模式)、0.0002Lux(黑白模式)；支持周界防范绊线入侵检测、区域入侵检测；</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视频压缩标准：支持H.265、H.264；宽动态120dB；支持透雾功能；</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内置扬声器；白光报警、声音报警；接入标准ONVIF；GB/T28181；</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供电方式：DC12V/POE；防护等级：IP67</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63</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6"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普通壁装枪机支架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铝合金；壁装；</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63</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立杆</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3.5m杆，0.5m横臂，材质钢材+喷涂（水池点位安装，不做基础）</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7、园区综合管理</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园区综合管理平台一体机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集成管理人脸闸机、车辆管理、人脸门禁、人脸识别、智能周界等子系统。</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模块组件化设计：可以随意组合成不同的产品，支持灵活扩展；</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业务化首页设计：支持用户自定义配置业务数据展现，展示重要的数据；</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车辆管理：实现不停车出入功能、车牌号自动识别、雷达防砸、出入停车场迅速准确、无卡管理模式、权限设置、报表统计。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人脸门禁管理：开门计划、人脸库采集录入、人脸授权、人脸识别开门；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人脸闸机：非法通行、非法闯入报警，假体检测报警，人脸开门记录查询；</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丰富的智能化功能：支持IVS-B/PC等智能设备接入，实现人脸识别、轨迹回溯；</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人脸识别管理：人脸检测抓拍、抓拍库检索、注册库管理、注册库查询、陌生人/黑名单入侵检测、结构化查询、人脸属性查证；支持多址模式下800M码流的接入、转发和存储；支持绑定模式下1500M码流的接入、转发和存储； </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支持ONVIF、GB/T28181标准协议的设备接入；支持GB/T28181、DB33等标准协议的平台接入；支持B/S、C/S客户端，以及iphone、ipad、android等移动端应用； 支持二次开发，提供平台SDK开发包、webservice、REST接口。</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67"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人脸算法服务器</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1.支持不少于2万、不超过50万张人脸图片，不超过50个人脸名单库；</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2.支持&gt;=20万张车牌名单，&gt;=30个车牌库,支持黑名单/白名单；</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3.支持16路人脸识别（1080p视频流）或80张/秒图片流比对报警；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4.支持1000万条人脸历史抓拍库;</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5.支持联动录像，抓图，日志，预置点，本地报警输出，IPC报警输出，门禁，语音播报；</w:t>
            </w:r>
          </w:p>
          <w:p>
            <w:pPr>
              <w:widowControl/>
              <w:jc w:val="left"/>
              <w:textAlignment w:val="center"/>
              <w:rPr>
                <w:rFonts w:ascii="仿宋" w:hAnsi="仿宋" w:eastAsia="仿宋" w:cs="仿宋"/>
                <w:kern w:val="0"/>
                <w:szCs w:val="21"/>
                <w:highlight w:val="yellow"/>
                <w:lang w:bidi="ar"/>
              </w:rPr>
            </w:pPr>
            <w:r>
              <w:rPr>
                <w:rFonts w:hint="eastAsia" w:ascii="仿宋" w:hAnsi="仿宋" w:eastAsia="仿宋" w:cs="仿宋"/>
                <w:i w:val="0"/>
                <w:color w:val="auto"/>
                <w:kern w:val="0"/>
                <w:sz w:val="21"/>
                <w:szCs w:val="21"/>
                <w:highlight w:val="none"/>
                <w:u w:val="none"/>
                <w:lang w:val="en-US" w:eastAsia="zh-CN" w:bidi="ar"/>
              </w:rPr>
              <w:t>6.最大支持16路实时人脸检测、录像、抓图、报警日志记录；可在视频画面显示人员的年龄段、性别、是否戴眼镜、是否戴口罩等信息</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default"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ascii="仿宋" w:hAnsi="仿宋" w:eastAsia="仿宋" w:cs="仿宋"/>
                <w:b/>
                <w:bCs/>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支持以图搜图，可对最多10张目标人脸进行相似图片搜索，并设置相似度阈值，当搜索出符合目标相似度阈值的图片后，可查看关联图片并回放关联录像文件，相似度阈值可设置为0-100，搜索结果可以图表和列表两种方式展示；</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default"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eastAsia="仿宋"/>
                <w:color w:val="auto"/>
                <w:lang w:val="en-US" w:eastAsia="zh-CN"/>
              </w:rPr>
            </w:pPr>
            <w:r>
              <w:rPr>
                <w:rFonts w:hint="eastAsia" w:ascii="仿宋" w:hAnsi="仿宋" w:eastAsia="仿宋" w:cs="仿宋"/>
                <w:i w:val="0"/>
                <w:color w:val="auto"/>
                <w:kern w:val="0"/>
                <w:sz w:val="21"/>
                <w:szCs w:val="21"/>
                <w:highlight w:val="none"/>
                <w:u w:val="none"/>
                <w:lang w:val="en-US" w:eastAsia="zh-CN" w:bidi="ar"/>
              </w:rPr>
              <w:t>8.支持根据人脸属性设置在预览画面中显示目标检测框；接入具有人脸侦测报警功能的摄像机，可接收摄像机发出的人脸侦测报警信息</w:t>
            </w:r>
            <w:r>
              <w:rPr>
                <w:rFonts w:hint="eastAsia" w:ascii="仿宋" w:hAnsi="仿宋" w:eastAsia="仿宋" w:cs="仿宋"/>
                <w:color w:val="auto"/>
                <w:kern w:val="0"/>
                <w:szCs w:val="21"/>
                <w:highlight w:val="none"/>
                <w:u w:val="single"/>
                <w:lang w:bidi="ar"/>
              </w:rPr>
              <w:t>（报价响应时提供公安部有效检测报告复印件加盖原厂公章或投标专用章）</w:t>
            </w:r>
            <w:r>
              <w:rPr>
                <w:rFonts w:hint="eastAsia" w:ascii="仿宋" w:hAnsi="仿宋" w:eastAsia="仿宋" w:cs="仿宋"/>
                <w:color w:val="auto"/>
                <w:kern w:val="0"/>
                <w:szCs w:val="21"/>
                <w:highlight w:val="none"/>
                <w:u w:val="single"/>
                <w:lang w:eastAsia="zh-CN" w:bidi="ar"/>
              </w:rPr>
              <w:t>。</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4"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6TB硬盘</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6000G；5400RPM；256M；SATA</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视频存储服务器 </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auto"/>
                <w:kern w:val="0"/>
                <w:szCs w:val="21"/>
                <w:highlight w:val="none"/>
                <w:u w:val="none"/>
                <w:lang w:val="en-US" w:eastAsia="zh-CN" w:bidi="ar"/>
              </w:rPr>
            </w:pPr>
            <w:r>
              <w:rPr>
                <w:rFonts w:hint="eastAsia" w:ascii="仿宋" w:hAnsi="仿宋" w:eastAsia="仿宋" w:cs="仿宋"/>
                <w:color w:val="auto"/>
                <w:kern w:val="0"/>
                <w:szCs w:val="21"/>
                <w:highlight w:val="none"/>
                <w:u w:val="none"/>
                <w:lang w:val="en-US" w:eastAsia="zh-CN" w:bidi="ar"/>
              </w:rPr>
              <w:t>1.单台支持插入不少于48个硬盘。</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2.高安全：多种RAID模式支持，电源、风扇、接口、数据通道冗余；</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3.低成本：前端直接存储，多协议支持；</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4.高性能：支持400路私有、onvif、国标等前端1:1:1接入、存储和转发；</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5.高扩展：支持内存、网口、光口、PCI-E外设；</w:t>
            </w:r>
            <w:r>
              <w:rPr>
                <w:rFonts w:hint="eastAsia" w:ascii="仿宋" w:hAnsi="仿宋" w:eastAsia="仿宋" w:cs="仿宋"/>
                <w:color w:val="auto"/>
                <w:kern w:val="0"/>
                <w:szCs w:val="21"/>
                <w:highlight w:val="none"/>
                <w:u w:val="none"/>
                <w:lang w:val="en-US" w:eastAsia="zh-CN" w:bidi="ar"/>
              </w:rPr>
              <w:br w:type="textWrapping"/>
            </w:r>
            <w:r>
              <w:rPr>
                <w:rFonts w:hint="eastAsia" w:ascii="仿宋" w:hAnsi="仿宋" w:eastAsia="仿宋" w:cs="仿宋"/>
                <w:color w:val="auto"/>
                <w:kern w:val="0"/>
                <w:szCs w:val="21"/>
                <w:highlight w:val="none"/>
                <w:u w:val="none"/>
                <w:lang w:val="en-US" w:eastAsia="zh-CN" w:bidi="ar"/>
              </w:rPr>
              <w:t>6.可信赖：数以千计的大型成功案例，优异的客户体验，广泛的客户接受度；</w:t>
            </w:r>
          </w:p>
          <w:p>
            <w:pPr>
              <w:keepNext w:val="0"/>
              <w:keepLines w:val="0"/>
              <w:widowControl/>
              <w:suppressLineNumbers w:val="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val="en-US" w:eastAsia="zh-CN" w:bidi="ar"/>
              </w:rPr>
              <w:t>7.支持单个SAMBA共享文件夹，可对128个用户同时进行管理；支持单个ftp共享文件夹，可对128个用户同时进行管理</w:t>
            </w:r>
            <w:r>
              <w:rPr>
                <w:rFonts w:hint="eastAsia" w:ascii="仿宋" w:hAnsi="仿宋" w:eastAsia="仿宋" w:cs="仿宋"/>
                <w:color w:val="auto"/>
                <w:kern w:val="0"/>
                <w:szCs w:val="21"/>
                <w:highlight w:val="none"/>
                <w:u w:val="none"/>
                <w:lang w:bidi="ar"/>
              </w:rPr>
              <w:t>（报价响应时提供公安部有效检测报告复印件加盖原厂公章或投标专用章）。</w:t>
            </w:r>
          </w:p>
          <w:p>
            <w:pPr>
              <w:keepNext w:val="0"/>
              <w:keepLines w:val="0"/>
              <w:widowControl/>
              <w:jc w:val="left"/>
              <w:textAlignment w:val="center"/>
              <w:rPr>
                <w:rFonts w:hint="eastAsia" w:ascii="仿宋" w:hAnsi="仿宋" w:eastAsia="仿宋" w:cs="仿宋"/>
                <w:b w:val="0"/>
                <w:bCs w:val="0"/>
                <w:color w:val="auto"/>
                <w:kern w:val="0"/>
                <w:sz w:val="21"/>
                <w:szCs w:val="21"/>
                <w:highlight w:val="none"/>
                <w:u w:val="none"/>
                <w:lang w:val="en-US" w:eastAsia="zh-CN" w:bidi="ar"/>
              </w:rPr>
            </w:pPr>
            <w:r>
              <w:rPr>
                <w:rFonts w:hint="eastAsia" w:ascii="仿宋" w:hAnsi="仿宋" w:eastAsia="仿宋" w:cs="仿宋"/>
                <w:b w:val="0"/>
                <w:bCs w:val="0"/>
                <w:color w:val="auto"/>
                <w:kern w:val="0"/>
                <w:sz w:val="21"/>
                <w:szCs w:val="21"/>
                <w:highlight w:val="none"/>
                <w:u w:val="none"/>
                <w:lang w:val="en-US" w:eastAsia="zh-CN" w:bidi="ar"/>
              </w:rPr>
              <w:t>8.采用LINUX操作系统，具有1个控制单元，1个64位六核处理器，8GB内存，可扩展至128GB。具有128GB SSD固态硬盘，可扩展至2个512GB SSD固态硬盘。可扩展1个2.5英寸SATA硬盘。具有2个可热插拔BBU电源，可扩展至4个可热插拔BBU电源</w:t>
            </w:r>
            <w:r>
              <w:rPr>
                <w:rFonts w:hint="eastAsia" w:ascii="仿宋" w:hAnsi="仿宋" w:eastAsia="仿宋" w:cs="仿宋"/>
                <w:b w:val="0"/>
                <w:bCs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b w:val="0"/>
                <w:bCs w:val="0"/>
                <w:color w:val="auto"/>
                <w:kern w:val="0"/>
                <w:sz w:val="21"/>
                <w:szCs w:val="21"/>
                <w:highlight w:val="none"/>
                <w:u w:val="none"/>
                <w:lang w:val="en-US" w:eastAsia="zh-CN" w:bidi="ar"/>
              </w:rPr>
              <w:t xml:space="preserve">。 </w:t>
            </w:r>
          </w:p>
          <w:p>
            <w:pPr>
              <w:pStyle w:val="2"/>
              <w:spacing w:before="0" w:after="0" w:line="240" w:lineRule="auto"/>
              <w:rPr>
                <w:rFonts w:hint="default"/>
                <w:lang w:val="en-US" w:eastAsia="zh-CN"/>
              </w:rPr>
            </w:pPr>
            <w:r>
              <w:rPr>
                <w:rFonts w:hint="eastAsia" w:ascii="仿宋" w:hAnsi="仿宋" w:eastAsia="仿宋" w:cs="仿宋"/>
                <w:b w:val="0"/>
                <w:bCs w:val="0"/>
                <w:color w:val="auto"/>
                <w:kern w:val="0"/>
                <w:sz w:val="21"/>
                <w:szCs w:val="21"/>
                <w:highlight w:val="none"/>
                <w:u w:val="none"/>
                <w:lang w:val="en-US" w:eastAsia="zh-CN" w:bidi="ar"/>
              </w:rPr>
              <w:t>9.前面板具有锁止功能，加锁后硬盘无法取出，具有可拆卸式防尘滤网</w:t>
            </w:r>
            <w:r>
              <w:rPr>
                <w:rFonts w:hint="eastAsia" w:ascii="仿宋" w:hAnsi="仿宋" w:eastAsia="仿宋" w:cs="仿宋"/>
                <w:b w:val="0"/>
                <w:bCs w:val="0"/>
                <w:color w:val="auto"/>
                <w:kern w:val="0"/>
                <w:sz w:val="21"/>
                <w:szCs w:val="21"/>
                <w:highlight w:val="none"/>
                <w:u w:val="single"/>
                <w:lang w:val="en-US" w:eastAsia="zh-CN" w:bidi="ar"/>
              </w:rPr>
              <w:t>（报价响应时提供公安部有效检测报告复印件加盖原厂公章或投标专用章）</w:t>
            </w:r>
            <w:r>
              <w:rPr>
                <w:rFonts w:hint="eastAsia" w:ascii="仿宋" w:hAnsi="仿宋" w:eastAsia="仿宋" w:cs="仿宋"/>
                <w:b w:val="0"/>
                <w:bCs w:val="0"/>
                <w:color w:val="auto"/>
                <w:kern w:val="0"/>
                <w:sz w:val="21"/>
                <w:szCs w:val="21"/>
                <w:highlight w:val="none"/>
                <w:u w:val="none"/>
                <w:lang w:val="en-US" w:eastAsia="zh-CN" w:bidi="ar"/>
              </w:rPr>
              <w:t>。</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7"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6T企业级硬盘</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6000G；7200RPM；256M；SATA</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67</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41"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机柜</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42U，配1条8位10A的PDU，配套层板</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8、紧急对讲</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报警管理主机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管理主机远程管理所有辖区内对讲终端，可监控在线、工作状态和异常状态可实现远程双向可视对讲、监听、监视、定时播放背景音乐。</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支持喧哗报警（与对讲终端配合使用）。</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68"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IP地址盒</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1.IP对讲系统的核心控制枢纽监视所有终端状态，通过控制主机屏幕可以一览所有网点终端在线离线状态；</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2.选中一个网点终端，点击发起对该网点某个面板的监听和对讲；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3.网点终端可配置详细的信息，如地理位置，网点性质，求助呼叫时弹屏显示；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4.分组维护，分组管理可以根据需求将多个网点终端分为一组同时处理；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5.选中一个网点终端，点击实现该终端上监控远程控制；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6.来电显示，系统收到求助时，弹屏主叫详细（主叫号码，主叫名称）；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7.系统接听求助后，根据情况可以发起电话转接，保持等业务；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8.所有终端维护检测，单台支持不少于500路接入，支持多台服务器级联互通。</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71"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IP报警柱</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720P/1080P高清摄像可选；全双工语音对讲，无回声啸叫；</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内置高灵敏度麦克风，可实现不小于2米对讲；</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采用动态降噪，可在高噪声环境中清晰拾音；内嵌全频段优质扬声器；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内置防破音技术，最大限度保护扬声器的输出；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先进的数字回声消除技术，全面消除回声；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采用厚铝面板，四周带边密封并有防水槽设计；</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红波按钮常亮，户外、夜视都能清晰可见，具备10万次寿命，抗击打和冲击。</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根</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87"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声光报警器</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声光报警器，LED跑马灯</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电源</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电源DC12/2A</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82" w:hRule="atLeast"/>
          <w:jc w:val="center"/>
        </w:trPr>
        <w:tc>
          <w:tcPr>
            <w:tcW w:w="4541" w:type="pct"/>
            <w:gridSpan w:val="5"/>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9、AR实景监测</w:t>
            </w:r>
          </w:p>
        </w:tc>
        <w:tc>
          <w:tcPr>
            <w:tcW w:w="4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8"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AR实景监测平台</w:t>
            </w:r>
          </w:p>
        </w:tc>
        <w:tc>
          <w:tcPr>
            <w:tcW w:w="3521" w:type="pct"/>
            <w:tcBorders>
              <w:tl2br w:val="nil"/>
              <w:tr2bl w:val="nil"/>
            </w:tcBorders>
            <w:shd w:val="clear" w:color="auto" w:fill="auto"/>
            <w:tcMar>
              <w:top w:w="15" w:type="dxa"/>
              <w:left w:w="15" w:type="dxa"/>
              <w:right w:w="15" w:type="dxa"/>
            </w:tcMar>
            <w:vAlign w:val="center"/>
          </w:tcPr>
          <w:p>
            <w:pPr>
              <w:numPr>
                <w:ilvl w:val="0"/>
                <w:numId w:val="0"/>
              </w:num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功能：</w:t>
            </w:r>
          </w:p>
          <w:p>
            <w:pPr>
              <w:numPr>
                <w:ilvl w:val="0"/>
                <w:numId w:val="0"/>
              </w:num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1.高点防控单元对沥滘水厂进行全局监控；</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2.低点防控单元进行快速调看；</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3.通过高点防控单元的智能标签技术，支持在视频画面上增加静态标签和动态标签，支持标签检索、定位、方位感知；</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4.可快速通过视频直观了解视频及位置信息，进行人员调配和视频联动；</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5.系统支持对前端设备、标签、POI等AR资源属性进行模糊搜索的功能；</w:t>
            </w:r>
          </w:p>
          <w:p>
            <w:pPr>
              <w:numPr>
                <w:ilvl w:val="0"/>
                <w:numId w:val="0"/>
              </w:numPr>
              <w:ind w:left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6.支持在视频中添加620个背景或设备标签；</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7.通过百度地图或谷歌地图定位设备安装位置的经纬度后，依此坐标为圆心，半径小于800米范围内，对同一经纬度的目标，实时视频内GPS标签的位置与百度或谷歌地图的位置相差不超过10米；</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8.系统支持对带GPS的前端设备进行扫描，并可将扫描结果自动在视频画面上标定的功能；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9.系统支持全景摄像机与多摄像机协同，在全景摄像机监控范围内点击或框选某一区域，可联动选中区域附近的多个球机自动打开并转向、拉近至联动区域，球机同步显示全景摄像机中添加标签的功能；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10.系统收到警情时，高点画面根据警情GPS坐标自动定位到目标位置，自动打开周边的一个或多个低点监控，同时显示周边警力信息，可进行定位、视频回传的功能；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11.系统支持对报警内容、图片、类型、窗口位置、大小、抓拍图片数量、声音等自定义的功能；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系统支持自定义标签类型，可根据不同标签类型进行名称、类型、是否必填等设置，类型支持文字、图片、图片集、文件、显示网页、查询数据、查询数据表等，其中网页可设置浏览器内核、窗口大小，文件支持多种类型上传等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13.系统支持不少于3级图层显示，可根据摄像机镜头变倍显示相应图层标签的功能；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14.系统前端设备图标及标签可在视频画面中跟随所标定的目标物进行移动的功能；</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15.系统根据目标设备按距离检索附近摄像机，并对摄像机定位、查看实时视频和录像，并可将录像添加至案件线索的功能；</w:t>
            </w:r>
          </w:p>
          <w:p>
            <w:pPr>
              <w:pStyle w:val="32"/>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应用子模块：</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16.视频监控联动应用子模块，实现视频资源的整合，可查看实时视频、录像、云台、预置位调用等相关功能。通过增强现实动态标签技术在全局监控画面上叠加摄像头标签，通过视频画中画联动功能同时展示多路视频资源。</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17.车辆管理联动应用子模块，实现在客户端实时掌握车辆卡口数据情况，包括抓拍卡口过车数据信息，报警车辆的数据信息。结合系统对卡口系统报警事件处理机制，快速定位到报警点位并启动对应的处理预案，大大提高中控对车辆卡口报警事件的处理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18.安全帽识别联动应用子模块，实现获取没佩戴安全帽人员的报警信息，联动高低视频进行现场定位，提高处置效率。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19.人脸识别联动应用子模块，实现接收人脸识别系统实时比对信息，在客户端实时掌握人脸卡口数据情况，如人员的基本信息（性别，年龄等）、抓拍识别人员图片、黑名单人员图片等实现人脸报警定位。同时结合系统对人脸识别报警事件的处理机制，快速定位到报警点位并启动对应的处理预案，大大提高中控对人脸报警事件的处理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20.周界防范联动应用子模块，实现及时获取落水、禁入区报警信息，同时联动高低视频进行现场定位，提高处置效率。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21.烟火检测联动及应用子模块，实现及时获取明火、烟雾等报警信息，同时联动高低视频进行现场定位，提高处置效率。</w:t>
            </w:r>
          </w:p>
          <w:p>
            <w:pP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22.水浸监测联动应用子模块，实现及时获取水浸、水淹等报警信息，联动视频资源进行现场定位，提高处置效率。</w:t>
            </w:r>
          </w:p>
          <w:p>
            <w:pPr>
              <w:keepNext w:val="0"/>
              <w:keepLines w:val="0"/>
              <w:widowControl/>
              <w:suppressLineNumbers w:val="0"/>
              <w:jc w:val="both"/>
              <w:textAlignment w:val="center"/>
              <w:rPr>
                <w:rFonts w:hint="eastAsia"/>
                <w:color w:val="auto"/>
              </w:rPr>
            </w:pPr>
            <w:r>
              <w:rPr>
                <w:rFonts w:hint="eastAsia" w:ascii="仿宋" w:hAnsi="仿宋" w:eastAsia="仿宋" w:cs="仿宋"/>
                <w:i w:val="0"/>
                <w:color w:val="auto"/>
                <w:kern w:val="0"/>
                <w:sz w:val="21"/>
                <w:szCs w:val="21"/>
                <w:highlight w:val="none"/>
                <w:u w:val="none"/>
                <w:lang w:val="en-US" w:eastAsia="zh-CN" w:bidi="ar"/>
              </w:rPr>
              <w:t>23.消安联动子模块，对接现有消防系统，采集消防告警数据，将现有视频与消防系统联动，当产生消防告警时，调动周边摄像头进行现场情况查看，联动门禁、道闸常开，保障人员、车辆安全逃离。消防安全智能化云平台集成消防数据中心、可视化阅读；</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48"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预案组件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预案组件：突破传统基于地图的方式决策者可直接实现实时实景可视化预案；</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实景可视化预案：指挥员可直接在实景地图上实现精细化的人员部署，比如某个点位部署多少人员等，同时制定出应急疏散路线，通过画分控线的方式进行分区管理等，当启动预案后，各类资源是否到位，在视频上便可一目了然；</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预案导入：可以根据不同的任务导入不同的实景预案；</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分层显示：根据不同的显示策略，可以分层显示实时的资源、预案的资源等。</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7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报警组件</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报警组件：报警中心，包含实时报警联动、报警规则配置及报警历史查询；</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标准接口：可对接如视频监控、人脸识别、安全帽检测、周界防范等各类系统报警信息，形成报警视频联动中心；</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报警与视频实时联动：安防系统接收到实时报警信息，系统能够自动转动高点画面到报警点，并根据联动机制自动打开周边的一个或多个低点地面监控；</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分屏显示：系统可自动将报警联动的低点监控视频在第二块显示屏上显示；</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报警历史查询：可以查询对接系统推送过来的告警或历史报警信息，支持分页显示，支持按报警类型、时间等模糊搜索。</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平台级联模块</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支持水厂系统平台上下级级联。</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1.各下级独立建设系统，管辖本水厂资源；</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2.总级独立建设系统（上级），对自建区域直接接入的水厂的高点范围内的内容进行管理；同时通过向下级联各下级平台，实现对下级平台所接入的各水厂的高点标签、报警信息、预案等进行查看、调用；</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3.下级平台能直接将设备数据共享到上级平台查看和操作，下级共享到上级的设备数据，由上级平台本地进行权限控制。</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套</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66"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软件许可</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已建低点监控摄像机接入许可，利旧接入既有视频资源</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300</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个</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鹰眼摄像机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图像传感器：【全景】4个1/1.8" 8MP Progressive Scan CMOS</w:t>
            </w:r>
          </w:p>
          <w:p>
            <w:pPr>
              <w:keepNext w:val="0"/>
              <w:keepLines w:val="0"/>
              <w:widowControl/>
              <w:suppressLineNumbers w:val="0"/>
              <w:ind w:firstLine="630" w:firstLineChars="30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【细节】1/1.8"CMOS 8MP Progressive Scan CMOS（全景+细节联动球）</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最低照度：【全景】彩色≤0.001lux;黑白≤0.0001lux</w:t>
            </w:r>
          </w:p>
          <w:p>
            <w:pPr>
              <w:keepNext w:val="0"/>
              <w:keepLines w:val="0"/>
              <w:widowControl/>
              <w:suppressLineNumbers w:val="0"/>
              <w:ind w:firstLine="630" w:firstLineChars="30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【细节】彩色≤0.001lux;黑白≤0.0001lux</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光学变倍：33倍   数字变倍：16倍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焦距：【全景】4.0mm   【细节】6.5mm～215mm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视场角：【全景】水平180°、垂直90°【细节】2.0～58.6°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云台范围：水平0-360°、垂直-90～90°并支持连续翻转功能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云台精度：0.01°  键控速度：420°/s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分辨率及帧率：【全景】主码流：7680x4320、3840x2160;子码流：1920x1080、1280x720【细节】主码流：3840x2160、1920x1080、1280x720辅码流：704x576、704x480、640x480;第三码流：720x576     视频压缩标准：H.265，H.264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网络接口：1路10/100/1000MBaseT以太网，RJ45接口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存储：支持Micro SD(即TF卡)，最大支持512G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接口：报警输入/输出各两路，音频输入/输出各1路，1路RS-485接口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红外照射距离： 500m能看清人车轮廓 电源及功耗：DC24V ±20%，78W max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工作温湿度和湿度：-40℃～70℃；湿度小于93%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防护等级：IP67,TVS 8000V防雷、防浪涌、防突波，符合GB/T17626.5四级标准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尺寸：490mm×452mm×305mm  重量：≤18KG</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空间定位模块：本模块实现在运动平台上超远距离目标点在镜头中的相对位置定位及其逆运算。融合惯性测量单元、高精度测角等其他传感器数据，结合学习型算法修正的通用光学镜头的实时数据，通过机器学习的图像回归算法和扩展卡尔曼滤波等算法，实现三维空间的公里级远距离定位。</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标签模块：本模块包括了AR编码、标签信息跨平台传输、存储、搜索计算等功能。标签信息包括动静态标签的内容及相关姿态数据。</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1.AR编码功能：基于高度定制的硬件加速H264/H265编码的AR编码，将AR标签信息融入视频码流。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2.静态标签功能：实现静态目标与视频画面的关联。在云台运动、镜头变焦过程中，始终保证标签定位于目标之上。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3.动态标签功能：可通过客户端软件输入目标的GPS坐标信息，在全景通道和细节通道的视频画面上添加目标的GPS动态标签。</w:t>
            </w:r>
            <w:r>
              <w:rPr>
                <w:rFonts w:hint="eastAsia" w:ascii="仿宋" w:hAnsi="仿宋" w:eastAsia="仿宋" w:cs="仿宋"/>
                <w:color w:val="auto"/>
                <w:kern w:val="0"/>
                <w:szCs w:val="21"/>
                <w:highlight w:val="none"/>
                <w:u w:val="single"/>
                <w:lang w:val="en-US" w:eastAsia="zh-CN" w:bidi="ar"/>
              </w:rPr>
              <w:t>（在报价响应时需要提供公安部检测中心出具的检验或检测报告复印件并加盖原厂公章为准，需标明该项内容在检验报告中对应的检验结果页码及序号）</w:t>
            </w:r>
            <w:r>
              <w:rPr>
                <w:rFonts w:hint="eastAsia" w:ascii="仿宋" w:hAnsi="仿宋" w:eastAsia="仿宋" w:cs="仿宋"/>
                <w:color w:val="auto"/>
                <w:kern w:val="0"/>
                <w:szCs w:val="21"/>
                <w:highlight w:val="none"/>
                <w:u w:val="single"/>
                <w:lang w:bidi="ar"/>
              </w:rPr>
              <w:t>。</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4.动态标签跟随：当球机转动、镜头变倍、标签的GPS坐标信息发生变化时，GPS动态标签可随之改变。</w:t>
            </w:r>
            <w:r>
              <w:rPr>
                <w:rFonts w:hint="eastAsia" w:ascii="仿宋" w:hAnsi="仿宋" w:eastAsia="仿宋" w:cs="仿宋"/>
                <w:color w:val="auto"/>
                <w:kern w:val="0"/>
                <w:szCs w:val="21"/>
                <w:highlight w:val="none"/>
                <w:u w:val="single"/>
                <w:lang w:bidi="ar"/>
              </w:rPr>
              <w:t>（在报价响应时需要提供公安部检测中心出具的检验或检测报告复印件并加盖</w:t>
            </w:r>
            <w:r>
              <w:rPr>
                <w:rFonts w:hint="eastAsia" w:ascii="仿宋" w:hAnsi="仿宋" w:eastAsia="仿宋" w:cs="仿宋"/>
                <w:color w:val="auto"/>
                <w:kern w:val="0"/>
                <w:szCs w:val="21"/>
                <w:highlight w:val="none"/>
                <w:u w:val="single"/>
                <w:lang w:eastAsia="zh-CN" w:bidi="ar"/>
              </w:rPr>
              <w:t>原厂</w:t>
            </w:r>
            <w:r>
              <w:rPr>
                <w:rFonts w:hint="eastAsia" w:ascii="仿宋" w:hAnsi="仿宋" w:eastAsia="仿宋" w:cs="仿宋"/>
                <w:color w:val="auto"/>
                <w:kern w:val="0"/>
                <w:szCs w:val="21"/>
                <w:highlight w:val="none"/>
                <w:u w:val="single"/>
                <w:lang w:bidi="ar"/>
              </w:rPr>
              <w:t>公章为准，需标明该项内容在检验报告中对应的检验结果页码及序号）。</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GPS动态标签偏差范围：通过百度地图或谷歌地图标定样机位置的经、纬度后，对距离样机小于800米的目标设置GPS动态标签，在监控画面中，GPS动态标签位置相对于目标的位置在百度地图或谷歌地图上的水平距离应≤10米。</w:t>
            </w:r>
            <w:r>
              <w:rPr>
                <w:rFonts w:hint="eastAsia" w:ascii="仿宋" w:hAnsi="仿宋" w:eastAsia="仿宋" w:cs="仿宋"/>
                <w:color w:val="auto"/>
                <w:kern w:val="0"/>
                <w:szCs w:val="21"/>
                <w:highlight w:val="none"/>
                <w:u w:val="single"/>
                <w:lang w:bidi="ar"/>
              </w:rPr>
              <w:t>（在报价响应时需要提供公安部检测中心出具的检验或检测报告复印件并加盖</w:t>
            </w:r>
            <w:r>
              <w:rPr>
                <w:rFonts w:hint="eastAsia" w:ascii="仿宋" w:hAnsi="仿宋" w:eastAsia="仿宋" w:cs="仿宋"/>
                <w:color w:val="auto"/>
                <w:kern w:val="0"/>
                <w:szCs w:val="21"/>
                <w:highlight w:val="none"/>
                <w:u w:val="single"/>
                <w:lang w:eastAsia="zh-CN" w:bidi="ar"/>
              </w:rPr>
              <w:t>原厂</w:t>
            </w:r>
            <w:r>
              <w:rPr>
                <w:rFonts w:hint="eastAsia" w:ascii="仿宋" w:hAnsi="仿宋" w:eastAsia="仿宋" w:cs="仿宋"/>
                <w:color w:val="auto"/>
                <w:kern w:val="0"/>
                <w:szCs w:val="21"/>
                <w:highlight w:val="none"/>
                <w:u w:val="single"/>
                <w:lang w:bidi="ar"/>
              </w:rPr>
              <w:t>公章为准，需标明该项内容在检验报告中对应的检验结果页码及序号）。</w:t>
            </w:r>
          </w:p>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6.超级透明通道功能：穿透私有网关、各类协议、流媒体，将AR标签从摄像机端信息无损地传输到后端。</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2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中心管理服务器</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系统参数：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中心管理单元提供统一的认证、授权、管理的设备。作为认证设备，支持公安PKI的集成。</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作为中心管理单元，对系统内的用户、角色、权限、视频监控设备、报警设备、各种服务器（报警管理服务器、存储管理服务器、流媒体服务器、电视墙服务器等）进行集中配置管理。</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提供各类安防监控业务应用，提供完善的日志管理和审计功能。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同时，校时功能能对监控专网内全部设备进行网络校时，保持全部设备时间统一，可由操作员发起手动校时或中心服务器启用定时自动校时功能。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支持多机堆叠、线性扩充视频接入管理能力。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硬件参数：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大小：2U      CPU ：E5-2620V4 2.10GHz（8核）×2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内存：32G     硬盘：1T×2   网卡：4口1000Mbps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电源：1+1冗余电源   其他：配备光驱</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21"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8</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媒体转发服务器</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系统参数：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媒体转发单元是针对于网络监控系统的专用的流媒体转发设备；</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能接入符合接入协议的标准设备（国标GB28181、ONVIF等）；</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也能接入非标准设备，非标准的设备可以通过自有协议、或SDK的方式来提供访问，能同时支持这两种方式。</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能配置设备运行所需要的参数，控制设备的开关机、启用、停止，向设备发送控制命令，检测设备的运行状态和故障信息。</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可根据用户客户端或相关服务、第三方系统的请求，可以转发单独的音频或视频，也可以是同步的音视频复合流。</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提供智能化视频流转、分发管理功能，不受前端编码格式限制，支持多级视频流转分发功能。</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提供流媒体的集群管理及负载均衡服务，可将视频分发任务动态均衡到各个流媒体上，故障流媒体的分发任务将自动分配到其他流媒体。</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支持集群部署，支持多网卡绑定策略</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单台设备支持200路1080P视频并发转发</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支持多级流媒体级联转发能力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支持多机堆叠、线性扩充流媒体并发能力</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硬件参数：</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大小：2U      CPU ：E5-2620V4 2.10GHz（8核）×2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 xml:space="preserve">内存：32G     硬盘：1T×2   网卡：4口1000Mbps   </w:t>
            </w:r>
          </w:p>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电源：1+1冗余电源   其他：配备光驱</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2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9</w:t>
            </w:r>
          </w:p>
        </w:tc>
        <w:tc>
          <w:tcPr>
            <w:tcW w:w="3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Style w:val="68"/>
                <w:rFonts w:hint="eastAsia" w:ascii="仿宋" w:hAnsi="仿宋" w:eastAsia="仿宋" w:cs="仿宋"/>
                <w:color w:val="auto"/>
                <w:sz w:val="21"/>
                <w:szCs w:val="21"/>
                <w:highlight w:val="none"/>
                <w:lang w:val="en-US" w:eastAsia="zh-CN" w:bidi="ar"/>
              </w:rPr>
              <w:t>24口千兆接入交换机</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1.应用层级：三层</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2.传输速率：10/100/1000Mbps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3.交换容量：336Gbps/3.36Tbps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4.包转发率：51Mpps/126Mpps</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5.24个10/100/1000Base-T以太网端口，4个千兆SFP</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6.控制端口：1个console口</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7.堆叠功能：可堆叠</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 xml:space="preserve">8.VLAN 特性：支持 4K 个 VLAN，支持 Guest VLAN、 Voice VLAN，支持 GVRP 协议，支持 MUX VLAN 功能，支持基于 MAC/协议/IP 子网/策略/端口的 VLAN，支持 1:1 和 N:1 VLAN Mapping </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9.IP 路由：静态路由，支持 RIP、 RIPng、 OSPF、 OSPFv3 协议</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10.环网保护技术：支持 RRPP 环型拓扑和 RRPP 多实例，支持SmartLink树型拓朴和SmartLink多实例，提供主备链路的毫秒级保护，支持智能以太保护SEP 协议，支持ERPS以太环保护协议（G.8032），支持STP（IEEE 802.1d），RSTP（IEEE 802.1w）和MSTP（IEEE 802.1s）协议，支持BPDU保护、根保护和环回保护，支持BPDU Tunnel</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11.电源：交流供电</w:t>
            </w:r>
          </w:p>
        </w:tc>
        <w:tc>
          <w:tcPr>
            <w:tcW w:w="16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台</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81" w:hRule="atLeast"/>
          <w:jc w:val="center"/>
        </w:trPr>
        <w:tc>
          <w:tcPr>
            <w:tcW w:w="4541" w:type="pct"/>
            <w:gridSpan w:val="5"/>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b/>
                <w:i w:val="0"/>
                <w:color w:val="auto"/>
                <w:kern w:val="0"/>
                <w:sz w:val="21"/>
                <w:szCs w:val="21"/>
                <w:highlight w:val="none"/>
                <w:u w:val="none"/>
                <w:lang w:val="en-US" w:eastAsia="zh-CN" w:bidi="ar"/>
              </w:rPr>
              <w:t>二、集成施工</w:t>
            </w:r>
          </w:p>
        </w:tc>
        <w:tc>
          <w:tcPr>
            <w:tcW w:w="4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91"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设备及辅材安装、管材及敷设</w:t>
            </w: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访客管理</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车辆管理</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7"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人脸门禁</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入侵检测</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智能周界（水池周界+围墙周界）</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9"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紧急对讲</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0"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AR高点球机</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3"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8</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中控机房</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92" w:hRule="atLeast"/>
          <w:jc w:val="center"/>
        </w:trPr>
        <w:tc>
          <w:tcPr>
            <w:tcW w:w="29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w:t>
            </w:r>
          </w:p>
        </w:tc>
        <w:tc>
          <w:tcPr>
            <w:tcW w:w="391"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52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水浸、烟火异常监控</w:t>
            </w:r>
          </w:p>
        </w:tc>
        <w:tc>
          <w:tcPr>
            <w:tcW w:w="16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163"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项</w:t>
            </w:r>
          </w:p>
        </w:tc>
        <w:tc>
          <w:tcPr>
            <w:tcW w:w="458" w:type="pct"/>
            <w:tcBorders>
              <w:tl2br w:val="nil"/>
              <w:tr2bl w:val="nil"/>
            </w:tcBorders>
            <w:shd w:val="clear" w:color="auto" w:fill="auto"/>
            <w:tcMar>
              <w:top w:w="15" w:type="dxa"/>
              <w:left w:w="15" w:type="dxa"/>
              <w:right w:w="15" w:type="dxa"/>
            </w:tcMar>
            <w:vAlign w:val="center"/>
          </w:tcPr>
          <w:p>
            <w:pPr>
              <w:tabs>
                <w:tab w:val="left" w:pos="2872"/>
              </w:tabs>
              <w:jc w:val="center"/>
              <w:rPr>
                <w:rFonts w:hint="eastAsia" w:ascii="仿宋" w:hAnsi="仿宋" w:eastAsia="仿宋" w:cs="仿宋"/>
                <w:i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项目交付中所需线材等辅助性材料包含在报价中。</w:t>
      </w: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3"/>
        <w:jc w:val="both"/>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6 承诺函</w:t>
      </w:r>
    </w:p>
    <w:p>
      <w:pPr>
        <w:pStyle w:val="23"/>
        <w:jc w:val="both"/>
        <w:rPr>
          <w:rFonts w:hint="eastAsia" w:ascii="仿宋_GB2312" w:hAnsi="仿宋_GB2312" w:eastAsia="仿宋_GB2312" w:cs="仿宋_GB2312"/>
          <w:b/>
          <w:color w:val="auto"/>
          <w:kern w:val="2"/>
          <w:sz w:val="28"/>
          <w:szCs w:val="28"/>
          <w:lang w:val="en-US" w:eastAsia="zh-CN"/>
        </w:rPr>
      </w:pPr>
    </w:p>
    <w:p>
      <w:pPr>
        <w:pStyle w:val="3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广州市净水有限公司 ：</w:t>
      </w:r>
    </w:p>
    <w:p>
      <w:pPr>
        <w:pStyle w:val="32"/>
        <w:ind w:firstLine="1027" w:firstLineChars="367"/>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我方承诺，所提供报价货物/设备备件均为制造商全新原装产品。 </w:t>
      </w:r>
    </w:p>
    <w:p>
      <w:pPr>
        <w:pStyle w:val="32"/>
        <w:ind w:firstLine="56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                  </w:t>
      </w:r>
    </w:p>
    <w:p>
      <w:pPr>
        <w:pStyle w:val="32"/>
        <w:ind w:firstLine="56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                              </w:t>
      </w:r>
      <w:r>
        <w:rPr>
          <w:rFonts w:hint="eastAsia" w:ascii="仿宋_GB2312" w:hAnsi="仿宋_GB2312" w:cs="仿宋_GB2312"/>
          <w:b/>
          <w:color w:val="auto"/>
          <w:kern w:val="2"/>
          <w:sz w:val="28"/>
          <w:szCs w:val="28"/>
          <w:highlight w:val="none"/>
          <w:u w:val="single"/>
          <w:lang w:val="en-US" w:eastAsia="zh-CN" w:bidi="ar-SA"/>
        </w:rPr>
        <w:t xml:space="preserve">     (报价单位) </w:t>
      </w:r>
      <w:r>
        <w:rPr>
          <w:rFonts w:hint="eastAsia" w:ascii="仿宋_GB2312" w:hAnsi="仿宋_GB2312" w:cs="仿宋_GB2312"/>
          <w:b/>
          <w:color w:val="auto"/>
          <w:kern w:val="2"/>
          <w:sz w:val="28"/>
          <w:szCs w:val="28"/>
          <w:highlight w:val="none"/>
          <w:lang w:val="en-US" w:eastAsia="zh-CN" w:bidi="ar-SA"/>
        </w:rPr>
        <w:t>公司（盖单位公章）</w:t>
      </w:r>
    </w:p>
    <w:p>
      <w:pPr>
        <w:pStyle w:val="32"/>
        <w:ind w:firstLine="562"/>
        <w:jc w:val="both"/>
        <w:rPr>
          <w:rFonts w:hint="default"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                                     </w:t>
      </w:r>
      <w:r>
        <w:rPr>
          <w:rFonts w:hint="eastAsia" w:ascii="仿宋_GB2312" w:hAnsi="仿宋_GB2312" w:cs="仿宋_GB2312"/>
          <w:b/>
          <w:color w:val="auto"/>
          <w:kern w:val="2"/>
          <w:sz w:val="28"/>
          <w:szCs w:val="28"/>
          <w:highlight w:val="none"/>
          <w:u w:val="single"/>
          <w:lang w:val="en-US" w:eastAsia="zh-CN" w:bidi="ar-SA"/>
        </w:rPr>
        <w:t xml:space="preserve">     </w:t>
      </w:r>
      <w:r>
        <w:rPr>
          <w:rFonts w:hint="eastAsia" w:ascii="仿宋_GB2312" w:hAnsi="仿宋_GB2312" w:cs="仿宋_GB2312"/>
          <w:b/>
          <w:color w:val="auto"/>
          <w:kern w:val="2"/>
          <w:sz w:val="28"/>
          <w:szCs w:val="28"/>
          <w:highlight w:val="none"/>
          <w:lang w:val="en-US" w:eastAsia="zh-CN" w:bidi="ar-SA"/>
        </w:rPr>
        <w:t>年</w:t>
      </w:r>
      <w:r>
        <w:rPr>
          <w:rFonts w:hint="eastAsia" w:ascii="仿宋_GB2312" w:hAnsi="仿宋_GB2312" w:cs="仿宋_GB2312"/>
          <w:b/>
          <w:color w:val="auto"/>
          <w:kern w:val="2"/>
          <w:sz w:val="28"/>
          <w:szCs w:val="28"/>
          <w:highlight w:val="none"/>
          <w:u w:val="single"/>
          <w:lang w:val="en-US" w:eastAsia="zh-CN" w:bidi="ar-SA"/>
        </w:rPr>
        <w:t xml:space="preserve">    </w:t>
      </w:r>
      <w:r>
        <w:rPr>
          <w:rFonts w:hint="eastAsia" w:ascii="仿宋_GB2312" w:hAnsi="仿宋_GB2312" w:cs="仿宋_GB2312"/>
          <w:b/>
          <w:color w:val="auto"/>
          <w:kern w:val="2"/>
          <w:sz w:val="28"/>
          <w:szCs w:val="28"/>
          <w:highlight w:val="none"/>
          <w:lang w:val="en-US" w:eastAsia="zh-CN" w:bidi="ar-SA"/>
        </w:rPr>
        <w:t>月</w:t>
      </w:r>
      <w:r>
        <w:rPr>
          <w:rFonts w:hint="eastAsia" w:ascii="仿宋_GB2312" w:hAnsi="仿宋_GB2312" w:cs="仿宋_GB2312"/>
          <w:b/>
          <w:color w:val="auto"/>
          <w:kern w:val="2"/>
          <w:sz w:val="28"/>
          <w:szCs w:val="28"/>
          <w:highlight w:val="none"/>
          <w:u w:val="single"/>
          <w:lang w:val="en-US" w:eastAsia="zh-CN" w:bidi="ar-SA"/>
        </w:rPr>
        <w:t xml:space="preserve">    </w:t>
      </w:r>
      <w:r>
        <w:rPr>
          <w:rFonts w:hint="eastAsia" w:ascii="仿宋_GB2312" w:hAnsi="仿宋_GB2312" w:cs="仿宋_GB2312"/>
          <w:b/>
          <w:color w:val="auto"/>
          <w:kern w:val="2"/>
          <w:sz w:val="28"/>
          <w:szCs w:val="28"/>
          <w:highlight w:val="none"/>
          <w:lang w:val="en-US" w:eastAsia="zh-CN" w:bidi="ar-SA"/>
        </w:rPr>
        <w:t xml:space="preserve">日 </w:t>
      </w:r>
    </w:p>
    <w:p>
      <w:pPr>
        <w:rPr>
          <w:rFonts w:hint="eastAsia" w:ascii="仿宋_GB2312" w:hAnsi="仿宋_GB2312" w:eastAsia="仿宋_GB2312" w:cs="仿宋_GB2312"/>
          <w:b/>
          <w:color w:val="auto"/>
          <w:kern w:val="2"/>
          <w:sz w:val="28"/>
          <w:szCs w:val="28"/>
          <w:lang w:val="en-US" w:eastAsia="zh-CN"/>
        </w:rPr>
      </w:pPr>
    </w:p>
    <w:p>
      <w:pPr>
        <w:pStyle w:val="2"/>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
        <w:rPr>
          <w:rFonts w:hint="eastAsia" w:ascii="仿宋_GB2312" w:hAnsi="仿宋_GB2312" w:eastAsia="仿宋_GB2312" w:cs="仿宋_GB2312"/>
          <w:b/>
          <w:color w:val="auto"/>
          <w:kern w:val="2"/>
          <w:sz w:val="28"/>
          <w:szCs w:val="28"/>
          <w:lang w:val="en-US" w:eastAsia="zh-CN"/>
        </w:rPr>
      </w:pPr>
    </w:p>
    <w:p>
      <w:pPr>
        <w:rPr>
          <w:rFonts w:hint="eastAsia"/>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en-US" w:eastAsia="zh-CN"/>
        </w:rPr>
      </w:pPr>
    </w:p>
    <w:p>
      <w:pPr>
        <w:pStyle w:val="23"/>
        <w:jc w:val="center"/>
        <w:rPr>
          <w:rFonts w:hint="eastAsia" w:ascii="仿宋_GB2312" w:hAnsi="仿宋_GB2312" w:eastAsia="仿宋_GB2312" w:cs="仿宋_GB2312"/>
          <w:b/>
          <w:color w:val="auto"/>
          <w:kern w:val="2"/>
          <w:sz w:val="28"/>
          <w:szCs w:val="28"/>
          <w:lang w:val="en-US" w:eastAsia="zh-CN"/>
        </w:rPr>
      </w:pPr>
      <w:r>
        <w:rPr>
          <w:rFonts w:hint="eastAsia" w:ascii="仿宋_GB2312" w:hAnsi="仿宋_GB2312" w:eastAsia="仿宋_GB2312" w:cs="仿宋_GB2312"/>
          <w:b/>
          <w:color w:val="auto"/>
          <w:kern w:val="2"/>
          <w:sz w:val="28"/>
          <w:szCs w:val="28"/>
          <w:lang w:val="en-US" w:eastAsia="zh-CN"/>
        </w:rPr>
        <w:t xml:space="preserve">7 </w:t>
      </w:r>
      <w:r>
        <w:rPr>
          <w:rFonts w:hint="eastAsia" w:ascii="仿宋_GB2312" w:hAnsi="仿宋_GB2312" w:eastAsia="仿宋_GB2312" w:cs="仿宋_GB2312"/>
          <w:b/>
          <w:color w:val="000000"/>
          <w:sz w:val="28"/>
          <w:szCs w:val="28"/>
        </w:rPr>
        <w:t>项目单位、人员相关证明</w:t>
      </w:r>
    </w:p>
    <w:p>
      <w:pPr>
        <w:numPr>
          <w:ilvl w:val="0"/>
          <w:numId w:val="3"/>
        </w:numPr>
        <w:spacing w:line="360" w:lineRule="auto"/>
        <w:rPr>
          <w:rFonts w:hint="eastAsia" w:ascii="宋体" w:hAnsi="宋体" w:cs="Times New Roman"/>
          <w:b/>
          <w:bCs/>
          <w:color w:val="auto"/>
          <w:sz w:val="24"/>
          <w:szCs w:val="24"/>
          <w:lang w:val="zh-CN" w:eastAsia="zh-CN"/>
        </w:rPr>
      </w:pPr>
      <w:r>
        <w:rPr>
          <w:rFonts w:hint="eastAsia" w:ascii="宋体" w:hAnsi="宋体" w:cs="Times New Roman"/>
          <w:b/>
          <w:bCs/>
          <w:color w:val="auto"/>
          <w:sz w:val="24"/>
          <w:szCs w:val="24"/>
          <w:lang w:val="zh-CN" w:eastAsia="zh-CN"/>
        </w:rPr>
        <w:t>报价单位资质</w:t>
      </w:r>
      <w:r>
        <w:rPr>
          <w:rFonts w:hint="eastAsia" w:ascii="宋体" w:hAnsi="宋体" w:cs="Times New Roman"/>
          <w:b/>
          <w:bCs/>
          <w:color w:val="auto"/>
          <w:sz w:val="24"/>
          <w:szCs w:val="24"/>
          <w:lang w:val="en-US" w:eastAsia="zh-CN"/>
        </w:rPr>
        <w:t>证明</w:t>
      </w:r>
      <w:r>
        <w:rPr>
          <w:rFonts w:hint="eastAsia" w:ascii="宋体" w:hAnsi="宋体" w:cs="Times New Roman"/>
          <w:b/>
          <w:bCs/>
          <w:color w:val="auto"/>
          <w:sz w:val="24"/>
          <w:szCs w:val="24"/>
          <w:lang w:val="zh-CN" w:eastAsia="zh-CN"/>
        </w:rPr>
        <w:t>：</w:t>
      </w:r>
    </w:p>
    <w:p>
      <w:pPr>
        <w:numPr>
          <w:ilvl w:val="-1"/>
          <w:numId w:val="0"/>
        </w:numPr>
        <w:spacing w:line="360" w:lineRule="auto"/>
        <w:rPr>
          <w:rFonts w:hint="eastAsia" w:ascii="宋体" w:hAnsi="宋体"/>
          <w:b/>
          <w:bCs/>
          <w:color w:val="auto"/>
          <w:sz w:val="24"/>
          <w:szCs w:val="24"/>
          <w:lang w:val="en-US" w:eastAsia="zh-CN"/>
        </w:rPr>
      </w:pPr>
      <w:r>
        <w:rPr>
          <w:rFonts w:hint="eastAsia" w:ascii="宋体" w:hAnsi="宋体" w:cs="Times New Roman"/>
          <w:b/>
          <w:bCs/>
          <w:color w:val="auto"/>
          <w:sz w:val="24"/>
          <w:szCs w:val="24"/>
          <w:lang w:val="en-US" w:eastAsia="zh-CN"/>
        </w:rPr>
        <w:t>(1)</w:t>
      </w:r>
      <w:r>
        <w:rPr>
          <w:rFonts w:hint="eastAsia" w:ascii="宋体" w:hAnsi="宋体" w:cs="Times New Roman"/>
          <w:b/>
          <w:bCs/>
          <w:color w:val="auto"/>
          <w:sz w:val="24"/>
          <w:szCs w:val="24"/>
          <w:lang w:val="zh-CN" w:eastAsia="zh-CN"/>
        </w:rPr>
        <w:t>电子与智能化工程专业承包二级（或以上级别）资质</w:t>
      </w:r>
      <w:r>
        <w:rPr>
          <w:rFonts w:hint="eastAsia" w:ascii="宋体" w:hAnsi="宋体"/>
          <w:b/>
          <w:bCs/>
          <w:color w:val="auto"/>
          <w:sz w:val="24"/>
          <w:szCs w:val="24"/>
          <w:lang w:val="en-US" w:eastAsia="zh-CN"/>
        </w:rPr>
        <w:t>（证书证明复印件，加盖单位公章）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证书证明复印件（盖单位公章）</w:t>
            </w:r>
          </w:p>
          <w:p>
            <w:pPr>
              <w:spacing w:line="360" w:lineRule="auto"/>
              <w:jc w:val="left"/>
              <w:rPr>
                <w:rFonts w:ascii="宋体" w:hAnsi="宋体"/>
                <w:color w:val="auto"/>
                <w:sz w:val="24"/>
                <w:szCs w:val="24"/>
              </w:rPr>
            </w:pPr>
          </w:p>
        </w:tc>
      </w:tr>
    </w:tbl>
    <w:p>
      <w:pPr>
        <w:numPr>
          <w:ilvl w:val="0"/>
          <w:numId w:val="4"/>
        </w:numPr>
        <w:spacing w:line="360" w:lineRule="auto"/>
        <w:rPr>
          <w:rFonts w:hint="eastAsia" w:ascii="宋体" w:hAnsi="宋体"/>
          <w:b/>
          <w:bCs/>
          <w:color w:val="auto"/>
          <w:sz w:val="24"/>
          <w:szCs w:val="24"/>
          <w:lang w:val="en-US" w:eastAsia="zh-CN"/>
        </w:rPr>
      </w:pPr>
      <w:r>
        <w:rPr>
          <w:rFonts w:hint="eastAsia" w:ascii="宋体" w:hAnsi="宋体" w:eastAsia="宋体" w:cs="Times New Roman"/>
          <w:b/>
          <w:bCs/>
          <w:color w:val="auto"/>
          <w:sz w:val="24"/>
          <w:szCs w:val="24"/>
          <w:highlight w:val="none"/>
          <w:u w:val="none"/>
        </w:rPr>
        <w:t>安全生产许可证</w:t>
      </w:r>
      <w:r>
        <w:rPr>
          <w:rFonts w:hint="eastAsia" w:ascii="宋体" w:hAnsi="宋体" w:cs="Times New Roman"/>
          <w:b/>
          <w:bCs/>
          <w:color w:val="auto"/>
          <w:sz w:val="24"/>
          <w:szCs w:val="24"/>
          <w:lang w:val="en-US" w:eastAsia="zh-CN"/>
        </w:rPr>
        <w:t>（</w:t>
      </w:r>
      <w:r>
        <w:rPr>
          <w:rFonts w:hint="eastAsia" w:ascii="宋体" w:hAnsi="宋体"/>
          <w:b/>
          <w:bCs/>
          <w:color w:val="auto"/>
          <w:sz w:val="24"/>
          <w:szCs w:val="24"/>
          <w:lang w:val="en-US" w:eastAsia="zh-CN"/>
        </w:rPr>
        <w:t>证书证明复印件，加盖单位公章）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证书证明复印件（盖单位公章）</w:t>
            </w:r>
          </w:p>
          <w:p>
            <w:pPr>
              <w:spacing w:line="360" w:lineRule="auto"/>
              <w:jc w:val="left"/>
              <w:rPr>
                <w:rFonts w:ascii="宋体" w:hAnsi="宋体"/>
                <w:color w:val="auto"/>
                <w:sz w:val="24"/>
                <w:szCs w:val="24"/>
              </w:rPr>
            </w:pPr>
          </w:p>
        </w:tc>
      </w:tr>
    </w:tbl>
    <w:p>
      <w:pPr>
        <w:numPr>
          <w:ilvl w:val="0"/>
          <w:numId w:val="0"/>
        </w:numPr>
        <w:spacing w:line="360" w:lineRule="auto"/>
        <w:rPr>
          <w:rFonts w:hint="eastAsia" w:ascii="仿宋_GB2312" w:hAnsi="仿宋_GB2312" w:eastAsia="仿宋_GB2312" w:cs="仿宋_GB2312"/>
          <w:b w:val="0"/>
          <w:bCs w:val="0"/>
          <w:color w:val="auto"/>
          <w:sz w:val="28"/>
          <w:szCs w:val="28"/>
          <w:u w:val="none"/>
          <w:lang w:val="en-US" w:eastAsia="zh-CN"/>
        </w:rPr>
      </w:pPr>
      <w:r>
        <w:rPr>
          <w:rFonts w:hint="eastAsia" w:ascii="宋体" w:hAnsi="宋体" w:cs="Times New Roman"/>
          <w:b/>
          <w:bCs/>
          <w:color w:val="auto"/>
          <w:sz w:val="24"/>
          <w:szCs w:val="24"/>
          <w:lang w:val="en-US" w:eastAsia="zh-CN"/>
        </w:rPr>
        <w:t>2.</w:t>
      </w:r>
      <w:r>
        <w:rPr>
          <w:rFonts w:hint="eastAsia" w:ascii="宋体" w:hAnsi="宋体" w:cs="Times New Roman"/>
          <w:b/>
          <w:bCs/>
          <w:color w:val="auto"/>
          <w:sz w:val="24"/>
          <w:szCs w:val="24"/>
          <w:lang w:val="zh-CN" w:eastAsia="zh-CN"/>
        </w:rPr>
        <w:t>报价单位业绩</w:t>
      </w:r>
      <w:r>
        <w:rPr>
          <w:rFonts w:hint="eastAsia" w:ascii="宋体" w:hAnsi="宋体" w:cs="Times New Roman"/>
          <w:b/>
          <w:bCs/>
          <w:color w:val="auto"/>
          <w:sz w:val="24"/>
          <w:szCs w:val="24"/>
          <w:lang w:val="en-US" w:eastAsia="zh-CN"/>
        </w:rPr>
        <w:t>证明：(</w:t>
      </w:r>
      <w:r>
        <w:rPr>
          <w:rFonts w:hint="eastAsia" w:ascii="宋体" w:hAnsi="宋体" w:cs="Times New Roman"/>
          <w:b/>
          <w:bCs/>
          <w:color w:val="auto"/>
          <w:sz w:val="24"/>
          <w:szCs w:val="24"/>
          <w:lang w:val="zh-CN" w:eastAsia="zh-CN"/>
        </w:rPr>
        <w:t>加盖单位公章）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zh-CN" w:eastAsia="zh-CN"/>
              </w:rPr>
              <w:t>合同或验收报告复印件</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tc>
      </w:tr>
    </w:tbl>
    <w:p>
      <w:pPr>
        <w:numPr>
          <w:ilvl w:val="0"/>
          <w:numId w:val="0"/>
        </w:numPr>
        <w:spacing w:line="360" w:lineRule="auto"/>
        <w:rPr>
          <w:rFonts w:hint="default" w:ascii="宋体" w:hAnsi="宋体" w:cs="Times New Roman"/>
          <w:b/>
          <w:bCs/>
          <w:color w:val="auto"/>
          <w:sz w:val="24"/>
          <w:szCs w:val="24"/>
          <w:lang w:val="en-US" w:eastAsia="zh-CN"/>
        </w:rPr>
      </w:pPr>
      <w:r>
        <w:rPr>
          <w:rFonts w:hint="eastAsia" w:ascii="宋体" w:hAnsi="宋体" w:cs="Times New Roman"/>
          <w:b/>
          <w:bCs/>
          <w:color w:val="auto"/>
          <w:sz w:val="24"/>
          <w:szCs w:val="24"/>
          <w:lang w:val="en-US" w:eastAsia="zh-CN"/>
        </w:rPr>
        <w:t>3.</w:t>
      </w:r>
      <w:r>
        <w:rPr>
          <w:rFonts w:hint="eastAsia" w:ascii="宋体" w:hAnsi="宋体" w:cs="Times New Roman"/>
          <w:b/>
          <w:bCs/>
          <w:color w:val="auto"/>
          <w:sz w:val="24"/>
          <w:szCs w:val="24"/>
          <w:lang w:val="zh-CN" w:eastAsia="zh-CN"/>
        </w:rPr>
        <w:t>报价单位团队人员</w:t>
      </w:r>
      <w:r>
        <w:rPr>
          <w:rFonts w:hint="eastAsia" w:ascii="宋体" w:hAnsi="宋体" w:cs="Times New Roman"/>
          <w:b/>
          <w:bCs/>
          <w:color w:val="auto"/>
          <w:sz w:val="24"/>
          <w:szCs w:val="24"/>
          <w:lang w:val="en-US" w:eastAsia="zh-CN"/>
        </w:rPr>
        <w:t>资质证明：</w:t>
      </w:r>
    </w:p>
    <w:p>
      <w:pPr>
        <w:numPr>
          <w:ilvl w:val="0"/>
          <w:numId w:val="0"/>
        </w:numPr>
        <w:spacing w:line="360" w:lineRule="auto"/>
        <w:rPr>
          <w:rFonts w:hint="default" w:ascii="宋体" w:hAnsi="宋体" w:cs="Times New Roman"/>
          <w:b/>
          <w:bCs/>
          <w:color w:val="auto"/>
          <w:sz w:val="24"/>
          <w:szCs w:val="24"/>
          <w:lang w:val="zh-CN" w:eastAsia="zh-CN"/>
        </w:rPr>
      </w:pPr>
      <w:r>
        <w:rPr>
          <w:rFonts w:hint="eastAsia" w:ascii="宋体" w:hAnsi="宋体" w:cs="Times New Roman"/>
          <w:b/>
          <w:bCs/>
          <w:color w:val="auto"/>
          <w:sz w:val="24"/>
          <w:szCs w:val="24"/>
          <w:lang w:val="en" w:eastAsia="zh-CN"/>
        </w:rPr>
        <w:t>（</w:t>
      </w:r>
      <w:r>
        <w:rPr>
          <w:rFonts w:hint="eastAsia" w:ascii="宋体" w:hAnsi="宋体" w:cs="Times New Roman"/>
          <w:b/>
          <w:bCs/>
          <w:color w:val="auto"/>
          <w:sz w:val="24"/>
          <w:szCs w:val="24"/>
          <w:lang w:val="en-US" w:eastAsia="zh-CN"/>
        </w:rPr>
        <w:t>1</w:t>
      </w:r>
      <w:r>
        <w:rPr>
          <w:rFonts w:hint="eastAsia" w:ascii="宋体" w:hAnsi="宋体" w:cs="Times New Roman"/>
          <w:b/>
          <w:bCs/>
          <w:color w:val="auto"/>
          <w:sz w:val="24"/>
          <w:szCs w:val="24"/>
          <w:lang w:val="en" w:eastAsia="zh-CN"/>
        </w:rPr>
        <w:t>）</w:t>
      </w:r>
      <w:r>
        <w:rPr>
          <w:rFonts w:hint="eastAsia" w:ascii="宋体" w:hAnsi="宋体" w:cs="Times New Roman"/>
          <w:b/>
          <w:bCs/>
          <w:color w:val="auto"/>
          <w:sz w:val="24"/>
          <w:szCs w:val="24"/>
          <w:lang w:val="zh-CN" w:eastAsia="zh-CN"/>
        </w:rPr>
        <w:t>拟担任本工程</w:t>
      </w:r>
      <w:r>
        <w:rPr>
          <w:rFonts w:hint="eastAsia" w:ascii="宋体" w:hAnsi="宋体" w:cs="Times New Roman"/>
          <w:b/>
          <w:bCs/>
          <w:color w:val="auto"/>
          <w:sz w:val="24"/>
          <w:szCs w:val="24"/>
          <w:lang w:val="en-US" w:eastAsia="zh-CN"/>
        </w:rPr>
        <w:t>的</w:t>
      </w:r>
      <w:r>
        <w:rPr>
          <w:rFonts w:hint="eastAsia" w:ascii="宋体" w:hAnsi="宋体" w:cs="Times New Roman"/>
          <w:b/>
          <w:bCs/>
          <w:color w:val="auto"/>
          <w:sz w:val="24"/>
          <w:szCs w:val="24"/>
          <w:lang w:val="zh-CN" w:eastAsia="zh-CN"/>
        </w:rPr>
        <w:t>项目负责人：注册建造师</w:t>
      </w:r>
      <w:r>
        <w:rPr>
          <w:rFonts w:hint="eastAsia" w:ascii="宋体" w:hAnsi="宋体" w:cs="Times New Roman"/>
          <w:b/>
          <w:bCs/>
          <w:color w:val="auto"/>
          <w:sz w:val="24"/>
          <w:szCs w:val="24"/>
          <w:lang w:val="en-US" w:eastAsia="zh-CN"/>
        </w:rPr>
        <w:t>资质、</w:t>
      </w:r>
      <w:r>
        <w:rPr>
          <w:rFonts w:hint="eastAsia" w:ascii="宋体" w:hAnsi="宋体" w:cs="Times New Roman"/>
          <w:b/>
          <w:bCs/>
          <w:color w:val="auto"/>
          <w:sz w:val="24"/>
          <w:szCs w:val="24"/>
          <w:lang w:val="zh-CN" w:eastAsia="zh-CN"/>
        </w:rPr>
        <w:t>计算机</w:t>
      </w:r>
      <w:r>
        <w:rPr>
          <w:rFonts w:hint="eastAsia" w:ascii="宋体" w:hAnsi="宋体" w:cs="Times New Roman"/>
          <w:b/>
          <w:bCs/>
          <w:color w:val="auto"/>
          <w:sz w:val="24"/>
          <w:szCs w:val="24"/>
          <w:lang w:val="en-US" w:eastAsia="zh-CN"/>
        </w:rPr>
        <w:t>类</w:t>
      </w:r>
      <w:r>
        <w:rPr>
          <w:rFonts w:hint="eastAsia" w:ascii="宋体" w:hAnsi="宋体" w:cs="Times New Roman"/>
          <w:b/>
          <w:bCs/>
          <w:color w:val="auto"/>
          <w:sz w:val="24"/>
          <w:szCs w:val="24"/>
          <w:lang w:val="zh-CN" w:eastAsia="zh-CN"/>
        </w:rPr>
        <w:t>高级</w:t>
      </w:r>
      <w:r>
        <w:rPr>
          <w:rFonts w:hint="eastAsia" w:ascii="宋体" w:hAnsi="宋体" w:cs="Times New Roman"/>
          <w:b/>
          <w:bCs/>
          <w:color w:val="auto"/>
          <w:sz w:val="24"/>
          <w:szCs w:val="24"/>
          <w:lang w:val="en-US" w:eastAsia="zh-CN"/>
        </w:rPr>
        <w:t>职业资格</w:t>
      </w:r>
      <w:r>
        <w:rPr>
          <w:rFonts w:hint="eastAsia" w:ascii="宋体" w:hAnsi="宋体" w:cs="Times New Roman"/>
          <w:b/>
          <w:bCs/>
          <w:color w:val="auto"/>
          <w:sz w:val="24"/>
          <w:szCs w:val="24"/>
          <w:lang w:val="zh-CN" w:eastAsia="zh-CN"/>
        </w:rPr>
        <w:t>或者PMP项目管理专业人士资格认证、安全生产考核合格证</w:t>
      </w:r>
      <w:r>
        <w:rPr>
          <w:rFonts w:hint="eastAsia" w:ascii="宋体" w:hAnsi="宋体" w:cs="Times New Roman"/>
          <w:b/>
          <w:bCs/>
          <w:color w:val="auto"/>
          <w:sz w:val="24"/>
          <w:szCs w:val="24"/>
          <w:lang w:val="en-US" w:eastAsia="zh-CN"/>
        </w:rPr>
        <w:t>（社保，证书证明复印件，加盖单位公章）：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社保证明复印件（盖单位公章）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证书证明复印件（盖单位公章）</w:t>
            </w:r>
          </w:p>
          <w:p>
            <w:pPr>
              <w:spacing w:line="360" w:lineRule="auto"/>
              <w:jc w:val="left"/>
              <w:rPr>
                <w:rFonts w:ascii="宋体" w:hAnsi="宋体"/>
                <w:color w:val="auto"/>
                <w:sz w:val="24"/>
                <w:szCs w:val="24"/>
              </w:rPr>
            </w:pPr>
          </w:p>
        </w:tc>
      </w:tr>
    </w:tbl>
    <w:p>
      <w:pPr>
        <w:numPr>
          <w:ilvl w:val="0"/>
          <w:numId w:val="0"/>
        </w:numPr>
        <w:spacing w:line="360" w:lineRule="auto"/>
        <w:rPr>
          <w:rFonts w:hint="eastAsia" w:ascii="宋体" w:hAnsi="宋体" w:cs="Times New Roman"/>
          <w:b/>
          <w:bCs/>
          <w:color w:val="auto"/>
          <w:sz w:val="24"/>
          <w:szCs w:val="24"/>
          <w:lang w:val="zh-CN" w:eastAsia="zh-CN"/>
        </w:rPr>
      </w:pPr>
      <w:r>
        <w:rPr>
          <w:rFonts w:hint="eastAsia" w:ascii="宋体" w:hAnsi="宋体" w:cs="Times New Roman"/>
          <w:b/>
          <w:bCs/>
          <w:color w:val="auto"/>
          <w:sz w:val="24"/>
          <w:szCs w:val="24"/>
          <w:lang w:val="zh-CN" w:eastAsia="zh-CN"/>
        </w:rPr>
        <w:t>（</w:t>
      </w:r>
      <w:r>
        <w:rPr>
          <w:rFonts w:hint="eastAsia" w:ascii="宋体" w:hAnsi="宋体" w:cs="Times New Roman"/>
          <w:b/>
          <w:bCs/>
          <w:color w:val="auto"/>
          <w:sz w:val="24"/>
          <w:szCs w:val="24"/>
          <w:lang w:val="en-US" w:eastAsia="zh-CN"/>
        </w:rPr>
        <w:t>2</w:t>
      </w:r>
      <w:r>
        <w:rPr>
          <w:rFonts w:hint="eastAsia" w:ascii="宋体" w:hAnsi="宋体" w:cs="Times New Roman"/>
          <w:b/>
          <w:bCs/>
          <w:color w:val="auto"/>
          <w:sz w:val="24"/>
          <w:szCs w:val="24"/>
          <w:lang w:val="zh-CN" w:eastAsia="zh-CN"/>
        </w:rPr>
        <w:t>）专职安全人员：安全生产考核合格证</w:t>
      </w:r>
      <w:r>
        <w:rPr>
          <w:rFonts w:hint="eastAsia" w:ascii="宋体" w:hAnsi="宋体" w:cs="Times New Roman"/>
          <w:b/>
          <w:bCs/>
          <w:color w:val="auto"/>
          <w:sz w:val="24"/>
          <w:szCs w:val="24"/>
          <w:lang w:val="en-US" w:eastAsia="zh-CN"/>
        </w:rPr>
        <w:t>（社保，证书证明复印件，加盖单位公章）：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9"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社保证明复印件（盖单位公章）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trPr>
        <w:tc>
          <w:tcPr>
            <w:tcW w:w="9608" w:type="dxa"/>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证书证明复印件（盖单位公章）</w:t>
            </w:r>
          </w:p>
          <w:p>
            <w:pPr>
              <w:spacing w:line="360" w:lineRule="auto"/>
              <w:jc w:val="left"/>
              <w:rPr>
                <w:rFonts w:ascii="宋体" w:hAnsi="宋体"/>
                <w:color w:val="auto"/>
                <w:sz w:val="24"/>
                <w:szCs w:val="24"/>
              </w:rPr>
            </w:pPr>
          </w:p>
        </w:tc>
      </w:tr>
    </w:tbl>
    <w:p>
      <w:pPr>
        <w:spacing w:line="360" w:lineRule="auto"/>
        <w:jc w:val="both"/>
        <w:rPr>
          <w:rFonts w:hint="eastAsia" w:ascii="宋体" w:hAnsi="宋体"/>
          <w:b/>
          <w:bCs/>
          <w:color w:val="auto"/>
          <w:sz w:val="24"/>
          <w:szCs w:val="24"/>
          <w:lang w:val="en-US" w:eastAsia="zh-CN"/>
        </w:rPr>
      </w:pPr>
      <w:r>
        <w:rPr>
          <w:rFonts w:hint="eastAsia" w:ascii="宋体" w:hAnsi="宋体" w:cs="Times New Roman"/>
          <w:b/>
          <w:bCs/>
          <w:color w:val="auto"/>
          <w:kern w:val="2"/>
          <w:sz w:val="24"/>
          <w:szCs w:val="24"/>
          <w:lang w:val="en-US" w:eastAsia="zh-CN"/>
        </w:rPr>
        <w:t>4.</w:t>
      </w:r>
      <w:r>
        <w:rPr>
          <w:rFonts w:hint="eastAsia" w:ascii="宋体" w:hAnsi="宋体"/>
          <w:b/>
          <w:bCs/>
          <w:color w:val="auto"/>
          <w:sz w:val="24"/>
          <w:szCs w:val="24"/>
          <w:lang w:val="en-US" w:eastAsia="zh-CN"/>
        </w:rPr>
        <w:t>主要设备的</w:t>
      </w:r>
      <w:r>
        <w:rPr>
          <w:rFonts w:hint="eastAsia" w:ascii="宋体" w:hAnsi="宋体" w:eastAsia="宋体" w:cs="Times New Roman"/>
          <w:b/>
          <w:bCs/>
          <w:color w:val="auto"/>
          <w:kern w:val="2"/>
          <w:sz w:val="24"/>
          <w:szCs w:val="24"/>
          <w:lang w:val="en-US" w:eastAsia="zh-CN" w:bidi="ar-SA"/>
        </w:rPr>
        <w:t>原厂供货承诺函</w:t>
      </w:r>
      <w:r>
        <w:rPr>
          <w:rFonts w:hint="eastAsia" w:ascii="宋体" w:hAnsi="宋体" w:cs="Times New Roman"/>
          <w:b/>
          <w:bCs/>
          <w:color w:val="auto"/>
          <w:kern w:val="2"/>
          <w:sz w:val="24"/>
          <w:szCs w:val="24"/>
          <w:lang w:val="en-US" w:eastAsia="zh-CN" w:bidi="ar-SA"/>
        </w:rPr>
        <w:t>及</w:t>
      </w:r>
      <w:r>
        <w:rPr>
          <w:rFonts w:hint="eastAsia" w:ascii="宋体" w:hAnsi="宋体" w:eastAsia="宋体" w:cs="Times New Roman"/>
          <w:b/>
          <w:bCs/>
          <w:color w:val="auto"/>
          <w:kern w:val="2"/>
          <w:sz w:val="24"/>
          <w:szCs w:val="24"/>
          <w:highlight w:val="none"/>
          <w:u w:val="none"/>
          <w:lang w:bidi="ar-SA"/>
        </w:rPr>
        <w:t>公安部有效检测报告</w:t>
      </w:r>
      <w:r>
        <w:rPr>
          <w:rFonts w:hint="eastAsia" w:ascii="宋体" w:hAnsi="宋体"/>
          <w:b/>
          <w:bCs/>
          <w:color w:val="auto"/>
          <w:sz w:val="24"/>
          <w:szCs w:val="24"/>
          <w:lang w:val="en-US" w:eastAsia="zh-CN"/>
        </w:rPr>
        <w:t>（加盖原厂单位公章）：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8" w:hRule="atLeast"/>
        </w:trPr>
        <w:tc>
          <w:tcPr>
            <w:tcW w:w="9608" w:type="dxa"/>
          </w:tcPr>
          <w:p>
            <w:pPr>
              <w:spacing w:line="360" w:lineRule="auto"/>
              <w:jc w:val="center"/>
              <w:rPr>
                <w:rFonts w:hint="eastAsia" w:ascii="宋体" w:hAnsi="宋体" w:eastAsia="宋体" w:cs="Times New Roman"/>
                <w:color w:val="auto"/>
                <w:sz w:val="24"/>
                <w:szCs w:val="24"/>
              </w:rPr>
            </w:pPr>
            <w:r>
              <w:rPr>
                <w:rFonts w:hint="eastAsia" w:ascii="宋体" w:hAnsi="宋体"/>
                <w:color w:val="auto"/>
                <w:sz w:val="24"/>
                <w:szCs w:val="24"/>
                <w:lang w:val="en-US" w:eastAsia="zh-CN"/>
              </w:rPr>
              <w:t>主要设备的</w:t>
            </w:r>
            <w:r>
              <w:rPr>
                <w:rFonts w:hint="eastAsia" w:ascii="宋体" w:hAnsi="宋体" w:eastAsia="宋体" w:cs="Times New Roman"/>
                <w:b w:val="0"/>
                <w:bCs w:val="0"/>
                <w:color w:val="auto"/>
                <w:kern w:val="2"/>
                <w:sz w:val="24"/>
                <w:szCs w:val="24"/>
                <w:lang w:val="en-US" w:eastAsia="zh-CN" w:bidi="ar-SA"/>
              </w:rPr>
              <w:t>原厂供货承诺函</w:t>
            </w:r>
            <w:r>
              <w:rPr>
                <w:rFonts w:hint="eastAsia" w:ascii="宋体" w:hAnsi="宋体"/>
                <w:color w:val="auto"/>
                <w:sz w:val="24"/>
                <w:szCs w:val="24"/>
                <w:lang w:val="en-US" w:eastAsia="zh-CN"/>
              </w:rPr>
              <w:t>（盖原厂单位公章）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9608" w:type="dxa"/>
          </w:tcPr>
          <w:p>
            <w:pPr>
              <w:spacing w:line="360" w:lineRule="auto"/>
              <w:jc w:val="center"/>
              <w:rPr>
                <w:rFonts w:ascii="宋体" w:hAnsi="宋体"/>
                <w:color w:val="auto"/>
                <w:sz w:val="24"/>
                <w:szCs w:val="24"/>
              </w:rPr>
            </w:pPr>
            <w:r>
              <w:rPr>
                <w:rFonts w:hint="eastAsia" w:ascii="宋体" w:hAnsi="宋体" w:eastAsia="宋体" w:cs="Times New Roman"/>
                <w:b w:val="0"/>
                <w:bCs w:val="0"/>
                <w:color w:val="auto"/>
                <w:kern w:val="2"/>
                <w:sz w:val="24"/>
                <w:szCs w:val="24"/>
                <w:u w:val="none"/>
                <w:lang w:bidi="ar-SA"/>
              </w:rPr>
              <w:t>公安部有效检测报告</w:t>
            </w:r>
            <w:r>
              <w:rPr>
                <w:rFonts w:hint="eastAsia" w:ascii="宋体" w:hAnsi="宋体"/>
                <w:color w:val="auto"/>
                <w:sz w:val="24"/>
                <w:szCs w:val="24"/>
                <w:lang w:val="en-US" w:eastAsia="zh-CN"/>
              </w:rPr>
              <w:t>（盖原厂单位公章）</w:t>
            </w:r>
          </w:p>
        </w:tc>
      </w:tr>
    </w:tbl>
    <w:p>
      <w:pPr>
        <w:pStyle w:val="32"/>
        <w:jc w:val="both"/>
        <w:rPr>
          <w:rFonts w:hint="eastAsia" w:ascii="宋体" w:hAnsi="宋体" w:eastAsia="宋体" w:cs="Times New Roman"/>
          <w:b/>
          <w:bCs/>
          <w:color w:val="auto"/>
          <w:kern w:val="2"/>
          <w:sz w:val="24"/>
          <w:szCs w:val="24"/>
          <w:lang w:val="en-US" w:eastAsia="zh-CN"/>
        </w:rPr>
      </w:pPr>
      <w:r>
        <w:rPr>
          <w:rFonts w:hint="eastAsia" w:hAnsi="宋体" w:eastAsia="宋体" w:cs="Times New Roman"/>
          <w:b/>
          <w:bCs/>
          <w:color w:val="auto"/>
          <w:kern w:val="2"/>
          <w:sz w:val="24"/>
          <w:szCs w:val="24"/>
          <w:lang w:val="en-US" w:eastAsia="zh-CN"/>
        </w:rPr>
        <w:t>5.</w:t>
      </w:r>
      <w:r>
        <w:rPr>
          <w:rFonts w:hint="eastAsia" w:ascii="宋体" w:hAnsi="宋体" w:eastAsia="宋体" w:cs="Times New Roman"/>
          <w:b/>
          <w:bCs/>
          <w:color w:val="auto"/>
          <w:kern w:val="2"/>
          <w:sz w:val="24"/>
          <w:szCs w:val="24"/>
          <w:lang w:val="en-US" w:eastAsia="zh-CN"/>
        </w:rPr>
        <w:t>ISO体系认证（复印件加盖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9" w:hRule="atLeast"/>
        </w:trPr>
        <w:tc>
          <w:tcPr>
            <w:tcW w:w="9608" w:type="dxa"/>
          </w:tcPr>
          <w:p>
            <w:pPr>
              <w:spacing w:line="360" w:lineRule="auto"/>
              <w:jc w:val="center"/>
              <w:rPr>
                <w:rFonts w:ascii="宋体" w:hAnsi="宋体"/>
                <w:color w:val="auto"/>
                <w:sz w:val="24"/>
                <w:szCs w:val="24"/>
              </w:rPr>
            </w:pPr>
            <w:r>
              <w:rPr>
                <w:rFonts w:hint="eastAsia" w:ascii="宋体" w:hAnsi="宋体" w:eastAsia="宋体" w:cs="Times New Roman"/>
                <w:b w:val="0"/>
                <w:bCs w:val="0"/>
                <w:color w:val="auto"/>
                <w:kern w:val="2"/>
                <w:sz w:val="24"/>
                <w:szCs w:val="24"/>
                <w:u w:val="none"/>
                <w:lang w:val="en-US" w:eastAsia="zh-CN"/>
              </w:rPr>
              <w:t>ISO体系认证（复印件加盖单位公章）</w:t>
            </w:r>
          </w:p>
          <w:p>
            <w:pPr>
              <w:spacing w:line="360" w:lineRule="auto"/>
              <w:jc w:val="left"/>
              <w:rPr>
                <w:rFonts w:ascii="宋体" w:hAnsi="宋体"/>
                <w:color w:val="auto"/>
                <w:sz w:val="24"/>
                <w:szCs w:val="24"/>
              </w:rPr>
            </w:pPr>
          </w:p>
        </w:tc>
      </w:tr>
    </w:tbl>
    <w:p>
      <w:pPr>
        <w:pStyle w:val="32"/>
        <w:numPr>
          <w:ilvl w:val="-1"/>
          <w:numId w:val="0"/>
        </w:numPr>
        <w:jc w:val="both"/>
        <w:rPr>
          <w:rFonts w:hint="default" w:ascii="仿宋_GB2312" w:hAnsi="仿宋_GB2312" w:cs="仿宋_GB2312"/>
          <w:color w:val="auto"/>
          <w:sz w:val="28"/>
          <w:szCs w:val="28"/>
          <w:lang w:val="en-US" w:eastAsia="zh-CN"/>
        </w:rPr>
      </w:pPr>
    </w:p>
    <w:p>
      <w:pPr>
        <w:pStyle w:val="32"/>
        <w:numPr>
          <w:ilvl w:val="-1"/>
          <w:numId w:val="0"/>
        </w:numPr>
        <w:rPr>
          <w:rFonts w:hint="default" w:eastAsia="仿宋_GB2312"/>
          <w:color w:val="auto"/>
          <w:lang w:val="en-US"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苹方-港">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19</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22</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C0B91F"/>
    <w:multiLevelType w:val="singleLevel"/>
    <w:tmpl w:val="B8C0B91F"/>
    <w:lvl w:ilvl="0" w:tentative="0">
      <w:start w:val="1"/>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729E3BF"/>
    <w:multiLevelType w:val="singleLevel"/>
    <w:tmpl w:val="3729E3BF"/>
    <w:lvl w:ilvl="0" w:tentative="0">
      <w:start w:val="2"/>
      <w:numFmt w:val="decimal"/>
      <w:lvlText w:val="(%1)"/>
      <w:lvlJc w:val="left"/>
      <w:pPr>
        <w:tabs>
          <w:tab w:val="left" w:pos="312"/>
        </w:tabs>
      </w:pPr>
    </w:lvl>
  </w:abstractNum>
  <w:abstractNum w:abstractNumId="3">
    <w:nsid w:val="66950051"/>
    <w:multiLevelType w:val="singleLevel"/>
    <w:tmpl w:val="66950051"/>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67DB"/>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05C3"/>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0469"/>
    <w:rsid w:val="00FF2DC2"/>
    <w:rsid w:val="00FF3589"/>
    <w:rsid w:val="01530391"/>
    <w:rsid w:val="016A0791"/>
    <w:rsid w:val="016B281D"/>
    <w:rsid w:val="016C1D1F"/>
    <w:rsid w:val="01787993"/>
    <w:rsid w:val="017922D3"/>
    <w:rsid w:val="01BE133A"/>
    <w:rsid w:val="01F10C3B"/>
    <w:rsid w:val="022B1BDC"/>
    <w:rsid w:val="02377AE4"/>
    <w:rsid w:val="02466CD2"/>
    <w:rsid w:val="02B53A58"/>
    <w:rsid w:val="036868AE"/>
    <w:rsid w:val="039632A0"/>
    <w:rsid w:val="03E122FF"/>
    <w:rsid w:val="03E676FA"/>
    <w:rsid w:val="045F165D"/>
    <w:rsid w:val="046D644F"/>
    <w:rsid w:val="04C82BC8"/>
    <w:rsid w:val="04D41F39"/>
    <w:rsid w:val="04D7367A"/>
    <w:rsid w:val="050316EE"/>
    <w:rsid w:val="05192361"/>
    <w:rsid w:val="052E61C8"/>
    <w:rsid w:val="056B35FF"/>
    <w:rsid w:val="05A7719C"/>
    <w:rsid w:val="05C34514"/>
    <w:rsid w:val="0611352E"/>
    <w:rsid w:val="065F3760"/>
    <w:rsid w:val="06F21464"/>
    <w:rsid w:val="06F361DA"/>
    <w:rsid w:val="07351BC0"/>
    <w:rsid w:val="078867E3"/>
    <w:rsid w:val="07B92E8A"/>
    <w:rsid w:val="07CB6A21"/>
    <w:rsid w:val="07D17CB9"/>
    <w:rsid w:val="07D9605C"/>
    <w:rsid w:val="08277D2A"/>
    <w:rsid w:val="084A4C29"/>
    <w:rsid w:val="0883100C"/>
    <w:rsid w:val="089975EC"/>
    <w:rsid w:val="089A6177"/>
    <w:rsid w:val="094967DB"/>
    <w:rsid w:val="0AB53C5C"/>
    <w:rsid w:val="0ABE2F3D"/>
    <w:rsid w:val="0AFB146D"/>
    <w:rsid w:val="0B0D4493"/>
    <w:rsid w:val="0B874E51"/>
    <w:rsid w:val="0B9A7140"/>
    <w:rsid w:val="0C096608"/>
    <w:rsid w:val="0C194AE7"/>
    <w:rsid w:val="0C2E0580"/>
    <w:rsid w:val="0C384B50"/>
    <w:rsid w:val="0C386CDF"/>
    <w:rsid w:val="0C746AFD"/>
    <w:rsid w:val="0C8900E9"/>
    <w:rsid w:val="0D154B39"/>
    <w:rsid w:val="0D2844CA"/>
    <w:rsid w:val="0D435A86"/>
    <w:rsid w:val="0EDC703F"/>
    <w:rsid w:val="0EF0292E"/>
    <w:rsid w:val="0F1D3644"/>
    <w:rsid w:val="0F4E6CF0"/>
    <w:rsid w:val="0F6B6657"/>
    <w:rsid w:val="0F6F72B2"/>
    <w:rsid w:val="10582016"/>
    <w:rsid w:val="10D739BE"/>
    <w:rsid w:val="10E93F59"/>
    <w:rsid w:val="10FE2C1F"/>
    <w:rsid w:val="111F2AF8"/>
    <w:rsid w:val="11CE3F3E"/>
    <w:rsid w:val="124F2E58"/>
    <w:rsid w:val="12D26571"/>
    <w:rsid w:val="13E46860"/>
    <w:rsid w:val="141A35BB"/>
    <w:rsid w:val="14C35340"/>
    <w:rsid w:val="14DB63FC"/>
    <w:rsid w:val="15181C61"/>
    <w:rsid w:val="155D2AEF"/>
    <w:rsid w:val="15686272"/>
    <w:rsid w:val="158113EE"/>
    <w:rsid w:val="15AB7681"/>
    <w:rsid w:val="15E973B6"/>
    <w:rsid w:val="15F0229C"/>
    <w:rsid w:val="16362668"/>
    <w:rsid w:val="16441AC5"/>
    <w:rsid w:val="165B20E7"/>
    <w:rsid w:val="168925A2"/>
    <w:rsid w:val="16936F26"/>
    <w:rsid w:val="16AE2B9E"/>
    <w:rsid w:val="16B84680"/>
    <w:rsid w:val="16BF58F5"/>
    <w:rsid w:val="170B76FB"/>
    <w:rsid w:val="17A96988"/>
    <w:rsid w:val="17DA747A"/>
    <w:rsid w:val="17F53028"/>
    <w:rsid w:val="18172D39"/>
    <w:rsid w:val="18244A12"/>
    <w:rsid w:val="18D9085D"/>
    <w:rsid w:val="19037516"/>
    <w:rsid w:val="193E73A4"/>
    <w:rsid w:val="19685BE0"/>
    <w:rsid w:val="198874CC"/>
    <w:rsid w:val="19EE3E86"/>
    <w:rsid w:val="1A00300F"/>
    <w:rsid w:val="1A5A27AD"/>
    <w:rsid w:val="1A690C1C"/>
    <w:rsid w:val="1B0F26D0"/>
    <w:rsid w:val="1B673A82"/>
    <w:rsid w:val="1BBD4F3F"/>
    <w:rsid w:val="1BD900B6"/>
    <w:rsid w:val="1C99656B"/>
    <w:rsid w:val="1CA26936"/>
    <w:rsid w:val="1CDF1844"/>
    <w:rsid w:val="1CE02371"/>
    <w:rsid w:val="1D2C5876"/>
    <w:rsid w:val="1E744717"/>
    <w:rsid w:val="1EAB2CCD"/>
    <w:rsid w:val="1ED51DA6"/>
    <w:rsid w:val="1EE764E6"/>
    <w:rsid w:val="1F2B21F1"/>
    <w:rsid w:val="1FBA648C"/>
    <w:rsid w:val="1FD07C46"/>
    <w:rsid w:val="1FD25312"/>
    <w:rsid w:val="203C18B6"/>
    <w:rsid w:val="20F5544D"/>
    <w:rsid w:val="214C531C"/>
    <w:rsid w:val="21652F14"/>
    <w:rsid w:val="21D34434"/>
    <w:rsid w:val="2206387A"/>
    <w:rsid w:val="22D37791"/>
    <w:rsid w:val="22E46F2F"/>
    <w:rsid w:val="23396436"/>
    <w:rsid w:val="23571876"/>
    <w:rsid w:val="236C373B"/>
    <w:rsid w:val="23A816ED"/>
    <w:rsid w:val="23DE5CCA"/>
    <w:rsid w:val="23F72B70"/>
    <w:rsid w:val="24264B11"/>
    <w:rsid w:val="242D209B"/>
    <w:rsid w:val="249029D1"/>
    <w:rsid w:val="25312A51"/>
    <w:rsid w:val="25564CC3"/>
    <w:rsid w:val="25C37987"/>
    <w:rsid w:val="26384A4C"/>
    <w:rsid w:val="26BF0015"/>
    <w:rsid w:val="27773FC1"/>
    <w:rsid w:val="27985978"/>
    <w:rsid w:val="279A18C7"/>
    <w:rsid w:val="27FE053A"/>
    <w:rsid w:val="28137759"/>
    <w:rsid w:val="285F49DA"/>
    <w:rsid w:val="28CB67EF"/>
    <w:rsid w:val="290B1D60"/>
    <w:rsid w:val="29697C95"/>
    <w:rsid w:val="2A011247"/>
    <w:rsid w:val="2A6C6E62"/>
    <w:rsid w:val="2ABB0087"/>
    <w:rsid w:val="2ABD3DEA"/>
    <w:rsid w:val="2B1827EA"/>
    <w:rsid w:val="2B392BD9"/>
    <w:rsid w:val="2B4474F0"/>
    <w:rsid w:val="2B6925D3"/>
    <w:rsid w:val="2B94418C"/>
    <w:rsid w:val="2BA8111D"/>
    <w:rsid w:val="2C155F99"/>
    <w:rsid w:val="2C646A3F"/>
    <w:rsid w:val="2CEC34A4"/>
    <w:rsid w:val="2D4D195C"/>
    <w:rsid w:val="2D922100"/>
    <w:rsid w:val="2EA224B9"/>
    <w:rsid w:val="2EC96A1D"/>
    <w:rsid w:val="2EF463A3"/>
    <w:rsid w:val="2EF5618F"/>
    <w:rsid w:val="2EF71F9B"/>
    <w:rsid w:val="2F2A64E1"/>
    <w:rsid w:val="2F51371A"/>
    <w:rsid w:val="2F7979DF"/>
    <w:rsid w:val="303960C2"/>
    <w:rsid w:val="30A23C7B"/>
    <w:rsid w:val="30DA3F19"/>
    <w:rsid w:val="30F77A47"/>
    <w:rsid w:val="310F3A9F"/>
    <w:rsid w:val="315A058C"/>
    <w:rsid w:val="31724B48"/>
    <w:rsid w:val="31A66130"/>
    <w:rsid w:val="31B0147C"/>
    <w:rsid w:val="31BF461E"/>
    <w:rsid w:val="31F62C45"/>
    <w:rsid w:val="320C2BF7"/>
    <w:rsid w:val="32CF1792"/>
    <w:rsid w:val="32E11939"/>
    <w:rsid w:val="32E528BA"/>
    <w:rsid w:val="332770A8"/>
    <w:rsid w:val="33517FD2"/>
    <w:rsid w:val="33902148"/>
    <w:rsid w:val="339B4D1D"/>
    <w:rsid w:val="346D1431"/>
    <w:rsid w:val="3482006A"/>
    <w:rsid w:val="34CA5FEB"/>
    <w:rsid w:val="351870D9"/>
    <w:rsid w:val="35312AE1"/>
    <w:rsid w:val="3572320C"/>
    <w:rsid w:val="359358E8"/>
    <w:rsid w:val="359C3DC6"/>
    <w:rsid w:val="35F60440"/>
    <w:rsid w:val="36512587"/>
    <w:rsid w:val="36611433"/>
    <w:rsid w:val="366D7598"/>
    <w:rsid w:val="36A7446C"/>
    <w:rsid w:val="36E41B01"/>
    <w:rsid w:val="370234E8"/>
    <w:rsid w:val="374F0C21"/>
    <w:rsid w:val="3761178E"/>
    <w:rsid w:val="37BD589A"/>
    <w:rsid w:val="37E2036C"/>
    <w:rsid w:val="37FD60EC"/>
    <w:rsid w:val="3867727E"/>
    <w:rsid w:val="38C153AA"/>
    <w:rsid w:val="39000068"/>
    <w:rsid w:val="39333352"/>
    <w:rsid w:val="394D2BB6"/>
    <w:rsid w:val="3958150C"/>
    <w:rsid w:val="39C94AD6"/>
    <w:rsid w:val="3A37568C"/>
    <w:rsid w:val="3A515CCE"/>
    <w:rsid w:val="3A956BF7"/>
    <w:rsid w:val="3AC12620"/>
    <w:rsid w:val="3AE10910"/>
    <w:rsid w:val="3B0B739D"/>
    <w:rsid w:val="3B2A576B"/>
    <w:rsid w:val="3B643CED"/>
    <w:rsid w:val="3B9C756B"/>
    <w:rsid w:val="3BE72EB7"/>
    <w:rsid w:val="3C683A9F"/>
    <w:rsid w:val="3CA63FCF"/>
    <w:rsid w:val="3CB20BA7"/>
    <w:rsid w:val="3CB42E76"/>
    <w:rsid w:val="3CF525DB"/>
    <w:rsid w:val="3D8A2798"/>
    <w:rsid w:val="3DB54DD9"/>
    <w:rsid w:val="3DE01EB2"/>
    <w:rsid w:val="3DF628D0"/>
    <w:rsid w:val="3DFA5A07"/>
    <w:rsid w:val="3E0F2412"/>
    <w:rsid w:val="3E5C1FE6"/>
    <w:rsid w:val="3E8B0789"/>
    <w:rsid w:val="3E90141B"/>
    <w:rsid w:val="3EDE4585"/>
    <w:rsid w:val="3F0E559C"/>
    <w:rsid w:val="3F451B56"/>
    <w:rsid w:val="3F5013F4"/>
    <w:rsid w:val="3F5130CC"/>
    <w:rsid w:val="3FA7090B"/>
    <w:rsid w:val="3FC573C2"/>
    <w:rsid w:val="3FDE5E30"/>
    <w:rsid w:val="400C274D"/>
    <w:rsid w:val="409657CA"/>
    <w:rsid w:val="409C2A4E"/>
    <w:rsid w:val="40EE6BE5"/>
    <w:rsid w:val="41C844A1"/>
    <w:rsid w:val="41EA3C48"/>
    <w:rsid w:val="4211708D"/>
    <w:rsid w:val="43632516"/>
    <w:rsid w:val="436E4B64"/>
    <w:rsid w:val="43A31EE5"/>
    <w:rsid w:val="43A54E67"/>
    <w:rsid w:val="43FF401D"/>
    <w:rsid w:val="44941620"/>
    <w:rsid w:val="44956EDF"/>
    <w:rsid w:val="44E12089"/>
    <w:rsid w:val="44FA1F55"/>
    <w:rsid w:val="452F29F1"/>
    <w:rsid w:val="46116C7C"/>
    <w:rsid w:val="46344980"/>
    <w:rsid w:val="4634511C"/>
    <w:rsid w:val="46357021"/>
    <w:rsid w:val="463A33BF"/>
    <w:rsid w:val="46415EDC"/>
    <w:rsid w:val="46E566DC"/>
    <w:rsid w:val="46E8386D"/>
    <w:rsid w:val="470E6D2F"/>
    <w:rsid w:val="471449F7"/>
    <w:rsid w:val="472573FC"/>
    <w:rsid w:val="474552FC"/>
    <w:rsid w:val="47C55CCA"/>
    <w:rsid w:val="47EC0979"/>
    <w:rsid w:val="480C1B69"/>
    <w:rsid w:val="48164C67"/>
    <w:rsid w:val="48456235"/>
    <w:rsid w:val="49C9493B"/>
    <w:rsid w:val="49EC3798"/>
    <w:rsid w:val="4A233B87"/>
    <w:rsid w:val="4A534D14"/>
    <w:rsid w:val="4A66574B"/>
    <w:rsid w:val="4A7D4EAD"/>
    <w:rsid w:val="4AB81165"/>
    <w:rsid w:val="4B780F47"/>
    <w:rsid w:val="4BB711DB"/>
    <w:rsid w:val="4C486859"/>
    <w:rsid w:val="4C4A587B"/>
    <w:rsid w:val="4C81736F"/>
    <w:rsid w:val="4D427370"/>
    <w:rsid w:val="4D7029BC"/>
    <w:rsid w:val="4DF818DB"/>
    <w:rsid w:val="4E1B1439"/>
    <w:rsid w:val="4E813CB3"/>
    <w:rsid w:val="4EAB1019"/>
    <w:rsid w:val="4F7B42E8"/>
    <w:rsid w:val="4F9710BE"/>
    <w:rsid w:val="4F9B1A07"/>
    <w:rsid w:val="4FFC44C4"/>
    <w:rsid w:val="503903EC"/>
    <w:rsid w:val="506771C5"/>
    <w:rsid w:val="50D90018"/>
    <w:rsid w:val="513F27A6"/>
    <w:rsid w:val="5144471C"/>
    <w:rsid w:val="51486421"/>
    <w:rsid w:val="515E0CC2"/>
    <w:rsid w:val="518F43FA"/>
    <w:rsid w:val="51AC1B9E"/>
    <w:rsid w:val="521164FF"/>
    <w:rsid w:val="522C2600"/>
    <w:rsid w:val="52660F7A"/>
    <w:rsid w:val="529A65BD"/>
    <w:rsid w:val="52DB4573"/>
    <w:rsid w:val="532055E7"/>
    <w:rsid w:val="532062C3"/>
    <w:rsid w:val="533C386C"/>
    <w:rsid w:val="53987AC8"/>
    <w:rsid w:val="53B0590D"/>
    <w:rsid w:val="53CB5F63"/>
    <w:rsid w:val="53E716DD"/>
    <w:rsid w:val="53F5089F"/>
    <w:rsid w:val="540406A0"/>
    <w:rsid w:val="542A7981"/>
    <w:rsid w:val="543D4612"/>
    <w:rsid w:val="547140A0"/>
    <w:rsid w:val="54CF3AD1"/>
    <w:rsid w:val="54D04CDA"/>
    <w:rsid w:val="54E67BAC"/>
    <w:rsid w:val="5599056B"/>
    <w:rsid w:val="55D531A1"/>
    <w:rsid w:val="56287305"/>
    <w:rsid w:val="56344925"/>
    <w:rsid w:val="56836051"/>
    <w:rsid w:val="56A02C95"/>
    <w:rsid w:val="56A57698"/>
    <w:rsid w:val="56A76218"/>
    <w:rsid w:val="56E167E1"/>
    <w:rsid w:val="57814FA2"/>
    <w:rsid w:val="57892C7F"/>
    <w:rsid w:val="578B5CEF"/>
    <w:rsid w:val="578E399A"/>
    <w:rsid w:val="579D7CC0"/>
    <w:rsid w:val="579E0900"/>
    <w:rsid w:val="57B852D2"/>
    <w:rsid w:val="580B1356"/>
    <w:rsid w:val="58506561"/>
    <w:rsid w:val="58A01EF7"/>
    <w:rsid w:val="58FC58AC"/>
    <w:rsid w:val="59381715"/>
    <w:rsid w:val="595326AE"/>
    <w:rsid w:val="595B5672"/>
    <w:rsid w:val="5A067F0D"/>
    <w:rsid w:val="5A94304A"/>
    <w:rsid w:val="5A9C6CED"/>
    <w:rsid w:val="5ACD2F89"/>
    <w:rsid w:val="5AD808E2"/>
    <w:rsid w:val="5AE73060"/>
    <w:rsid w:val="5AF92F8F"/>
    <w:rsid w:val="5B417DD1"/>
    <w:rsid w:val="5B6D4B51"/>
    <w:rsid w:val="5C38288B"/>
    <w:rsid w:val="5C4B6554"/>
    <w:rsid w:val="5C5E1E06"/>
    <w:rsid w:val="5CA85943"/>
    <w:rsid w:val="5D240BC6"/>
    <w:rsid w:val="5D5A2CC2"/>
    <w:rsid w:val="5DBA5568"/>
    <w:rsid w:val="5DCE1D4E"/>
    <w:rsid w:val="5DE6435D"/>
    <w:rsid w:val="5DF03E91"/>
    <w:rsid w:val="5DF93B53"/>
    <w:rsid w:val="5E626183"/>
    <w:rsid w:val="5E7A5890"/>
    <w:rsid w:val="5ED41E18"/>
    <w:rsid w:val="5F72098E"/>
    <w:rsid w:val="5F734023"/>
    <w:rsid w:val="5FFD2CE2"/>
    <w:rsid w:val="60057C1C"/>
    <w:rsid w:val="607053F0"/>
    <w:rsid w:val="60FB46D7"/>
    <w:rsid w:val="61645D15"/>
    <w:rsid w:val="62292632"/>
    <w:rsid w:val="625E02AD"/>
    <w:rsid w:val="62727EBA"/>
    <w:rsid w:val="62955D61"/>
    <w:rsid w:val="62D81687"/>
    <w:rsid w:val="6305658B"/>
    <w:rsid w:val="63691FFE"/>
    <w:rsid w:val="63914A7B"/>
    <w:rsid w:val="63A03689"/>
    <w:rsid w:val="63B01D70"/>
    <w:rsid w:val="63D83F1F"/>
    <w:rsid w:val="63EA056D"/>
    <w:rsid w:val="63FD43C0"/>
    <w:rsid w:val="64026AED"/>
    <w:rsid w:val="64300170"/>
    <w:rsid w:val="64824ED9"/>
    <w:rsid w:val="64BC4C22"/>
    <w:rsid w:val="64EB711B"/>
    <w:rsid w:val="64FF5233"/>
    <w:rsid w:val="65037B33"/>
    <w:rsid w:val="653603A9"/>
    <w:rsid w:val="65436320"/>
    <w:rsid w:val="65592770"/>
    <w:rsid w:val="655C4431"/>
    <w:rsid w:val="65AC1D23"/>
    <w:rsid w:val="65BD452F"/>
    <w:rsid w:val="65CB1E65"/>
    <w:rsid w:val="65EF365D"/>
    <w:rsid w:val="66381321"/>
    <w:rsid w:val="664E14A8"/>
    <w:rsid w:val="66676B28"/>
    <w:rsid w:val="671B708A"/>
    <w:rsid w:val="67500120"/>
    <w:rsid w:val="680315E9"/>
    <w:rsid w:val="68432BB0"/>
    <w:rsid w:val="686A6404"/>
    <w:rsid w:val="68A647C0"/>
    <w:rsid w:val="68EF0851"/>
    <w:rsid w:val="692A41B3"/>
    <w:rsid w:val="6949692F"/>
    <w:rsid w:val="69627391"/>
    <w:rsid w:val="69C1333A"/>
    <w:rsid w:val="6A6C6E11"/>
    <w:rsid w:val="6AD7234F"/>
    <w:rsid w:val="6AED484C"/>
    <w:rsid w:val="6B72112F"/>
    <w:rsid w:val="6B764870"/>
    <w:rsid w:val="6B8118ED"/>
    <w:rsid w:val="6B9F1DED"/>
    <w:rsid w:val="6BDB4769"/>
    <w:rsid w:val="6BE50F57"/>
    <w:rsid w:val="6BF71767"/>
    <w:rsid w:val="6C55486C"/>
    <w:rsid w:val="6CEA2065"/>
    <w:rsid w:val="6E4D664F"/>
    <w:rsid w:val="6E571992"/>
    <w:rsid w:val="6E953A27"/>
    <w:rsid w:val="6EAD4FE0"/>
    <w:rsid w:val="6EDF6EC1"/>
    <w:rsid w:val="6F3E3D06"/>
    <w:rsid w:val="6F6442A1"/>
    <w:rsid w:val="6FA341CE"/>
    <w:rsid w:val="6FBB1C1E"/>
    <w:rsid w:val="7050314E"/>
    <w:rsid w:val="706B6C80"/>
    <w:rsid w:val="7085237B"/>
    <w:rsid w:val="70A23FC8"/>
    <w:rsid w:val="70B65AD8"/>
    <w:rsid w:val="70D271DB"/>
    <w:rsid w:val="712119A1"/>
    <w:rsid w:val="71C25240"/>
    <w:rsid w:val="71F8584B"/>
    <w:rsid w:val="72192F3F"/>
    <w:rsid w:val="727E268C"/>
    <w:rsid w:val="72AD436F"/>
    <w:rsid w:val="733423DB"/>
    <w:rsid w:val="73430AE6"/>
    <w:rsid w:val="73A2185C"/>
    <w:rsid w:val="73D349A2"/>
    <w:rsid w:val="73EE1520"/>
    <w:rsid w:val="74035F57"/>
    <w:rsid w:val="74B43990"/>
    <w:rsid w:val="7571408D"/>
    <w:rsid w:val="758241CA"/>
    <w:rsid w:val="75A372AA"/>
    <w:rsid w:val="75D4302F"/>
    <w:rsid w:val="75DF3A0D"/>
    <w:rsid w:val="75F50DF5"/>
    <w:rsid w:val="760B02B2"/>
    <w:rsid w:val="763E4F51"/>
    <w:rsid w:val="767513BB"/>
    <w:rsid w:val="76971C7A"/>
    <w:rsid w:val="773879DF"/>
    <w:rsid w:val="77CC2927"/>
    <w:rsid w:val="77EB3AC8"/>
    <w:rsid w:val="78012776"/>
    <w:rsid w:val="785E0ACB"/>
    <w:rsid w:val="78A021DD"/>
    <w:rsid w:val="78B237CB"/>
    <w:rsid w:val="78B647E8"/>
    <w:rsid w:val="78BF76F8"/>
    <w:rsid w:val="790F4F95"/>
    <w:rsid w:val="79227145"/>
    <w:rsid w:val="79310F2A"/>
    <w:rsid w:val="799469FD"/>
    <w:rsid w:val="79C20CC5"/>
    <w:rsid w:val="7A52160B"/>
    <w:rsid w:val="7A5C2DA1"/>
    <w:rsid w:val="7A672B47"/>
    <w:rsid w:val="7AEA2AFF"/>
    <w:rsid w:val="7B624203"/>
    <w:rsid w:val="7B984C18"/>
    <w:rsid w:val="7BCA0E24"/>
    <w:rsid w:val="7BDC08F7"/>
    <w:rsid w:val="7C072769"/>
    <w:rsid w:val="7C1B0AAC"/>
    <w:rsid w:val="7C233FC2"/>
    <w:rsid w:val="7C3347EB"/>
    <w:rsid w:val="7C7E5277"/>
    <w:rsid w:val="7CC3305A"/>
    <w:rsid w:val="7D203751"/>
    <w:rsid w:val="7D3711DF"/>
    <w:rsid w:val="7D580C08"/>
    <w:rsid w:val="7DF574E2"/>
    <w:rsid w:val="7E287508"/>
    <w:rsid w:val="7E2E7058"/>
    <w:rsid w:val="7E557C00"/>
    <w:rsid w:val="7EE55FE7"/>
    <w:rsid w:val="7EF526E2"/>
    <w:rsid w:val="7F255047"/>
    <w:rsid w:val="7FBC6D24"/>
    <w:rsid w:val="7FBE4B5B"/>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6"/>
    <w:qFormat/>
    <w:uiPriority w:val="0"/>
    <w:rPr>
      <w:rFonts w:ascii="宋体"/>
      <w:sz w:val="18"/>
      <w:szCs w:val="18"/>
    </w:rPr>
  </w:style>
  <w:style w:type="paragraph" w:styleId="10">
    <w:name w:val="annotation text"/>
    <w:basedOn w:val="1"/>
    <w:link w:val="37"/>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7"/>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5"/>
    <w:qFormat/>
    <w:uiPriority w:val="0"/>
    <w:rPr>
      <w:rFonts w:ascii="宋体" w:hAnsi="Courier New" w:cs="Courier New"/>
      <w:szCs w:val="21"/>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3"/>
    <w:qFormat/>
    <w:uiPriority w:val="0"/>
    <w:rPr>
      <w:sz w:val="18"/>
      <w:szCs w:val="18"/>
    </w:rPr>
  </w:style>
  <w:style w:type="paragraph" w:styleId="17">
    <w:name w:val="footer"/>
    <w:basedOn w:val="1"/>
    <w:link w:val="62"/>
    <w:qFormat/>
    <w:uiPriority w:val="99"/>
    <w:pPr>
      <w:tabs>
        <w:tab w:val="center" w:pos="4153"/>
        <w:tab w:val="right" w:pos="8306"/>
      </w:tabs>
      <w:snapToGrid w:val="0"/>
      <w:jc w:val="left"/>
    </w:pPr>
    <w:rPr>
      <w:sz w:val="18"/>
    </w:rPr>
  </w:style>
  <w:style w:type="paragraph" w:styleId="18">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5"/>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8"/>
    <w:qFormat/>
    <w:uiPriority w:val="0"/>
    <w:rPr>
      <w:b/>
      <w:bCs/>
    </w:rPr>
  </w:style>
  <w:style w:type="paragraph" w:styleId="25">
    <w:name w:val="Body Text First Indent"/>
    <w:basedOn w:val="12"/>
    <w:link w:val="58"/>
    <w:qFormat/>
    <w:uiPriority w:val="0"/>
    <w:pPr>
      <w:ind w:firstLine="420" w:firstLineChars="100"/>
    </w:p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basedOn w:val="28"/>
    <w:qFormat/>
    <w:uiPriority w:val="0"/>
    <w:rPr>
      <w:rFonts w:eastAsia="宋体"/>
      <w:kern w:val="2"/>
      <w:sz w:val="21"/>
      <w:szCs w:val="21"/>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批注框文本 Char"/>
    <w:link w:val="16"/>
    <w:qFormat/>
    <w:uiPriority w:val="0"/>
    <w:rPr>
      <w:kern w:val="2"/>
      <w:sz w:val="18"/>
      <w:szCs w:val="18"/>
    </w:rPr>
  </w:style>
  <w:style w:type="character" w:customStyle="1" w:styleId="34">
    <w:name w:val="标题 1 Char"/>
    <w:link w:val="3"/>
    <w:qFormat/>
    <w:uiPriority w:val="9"/>
    <w:rPr>
      <w:rFonts w:ascii="Calibri" w:hAnsi="Calibri" w:eastAsia="宋体" w:cs="Times New Roman"/>
      <w:b/>
      <w:bCs/>
      <w:kern w:val="44"/>
      <w:sz w:val="44"/>
      <w:szCs w:val="44"/>
    </w:rPr>
  </w:style>
  <w:style w:type="character" w:customStyle="1" w:styleId="35">
    <w:name w:val="标题 Char"/>
    <w:link w:val="23"/>
    <w:qFormat/>
    <w:uiPriority w:val="0"/>
    <w:rPr>
      <w:rFonts w:ascii="Cambria" w:hAnsi="Cambria" w:cs="Times New Roman"/>
      <w:b/>
      <w:bCs/>
      <w:kern w:val="2"/>
      <w:sz w:val="32"/>
      <w:szCs w:val="32"/>
    </w:rPr>
  </w:style>
  <w:style w:type="character" w:customStyle="1" w:styleId="36">
    <w:name w:val="文档结构图 Char"/>
    <w:link w:val="9"/>
    <w:qFormat/>
    <w:uiPriority w:val="0"/>
    <w:rPr>
      <w:rFonts w:ascii="宋体"/>
      <w:kern w:val="2"/>
      <w:sz w:val="18"/>
      <w:szCs w:val="18"/>
    </w:rPr>
  </w:style>
  <w:style w:type="character" w:customStyle="1" w:styleId="37">
    <w:name w:val="批注文字 Char"/>
    <w:link w:val="10"/>
    <w:qFormat/>
    <w:uiPriority w:val="0"/>
    <w:rPr>
      <w:kern w:val="2"/>
      <w:sz w:val="21"/>
      <w:szCs w:val="24"/>
    </w:rPr>
  </w:style>
  <w:style w:type="character" w:customStyle="1" w:styleId="38">
    <w:name w:val="批注主题 Char"/>
    <w:link w:val="24"/>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8"/>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4"/>
    <w:qFormat/>
    <w:uiPriority w:val="0"/>
    <w:rPr>
      <w:rFonts w:ascii="宋体" w:hAnsi="Courier New" w:cs="Courier New"/>
      <w:kern w:val="2"/>
      <w:sz w:val="21"/>
      <w:szCs w:val="21"/>
    </w:rPr>
  </w:style>
  <w:style w:type="character" w:customStyle="1" w:styleId="56">
    <w:name w:val="页眉 Char"/>
    <w:link w:val="18"/>
    <w:qFormat/>
    <w:uiPriority w:val="99"/>
    <w:rPr>
      <w:kern w:val="2"/>
      <w:sz w:val="18"/>
      <w:szCs w:val="24"/>
    </w:rPr>
  </w:style>
  <w:style w:type="character" w:customStyle="1" w:styleId="57">
    <w:name w:val="正文文本 Char"/>
    <w:basedOn w:val="28"/>
    <w:link w:val="12"/>
    <w:semiHidden/>
    <w:qFormat/>
    <w:uiPriority w:val="0"/>
    <w:rPr>
      <w:kern w:val="2"/>
      <w:sz w:val="21"/>
      <w:szCs w:val="24"/>
    </w:rPr>
  </w:style>
  <w:style w:type="character" w:customStyle="1" w:styleId="58">
    <w:name w:val="正文首行缩进 Char"/>
    <w:basedOn w:val="57"/>
    <w:link w:val="25"/>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8"/>
    <w:link w:val="60"/>
    <w:qFormat/>
    <w:uiPriority w:val="34"/>
    <w:rPr>
      <w:rFonts w:ascii="Calibri" w:hAnsi="Calibri"/>
      <w:kern w:val="2"/>
      <w:sz w:val="21"/>
      <w:szCs w:val="22"/>
    </w:rPr>
  </w:style>
  <w:style w:type="character" w:customStyle="1" w:styleId="62">
    <w:name w:val="页脚 Char"/>
    <w:basedOn w:val="28"/>
    <w:link w:val="17"/>
    <w:qFormat/>
    <w:uiPriority w:val="99"/>
    <w:rPr>
      <w:rFonts w:ascii="Times New Roman" w:hAnsi="Times New Roman"/>
      <w:kern w:val="2"/>
      <w:sz w:val="18"/>
      <w:szCs w:val="24"/>
    </w:rPr>
  </w:style>
  <w:style w:type="paragraph" w:customStyle="1" w:styleId="63">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6">
    <w:name w:val="_"/>
    <w:basedOn w:val="1"/>
    <w:qFormat/>
    <w:uiPriority w:val="0"/>
    <w:pPr>
      <w:spacing w:line="360" w:lineRule="auto"/>
      <w:ind w:left="480"/>
    </w:pPr>
    <w:rPr>
      <w:rFonts w:ascii="Calibri" w:hAnsi="Calibri"/>
      <w:sz w:val="24"/>
      <w:szCs w:val="22"/>
    </w:rPr>
  </w:style>
  <w:style w:type="paragraph" w:customStyle="1" w:styleId="67">
    <w:name w:val="！正文"/>
    <w:basedOn w:val="3"/>
    <w:next w:val="1"/>
    <w:qFormat/>
    <w:uiPriority w:val="0"/>
    <w:pPr>
      <w:keepNext w:val="0"/>
      <w:keepLines w:val="0"/>
      <w:widowControl/>
      <w:spacing w:before="0" w:after="0" w:line="360" w:lineRule="auto"/>
      <w:ind w:firstLine="200" w:firstLineChars="200"/>
      <w:jc w:val="left"/>
      <w:outlineLvl w:val="9"/>
    </w:pPr>
    <w:rPr>
      <w:rFonts w:ascii="Times New Roman" w:hAnsi="Times New Roman" w:eastAsia="宋体" w:cs="Times New Roman"/>
      <w:b w:val="0"/>
      <w:bCs w:val="0"/>
      <w:kern w:val="2"/>
      <w:sz w:val="24"/>
      <w:szCs w:val="20"/>
    </w:rPr>
  </w:style>
  <w:style w:type="character" w:customStyle="1" w:styleId="68">
    <w:name w:val="font41"/>
    <w:basedOn w:val="28"/>
    <w:qFormat/>
    <w:uiPriority w:val="0"/>
    <w:rPr>
      <w:rFonts w:hint="default" w:ascii="苹方-港" w:hAnsi="苹方-港" w:eastAsia="苹方-港" w:cs="苹方-港"/>
      <w:color w:val="000000"/>
      <w:sz w:val="20"/>
      <w:szCs w:val="20"/>
      <w:u w:val="none"/>
    </w:rPr>
  </w:style>
  <w:style w:type="paragraph" w:customStyle="1" w:styleId="69">
    <w:name w:val="WPSOffice手动目录 1"/>
    <w:qFormat/>
    <w:uiPriority w:val="0"/>
    <w:pPr>
      <w:ind w:leftChars="0"/>
    </w:pPr>
    <w:rPr>
      <w:rFonts w:ascii="Times New Roman" w:hAnsi="Times New Roman" w:eastAsia="宋体" w:cs="Times New Roman"/>
      <w:sz w:val="20"/>
      <w:szCs w:val="20"/>
    </w:rPr>
  </w:style>
  <w:style w:type="paragraph" w:customStyle="1" w:styleId="70">
    <w:name w:val="WPSOffice手动目录 2"/>
    <w:qFormat/>
    <w:uiPriority w:val="0"/>
    <w:pPr>
      <w:ind w:leftChars="200"/>
    </w:pPr>
    <w:rPr>
      <w:rFonts w:ascii="Times New Roman" w:hAnsi="Times New Roman" w:eastAsia="宋体" w:cs="Times New Roman"/>
      <w:sz w:val="20"/>
      <w:szCs w:val="20"/>
    </w:rPr>
  </w:style>
  <w:style w:type="paragraph" w:customStyle="1" w:styleId="71">
    <w:name w:val="WPSOffice手动目录 3"/>
    <w:qFormat/>
    <w:uiPriority w:val="0"/>
    <w:pPr>
      <w:ind w:leftChars="400"/>
    </w:pPr>
    <w:rPr>
      <w:rFonts w:ascii="Times New Roman" w:hAnsi="Times New Roman" w:eastAsia="宋体" w:cs="Times New Roman"/>
      <w:sz w:val="20"/>
      <w:szCs w:val="20"/>
    </w:rPr>
  </w:style>
  <w:style w:type="paragraph" w:customStyle="1" w:styleId="72">
    <w:name w:val="列表段落1"/>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23</TotalTime>
  <ScaleCrop>false</ScaleCrop>
  <LinksUpToDate>false</LinksUpToDate>
  <CharactersWithSpaces>24728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2021-07-21T09:32:00Z</cp:lastPrinted>
  <dcterms:modified xsi:type="dcterms:W3CDTF">2021-07-23T08:24:58Z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