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highlight w:val="none"/>
          <w14:textFill>
            <w14:solidFill>
              <w14:schemeClr w14:val="tx1"/>
            </w14:solidFill>
          </w14:textFill>
        </w:rPr>
      </w:pPr>
      <w:bookmarkStart w:id="6" w:name="_GoBack"/>
      <w:bookmarkEnd w:id="6"/>
      <w:r>
        <w:rPr>
          <w:rFonts w:hint="eastAsia" w:ascii="仿宋_GB2312" w:hAnsi="仿宋_GB2312" w:eastAsia="仿宋_GB2312" w:cs="仿宋_GB2312"/>
          <w:b/>
          <w:bCs/>
          <w:color w:val="000000" w:themeColor="text1"/>
          <w:sz w:val="72"/>
          <w:highlight w:val="none"/>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highlight w:val="none"/>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highlight w:val="none"/>
          <w14:textFill>
            <w14:solidFill>
              <w14:schemeClr w14:val="tx1"/>
            </w14:solidFill>
          </w14:textFill>
        </w:rPr>
      </w:pPr>
    </w:p>
    <w:p>
      <w:pPr>
        <w:spacing w:line="500" w:lineRule="exact"/>
        <w:ind w:firstLine="640" w:firstLineChars="200"/>
        <w:jc w:val="lef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项目编号：</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XJ-20210622-2</w:t>
      </w:r>
    </w:p>
    <w:p>
      <w:pPr>
        <w:spacing w:line="500" w:lineRule="exact"/>
        <w:ind w:left="2249" w:hanging="2240" w:hangingChars="700"/>
        <w:jc w:val="left"/>
        <w:rPr>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项目名称：广州市净水有限公司海珠西部净水厂地块控制性</w:t>
      </w:r>
    </w:p>
    <w:p>
      <w:pPr>
        <w:spacing w:line="500" w:lineRule="exact"/>
        <w:ind w:firstLine="2240" w:firstLineChars="700"/>
        <w:jc w:val="left"/>
        <w:rPr>
          <w:rFonts w:ascii="仿宋_GB2312" w:hAnsi="仿宋_GB2312" w:eastAsia="仿宋_GB2312" w:cs="仿宋_GB2312"/>
          <w:b/>
          <w:bCs/>
          <w:color w:val="000000" w:themeColor="text1"/>
          <w:sz w:val="24"/>
          <w:szCs w:val="28"/>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详细规划调整及专题评估</w:t>
      </w:r>
    </w:p>
    <w:p>
      <w:pPr>
        <w:spacing w:line="500" w:lineRule="exact"/>
        <w:jc w:val="center"/>
        <w:rPr>
          <w:rFonts w:ascii="仿宋_GB2312" w:hAnsi="仿宋_GB2312" w:eastAsia="仿宋_GB2312" w:cs="仿宋_GB2312"/>
          <w:b/>
          <w:bCs/>
          <w:color w:val="000000" w:themeColor="text1"/>
          <w:highlight w:val="none"/>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highlight w:val="none"/>
          <w14:textFill>
            <w14:solidFill>
              <w14:schemeClr w14:val="tx1"/>
            </w14:solidFill>
          </w14:textFill>
        </w:rPr>
      </w:pPr>
    </w:p>
    <w:p>
      <w:pPr>
        <w:spacing w:line="360" w:lineRule="auto"/>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b/>
          <w:bCs/>
          <w:color w:val="000000" w:themeColor="text1"/>
          <w:sz w:val="36"/>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6"/>
          <w:highlight w:val="none"/>
          <w14:textFill>
            <w14:solidFill>
              <w14:schemeClr w14:val="tx1"/>
            </w14:solidFill>
          </w14:textFill>
        </w:rPr>
        <w:t>广州市净水有限公司编制</w:t>
      </w:r>
    </w:p>
    <w:p>
      <w:pPr>
        <w:spacing w:line="360" w:lineRule="auto"/>
        <w:jc w:val="center"/>
        <w:rPr>
          <w:rFonts w:ascii="仿宋_GB2312" w:hAnsi="仿宋_GB2312" w:eastAsia="仿宋_GB2312" w:cs="仿宋_GB2312"/>
          <w:b/>
          <w:bCs/>
          <w:color w:val="000000" w:themeColor="text1"/>
          <w:sz w:val="28"/>
          <w:highlight w:val="none"/>
          <w14:textFill>
            <w14:solidFill>
              <w14:schemeClr w14:val="tx1"/>
            </w14:solidFill>
          </w14:textFill>
        </w:rPr>
      </w:pPr>
      <w:r>
        <w:rPr>
          <w:rFonts w:hint="eastAsia" w:ascii="仿宋_GB2312" w:hAnsi="仿宋_GB2312" w:eastAsia="仿宋_GB2312" w:cs="仿宋_GB2312"/>
          <w:b/>
          <w:bCs/>
          <w:color w:val="000000" w:themeColor="text1"/>
          <w:sz w:val="28"/>
          <w:highlight w:val="none"/>
          <w14:textFill>
            <w14:solidFill>
              <w14:schemeClr w14:val="tx1"/>
            </w14:solidFill>
          </w14:textFill>
        </w:rPr>
        <w:t>发布日期：</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2021</w:t>
      </w:r>
      <w:r>
        <w:rPr>
          <w:rFonts w:hint="eastAsia" w:ascii="仿宋_GB2312" w:hAnsi="仿宋_GB2312" w:eastAsia="仿宋_GB2312" w:cs="仿宋_GB2312"/>
          <w:b/>
          <w:bCs/>
          <w:color w:val="000000" w:themeColor="text1"/>
          <w:sz w:val="28"/>
          <w:highlight w:val="none"/>
          <w14:textFill>
            <w14:solidFill>
              <w14:schemeClr w14:val="tx1"/>
            </w14:solidFill>
          </w14:textFill>
        </w:rPr>
        <w:t>年</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28"/>
          <w:highlight w:val="none"/>
          <w14:textFill>
            <w14:solidFill>
              <w14:schemeClr w14:val="tx1"/>
            </w14:solidFill>
          </w14:textFill>
        </w:rPr>
        <w:t>月</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22</w:t>
      </w:r>
      <w:r>
        <w:rPr>
          <w:rFonts w:hint="eastAsia" w:ascii="仿宋_GB2312" w:hAnsi="仿宋_GB2312" w:eastAsia="仿宋_GB2312" w:cs="仿宋_GB2312"/>
          <w:b/>
          <w:bCs/>
          <w:color w:val="000000" w:themeColor="text1"/>
          <w:sz w:val="28"/>
          <w:highlight w:val="none"/>
          <w14:textFill>
            <w14:solidFill>
              <w14:schemeClr w14:val="tx1"/>
            </w14:solidFill>
          </w14:textFill>
        </w:rPr>
        <w:t>日</w:t>
      </w:r>
    </w:p>
    <w:p>
      <w:pPr>
        <w:rPr>
          <w:rFonts w:ascii="仿宋_GB2312" w:hAnsi="仿宋_GB2312" w:eastAsia="仿宋_GB2312" w:cs="仿宋_GB2312"/>
          <w:color w:val="000000" w:themeColor="text1"/>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目录</w:t>
      </w:r>
      <w:r>
        <w:rPr>
          <w:rFonts w:ascii="仿宋_GB2312" w:hAnsi="仿宋_GB2312" w:eastAsia="仿宋_GB2312" w:cs="仿宋_GB2312"/>
          <w:b/>
          <w:bCs/>
          <w:caps/>
          <w:color w:val="000000" w:themeColor="text1"/>
          <w:sz w:val="28"/>
          <w:szCs w:val="28"/>
          <w:highlight w:val="none"/>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第一部分报价邀请函</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第二部分项目内容</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第三部分报价须知</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第四部分合同书格式</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highlight w:val="none"/>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kern w:val="0"/>
          <w:sz w:val="28"/>
          <w:szCs w:val="28"/>
          <w:highlight w:val="none"/>
          <w14:textFill>
            <w14:solidFill>
              <w14:schemeClr w14:val="tx1"/>
            </w14:solidFill>
          </w14:textFill>
        </w:rPr>
      </w:pPr>
      <w:r>
        <w:rPr>
          <w:rFonts w:hint="eastAsia" w:ascii="仿宋" w:hAnsi="仿宋" w:eastAsia="仿宋" w:cs="仿宋_GB2312"/>
          <w:b/>
          <w:color w:val="000000" w:themeColor="text1"/>
          <w:kern w:val="0"/>
          <w:sz w:val="28"/>
          <w:szCs w:val="28"/>
          <w:highlight w:val="none"/>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highlight w:val="none"/>
          <w14:textFill>
            <w14:solidFill>
              <w14:schemeClr w14:val="tx1"/>
            </w14:solidFill>
          </w14:textFill>
        </w:rPr>
      </w:pPr>
    </w:p>
    <w:p>
      <w:pP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各报价单位</w:t>
      </w:r>
      <w:r>
        <w:rPr>
          <w:rFonts w:ascii="仿宋_GB2312" w:hAnsi="仿宋_GB2312" w:eastAsia="仿宋_GB2312" w:cs="仿宋_GB2312"/>
          <w:color w:val="000000" w:themeColor="text1"/>
          <w:kern w:val="0"/>
          <w:sz w:val="28"/>
          <w:szCs w:val="28"/>
          <w:highlight w:val="none"/>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现我公司对</w:t>
      </w:r>
      <w:r>
        <w:rPr>
          <w:rFonts w:hint="eastAsia" w:ascii="仿宋" w:hAnsi="仿宋" w:eastAsia="仿宋" w:cs="仿宋_GB2312"/>
          <w:bCs/>
          <w:color w:val="000000" w:themeColor="text1"/>
          <w:sz w:val="28"/>
          <w:szCs w:val="28"/>
          <w:highlight w:val="none"/>
          <w:u w:val="single"/>
          <w14:textFill>
            <w14:solidFill>
              <w14:schemeClr w14:val="tx1"/>
            </w14:solidFill>
          </w14:textFill>
        </w:rPr>
        <w:t>海珠西部净水厂地块控制性详细规划调整及专题评估</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进行询价，</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highlight w:val="none"/>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一、资金计划：</w:t>
      </w:r>
      <w:r>
        <w:rPr>
          <w:rFonts w:hint="eastAsia" w:ascii="仿宋" w:hAnsi="仿宋" w:eastAsia="仿宋" w:cs="仿宋_GB2312"/>
          <w:color w:val="000000" w:themeColor="text1"/>
          <w:sz w:val="28"/>
          <w:szCs w:val="28"/>
          <w:highlight w:val="none"/>
          <w14:textFill>
            <w14:solidFill>
              <w14:schemeClr w14:val="tx1"/>
            </w14:solidFill>
          </w14:textFill>
        </w:rPr>
        <w:t>自筹资金</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XJ-20210622-2</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广州市净水有限公司海珠西部净水厂地块控制性详细规划调整及专题评估 </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u w:val="single"/>
          <w14:textFill>
            <w14:solidFill>
              <w14:schemeClr w14:val="tx1"/>
            </w14:solidFill>
          </w14:textFill>
        </w:rPr>
        <w:t>106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万元</w:t>
      </w:r>
    </w:p>
    <w:p>
      <w:pPr>
        <w:ind w:firstLine="602" w:firstLineChars="215"/>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项目内容及需求：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拟在</w:t>
      </w:r>
      <w:r>
        <w:rPr>
          <w:rFonts w:hint="eastAsia" w:ascii="仿宋_GB2312" w:hAnsi="仿宋_GB2312" w:eastAsia="仿宋_GB2312" w:cs="仿宋_GB2312"/>
          <w:color w:val="000000" w:themeColor="text1"/>
          <w:sz w:val="28"/>
          <w:szCs w:val="28"/>
          <w:highlight w:val="none"/>
          <w14:textFill>
            <w14:solidFill>
              <w14:schemeClr w14:val="tx1"/>
            </w14:solidFill>
          </w14:textFill>
        </w:rPr>
        <w:t>海珠区西部区域新建一座污水处理厂，现就此开展项目控规调整工作。本次控规调整工作需包含控规调整论证报告，以及对应规划调整所需的专题评估（如交通影响评估、环境影响篇章、市政设施影响评估及洪涝安全评估等）内容。</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六、报价单位资格要求：</w:t>
      </w:r>
    </w:p>
    <w:p>
      <w:pPr>
        <w:pStyle w:val="27"/>
        <w:autoSpaceDE w:val="0"/>
        <w:autoSpaceDN w:val="0"/>
        <w:ind w:firstLine="560"/>
        <w:jc w:val="left"/>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报价单位须是中华人民共和国境内的法人或者其他组织，具有独立法人资格，能开具增值税专用发票，持有工商行政管理部门核发的法人营业执照或各级登记管理机关颁发的事业单位法定代表人证。</w:t>
      </w:r>
    </w:p>
    <w:p>
      <w:pPr>
        <w:pStyle w:val="27"/>
        <w:autoSpaceDE w:val="0"/>
        <w:autoSpaceDN w:val="0"/>
        <w:ind w:firstLine="56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持有建设行政主管部门颁发的城市（乡）规划编制甲级资质证书</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项目负责人需具备城市（乡）规划高级（或以上）工程师职称或注册城市（乡）规划师资格。</w:t>
      </w:r>
    </w:p>
    <w:p>
      <w:pPr>
        <w:pStyle w:val="27"/>
        <w:autoSpaceDE w:val="0"/>
        <w:autoSpaceDN w:val="0"/>
        <w:ind w:firstLine="560"/>
        <w:jc w:val="left"/>
        <w:rPr>
          <w:rFonts w:hint="default" w:ascii="仿宋_GB2312" w:hAnsi="仿宋_GB2312" w:eastAsia="宋体"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自</w:t>
      </w:r>
      <w:r>
        <w:rPr>
          <w:rFonts w:ascii="仿宋_GB2312" w:hAnsi="仿宋_GB2312" w:eastAsia="仿宋_GB2312" w:cs="仿宋_GB2312"/>
          <w:color w:val="000000" w:themeColor="text1"/>
          <w:sz w:val="28"/>
          <w:szCs w:val="28"/>
          <w:highlight w:val="none"/>
          <w:u w:val="single"/>
          <w14:textFill>
            <w14:solidFill>
              <w14:schemeClr w14:val="tx1"/>
            </w14:solidFill>
          </w14:textFill>
        </w:rPr>
        <w:t>2018</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日至今，最少完成一项合同金额不少于70万元的广州市</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地块</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控规编制、修编、调整或修正项目业绩（提供合同复印件证明，包括但不限于项目名称、金额及实施内容、合同双方签字盖章、签订日期，并加盖单位公章）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并提供项目调规批复文件。</w:t>
      </w:r>
    </w:p>
    <w:p>
      <w:pPr>
        <w:autoSpaceDE w:val="0"/>
        <w:autoSpaceDN w:val="0"/>
        <w:ind w:firstLine="560" w:firstLineChars="200"/>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七</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、现场踏勘</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答疑会</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时间、地点（也可由</w:t>
      </w:r>
      <w:r>
        <w:rPr>
          <w:rFonts w:hint="eastAsia" w:ascii="仿宋_GB2312" w:hAnsi="仿宋_GB2312" w:eastAsia="仿宋_GB2312" w:cs="仿宋_GB2312"/>
          <w:color w:val="000000" w:themeColor="text1"/>
          <w:sz w:val="28"/>
          <w:szCs w:val="28"/>
          <w:highlight w:val="none"/>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人自行踏勘现场）：</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lang w:val="zh-CN"/>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现场踏勘</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答疑会</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集合时间：</w:t>
      </w:r>
      <w:r>
        <w:rPr>
          <w:rFonts w:ascii="仿宋_GB2312" w:hAnsi="仿宋_GB2312" w:eastAsia="仿宋_GB2312" w:cs="仿宋_GB2312"/>
          <w:color w:val="000000" w:themeColor="text1"/>
          <w:sz w:val="28"/>
          <w:szCs w:val="28"/>
          <w:highlight w:val="none"/>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lang w:val="zh-CN"/>
          <w14:textFill>
            <w14:solidFill>
              <w14:schemeClr w14:val="tx1"/>
            </w14:solidFill>
          </w14:textFill>
        </w:rPr>
        <w:t xml:space="preserve">2. </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现场踏勘</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答疑会</w:t>
      </w:r>
      <w:r>
        <w:rPr>
          <w:rFonts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集合地点：</w:t>
      </w:r>
      <w:r>
        <w:rPr>
          <w:rFonts w:ascii="仿宋_GB2312" w:hAnsi="仿宋_GB2312" w:eastAsia="仿宋_GB2312" w:cs="仿宋_GB2312"/>
          <w:color w:val="000000" w:themeColor="text1"/>
          <w:sz w:val="28"/>
          <w:szCs w:val="28"/>
          <w:highlight w:val="none"/>
          <w14:textFill>
            <w14:solidFill>
              <w14:schemeClr w14:val="tx1"/>
            </w14:solidFill>
          </w14:textFill>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numPr>
          <w:ilvl w:val="0"/>
          <w:numId w:val="1"/>
        </w:numPr>
        <w:ind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询价响应文件送达地点：广州市净水有限公司六楼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办（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广州市天河区临江大道501号</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黄工</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联系方式：020-</w:t>
      </w:r>
      <w:r>
        <w:rPr>
          <w:rFonts w:hint="eastAsia" w:ascii="仿宋_GB2312" w:hAnsi="仿宋_GB2312" w:eastAsia="仿宋_GB2312" w:cs="仿宋_GB2312"/>
          <w:color w:val="000000"/>
          <w:kern w:val="0"/>
          <w:sz w:val="28"/>
          <w:szCs w:val="28"/>
          <w:lang w:val="en-US" w:eastAsia="zh-CN"/>
        </w:rPr>
        <w:t>62315524</w:t>
      </w:r>
    </w:p>
    <w:p>
      <w:pPr>
        <w:snapToGrid w:val="0"/>
        <w:spacing w:line="360" w:lineRule="auto"/>
        <w:ind w:firstLine="840" w:firstLineChars="300"/>
        <w:rPr>
          <w:rFonts w:ascii="仿宋_GB2312" w:hAnsi="仿宋_GB2312" w:eastAsia="仿宋_GB2312" w:cs="仿宋_GB2312"/>
          <w:color w:val="000000"/>
          <w:kern w:val="0"/>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wordWrap w:val="0"/>
        <w:jc w:val="center"/>
        <w:rPr>
          <w:rFonts w:ascii="仿宋" w:hAnsi="仿宋" w:eastAsia="仿宋"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日</w:t>
      </w:r>
    </w:p>
    <w:p>
      <w:pPr>
        <w:rPr>
          <w:rFonts w:ascii="仿宋" w:hAnsi="仿宋" w:eastAsia="仿宋" w:cs="仿宋_GB2312"/>
          <w:color w:val="000000" w:themeColor="text1"/>
          <w:sz w:val="28"/>
          <w:szCs w:val="28"/>
          <w:highlight w:val="none"/>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第二部分</w:t>
      </w:r>
      <w:r>
        <w:rPr>
          <w:rFonts w:ascii="仿宋_GB2312" w:hAnsi="仿宋_GB2312" w:eastAsia="仿宋_GB2312" w:cs="仿宋_GB2312"/>
          <w:b/>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项目内容</w:t>
      </w:r>
    </w:p>
    <w:p>
      <w:pPr>
        <w:spacing w:line="360" w:lineRule="auto"/>
        <w:ind w:firstLine="562" w:firstLineChars="200"/>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一、项目概况</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海珠西部净水厂地块位于广州市城市中心区，属于海珠区沙园街，地块位于鹤洞大桥北侧，现</w:t>
      </w:r>
      <w:r>
        <w:rPr>
          <w:rFonts w:hint="eastAsia" w:ascii="仿宋" w:hAnsi="仿宋" w:eastAsia="仿宋" w:cs="仿宋"/>
          <w:color w:val="000000" w:themeColor="text1"/>
          <w:sz w:val="32"/>
          <w:szCs w:val="32"/>
          <w:highlight w:val="none"/>
          <w14:textFill>
            <w14:solidFill>
              <w14:schemeClr w14:val="tx1"/>
            </w14:solidFill>
          </w14:textFill>
        </w:rPr>
        <w:t>开展项目控规调整工作。</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结合市规自局要求，本次控规调整工作需包含控规调整论证报告，以及对应规划调整所需的专题评估（如交通影响评估、环境影响篇章、市政设施影响评估及洪涝安全评估等）内容。</w:t>
      </w:r>
    </w:p>
    <w:p>
      <w:pPr>
        <w:spacing w:line="360" w:lineRule="auto"/>
        <w:ind w:firstLine="562" w:firstLineChars="200"/>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二、项目技术要求</w:t>
      </w:r>
    </w:p>
    <w:p>
      <w:pPr>
        <w:spacing w:line="36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 w:hAnsi="仿宋" w:eastAsia="仿宋" w:cs="仿宋_GB2312"/>
          <w:color w:val="000000" w:themeColor="text1"/>
          <w:sz w:val="28"/>
          <w:szCs w:val="28"/>
          <w:highlight w:val="none"/>
          <w14:textFill>
            <w14:solidFill>
              <w14:schemeClr w14:val="tx1"/>
            </w14:solidFill>
          </w14:textFill>
        </w:rPr>
        <w:t>规划制定必须符合《中华人民共和国城乡规划法》、《城市规划编制办法》、《广州市城市规划管理标准与准则》、《广州市城乡规划技术规定（试行）》等有关国家和地方的法律、法规、规章、标准和技术要求。</w:t>
      </w:r>
    </w:p>
    <w:p>
      <w:pPr>
        <w:pStyle w:val="9"/>
        <w:adjustRightInd w:val="0"/>
        <w:snapToGrid w:val="0"/>
        <w:spacing w:line="360" w:lineRule="auto"/>
        <w:ind w:firstLine="560" w:firstLineChars="200"/>
        <w:jc w:val="lef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2.</w:t>
      </w:r>
      <w:r>
        <w:rPr>
          <w:rFonts w:hint="eastAsia" w:ascii="仿宋" w:hAnsi="仿宋" w:eastAsia="仿宋" w:cs="仿宋_GB2312"/>
          <w:color w:val="000000" w:themeColor="text1"/>
          <w:sz w:val="28"/>
          <w:szCs w:val="28"/>
          <w:highlight w:val="none"/>
          <w14:textFill>
            <w14:solidFill>
              <w14:schemeClr w14:val="tx1"/>
            </w14:solidFill>
          </w14:textFill>
        </w:rPr>
        <w:t>规划内容、深度必须符合并满足规划主管部门的有关要求，进行技术指导控制，落实所需配套项目等。</w:t>
      </w:r>
    </w:p>
    <w:p>
      <w:pPr>
        <w:spacing w:line="360" w:lineRule="auto"/>
        <w:ind w:firstLine="562" w:firstLineChars="200"/>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三、项目商务要求</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工期：见合同书格式。</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质量要求：通过相关行政主管部门或单位的评审和审批。</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付款方式：见合同书格式。</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承包方式：总价包干。</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本合同采用总价包干，工作内容包括完成本合同项下的所有工作（包含但不限于报告编制和报审、现状展示视频制作及公示期间相关工作的配合）。整个项目主要工作内容包括：</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）控规调整论证</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bookmarkStart w:id="0" w:name="_Toc62667715"/>
      <w:bookmarkStart w:id="1" w:name="OLE_LINK1"/>
      <w:bookmarkStart w:id="2" w:name="OLE_LINK2"/>
      <w:r>
        <w:rPr>
          <w:rFonts w:hint="eastAsia" w:ascii="仿宋_GB2312" w:hAnsi="仿宋_GB2312" w:eastAsia="仿宋_GB2312" w:cs="仿宋_GB2312"/>
          <w:color w:val="000000" w:themeColor="text1"/>
          <w:sz w:val="28"/>
          <w:szCs w:val="28"/>
          <w:highlight w:val="none"/>
          <w14:textFill>
            <w14:solidFill>
              <w14:schemeClr w14:val="tx1"/>
            </w14:solidFill>
          </w14:textFill>
        </w:rPr>
        <w:t>通过现场调研、资料搜集，对规划管理单元内的现状建设情况、规划审批情况、用地权属情况等进行摸查与分析，搜集整理涉及本规划管理单元的相关规划。根据要求，分析申请修改内容的可行性，并提出规划建议，编制规划管理单元控规导则调整方案。</w:t>
      </w:r>
    </w:p>
    <w:bookmarkEnd w:id="0"/>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）环境影响篇章</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主要内容包含环境影响分析依据、现状调查与评价、环境影响预测与评价、环境影响减缓措施及相关图表等。</w:t>
      </w:r>
    </w:p>
    <w:bookmarkEnd w:id="1"/>
    <w:bookmarkEnd w:id="2"/>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）交通影响评估报告</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主要内容包括交通需求预测、交通承载力及影响评价，并提出交通优化方案及建议。</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）市政基础设施影响评估报告</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主要对规划管理单元范围内的给水、污水、雨水、燃气、电力、通信等工程进行评估，分析市政工程对控规调整方案的影响因素以及管线能否承载新增建设量，并提出优化方案及建议。</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（5）洪涝安全评估报告</w:t>
      </w:r>
    </w:p>
    <w:p>
      <w:pPr>
        <w:pStyle w:val="18"/>
        <w:spacing w:line="36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控制性详细规划阶段洪涝安全评估的内容包括但不限于以下内容：明确建设项目所在排涝片区的规划标准，落实区域排水防涝设施及建设项目排水防涝设施的控制指标，提出保障改造项目水安全的措施与建议。</w:t>
      </w:r>
    </w:p>
    <w:p>
      <w:pPr>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firstLine="560" w:firstLineChars="200"/>
        <w:rPr>
          <w:rFonts w:ascii="微软雅黑" w:hAnsi="微软雅黑" w:eastAsia="微软雅黑"/>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widowControl/>
        <w:spacing w:line="560" w:lineRule="exact"/>
        <w:ind w:firstLine="560" w:firstLineChars="200"/>
        <w:jc w:val="left"/>
        <w:rPr>
          <w:rFonts w:ascii="仿宋_GB2312" w:hAnsi="宋体" w:eastAsia="仿宋_GB2312"/>
          <w:color w:val="000000" w:themeColor="text1"/>
          <w:sz w:val="28"/>
          <w:szCs w:val="28"/>
          <w:highlight w:val="none"/>
          <w14:textFill>
            <w14:solidFill>
              <w14:schemeClr w14:val="tx1"/>
            </w14:solidFill>
          </w14:textFill>
        </w:rPr>
      </w:pPr>
    </w:p>
    <w:p>
      <w:pPr>
        <w:widowControl/>
        <w:spacing w:line="560" w:lineRule="exact"/>
        <w:ind w:firstLine="560" w:firstLineChars="200"/>
        <w:jc w:val="left"/>
        <w:rPr>
          <w:rFonts w:ascii="仿宋_GB2312" w:hAnsi="仿宋_GB2312" w:eastAsia="仿宋_GB2312" w:cs="仿宋_GB2312"/>
          <w:color w:val="000000" w:themeColor="text1"/>
          <w:sz w:val="28"/>
          <w:szCs w:val="28"/>
          <w:highlight w:val="none"/>
          <w:u w:val="single"/>
          <w14:textFill>
            <w14:solidFill>
              <w14:schemeClr w14:val="tx1"/>
            </w14:solidFill>
          </w14:textFill>
        </w:rPr>
      </w:pPr>
    </w:p>
    <w:p>
      <w:pPr>
        <w:widowControl/>
        <w:jc w:val="left"/>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olor w:val="000000" w:themeColor="text1"/>
          <w:sz w:val="28"/>
          <w:szCs w:val="28"/>
          <w:highlight w:val="none"/>
          <w14:textFill>
            <w14:solidFill>
              <w14:schemeClr w14:val="tx1"/>
            </w14:solidFill>
          </w14:textFill>
        </w:rPr>
        <w:br w:type="page"/>
      </w:r>
    </w:p>
    <w:p>
      <w:pPr>
        <w:pStyle w:val="9"/>
        <w:adjustRightInd w:val="0"/>
        <w:snapToGrid w:val="0"/>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lang w:val="zh-CN"/>
          <w14:textFill>
            <w14:solidFill>
              <w14:schemeClr w14:val="tx1"/>
            </w14:solidFill>
          </w14:textFill>
        </w:rPr>
        <w:t>第三部分</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报价须知</w:t>
      </w:r>
    </w:p>
    <w:p>
      <w:pPr>
        <w:pStyle w:val="9"/>
        <w:adjustRightInd w:val="0"/>
        <w:snapToGrid w:val="0"/>
        <w:spacing w:line="300" w:lineRule="auto"/>
        <w:rPr>
          <w:rFonts w:ascii="仿宋" w:hAnsi="仿宋" w:eastAsia="仿宋" w:cs="仿宋_GB2312"/>
          <w:b/>
          <w:color w:val="000000" w:themeColor="text1"/>
          <w:sz w:val="28"/>
          <w:szCs w:val="28"/>
          <w:highlight w:val="none"/>
          <w14:textFill>
            <w14:solidFill>
              <w14:schemeClr w14:val="tx1"/>
            </w14:solidFill>
          </w14:textFill>
        </w:rPr>
      </w:pP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人”是指：</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3) </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单位须知</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单位应认真阅读、并充分理解询价文件的全部内容（包括所有的补充、修改内容、重要事项、格式、条款等）。</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单位没有按照询价文件要求提交全部资料，或者没有对询价文件在各方面都做出实质性响应是</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7.1询价文件的澄清是指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人对询价文件中的遗漏、错误、词义表达不清或对比较复杂的事项进行说明，回答</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单位提出的各种问题。询价文件的修改是指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7.2任何要求对询价文件进行澄清的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单位，均应以书面形式通知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人对其收到的书面的对询价文件的澄清要求均以书面形式</w:t>
      </w:r>
      <w:r>
        <w:rPr>
          <w:rFonts w:hint="eastAsia" w:ascii="仿宋" w:hAnsi="仿宋" w:eastAsia="仿宋" w:cs="仿宋_GB2312"/>
          <w:color w:val="000000" w:themeColor="text1"/>
          <w:sz w:val="28"/>
          <w:szCs w:val="28"/>
          <w:highlight w:val="none"/>
          <w14:textFill>
            <w14:solidFill>
              <w14:schemeClr w14:val="tx1"/>
            </w14:solidFill>
          </w14:textFill>
        </w:rPr>
        <w:t>予以答复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，（答复中不包括问题的来源）。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单位在收到上述答复后，应立即向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人回函确认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该答复作为询价文件的一部分，对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单位有约束力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７.3询价文件的修改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或澄清</w:t>
      </w:r>
      <w:r>
        <w:rPr>
          <w:rFonts w:hint="eastAsia" w:ascii="仿宋_GB2312" w:hAnsi="仿宋_GB2312" w:eastAsia="仿宋_GB2312" w:cs="仿宋_GB2312"/>
          <w:color w:val="000000" w:themeColor="text1"/>
          <w:sz w:val="28"/>
          <w:szCs w:val="28"/>
          <w:highlight w:val="none"/>
          <w14:textFill>
            <w14:solidFill>
              <w14:schemeClr w14:val="tx1"/>
            </w14:solidFill>
          </w14:textFill>
        </w:rPr>
        <w:t>将以</w:t>
      </w:r>
      <w:r>
        <w:rPr>
          <w:rFonts w:hint="eastAsia" w:ascii="仿宋" w:hAnsi="仿宋" w:eastAsia="仿宋" w:cs="仿宋_GB2312"/>
          <w:color w:val="000000" w:themeColor="text1"/>
          <w:sz w:val="28"/>
          <w:szCs w:val="28"/>
          <w:highlight w:val="none"/>
          <w14:textFill>
            <w14:solidFill>
              <w14:schemeClr w14:val="tx1"/>
            </w14:solidFill>
          </w14:textFill>
        </w:rPr>
        <w:t>书面形式通知所有购买询价文件的报价单位</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，并对其具有约束力。</w:t>
      </w:r>
      <w:r>
        <w:rPr>
          <w:rFonts w:hint="eastAsia" w:ascii="仿宋" w:hAnsi="仿宋" w:eastAsia="仿宋" w:cs="仿宋_GB2312"/>
          <w:color w:val="000000" w:themeColor="text1"/>
          <w:sz w:val="28"/>
          <w:szCs w:val="28"/>
          <w:highlight w:val="none"/>
          <w14:textFill>
            <w14:solidFill>
              <w14:schemeClr w14:val="tx1"/>
            </w14:solidFill>
          </w14:textFill>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人可以视询价具体情况，延长递交询价响应文件截止时间，并将变更时间以</w:t>
      </w:r>
      <w:r>
        <w:rPr>
          <w:rFonts w:hint="eastAsia" w:ascii="仿宋" w:hAnsi="仿宋" w:eastAsia="仿宋" w:cs="仿宋_GB2312"/>
          <w:color w:val="000000" w:themeColor="text1"/>
          <w:sz w:val="28"/>
          <w:szCs w:val="28"/>
          <w:highlight w:val="none"/>
          <w14:textFill>
            <w14:solidFill>
              <w14:schemeClr w14:val="tx1"/>
            </w14:solidFill>
          </w14:textFill>
        </w:rPr>
        <w:t>书面形式</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通知所有询价文件收受人</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8.1 </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单位应承担所有与准备和参加询价响应有关的费用。不论询价的结果如何，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人均无义务和责任承担这些费用。</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单位提交的询价响应文件以及</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人就有关询价的所有来往函电均应使用中文。</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单位必须对询价响应文件所提供的全部资料的真实性承担法律责任，并无条件接受（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人）等对其中任何资料进行核实的要求。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单位承担。</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12.4 报价人不得存在以下情形之一</w:t>
      </w:r>
      <w:r>
        <w:rPr>
          <w:rFonts w:hint="eastAsia" w:ascii="仿宋" w:hAnsi="仿宋" w:eastAsia="仿宋" w:cs="仿宋_GB2312"/>
          <w:color w:val="000000" w:themeColor="text1"/>
          <w:sz w:val="28"/>
          <w:szCs w:val="28"/>
          <w:highlight w:val="none"/>
          <w14:textFill>
            <w14:solidFill>
              <w14:schemeClr w14:val="tx1"/>
            </w14:solidFill>
          </w14:textFill>
        </w:rPr>
        <w:t>：</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2</w:t>
      </w: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_GB2312"/>
          <w:b w:val="0"/>
          <w:bCs w:val="0"/>
          <w:color w:val="000000" w:themeColor="text1"/>
          <w:sz w:val="28"/>
          <w:szCs w:val="28"/>
          <w:highlight w:val="none"/>
          <w14:textFill>
            <w14:solidFill>
              <w14:schemeClr w14:val="tx1"/>
            </w14:solidFill>
          </w14:textFill>
        </w:rPr>
        <w:t>法定代表人或单位负责人为同一个人或者存在控股、管理关系的不同单位,同时</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参加</w:t>
      </w:r>
      <w:r>
        <w:rPr>
          <w:rFonts w:hint="eastAsia" w:ascii="仿宋" w:hAnsi="仿宋" w:eastAsia="仿宋" w:cs="仿宋_GB2312"/>
          <w:b w:val="0"/>
          <w:bCs w:val="0"/>
          <w:color w:val="000000" w:themeColor="text1"/>
          <w:sz w:val="28"/>
          <w:szCs w:val="28"/>
          <w:highlight w:val="none"/>
          <w14:textFill>
            <w14:solidFill>
              <w14:schemeClr w14:val="tx1"/>
            </w14:solidFill>
          </w14:textFill>
        </w:rPr>
        <w:t>同一项目或同一子项目</w:t>
      </w: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3</w:t>
      </w:r>
      <w:r>
        <w:rPr>
          <w:rFonts w:hint="eastAsia" w:ascii="仿宋" w:hAnsi="仿宋" w:eastAsia="仿宋" w:cs="仿宋_GB2312"/>
          <w:b w:val="0"/>
          <w:bCs w:val="0"/>
          <w:color w:val="000000" w:themeColor="text1"/>
          <w:sz w:val="28"/>
          <w:szCs w:val="28"/>
          <w:highlight w:val="none"/>
          <w14:textFill>
            <w14:solidFill>
              <w14:schemeClr w14:val="tx1"/>
            </w14:solidFill>
          </w14:textFill>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_GB2312"/>
          <w:b w:val="0"/>
          <w:bCs w:val="0"/>
          <w:color w:val="000000" w:themeColor="text1"/>
          <w:sz w:val="28"/>
          <w:szCs w:val="28"/>
          <w:highlight w:val="none"/>
          <w14:textFill>
            <w14:solidFill>
              <w14:schemeClr w14:val="tx1"/>
            </w14:solidFill>
          </w14:textFill>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5</w:t>
      </w:r>
      <w:r>
        <w:rPr>
          <w:rFonts w:hint="eastAsia" w:ascii="仿宋" w:hAnsi="仿宋" w:eastAsia="仿宋" w:cs="仿宋_GB2312"/>
          <w:b w:val="0"/>
          <w:bCs w:val="0"/>
          <w:color w:val="000000" w:themeColor="text1"/>
          <w:sz w:val="28"/>
          <w:szCs w:val="28"/>
          <w:highlight w:val="none"/>
          <w14:textFill>
            <w14:solidFill>
              <w14:schemeClr w14:val="tx1"/>
            </w14:solidFill>
          </w14:textFill>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6</w:t>
      </w:r>
      <w:r>
        <w:rPr>
          <w:rFonts w:hint="eastAsia" w:ascii="仿宋" w:hAnsi="仿宋" w:eastAsia="仿宋" w:cs="仿宋_GB2312"/>
          <w:b w:val="0"/>
          <w:bCs w:val="0"/>
          <w:color w:val="000000" w:themeColor="text1"/>
          <w:sz w:val="28"/>
          <w:szCs w:val="28"/>
          <w:highlight w:val="none"/>
          <w14:textFill>
            <w14:solidFill>
              <w14:schemeClr w14:val="tx1"/>
            </w14:solidFill>
          </w14:textFill>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7</w:t>
      </w: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default" w:ascii="仿宋" w:hAnsi="仿宋" w:eastAsia="仿宋" w:cs="仿宋_GB2312"/>
          <w:b w:val="0"/>
          <w:bCs w:val="0"/>
          <w:color w:val="000000" w:themeColor="text1"/>
          <w:sz w:val="28"/>
          <w:szCs w:val="28"/>
          <w:highlight w:val="none"/>
          <w14:textFill>
            <w14:solidFill>
              <w14:schemeClr w14:val="tx1"/>
            </w14:solidFill>
          </w14:textFill>
        </w:rPr>
        <w:t>在参加本项目前3年内在</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存在</w:t>
      </w:r>
      <w:r>
        <w:rPr>
          <w:rFonts w:hint="default" w:ascii="仿宋" w:hAnsi="仿宋" w:eastAsia="仿宋" w:cs="仿宋_GB2312"/>
          <w:b w:val="0"/>
          <w:bCs w:val="0"/>
          <w:color w:val="000000" w:themeColor="text1"/>
          <w:sz w:val="28"/>
          <w:szCs w:val="28"/>
          <w:highlight w:val="none"/>
          <w14:textFill>
            <w14:solidFill>
              <w14:schemeClr w14:val="tx1"/>
            </w14:solidFill>
          </w14:textFill>
        </w:rPr>
        <w:t>重大违法记录</w:t>
      </w:r>
      <w:r>
        <w:rPr>
          <w:rFonts w:hint="eastAsia" w:ascii="仿宋" w:hAnsi="仿宋" w:eastAsia="仿宋" w:cs="仿宋_GB2312"/>
          <w:b w:val="0"/>
          <w:bCs w:val="0"/>
          <w:color w:val="000000" w:themeColor="text1"/>
          <w:sz w:val="28"/>
          <w:szCs w:val="28"/>
          <w:highlight w:val="none"/>
          <w14:textFill>
            <w14:solidFill>
              <w14:schemeClr w14:val="tx1"/>
            </w14:solidFill>
          </w14:textFill>
        </w:rPr>
        <w:t>；</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8</w:t>
      </w: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_GB2312"/>
          <w:b w:val="0"/>
          <w:bCs w:val="0"/>
          <w:color w:val="000000" w:themeColor="text1"/>
          <w:sz w:val="28"/>
          <w:szCs w:val="28"/>
          <w:highlight w:val="none"/>
          <w14:textFill>
            <w14:solidFill>
              <w14:schemeClr w14:val="tx1"/>
            </w14:solidFill>
          </w14:textFill>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default" w:ascii="仿宋" w:hAnsi="仿宋" w:eastAsia="仿宋" w:cs="仿宋_GB2312"/>
          <w:b w:val="0"/>
          <w:bCs w:val="0"/>
          <w:color w:val="000000" w:themeColor="text1"/>
          <w:sz w:val="28"/>
          <w:szCs w:val="28"/>
          <w:highlight w:val="none"/>
          <w14:textFill>
            <w14:solidFill>
              <w14:schemeClr w14:val="tx1"/>
            </w14:solidFill>
          </w14:textFill>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themeColor="text1"/>
          <w:sz w:val="28"/>
          <w:szCs w:val="28"/>
          <w:highlight w:val="none"/>
          <w:u w:val="none"/>
          <w14:textFill>
            <w14:solidFill>
              <w14:schemeClr w14:val="tx1"/>
            </w14:solidFill>
          </w14:textFill>
        </w:rPr>
      </w:pPr>
      <w:r>
        <w:rPr>
          <w:rFonts w:hint="eastAsia" w:ascii="仿宋" w:hAnsi="仿宋" w:eastAsia="仿宋"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10</w:t>
      </w:r>
      <w:r>
        <w:rPr>
          <w:rFonts w:hint="eastAsia" w:ascii="仿宋" w:hAnsi="仿宋" w:eastAsia="仿宋" w:cs="仿宋_GB2312"/>
          <w:b w:val="0"/>
          <w:bCs w:val="0"/>
          <w:color w:val="000000" w:themeColor="text1"/>
          <w:sz w:val="28"/>
          <w:szCs w:val="28"/>
          <w:highlight w:val="none"/>
          <w14:textFill>
            <w14:solidFill>
              <w14:schemeClr w14:val="tx1"/>
            </w14:solidFill>
          </w14:textFill>
        </w:rPr>
        <w:t>）本项目截止时间前的半年中，在</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b w:val="0"/>
          <w:bCs w:val="0"/>
          <w:color w:val="000000" w:themeColor="text1"/>
          <w:sz w:val="28"/>
          <w:szCs w:val="28"/>
          <w:highlight w:val="none"/>
          <w14:textFill>
            <w14:solidFill>
              <w14:schemeClr w14:val="tx1"/>
            </w14:solidFill>
          </w14:textFill>
        </w:rPr>
        <w:t>人组织的招标</w:t>
      </w:r>
      <w:r>
        <w:rPr>
          <w:rFonts w:hint="eastAsia" w:ascii="仿宋" w:hAnsi="仿宋" w:eastAsia="仿宋" w:cs="仿宋_GB2312"/>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_GB2312"/>
          <w:b w:val="0"/>
          <w:bCs w:val="0"/>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b w:val="0"/>
          <w:bCs w:val="0"/>
          <w:color w:val="000000" w:themeColor="text1"/>
          <w:sz w:val="28"/>
          <w:szCs w:val="28"/>
          <w:highlight w:val="none"/>
          <w14:textFill>
            <w14:solidFill>
              <w14:schemeClr w14:val="tx1"/>
            </w14:solidFill>
          </w14:textFill>
        </w:rPr>
        <w:t>活动中有被查实提供虚假材料的。</w:t>
      </w:r>
      <w:r>
        <w:rPr>
          <w:rFonts w:hint="eastAsia" w:ascii="仿宋" w:hAnsi="仿宋" w:eastAsia="仿宋" w:cs="仿宋_GB2312"/>
          <w:b/>
          <w:bCs/>
          <w:color w:val="000000" w:themeColor="text1"/>
          <w:sz w:val="28"/>
          <w:szCs w:val="28"/>
          <w:highlight w:val="none"/>
          <w14:textFill>
            <w14:solidFill>
              <w14:schemeClr w14:val="tx1"/>
            </w14:solidFill>
          </w14:textFill>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13.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不接受</w:t>
      </w:r>
      <w:r>
        <w:rPr>
          <w:rFonts w:hint="eastAsia" w:ascii="仿宋_GB2312" w:hAnsi="仿宋_GB2312" w:eastAsia="仿宋_GB2312" w:cs="仿宋_GB2312"/>
          <w:color w:val="000000" w:themeColor="text1"/>
          <w:kern w:val="0"/>
          <w:sz w:val="28"/>
          <w:szCs w:val="28"/>
          <w14:textFill>
            <w14:solidFill>
              <w14:schemeClr w14:val="tx1"/>
            </w14:solidFill>
          </w14:textFill>
        </w:rPr>
        <w:t>联合体报价</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14. </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人可于报价有效期期满之前，要求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16.1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单位应编制询价响应文件一式</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各一</w:t>
      </w:r>
      <w:r>
        <w:rPr>
          <w:rFonts w:hint="eastAsia" w:ascii="仿宋_GB2312" w:hAnsi="仿宋_GB2312" w:eastAsia="仿宋_GB2312"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人可以通过修改询价文件自行决定酌情延长询价响应文件递交截止时间。在此情况下，</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人和</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单位在递交询价响应文件截止时间前，可以对所递交的询价响应文件进行补充、修改或者撤回，并书面通知</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19.2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单位在递交询价响应文件后，可以撤回其报价，但</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u w:val="single"/>
          <w14:textFill>
            <w14:solidFill>
              <w14:schemeClr w14:val="tx1"/>
            </w14:solidFill>
          </w14:textFill>
        </w:rPr>
        <w:t>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单位承诺的报价有效期内，</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19.3 </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询价</w:t>
      </w:r>
      <w:r>
        <w:rPr>
          <w:rFonts w:hint="eastAsia" w:ascii="仿宋_GB2312" w:hAnsi="仿宋_GB2312" w:eastAsia="仿宋_GB2312" w:cs="仿宋_GB2312"/>
          <w:color w:val="000000" w:themeColor="text1"/>
          <w:sz w:val="28"/>
          <w:szCs w:val="28"/>
          <w:u w:val="single"/>
          <w14:textFill>
            <w14:solidFill>
              <w14:schemeClr w14:val="tx1"/>
            </w14:solidFill>
          </w14:textFill>
        </w:rPr>
        <w:t>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经自行报名</w:t>
      </w:r>
      <w:r>
        <w:rPr>
          <w:rFonts w:hint="eastAsia" w:ascii="仿宋_GB2312" w:hAnsi="仿宋_GB2312" w:eastAsia="仿宋_GB2312" w:cs="仿宋_GB2312"/>
          <w:color w:val="000000" w:themeColor="text1"/>
          <w:kern w:val="0"/>
          <w:sz w:val="28"/>
          <w:szCs w:val="28"/>
          <w14:textFill>
            <w14:solidFill>
              <w14:schemeClr w14:val="tx1"/>
            </w14:solidFill>
          </w14:textFill>
        </w:rPr>
        <w:t>产生。由询价小组对参加询价的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单位不足三家时，询价小组可以从其他符合相应资格条件的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单位名单中补充；补充后仍不足三家或者没有可供补充的合格</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人可以从已选出的候选</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单位提交的澄清文件由响应</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单位法人代表或授权代表签署后生效，响应</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kern w:val="0"/>
          <w:sz w:val="28"/>
          <w:szCs w:val="28"/>
          <w14:textFill>
            <w14:solidFill>
              <w14:schemeClr w14:val="tx1"/>
            </w14:solidFill>
          </w14:textFill>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u w:val="non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单位归列为推荐成交的候选对象，</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人依照候选</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报价</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24.1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人应将有关合同变更内容，以书面形式报公司</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招标办</w:t>
      </w:r>
      <w:r>
        <w:rPr>
          <w:rFonts w:hint="eastAsia" w:ascii="仿宋_GB2312" w:hAnsi="仿宋_GB2312" w:eastAsia="仿宋_GB2312" w:cs="仿宋_GB2312"/>
          <w:color w:val="000000" w:themeColor="text1"/>
          <w:kern w:val="0"/>
          <w:sz w:val="28"/>
          <w:szCs w:val="28"/>
          <w14:textFill>
            <w14:solidFill>
              <w14:schemeClr w14:val="tx1"/>
            </w14:solidFill>
          </w14:textFill>
        </w:rPr>
        <w:t>备案；因特殊情况需要中止或终止合同的，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人应将中止或终止合同的理由以及相应措施，以书面形式报公司</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招标办</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kern w:val="0"/>
          <w:sz w:val="28"/>
          <w:szCs w:val="28"/>
          <w14:textFill>
            <w14:solidFill>
              <w14:schemeClr w14:val="tx1"/>
            </w14:solidFill>
          </w14:textFill>
        </w:rPr>
        <w:t>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widowControl/>
        <w:jc w:val="left"/>
        <w:rPr>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人认为询价文件或询价过程或询价结果使其权益受到损害的，可向</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人提出书面质疑。</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人应在规定时间内给与答复</w:t>
      </w:r>
      <w:r>
        <w:rPr>
          <w:rFonts w:hint="eastAsia"/>
          <w:color w:val="000000" w:themeColor="text1"/>
          <w:sz w:val="28"/>
          <w:szCs w:val="28"/>
          <w:highlight w:val="none"/>
          <w:lang w:eastAsia="zh-CN"/>
          <w14:textFill>
            <w14:solidFill>
              <w14:schemeClr w14:val="tx1"/>
            </w14:solidFill>
          </w14:textFill>
        </w:rPr>
        <w:t>。</w:t>
      </w:r>
      <w:r>
        <w:rPr>
          <w:color w:val="000000" w:themeColor="text1"/>
          <w:sz w:val="28"/>
          <w:szCs w:val="28"/>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附件一报价记录表</w:t>
      </w:r>
    </w:p>
    <w:p>
      <w:pPr>
        <w:spacing w:line="400" w:lineRule="exact"/>
        <w:jc w:val="center"/>
        <w:rPr>
          <w:rFonts w:hint="eastAsia" w:ascii="仿宋" w:hAnsi="仿宋" w:eastAsia="仿宋" w:cs="仿宋_GB2312"/>
          <w:bCs/>
          <w:color w:val="000000" w:themeColor="text1"/>
          <w:sz w:val="28"/>
          <w:szCs w:val="28"/>
          <w:highlight w:val="none"/>
          <w:u w:val="single"/>
          <w14:textFill>
            <w14:solidFill>
              <w14:schemeClr w14:val="tx1"/>
            </w14:solidFill>
          </w14:textFill>
        </w:rPr>
      </w:pPr>
      <w:r>
        <w:rPr>
          <w:rFonts w:hint="eastAsia" w:ascii="仿宋" w:hAnsi="仿宋" w:eastAsia="仿宋" w:cs="仿宋_GB2312"/>
          <w:bCs/>
          <w:color w:val="000000" w:themeColor="text1"/>
          <w:sz w:val="28"/>
          <w:szCs w:val="28"/>
          <w:highlight w:val="none"/>
          <w:u w:val="single"/>
          <w14:textFill>
            <w14:solidFill>
              <w14:schemeClr w14:val="tx1"/>
            </w14:solidFill>
          </w14:textFill>
        </w:rPr>
        <w:t>广州市净水有限公司海珠西部净水厂地块控制性详细规划</w:t>
      </w:r>
    </w:p>
    <w:p>
      <w:pPr>
        <w:spacing w:line="400" w:lineRule="exact"/>
        <w:jc w:val="center"/>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bCs/>
          <w:color w:val="000000" w:themeColor="text1"/>
          <w:sz w:val="28"/>
          <w:szCs w:val="28"/>
          <w:highlight w:val="none"/>
          <w:u w:val="single"/>
          <w14:textFill>
            <w14:solidFill>
              <w14:schemeClr w14:val="tx1"/>
            </w14:solidFill>
          </w14:textFill>
        </w:rPr>
        <w:t>调整及专题评估</w:t>
      </w:r>
      <w:r>
        <w:rPr>
          <w:rFonts w:hint="eastAsia" w:ascii="仿宋" w:hAnsi="仿宋" w:eastAsia="仿宋" w:cs="仿宋_GB2312"/>
          <w:color w:val="000000" w:themeColor="text1"/>
          <w:sz w:val="28"/>
          <w:szCs w:val="28"/>
          <w:highlight w:val="none"/>
          <w14:textFill>
            <w14:solidFill>
              <w14:schemeClr w14:val="tx1"/>
            </w14:solidFill>
          </w14:textFill>
        </w:rPr>
        <w:t>报价记录表</w:t>
      </w:r>
    </w:p>
    <w:p>
      <w:pPr>
        <w:spacing w:line="500" w:lineRule="exact"/>
        <w:jc w:val="center"/>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报价文件开启时间：年月日时分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bl>
    <w:p>
      <w:pPr>
        <w:spacing w:line="440" w:lineRule="exact"/>
        <w:rPr>
          <w:rFonts w:ascii="仿宋" w:hAnsi="仿宋" w:eastAsia="仿宋" w:cs="仿宋_GB2312"/>
          <w:color w:val="000000" w:themeColor="text1"/>
          <w:highlight w:val="none"/>
          <w14:textFill>
            <w14:solidFill>
              <w14:schemeClr w14:val="tx1"/>
            </w14:solidFill>
          </w14:textFill>
        </w:rPr>
      </w:pPr>
    </w:p>
    <w:p>
      <w:pPr>
        <w:spacing w:line="440" w:lineRule="exact"/>
        <w:rPr>
          <w:rFonts w:ascii="仿宋" w:hAnsi="仿宋" w:eastAsia="仿宋" w:cs="仿宋_GB2312"/>
          <w:color w:val="000000" w:themeColor="text1"/>
          <w:highlight w:val="none"/>
          <w:u w:val="singl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经办人：</w:t>
      </w:r>
      <w:r>
        <w:rPr>
          <w:rFonts w:ascii="仿宋" w:hAnsi="仿宋" w:eastAsia="仿宋" w:cs="仿宋_GB2312"/>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 xml:space="preserve">记录人：          </w:t>
      </w:r>
    </w:p>
    <w:p>
      <w:pPr>
        <w:widowControl/>
        <w:jc w:val="left"/>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32"/>
          <w:szCs w:val="32"/>
          <w:highlight w:val="none"/>
          <w14:textFill>
            <w14:solidFill>
              <w14:schemeClr w14:val="tx1"/>
            </w14:solidFill>
          </w14:textFill>
        </w:rPr>
        <w:t>附件二</w:t>
      </w:r>
    </w:p>
    <w:p>
      <w:pPr>
        <w:spacing w:line="360" w:lineRule="auto"/>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bCs/>
          <w:color w:val="000000" w:themeColor="text1"/>
          <w:sz w:val="36"/>
          <w:szCs w:val="36"/>
          <w:highlight w:val="none"/>
          <w14:textFill>
            <w14:solidFill>
              <w14:schemeClr w14:val="tx1"/>
            </w14:solidFill>
          </w14:textFill>
        </w:rPr>
        <w:t>广州市净水有限公司</w:t>
      </w:r>
      <w:r>
        <w:rPr>
          <w:rFonts w:hint="eastAsia" w:ascii="仿宋" w:hAnsi="仿宋" w:eastAsia="仿宋"/>
          <w:b/>
          <w:color w:val="000000" w:themeColor="text1"/>
          <w:sz w:val="36"/>
          <w:szCs w:val="36"/>
          <w:highlight w:val="none"/>
          <w14:textFill>
            <w14:solidFill>
              <w14:schemeClr w14:val="tx1"/>
            </w14:solidFill>
          </w14:textFill>
        </w:rPr>
        <w:t>非公开招标项目</w:t>
      </w:r>
    </w:p>
    <w:p>
      <w:pPr>
        <w:spacing w:line="360" w:lineRule="auto"/>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询价评审记录表</w:t>
      </w:r>
    </w:p>
    <w:p>
      <w:pPr>
        <w:spacing w:line="360" w:lineRule="auto"/>
        <w:ind w:left="1200" w:hanging="1200" w:hangingChars="5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项目名称</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 xml:space="preserve">广州市净水有限公司海珠西部净水厂地块控制性详细规划调整及专题评估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highlight w:val="none"/>
                <w14:textFill>
                  <w14:solidFill>
                    <w14:schemeClr w14:val="tx1"/>
                  </w14:solidFill>
                </w14:textFill>
              </w:rPr>
            </w:pPr>
          </w:p>
          <w:p>
            <w:pPr>
              <w:tabs>
                <w:tab w:val="left" w:pos="0"/>
              </w:tabs>
              <w:rPr>
                <w:rFonts w:ascii="宋体" w:hAnsi="宋体"/>
                <w:color w:val="000000" w:themeColor="text1"/>
                <w:sz w:val="24"/>
                <w:highlight w:val="none"/>
                <w14:textFill>
                  <w14:solidFill>
                    <w14:schemeClr w14:val="tx1"/>
                  </w14:solidFill>
                </w14:textFill>
              </w:rPr>
            </w:pPr>
          </w:p>
          <w:p>
            <w:pPr>
              <w:tabs>
                <w:tab w:val="left" w:pos="0"/>
              </w:tabs>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原</w:t>
            </w:r>
            <w:r>
              <w:rPr>
                <w:rFonts w:hint="eastAsia" w:ascii="宋体" w:hAnsi="宋体"/>
                <w:color w:val="000000" w:themeColor="text1"/>
                <w:sz w:val="24"/>
                <w:highlight w:val="none"/>
                <w14:textFill>
                  <w14:solidFill>
                    <w14:schemeClr w14:val="tx1"/>
                  </w14:solidFill>
                </w14:textFill>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highlight w:val="none"/>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000000" w:themeColor="text1"/>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000000" w:themeColor="text1"/>
                <w:highlight w:val="none"/>
                <w14:textFill>
                  <w14:solidFill>
                    <w14:schemeClr w14:val="tx1"/>
                  </w14:solidFill>
                </w14:textFill>
              </w:rPr>
            </w:pPr>
          </w:p>
        </w:tc>
      </w:tr>
    </w:tbl>
    <w:p>
      <w:pPr>
        <w:ind w:left="840" w:hanging="840" w:hangingChars="4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备注：</w:t>
      </w:r>
      <w:r>
        <w:rPr>
          <w:rFonts w:ascii="仿宋" w:hAnsi="仿宋" w:eastAsia="仿宋"/>
          <w:color w:val="000000" w:themeColor="text1"/>
          <w:highlight w:val="none"/>
          <w14:textFill>
            <w14:solidFill>
              <w14:schemeClr w14:val="tx1"/>
            </w14:solidFill>
          </w14:textFill>
        </w:rPr>
        <w:t>1</w:t>
      </w:r>
      <w:r>
        <w:rPr>
          <w:rFonts w:hint="eastAsia" w:ascii="仿宋" w:hAnsi="仿宋" w:eastAsia="仿宋"/>
          <w:color w:val="000000" w:themeColor="text1"/>
          <w:highlight w:val="none"/>
          <w14:textFill>
            <w14:solidFill>
              <w14:schemeClr w14:val="tx1"/>
            </w14:solidFill>
          </w14:textFill>
        </w:rPr>
        <w:t>、审核情况填写“符合”或“不符合；或者打“√”或“×”。</w:t>
      </w:r>
    </w:p>
    <w:p>
      <w:pPr>
        <w:numPr>
          <w:ilvl w:val="0"/>
          <w:numId w:val="3"/>
        </w:numPr>
        <w:ind w:firstLine="630" w:firstLineChars="3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本表所有审核情况均为符合的，结论为报名成功。若有一项或以上审核情况为不符合的，结论为报名不成功。</w:t>
      </w:r>
    </w:p>
    <w:p>
      <w:pPr>
        <w:widowControl/>
        <w:jc w:val="left"/>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 w:hAnsi="仿宋" w:eastAsia="仿宋"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highlight w:val="none"/>
          <w14:textFill>
            <w14:solidFill>
              <w14:schemeClr w14:val="tx1"/>
            </w14:solidFill>
          </w14:textFill>
        </w:rPr>
      </w:pPr>
    </w:p>
    <w:p>
      <w:pPr>
        <w:widowControl/>
        <w:jc w:val="left"/>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pPr>
        <w:pStyle w:val="17"/>
        <w:numPr>
          <w:ilvl w:val="0"/>
          <w:numId w:val="4"/>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合同书格式</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ind w:firstLine="228" w:firstLineChars="95"/>
        <w:rPr>
          <w:rFonts w:ascii="宋体" w:hAnsi="宋体"/>
          <w:color w:val="000000" w:themeColor="text1"/>
          <w:sz w:val="24"/>
          <w:highlight w:val="none"/>
          <w14:textFill>
            <w14:solidFill>
              <w14:schemeClr w14:val="tx1"/>
            </w14:solidFill>
          </w14:textFill>
        </w:rPr>
      </w:pPr>
    </w:p>
    <w:p>
      <w:pPr>
        <w:adjustRightInd w:val="0"/>
        <w:spacing w:line="360" w:lineRule="auto"/>
        <w:ind w:firstLine="480" w:firstLineChars="200"/>
        <w:jc w:val="left"/>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甲方（发包人）</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广州市</w:t>
      </w:r>
      <w:r>
        <w:rPr>
          <w:rFonts w:hint="eastAsia" w:ascii="宋体" w:hAnsi="宋体" w:cs="宋体"/>
          <w:bCs/>
          <w:color w:val="000000" w:themeColor="text1"/>
          <w:sz w:val="24"/>
          <w:szCs w:val="24"/>
          <w:highlight w:val="none"/>
          <w:u w:val="single"/>
          <w14:textFill>
            <w14:solidFill>
              <w14:schemeClr w14:val="tx1"/>
            </w14:solidFill>
          </w14:textFill>
        </w:rPr>
        <w:t>净水有限公司</w:t>
      </w:r>
    </w:p>
    <w:p>
      <w:pPr>
        <w:adjustRightInd w:val="0"/>
        <w:spacing w:line="360" w:lineRule="auto"/>
        <w:ind w:firstLine="480" w:firstLineChars="200"/>
        <w:jc w:val="left"/>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乙方（承包人）</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adjustRightInd w:val="0"/>
        <w:spacing w:line="360" w:lineRule="auto"/>
        <w:ind w:firstLine="228" w:firstLineChars="95"/>
        <w:jc w:val="left"/>
        <w:textAlignment w:val="baseline"/>
        <w:rPr>
          <w:rFonts w:ascii="宋体" w:hAnsi="宋体" w:cs="宋体"/>
          <w:color w:val="000000" w:themeColor="text1"/>
          <w:sz w:val="24"/>
          <w:szCs w:val="24"/>
          <w:highlight w:val="none"/>
          <w:u w:val="single"/>
          <w14:textFill>
            <w14:solidFill>
              <w14:schemeClr w14:val="tx1"/>
            </w14:solidFill>
          </w14:textFill>
        </w:rPr>
      </w:pPr>
    </w:p>
    <w:p>
      <w:pPr>
        <w:pStyle w:val="9"/>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甲方就</w:t>
      </w:r>
      <w:r>
        <w:rPr>
          <w:rFonts w:hint="eastAsia" w:hAnsi="宋体" w:cs="宋体"/>
          <w:color w:val="000000" w:themeColor="text1"/>
          <w:sz w:val="24"/>
          <w:szCs w:val="24"/>
          <w:highlight w:val="none"/>
          <w:u w:val="single"/>
          <w14:textFill>
            <w14:solidFill>
              <w14:schemeClr w14:val="tx1"/>
            </w14:solidFill>
          </w14:textFill>
        </w:rPr>
        <w:t>海珠西部净水厂地块控制性详细规划调整及专题评估项目</w:t>
      </w:r>
      <w:r>
        <w:rPr>
          <w:rFonts w:hint="eastAsia" w:hAnsi="宋体" w:cs="宋体"/>
          <w:color w:val="000000" w:themeColor="text1"/>
          <w:sz w:val="24"/>
          <w:szCs w:val="24"/>
          <w:highlight w:val="none"/>
          <w14:textFill>
            <w14:solidFill>
              <w14:schemeClr w14:val="tx1"/>
            </w14:solidFill>
          </w14:textFill>
        </w:rPr>
        <w:t>委托乙方提供相应工作成果。经双方协商一致，签订本合同。</w:t>
      </w:r>
    </w:p>
    <w:p>
      <w:pPr>
        <w:adjustRightInd w:val="0"/>
        <w:spacing w:line="360" w:lineRule="auto"/>
        <w:jc w:val="left"/>
        <w:textAlignment w:val="baseline"/>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第一条</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 xml:space="preserve">签订依据 </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1.2 </w:t>
      </w:r>
      <w:r>
        <w:rPr>
          <w:rFonts w:hint="eastAsia" w:ascii="宋体" w:hAnsi="宋体" w:cs="宋体"/>
          <w:color w:val="000000" w:themeColor="text1"/>
          <w:sz w:val="24"/>
          <w:szCs w:val="24"/>
          <w:highlight w:val="none"/>
          <w14:textFill>
            <w14:solidFill>
              <w14:schemeClr w14:val="tx1"/>
            </w14:solidFill>
          </w14:textFill>
        </w:rPr>
        <w:t>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建设工程批准文件。</w:t>
      </w:r>
    </w:p>
    <w:p>
      <w:pPr>
        <w:pStyle w:val="2"/>
        <w:rPr>
          <w:rFonts w:hAnsi="宋体"/>
          <w:color w:val="000000" w:themeColor="text1"/>
          <w:highlight w:val="none"/>
          <w14:textFill>
            <w14:solidFill>
              <w14:schemeClr w14:val="tx1"/>
            </w14:solidFill>
          </w14:textFill>
        </w:rPr>
      </w:pP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第二条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编制依据</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甲方给乙方的委托通知书</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2.2</w:t>
      </w:r>
      <w:r>
        <w:rPr>
          <w:rFonts w:hint="eastAsia" w:ascii="宋体" w:hAnsi="宋体" w:cs="宋体"/>
          <w:color w:val="000000" w:themeColor="text1"/>
          <w:sz w:val="24"/>
          <w:szCs w:val="24"/>
          <w:highlight w:val="none"/>
          <w14:textFill>
            <w14:solidFill>
              <w14:schemeClr w14:val="tx1"/>
            </w14:solidFill>
          </w14:textFill>
        </w:rPr>
        <w:t>甲方提交的基础资料</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2.3 </w:t>
      </w:r>
      <w:r>
        <w:rPr>
          <w:rFonts w:hint="eastAsia" w:ascii="宋体" w:hAnsi="宋体" w:cs="宋体"/>
          <w:color w:val="000000" w:themeColor="text1"/>
          <w:sz w:val="24"/>
          <w:szCs w:val="24"/>
          <w:highlight w:val="none"/>
          <w14:textFill>
            <w14:solidFill>
              <w14:schemeClr w14:val="tx1"/>
            </w14:solidFill>
          </w14:textFill>
        </w:rPr>
        <w:t xml:space="preserve">乙方采用的主要技术标准包括但不限于： </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《城市规划编制办法》</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《城市用地分类与规划建设用地标准》（</w:t>
      </w:r>
      <w:r>
        <w:rPr>
          <w:rFonts w:ascii="宋体" w:hAnsi="宋体" w:cs="宋体"/>
          <w:color w:val="000000" w:themeColor="text1"/>
          <w:sz w:val="24"/>
          <w:szCs w:val="24"/>
          <w:highlight w:val="none"/>
          <w14:textFill>
            <w14:solidFill>
              <w14:schemeClr w14:val="tx1"/>
            </w14:solidFill>
          </w14:textFill>
        </w:rPr>
        <w:t>GBJ137-2011</w:t>
      </w:r>
      <w:r>
        <w:rPr>
          <w:rFonts w:hint="eastAsia" w:ascii="宋体" w:hAnsi="宋体" w:cs="宋体"/>
          <w:color w:val="000000" w:themeColor="text1"/>
          <w:sz w:val="24"/>
          <w:szCs w:val="24"/>
          <w:highlight w:val="none"/>
          <w14:textFill>
            <w14:solidFill>
              <w14:schemeClr w14:val="tx1"/>
            </w14:solidFill>
          </w14:textFill>
        </w:rPr>
        <w:t>）</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《村镇规划标准》（</w:t>
      </w:r>
      <w:r>
        <w:rPr>
          <w:rFonts w:ascii="宋体" w:hAnsi="宋体" w:cs="宋体"/>
          <w:color w:val="000000" w:themeColor="text1"/>
          <w:sz w:val="24"/>
          <w:szCs w:val="24"/>
          <w:highlight w:val="none"/>
          <w14:textFill>
            <w14:solidFill>
              <w14:schemeClr w14:val="tx1"/>
            </w14:solidFill>
          </w14:textFill>
        </w:rPr>
        <w:t>GB50188-93</w:t>
      </w:r>
      <w:r>
        <w:rPr>
          <w:rFonts w:hint="eastAsia" w:ascii="宋体" w:hAnsi="宋体" w:cs="宋体"/>
          <w:color w:val="000000" w:themeColor="text1"/>
          <w:sz w:val="24"/>
          <w:szCs w:val="24"/>
          <w:highlight w:val="none"/>
          <w14:textFill>
            <w14:solidFill>
              <w14:schemeClr w14:val="tx1"/>
            </w14:solidFill>
          </w14:textFill>
        </w:rPr>
        <w:t>）</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《城市居住区规划设计规范》（</w:t>
      </w:r>
      <w:r>
        <w:rPr>
          <w:rFonts w:ascii="宋体" w:hAnsi="宋体" w:cs="宋体"/>
          <w:color w:val="000000" w:themeColor="text1"/>
          <w:sz w:val="24"/>
          <w:szCs w:val="24"/>
          <w:highlight w:val="none"/>
          <w14:textFill>
            <w14:solidFill>
              <w14:schemeClr w14:val="tx1"/>
            </w14:solidFill>
          </w14:textFill>
        </w:rPr>
        <w:t>GB50180-93)</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《城市道路交通规划设计规范》（</w:t>
      </w:r>
      <w:r>
        <w:rPr>
          <w:rFonts w:ascii="宋体" w:hAnsi="宋体" w:cs="宋体"/>
          <w:color w:val="000000" w:themeColor="text1"/>
          <w:sz w:val="24"/>
          <w:szCs w:val="24"/>
          <w:highlight w:val="none"/>
          <w14:textFill>
            <w14:solidFill>
              <w14:schemeClr w14:val="tx1"/>
            </w14:solidFill>
          </w14:textFill>
        </w:rPr>
        <w:t>GB50220-95)</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上述规范如有更新的，以最新版本为准。</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第三条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合同文件的优先次序</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w:t>
      </w:r>
      <w:r>
        <w:rPr>
          <w:rFonts w:hint="eastAsia" w:ascii="宋体" w:hAnsi="宋体" w:cs="宋体"/>
          <w:color w:val="000000" w:themeColor="text1"/>
          <w:sz w:val="24"/>
          <w:szCs w:val="24"/>
          <w:highlight w:val="none"/>
          <w14:textFill>
            <w14:solidFill>
              <w14:schemeClr w14:val="tx1"/>
            </w14:solidFill>
          </w14:textFill>
        </w:rPr>
        <w:t>合同书</w:t>
      </w:r>
    </w:p>
    <w:p>
      <w:pPr>
        <w:adjustRightInd w:val="0"/>
        <w:spacing w:line="360" w:lineRule="auto"/>
        <w:ind w:firstLine="480" w:firstLineChars="200"/>
        <w:jc w:val="left"/>
        <w:textAlignment w:val="baseline"/>
        <w:rPr>
          <w:rFonts w:ascii="宋体" w:hAnsi="宋体" w:cs="宋体"/>
          <w:color w:val="000000" w:themeColor="text1"/>
          <w:sz w:val="24"/>
          <w:szCs w:val="24"/>
          <w:highlight w:val="none"/>
          <w:shd w:val="pct10" w:color="auto" w:fill="FFFFFF"/>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3.2</w:t>
      </w:r>
      <w:r>
        <w:rPr>
          <w:rFonts w:hint="eastAsia" w:ascii="宋体" w:hAnsi="宋体" w:cs="宋体"/>
          <w:color w:val="000000" w:themeColor="text1"/>
          <w:sz w:val="24"/>
          <w:szCs w:val="24"/>
          <w:highlight w:val="none"/>
          <w14:textFill>
            <w14:solidFill>
              <w14:schemeClr w14:val="tx1"/>
            </w14:solidFill>
          </w14:textFill>
        </w:rPr>
        <w:t>发包通知书</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3.3 </w:t>
      </w:r>
      <w:r>
        <w:rPr>
          <w:rFonts w:hint="eastAsia" w:ascii="宋体" w:hAnsi="宋体" w:cs="宋体"/>
          <w:color w:val="000000" w:themeColor="text1"/>
          <w:sz w:val="24"/>
          <w:szCs w:val="24"/>
          <w:highlight w:val="none"/>
          <w14:textFill>
            <w14:solidFill>
              <w14:schemeClr w14:val="tx1"/>
            </w14:solidFill>
          </w14:textFill>
        </w:rPr>
        <w:t xml:space="preserve">甲方的要求 </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w:t>
      </w:r>
      <w:r>
        <w:rPr>
          <w:rFonts w:hint="eastAsia" w:ascii="宋体" w:hAnsi="宋体" w:cs="宋体"/>
          <w:color w:val="000000" w:themeColor="text1"/>
          <w:sz w:val="24"/>
          <w:szCs w:val="24"/>
          <w:highlight w:val="none"/>
          <w14:textFill>
            <w14:solidFill>
              <w14:schemeClr w14:val="tx1"/>
            </w14:solidFill>
          </w14:textFill>
        </w:rPr>
        <w:t>技术规范</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第四条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项目概况</w:t>
      </w:r>
    </w:p>
    <w:p>
      <w:pPr>
        <w:adjustRightInd w:val="0"/>
        <w:spacing w:line="360" w:lineRule="auto"/>
        <w:ind w:left="1"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海珠西部净水厂地块控制性详细规划调整及专题评估</w:t>
      </w:r>
      <w:r>
        <w:rPr>
          <w:rFonts w:hint="eastAsia" w:ascii="宋体" w:hAnsi="宋体" w:cs="宋体"/>
          <w:color w:val="000000" w:themeColor="text1"/>
          <w:sz w:val="24"/>
          <w:szCs w:val="24"/>
          <w:highlight w:val="none"/>
          <w14:textFill>
            <w14:solidFill>
              <w14:schemeClr w14:val="tx1"/>
            </w14:solidFill>
          </w14:textFill>
        </w:rPr>
        <w:t>。</w:t>
      </w:r>
    </w:p>
    <w:p>
      <w:pPr>
        <w:adjustRightInd w:val="0"/>
        <w:spacing w:line="360" w:lineRule="auto"/>
        <w:ind w:left="1" w:firstLine="480" w:firstLineChars="200"/>
        <w:jc w:val="left"/>
        <w:textAlignment w:val="baseline"/>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项目地点：</w:t>
      </w:r>
      <w:r>
        <w:rPr>
          <w:rFonts w:asciiTheme="minorEastAsia" w:hAnsi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海珠区沙园街。</w:t>
      </w:r>
    </w:p>
    <w:p>
      <w:pPr>
        <w:adjustRightInd w:val="0"/>
        <w:spacing w:line="360" w:lineRule="auto"/>
        <w:ind w:left="1" w:firstLine="480" w:firstLineChars="200"/>
        <w:jc w:val="left"/>
        <w:textAlignment w:val="baseline"/>
        <w:rPr>
          <w:rFonts w:asciiTheme="minorEastAsia" w:hAnsi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用地面积：</w:t>
      </w:r>
      <w:r>
        <w:rPr>
          <w:rFonts w:asciiTheme="minorEastAsia" w:hAnsi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本项目地块用地面积5.15公顷；控规调整涉及</w:t>
      </w:r>
      <w:r>
        <w:rPr>
          <w:rFonts w:asciiTheme="minorEastAsia" w:hAnsiTheme="minorEastAsia" w:cstheme="minorEastAsia"/>
          <w:color w:val="000000" w:themeColor="text1"/>
          <w:sz w:val="24"/>
          <w:szCs w:val="24"/>
          <w:highlight w:val="none"/>
          <w:u w:val="single"/>
          <w14:textFill>
            <w14:solidFill>
              <w14:schemeClr w14:val="tx1"/>
            </w14:solidFill>
          </w14:textFill>
        </w:rPr>
        <w:t>A</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H0119规划管理单元，总用地面积为61.74公顷。</w:t>
      </w:r>
    </w:p>
    <w:p>
      <w:pPr>
        <w:adjustRightInd w:val="0"/>
        <w:spacing w:line="360" w:lineRule="auto"/>
        <w:ind w:left="1" w:firstLine="480" w:firstLineChars="200"/>
        <w:jc w:val="left"/>
        <w:textAlignment w:val="baseline"/>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建筑面积：</w:t>
      </w:r>
      <w:r>
        <w:rPr>
          <w:rFonts w:asciiTheme="minorEastAsia" w:hAnsi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以相关职能部门审批文件为准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pPr>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为优化沥滘污水处理系统，提高区域污水处理保障能力，需在海珠区西部区域新建一座污水处理厂，现就此开展项目控规调整工作。本次控规调整工作需包含控规调整论证报告，以及对应规划调整所需的专题评估（如交通影响评估、环境影响篇章、市政设施影响评估及洪涝安全评估等）内容。主要工作内容如下：</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ascii="宋体" w:hAnsi="宋体" w:cs="宋体"/>
          <w:color w:val="000000" w:themeColor="text1"/>
          <w:sz w:val="24"/>
          <w:szCs w:val="24"/>
          <w:highlight w:val="none"/>
          <w:shd w:val="clear" w:color="auto" w:fill="FFFFFF"/>
          <w14:textFill>
            <w14:solidFill>
              <w14:schemeClr w14:val="tx1"/>
            </w14:solidFill>
          </w14:textFill>
        </w:rPr>
        <w:t>4.1</w:t>
      </w:r>
      <w:r>
        <w:rPr>
          <w:rFonts w:hint="eastAsia" w:ascii="宋体" w:hAnsi="宋体" w:cs="宋体"/>
          <w:color w:val="000000" w:themeColor="text1"/>
          <w:sz w:val="24"/>
          <w:szCs w:val="24"/>
          <w:highlight w:val="none"/>
          <w:shd w:val="clear" w:color="auto" w:fill="FFFFFF"/>
          <w14:textFill>
            <w14:solidFill>
              <w14:schemeClr w14:val="tx1"/>
            </w14:solidFill>
          </w14:textFill>
        </w:rPr>
        <w:t>控规调整论证</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通过现场调研、资料搜集，对规划管理单元内的现状建设情况、规划审批情况、用地权属情况等进行摸查与分析，搜集整理涉及本规划管理单元的相关规划。根据要求，分析申请修改内容的可行性，并提出规划建议，编制规划管理单元控规导则调整方案。</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ascii="宋体" w:hAnsi="宋体" w:cs="宋体"/>
          <w:color w:val="000000" w:themeColor="text1"/>
          <w:sz w:val="24"/>
          <w:szCs w:val="24"/>
          <w:highlight w:val="none"/>
          <w:shd w:val="clear" w:color="auto" w:fill="FFFFFF"/>
          <w14:textFill>
            <w14:solidFill>
              <w14:schemeClr w14:val="tx1"/>
            </w14:solidFill>
          </w14:textFill>
        </w:rPr>
        <w:t>4.2</w:t>
      </w:r>
      <w:r>
        <w:rPr>
          <w:rFonts w:hint="eastAsia" w:ascii="宋体" w:hAnsi="宋体" w:cs="宋体"/>
          <w:color w:val="000000" w:themeColor="text1"/>
          <w:sz w:val="24"/>
          <w:szCs w:val="24"/>
          <w:highlight w:val="none"/>
          <w:shd w:val="clear" w:color="auto" w:fill="FFFFFF"/>
          <w14:textFill>
            <w14:solidFill>
              <w14:schemeClr w14:val="tx1"/>
            </w14:solidFill>
          </w14:textFill>
        </w:rPr>
        <w:t>环境影响篇章</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主要内容包含环境影响分析依据、现状调查与评价、环境影响预测与评价、环境影响减缓措施及相关图表等。</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ascii="宋体" w:hAnsi="宋体" w:cs="宋体"/>
          <w:color w:val="000000" w:themeColor="text1"/>
          <w:sz w:val="24"/>
          <w:szCs w:val="24"/>
          <w:highlight w:val="none"/>
          <w:shd w:val="clear" w:color="auto" w:fill="FFFFFF"/>
          <w14:textFill>
            <w14:solidFill>
              <w14:schemeClr w14:val="tx1"/>
            </w14:solidFill>
          </w14:textFill>
        </w:rPr>
        <w:t>4.3</w:t>
      </w:r>
      <w:r>
        <w:rPr>
          <w:rFonts w:hint="eastAsia" w:ascii="宋体" w:hAnsi="宋体" w:cs="宋体"/>
          <w:color w:val="000000" w:themeColor="text1"/>
          <w:sz w:val="24"/>
          <w:szCs w:val="24"/>
          <w:highlight w:val="none"/>
          <w:shd w:val="clear" w:color="auto" w:fill="FFFFFF"/>
          <w14:textFill>
            <w14:solidFill>
              <w14:schemeClr w14:val="tx1"/>
            </w14:solidFill>
          </w14:textFill>
        </w:rPr>
        <w:t>交通影响评估报告</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主要内容包括交通需求预测、交通承载力及影响评价，并提出交通优化方案及建议。</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ascii="宋体" w:hAnsi="宋体" w:cs="宋体"/>
          <w:color w:val="000000" w:themeColor="text1"/>
          <w:sz w:val="24"/>
          <w:szCs w:val="24"/>
          <w:highlight w:val="none"/>
          <w:shd w:val="clear" w:color="auto" w:fill="FFFFFF"/>
          <w14:textFill>
            <w14:solidFill>
              <w14:schemeClr w14:val="tx1"/>
            </w14:solidFill>
          </w14:textFill>
        </w:rPr>
        <w:t>4.4</w:t>
      </w:r>
      <w:r>
        <w:rPr>
          <w:rFonts w:hint="eastAsia" w:ascii="宋体" w:hAnsi="宋体" w:cs="宋体"/>
          <w:color w:val="000000" w:themeColor="text1"/>
          <w:sz w:val="24"/>
          <w:szCs w:val="24"/>
          <w:highlight w:val="none"/>
          <w:shd w:val="clear" w:color="auto" w:fill="FFFFFF"/>
          <w14:textFill>
            <w14:solidFill>
              <w14:schemeClr w14:val="tx1"/>
            </w14:solidFill>
          </w14:textFill>
        </w:rPr>
        <w:t>市政基础设施影响评估报告</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主要对规划管理单元范围内的给水、污水、雨水、燃气、电力、通信等工程进行评估，分析市政工程对控规调整方案的影响因素以及管线能否承载新增建设量，并提出优化方案及建议。</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4.5洪涝安全评估报告</w:t>
      </w:r>
    </w:p>
    <w:p>
      <w:pPr>
        <w:adjustRightInd w:val="0"/>
        <w:spacing w:line="360" w:lineRule="auto"/>
        <w:ind w:firstLine="480" w:firstLineChars="200"/>
        <w:jc w:val="left"/>
        <w:textAlignment w:val="baseline"/>
        <w:outlineLvl w:val="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控制性详细规划阶段洪涝安全评估的内容包括但不限于以下内容：明确建设项目所在排涝片区的规划标准，落实区域排水防涝设施及建设项目排水防涝设施的控制指标，提出保障改造项目水安全的措施与建议。</w:t>
      </w:r>
    </w:p>
    <w:p>
      <w:pPr>
        <w:pStyle w:val="18"/>
        <w:rPr>
          <w:color w:val="000000" w:themeColor="text1"/>
          <w:highlight w:val="none"/>
          <w14:textFill>
            <w14:solidFill>
              <w14:schemeClr w14:val="tx1"/>
            </w14:solidFill>
          </w14:textFill>
        </w:rPr>
      </w:pP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第五条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乙方向甲方交付资料及文件</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color w:val="000000" w:themeColor="text1"/>
          <w:sz w:val="24"/>
          <w:szCs w:val="24"/>
          <w:highlight w:val="none"/>
          <w14:textFill>
            <w14:solidFill>
              <w14:schemeClr w14:val="tx1"/>
            </w14:solidFill>
          </w14:textFill>
        </w:rPr>
        <w:t>本合同签订后，乙方应在</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工作日内提交编制计划及参编人员名单。合同执行中，乙方如需更换设计人员的，需征得甲方书面同意。控规调整论证报告及专题评估报告</w:t>
      </w:r>
      <w:r>
        <w:rPr>
          <w:rFonts w:hint="eastAsia" w:ascii="宋体" w:hAnsi="宋体" w:cs="宋体"/>
          <w:color w:val="000000" w:themeColor="text1"/>
          <w:sz w:val="24"/>
          <w:szCs w:val="24"/>
          <w:highlight w:val="none"/>
          <w:lang w:val="en-US" w:eastAsia="zh-CN"/>
          <w14:textFill>
            <w14:solidFill>
              <w14:schemeClr w14:val="tx1"/>
            </w14:solidFill>
          </w14:textFill>
        </w:rPr>
        <w:t>初稿</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第一次成果</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应按编制计划所列时间提交，用于甲方申请控规调整。</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自收到行政主管部门同意控规调整的书面意见之日起</w:t>
      </w:r>
      <w:r>
        <w:rPr>
          <w:rFonts w:ascii="宋体" w:hAnsi="宋体" w:cs="宋体"/>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日内，乙方向甲方交付正式的规划设计成果报告书（第二次成果），该成果用于规划和用地专题业务会审议，暂定一式五份，电子光盘</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份（未加密且可编辑格式），具体以甲方通知为准。</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自收到行政主管部门书面审查意见之日起</w:t>
      </w:r>
      <w:r>
        <w:rPr>
          <w:rFonts w:ascii="宋体" w:hAnsi="宋体" w:cs="宋体"/>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日内，乙方向甲方交付最终规划设计成果报告书（第三次成果），该成果用于报广州市城市规划委员会</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以下简称“市规委会”）审议，暂定一式十份，电子光盘</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份（未加密且可编辑格式），具体以甲方通知为准。</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乙方应配合甲方开展结算工作并提交结算的相关资料</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若乙方在接到甲方通知后逾期超过</w:t>
      </w:r>
      <w:r>
        <w:rPr>
          <w:rFonts w:ascii="宋体" w:hAnsi="宋体" w:cs="宋体"/>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第六条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费用 </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本合同总价包干暂定为人民币</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万元（大写：人民币</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本合同采用总价包干，工作内容包括完成本合同项下的所有工作（包含但不限于报告编制和报审、现状展示视频制作及公示期间相关工作的配合）。</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第七条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支付方式</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7.1.1 </w:t>
      </w:r>
      <w:r>
        <w:rPr>
          <w:rFonts w:hint="eastAsia" w:ascii="宋体" w:hAnsi="宋体" w:cs="宋体"/>
          <w:color w:val="000000" w:themeColor="text1"/>
          <w:sz w:val="24"/>
          <w:szCs w:val="24"/>
          <w:highlight w:val="none"/>
          <w14:textFill>
            <w14:solidFill>
              <w14:schemeClr w14:val="tx1"/>
            </w14:solidFill>
          </w14:textFill>
        </w:rPr>
        <w:t>支付办法：本合同生效后，甲方按照</w:t>
      </w:r>
      <w:r>
        <w:rPr>
          <w:rFonts w:hint="eastAsia" w:ascii="宋体" w:hAnsi="宋体" w:cs="宋体"/>
          <w:color w:val="000000" w:themeColor="text1"/>
          <w:sz w:val="24"/>
          <w:szCs w:val="24"/>
          <w:highlight w:val="none"/>
          <w:u w:val="single"/>
          <w14:textFill>
            <w14:solidFill>
              <w14:schemeClr w14:val="tx1"/>
            </w14:solidFill>
          </w14:textFill>
        </w:rPr>
        <w:t>《广州市净水有限公司资金集中支付管理办法》（穗净水</w:t>
      </w:r>
      <w:r>
        <w:rPr>
          <w:rFonts w:ascii="宋体" w:hAnsi="宋体" w:cs="宋体"/>
          <w:color w:val="000000" w:themeColor="text1"/>
          <w:sz w:val="24"/>
          <w:szCs w:val="24"/>
          <w:highlight w:val="none"/>
          <w:u w:val="single"/>
          <w14:textFill>
            <w14:solidFill>
              <w14:schemeClr w14:val="tx1"/>
            </w14:solidFill>
          </w14:textFill>
        </w:rPr>
        <w:t>[2015]278</w:t>
      </w:r>
      <w:r>
        <w:rPr>
          <w:rFonts w:hint="eastAsia" w:ascii="宋体" w:hAnsi="宋体" w:cs="宋体"/>
          <w:color w:val="000000" w:themeColor="text1"/>
          <w:sz w:val="24"/>
          <w:szCs w:val="24"/>
          <w:highlight w:val="none"/>
          <w:u w:val="single"/>
          <w14:textFill>
            <w14:solidFill>
              <w14:schemeClr w14:val="tx1"/>
            </w14:solidFill>
          </w14:textFill>
        </w:rPr>
        <w:t>号）（见附件</w:t>
      </w:r>
      <w:r>
        <w:rPr>
          <w:rFonts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操作程序，向乙方支付合同费用。</w:t>
      </w:r>
    </w:p>
    <w:p>
      <w:pPr>
        <w:pStyle w:val="2"/>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highlight w:val="none"/>
          <w14:textFill>
            <w14:solidFill>
              <w14:schemeClr w14:val="tx1"/>
            </w14:solidFill>
          </w14:textFill>
        </w:rPr>
        <w:t>乙方收款账号资料</w:t>
      </w:r>
    </w:p>
    <w:p>
      <w:pPr>
        <w:spacing w:line="384"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乙方收款账户：；</w:t>
      </w:r>
    </w:p>
    <w:p>
      <w:pPr>
        <w:spacing w:line="384" w:lineRule="auto"/>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p>
    <w:p>
      <w:pPr>
        <w:spacing w:line="384" w:lineRule="auto"/>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p>
    <w:p>
      <w:pPr>
        <w:spacing w:line="384"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乙方在收款前需提交等额增值税专用发票给甲方。增值税专用发票信息：</w:t>
      </w:r>
    </w:p>
    <w:p>
      <w:pPr>
        <w:spacing w:line="384"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名称：广州市净水有限公司</w:t>
      </w:r>
    </w:p>
    <w:p>
      <w:pPr>
        <w:spacing w:line="384"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税号：</w:t>
      </w:r>
    </w:p>
    <w:p>
      <w:pPr>
        <w:pStyle w:val="2"/>
        <w:ind w:firstLine="960" w:firstLineChars="4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地址：</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7.2 </w:t>
      </w:r>
      <w:r>
        <w:rPr>
          <w:rFonts w:hint="eastAsia" w:ascii="宋体" w:hAnsi="宋体" w:cs="宋体"/>
          <w:color w:val="000000" w:themeColor="text1"/>
          <w:sz w:val="24"/>
          <w:szCs w:val="24"/>
          <w:highlight w:val="none"/>
          <w14:textFill>
            <w14:solidFill>
              <w14:schemeClr w14:val="tx1"/>
            </w14:solidFill>
          </w14:textFill>
        </w:rPr>
        <w:t>本合同生效后，乙方向甲方提出定金支付申请，甲方向乙方支付合同包干价的</w:t>
      </w:r>
      <w:r>
        <w:rPr>
          <w:rFonts w:ascii="宋体" w:hAnsi="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％作为定金，</w:t>
      </w:r>
      <w:r>
        <w:rPr>
          <w:rFonts w:hint="eastAsia" w:ascii="宋体" w:hAnsi="宋体" w:cs="宋体"/>
          <w:color w:val="000000" w:themeColor="text1"/>
          <w:sz w:val="24"/>
          <w:szCs w:val="24"/>
          <w:highlight w:val="none"/>
          <w:lang w:val="en-US" w:eastAsia="zh-CN"/>
          <w14:textFill>
            <w14:solidFill>
              <w14:schemeClr w14:val="tx1"/>
            </w14:solidFill>
          </w14:textFill>
        </w:rPr>
        <w:t>合计</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7.3 </w:t>
      </w:r>
      <w:r>
        <w:rPr>
          <w:rFonts w:hint="eastAsia" w:ascii="宋体" w:hAnsi="宋体" w:cs="宋体"/>
          <w:color w:val="000000" w:themeColor="text1"/>
          <w:sz w:val="24"/>
          <w:szCs w:val="24"/>
          <w:highlight w:val="none"/>
          <w14:textFill>
            <w14:solidFill>
              <w14:schemeClr w14:val="tx1"/>
            </w14:solidFill>
          </w14:textFill>
        </w:rPr>
        <w:t>乙方应于当月</w:t>
      </w:r>
      <w:r>
        <w:rPr>
          <w:rFonts w:ascii="宋体" w:hAnsi="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日前将工程支付申请书一式四份报送给甲方，规划设计费按照以下方式予以支付：</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7.3.1 </w:t>
      </w:r>
      <w:r>
        <w:rPr>
          <w:rFonts w:hint="eastAsia" w:ascii="宋体" w:hAnsi="宋体" w:cs="宋体"/>
          <w:color w:val="000000" w:themeColor="text1"/>
          <w:sz w:val="24"/>
          <w:szCs w:val="24"/>
          <w:highlight w:val="none"/>
          <w14:textFill>
            <w14:solidFill>
              <w14:schemeClr w14:val="tx1"/>
            </w14:solidFill>
          </w14:textFill>
        </w:rPr>
        <w:t>乙方提交本合同</w:t>
      </w: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所述规划设计成果报告书（第二次成果）至规划和用地专题业务会审议，并取得最终意见后，甲方向乙方支付至合同包干价的</w:t>
      </w:r>
      <w:r>
        <w:rPr>
          <w:rFonts w:ascii="宋体" w:hAnsi="宋体" w:cs="宋体"/>
          <w:color w:val="000000" w:themeColor="text1"/>
          <w:sz w:val="24"/>
          <w:szCs w:val="24"/>
          <w:highlight w:val="none"/>
          <w14:textFill>
            <w14:solidFill>
              <w14:schemeClr w14:val="tx1"/>
            </w14:solidFill>
          </w14:textFill>
        </w:rPr>
        <w:t>60%</w:t>
      </w:r>
      <w:r>
        <w:rPr>
          <w:rFonts w:hint="eastAsia" w:ascii="宋体" w:hAnsi="宋体" w:cs="宋体"/>
          <w:color w:val="000000" w:themeColor="text1"/>
          <w:sz w:val="24"/>
          <w:szCs w:val="24"/>
          <w:highlight w:val="none"/>
          <w14:textFill>
            <w14:solidFill>
              <w14:schemeClr w14:val="tx1"/>
            </w14:solidFill>
          </w14:textFill>
        </w:rPr>
        <w:t>（含</w:t>
      </w:r>
      <w:r>
        <w:rPr>
          <w:rFonts w:hint="default" w:ascii="宋体" w:hAnsi="宋体" w:cs="宋体"/>
          <w:color w:val="000000" w:themeColor="text1"/>
          <w:sz w:val="24"/>
          <w:szCs w:val="24"/>
          <w:highlight w:val="none"/>
          <w14:textFill>
            <w14:solidFill>
              <w14:schemeClr w14:val="tx1"/>
            </w14:solidFill>
          </w14:textFill>
        </w:rPr>
        <w:t>定金</w:t>
      </w:r>
      <w:r>
        <w:rPr>
          <w:rFonts w:hint="eastAsia" w:ascii="宋体" w:hAnsi="宋体" w:cs="宋体"/>
          <w:color w:val="000000" w:themeColor="text1"/>
          <w:sz w:val="24"/>
          <w:szCs w:val="24"/>
          <w:highlight w:val="none"/>
          <w14:textFill>
            <w14:solidFill>
              <w14:schemeClr w14:val="tx1"/>
            </w14:solidFill>
          </w14:textFill>
        </w:rPr>
        <w:t>）。</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7.3.2 </w:t>
      </w:r>
      <w:r>
        <w:rPr>
          <w:rFonts w:hint="eastAsia" w:ascii="宋体" w:hAnsi="宋体" w:cs="宋体"/>
          <w:color w:val="000000" w:themeColor="text1"/>
          <w:sz w:val="24"/>
          <w:szCs w:val="24"/>
          <w:highlight w:val="none"/>
          <w14:textFill>
            <w14:solidFill>
              <w14:schemeClr w14:val="tx1"/>
            </w14:solidFill>
          </w14:textFill>
        </w:rPr>
        <w:t>乙方提交本合同</w:t>
      </w:r>
      <w:r>
        <w:rPr>
          <w:rFonts w:ascii="宋体" w:hAnsi="宋体" w:cs="宋体"/>
          <w:color w:val="000000" w:themeColor="text1"/>
          <w:sz w:val="24"/>
          <w:szCs w:val="24"/>
          <w:highlight w:val="none"/>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所述最终规划设计成果报告书（第三次成果）并取得市规委会书面同意意见后，甲方向乙方支付至合同包干价的</w:t>
      </w:r>
      <w:r>
        <w:rPr>
          <w:rFonts w:ascii="宋体" w:hAnsi="宋体" w:cs="宋体"/>
          <w:color w:val="000000" w:themeColor="text1"/>
          <w:sz w:val="24"/>
          <w:szCs w:val="24"/>
          <w:highlight w:val="none"/>
          <w14:textFill>
            <w14:solidFill>
              <w14:schemeClr w14:val="tx1"/>
            </w14:solidFill>
          </w14:textFill>
        </w:rPr>
        <w:t>80%</w:t>
      </w:r>
      <w:r>
        <w:rPr>
          <w:rFonts w:hint="eastAsia" w:ascii="宋体" w:hAnsi="宋体" w:cs="宋体"/>
          <w:color w:val="000000" w:themeColor="text1"/>
          <w:sz w:val="24"/>
          <w:szCs w:val="24"/>
          <w:highlight w:val="none"/>
          <w14:textFill>
            <w14:solidFill>
              <w14:schemeClr w14:val="tx1"/>
            </w14:solidFill>
          </w14:textFill>
        </w:rPr>
        <w:t>（含定金）。</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7.3.3</w:t>
      </w:r>
      <w:r>
        <w:rPr>
          <w:rFonts w:hint="eastAsia" w:ascii="宋体" w:hAnsi="宋体" w:cs="宋体"/>
          <w:color w:val="000000" w:themeColor="text1"/>
          <w:sz w:val="24"/>
          <w:szCs w:val="24"/>
          <w:highlight w:val="none"/>
          <w14:textFill>
            <w14:solidFill>
              <w14:schemeClr w14:val="tx1"/>
            </w14:solidFill>
          </w14:textFill>
        </w:rPr>
        <w:t>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w:t>
      </w:r>
      <w:r>
        <w:rPr>
          <w:rFonts w:ascii="宋体" w:hAnsi="宋体" w:cs="宋体"/>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7.3.4</w:t>
      </w:r>
      <w:r>
        <w:rPr>
          <w:rFonts w:hint="eastAsia" w:ascii="宋体" w:hAnsi="宋体"/>
          <w:color w:val="000000" w:themeColor="text1"/>
          <w:sz w:val="24"/>
          <w:szCs w:val="24"/>
          <w:highlight w:val="none"/>
          <w14:textFill>
            <w14:solidFill>
              <w14:schemeClr w14:val="tx1"/>
            </w14:solidFill>
          </w14:textFill>
        </w:rPr>
        <w:t>如合同项目非财政性资金投资项目，待相关部门终审结算后，甲方支付至合同结算价的</w:t>
      </w:r>
      <w:r>
        <w:rPr>
          <w:rFonts w:ascii="宋体" w:hAnsi="宋体"/>
          <w:color w:val="000000" w:themeColor="text1"/>
          <w:sz w:val="24"/>
          <w:szCs w:val="24"/>
          <w:highlight w:val="none"/>
          <w14:textFill>
            <w14:solidFill>
              <w14:schemeClr w14:val="tx1"/>
            </w14:solidFill>
          </w14:textFill>
        </w:rPr>
        <w:t xml:space="preserve">100% </w:t>
      </w:r>
      <w:r>
        <w:rPr>
          <w:rFonts w:hint="eastAsia" w:ascii="宋体" w:hAnsi="宋体"/>
          <w:color w:val="000000" w:themeColor="text1"/>
          <w:sz w:val="24"/>
          <w:szCs w:val="24"/>
          <w:highlight w:val="none"/>
          <w14:textFill>
            <w14:solidFill>
              <w14:schemeClr w14:val="tx1"/>
            </w14:solidFill>
          </w14:textFill>
        </w:rPr>
        <w:t>。</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7.4</w:t>
      </w:r>
      <w:r>
        <w:rPr>
          <w:rFonts w:hint="eastAsia" w:ascii="宋体" w:hAnsi="宋体" w:cs="宋体"/>
          <w:color w:val="000000" w:themeColor="text1"/>
          <w:sz w:val="24"/>
          <w:szCs w:val="24"/>
          <w:highlight w:val="none"/>
          <w14:textFill>
            <w14:solidFill>
              <w14:schemeClr w14:val="tx1"/>
            </w14:solidFill>
          </w14:textFill>
        </w:rPr>
        <w:t>双方委托银行代付代收有关费用。</w:t>
      </w:r>
    </w:p>
    <w:p>
      <w:pPr>
        <w:adjustRightInd w:val="0"/>
        <w:spacing w:line="360" w:lineRule="auto"/>
        <w:ind w:firstLine="480" w:firstLineChars="200"/>
        <w:jc w:val="left"/>
        <w:textAlignment w:val="baseline"/>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7.5</w:t>
      </w: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在收取每一笔合同费用前，需向甲方提供等额有效的增值税专用发票。</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第八条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双方责任</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8.1</w:t>
      </w:r>
      <w:r>
        <w:rPr>
          <w:rFonts w:hint="eastAsia" w:ascii="宋体" w:hAnsi="宋体" w:cs="宋体"/>
          <w:b/>
          <w:bCs/>
          <w:color w:val="000000" w:themeColor="text1"/>
          <w:sz w:val="24"/>
          <w:szCs w:val="24"/>
          <w:highlight w:val="none"/>
          <w14:textFill>
            <w14:solidFill>
              <w14:schemeClr w14:val="tx1"/>
            </w14:solidFill>
          </w14:textFill>
        </w:rPr>
        <w:t>甲方责任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8.1.1</w:t>
      </w:r>
      <w:r>
        <w:rPr>
          <w:rFonts w:hint="eastAsia" w:ascii="宋体" w:hAnsi="宋体" w:cs="宋体"/>
          <w:color w:val="000000" w:themeColor="text1"/>
          <w:sz w:val="24"/>
          <w:szCs w:val="24"/>
          <w:highlight w:val="none"/>
          <w14:textFill>
            <w14:solidFill>
              <w14:schemeClr w14:val="tx1"/>
            </w14:solidFill>
          </w14:textFill>
        </w:rPr>
        <w:t>在合同履行期间，已开始编制工作，</w:t>
      </w:r>
      <w:r>
        <w:rPr>
          <w:rFonts w:hint="eastAsia" w:ascii="宋体" w:hAnsi="宋体" w:cs="宋体"/>
          <w:color w:val="000000" w:themeColor="text1"/>
          <w:sz w:val="24"/>
          <w:szCs w:val="24"/>
          <w:highlight w:val="none"/>
          <w:lang w:val="en-US" w:eastAsia="zh-CN"/>
          <w14:textFill>
            <w14:solidFill>
              <w14:schemeClr w14:val="tx1"/>
            </w14:solidFill>
          </w14:textFill>
        </w:rPr>
        <w:t>由于</w:t>
      </w:r>
      <w:r>
        <w:rPr>
          <w:rFonts w:hint="eastAsia" w:ascii="宋体" w:hAnsi="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val="en-US" w:eastAsia="zh-CN"/>
          <w14:textFill>
            <w14:solidFill>
              <w14:schemeClr w14:val="tx1"/>
            </w14:solidFill>
          </w14:textFill>
        </w:rPr>
        <w:t>原因</w:t>
      </w:r>
      <w:r>
        <w:rPr>
          <w:rFonts w:hint="eastAsia" w:ascii="宋体" w:hAnsi="宋体" w:cs="宋体"/>
          <w:color w:val="000000" w:themeColor="text1"/>
          <w:sz w:val="24"/>
          <w:szCs w:val="24"/>
          <w:highlight w:val="none"/>
          <w14:textFill>
            <w14:solidFill>
              <w14:schemeClr w14:val="tx1"/>
            </w14:solidFill>
          </w14:textFill>
        </w:rPr>
        <w:t>要求终止或解除合同的，甲方根据乙方已进行的实际工作量按实进行结算，最高支付至合同</w:t>
      </w:r>
      <w:r>
        <w:rPr>
          <w:rFonts w:hint="eastAsia" w:ascii="宋体" w:hAnsi="宋体" w:cs="宋体"/>
          <w:color w:val="000000" w:themeColor="text1"/>
          <w:sz w:val="24"/>
          <w:szCs w:val="24"/>
          <w:highlight w:val="none"/>
          <w:lang w:val="en-US" w:eastAsia="zh-CN"/>
          <w14:textFill>
            <w14:solidFill>
              <w14:schemeClr w14:val="tx1"/>
            </w14:solidFill>
          </w14:textFill>
        </w:rPr>
        <w:t>暂定金额</w:t>
      </w:r>
      <w:r>
        <w:rPr>
          <w:rFonts w:hint="eastAsia" w:ascii="宋体" w:hAnsi="宋体" w:cs="宋体"/>
          <w:color w:val="000000" w:themeColor="text1"/>
          <w:sz w:val="24"/>
          <w:szCs w:val="24"/>
          <w:highlight w:val="none"/>
          <w14:textFill>
            <w14:solidFill>
              <w14:schemeClr w14:val="tx1"/>
            </w14:solidFill>
          </w14:textFill>
        </w:rPr>
        <w:t>的六成。</w:t>
      </w:r>
    </w:p>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8.1.3</w:t>
      </w:r>
      <w:r>
        <w:rPr>
          <w:rFonts w:hint="eastAsia" w:ascii="宋体" w:hAnsi="宋体" w:cs="宋体"/>
          <w:color w:val="000000" w:themeColor="text1"/>
          <w:sz w:val="24"/>
          <w:szCs w:val="24"/>
          <w:highlight w:val="none"/>
          <w14:textFill>
            <w14:solidFill>
              <w14:schemeClr w14:val="tx1"/>
            </w14:solidFill>
          </w14:textFill>
        </w:rPr>
        <w:t>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color w:val="000000" w:themeColor="text1"/>
          <w:sz w:val="24"/>
          <w:szCs w:val="24"/>
          <w:highlight w:val="none"/>
          <w14:textFill>
            <w14:solidFill>
              <w14:schemeClr w14:val="tx1"/>
            </w14:solidFill>
          </w14:textFill>
        </w:rPr>
      </w:pPr>
      <w:r>
        <w:rPr>
          <w:rFonts w:ascii="宋体" w:hAnsi="宋体" w:cs="宋体"/>
          <w:bCs w:val="0"/>
          <w:color w:val="000000" w:themeColor="text1"/>
          <w:sz w:val="24"/>
          <w:szCs w:val="24"/>
          <w:highlight w:val="none"/>
          <w14:textFill>
            <w14:solidFill>
              <w14:schemeClr w14:val="tx1"/>
            </w14:solidFill>
          </w14:textFill>
        </w:rPr>
        <w:t>8.2</w:t>
      </w:r>
      <w:r>
        <w:rPr>
          <w:rFonts w:hint="eastAsia" w:ascii="宋体" w:hAnsi="宋体" w:cs="宋体"/>
          <w:bCs w:val="0"/>
          <w:color w:val="000000" w:themeColor="text1"/>
          <w:sz w:val="24"/>
          <w:szCs w:val="24"/>
          <w:highlight w:val="none"/>
          <w14:textFill>
            <w14:solidFill>
              <w14:schemeClr w14:val="tx1"/>
            </w14:solidFill>
          </w14:textFill>
        </w:rPr>
        <w:t>乙方责任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8.2.1</w:t>
      </w:r>
      <w:r>
        <w:rPr>
          <w:rFonts w:hint="eastAsia" w:ascii="宋体" w:hAnsi="宋体" w:cs="宋体"/>
          <w:color w:val="000000" w:themeColor="text1"/>
          <w:sz w:val="24"/>
          <w:szCs w:val="24"/>
          <w:highlight w:val="none"/>
          <w14:textFill>
            <w14:solidFill>
              <w14:schemeClr w14:val="tx1"/>
            </w14:solidFill>
          </w14:textFill>
        </w:rPr>
        <w:t>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8.2.2</w:t>
      </w:r>
      <w:r>
        <w:rPr>
          <w:rFonts w:hint="eastAsia" w:ascii="宋体" w:hAnsi="宋体" w:cs="宋体"/>
          <w:color w:val="000000" w:themeColor="text1"/>
          <w:sz w:val="24"/>
          <w:szCs w:val="24"/>
          <w:highlight w:val="none"/>
          <w14:textFill>
            <w14:solidFill>
              <w14:schemeClr w14:val="tx1"/>
            </w14:solidFill>
          </w14:textFill>
        </w:rPr>
        <w:t>因文件质量问题引起返工，除由乙方继续完善外，并视造成损失大小，减收直至免收编制费。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8.2.3</w:t>
      </w:r>
      <w:r>
        <w:rPr>
          <w:rFonts w:hint="eastAsia" w:ascii="宋体" w:hAnsi="宋体" w:cs="宋体"/>
          <w:color w:val="000000" w:themeColor="text1"/>
          <w:sz w:val="24"/>
          <w:szCs w:val="24"/>
          <w:highlight w:val="none"/>
          <w14:textFill>
            <w14:solidFill>
              <w14:schemeClr w14:val="tx1"/>
            </w14:solidFill>
          </w14:textFill>
        </w:rPr>
        <w:t>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8.2.4</w:t>
      </w:r>
      <w:r>
        <w:rPr>
          <w:rFonts w:hint="eastAsia" w:ascii="宋体" w:hAnsi="宋体" w:cs="宋体"/>
          <w:color w:val="000000" w:themeColor="text1"/>
          <w:sz w:val="24"/>
          <w:szCs w:val="24"/>
          <w:highlight w:val="none"/>
          <w14:textFill>
            <w14:solidFill>
              <w14:schemeClr w14:val="tx1"/>
            </w14:solidFill>
          </w14:textFill>
        </w:rPr>
        <w:t>由于乙方自身原因，延误了按本合同第五条规定的规划设计成果交付时间，每延误一天应减收该项目合同价的</w:t>
      </w:r>
      <w:r>
        <w:rPr>
          <w:rFonts w:hint="eastAsia" w:ascii="宋体" w:hAnsi="宋体" w:cs="宋体"/>
          <w:color w:val="000000" w:themeColor="text1"/>
          <w:sz w:val="24"/>
          <w:szCs w:val="24"/>
          <w:highlight w:val="none"/>
          <w:lang w:val="en-US" w:eastAsia="zh-CN"/>
          <w14:textFill>
            <w14:solidFill>
              <w14:schemeClr w14:val="tx1"/>
            </w14:solidFill>
          </w14:textFill>
        </w:rPr>
        <w:t>万分之五</w:t>
      </w:r>
      <w:r>
        <w:rPr>
          <w:rFonts w:hint="eastAsia" w:ascii="宋体" w:hAnsi="宋体" w:cs="宋体"/>
          <w:color w:val="000000" w:themeColor="text1"/>
          <w:sz w:val="24"/>
          <w:szCs w:val="24"/>
          <w:highlight w:val="none"/>
          <w14:textFill>
            <w14:solidFill>
              <w14:schemeClr w14:val="tx1"/>
            </w14:solidFill>
          </w14:textFill>
        </w:rPr>
        <w:t>，逾期超过</w:t>
      </w:r>
      <w:r>
        <w:rPr>
          <w:rFonts w:ascii="宋体" w:hAnsi="宋体" w:cs="宋体"/>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天，甲方有权解除合同。由此给甲方造成损失的，乙方应承担赔偿责任。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8.2.5</w:t>
      </w:r>
      <w:r>
        <w:rPr>
          <w:rFonts w:hint="eastAsia" w:ascii="宋体" w:hAnsi="宋体" w:cs="宋体"/>
          <w:color w:val="000000" w:themeColor="text1"/>
          <w:sz w:val="24"/>
          <w:szCs w:val="24"/>
          <w:highlight w:val="none"/>
          <w14:textFill>
            <w14:solidFill>
              <w14:schemeClr w14:val="tx1"/>
            </w14:solidFill>
          </w14:textFill>
        </w:rPr>
        <w:t>乙方有责任对甲方提供的资料保密，未经许可，不得提供给与本项目无关的单位和人员使用。乙方未尽保密义务，给甲方造成损失的，应承担赔偿责任，并向甲方一次性支付合同</w:t>
      </w:r>
      <w:r>
        <w:rPr>
          <w:rFonts w:hint="eastAsia" w:ascii="宋体" w:hAnsi="宋体" w:cs="宋体"/>
          <w:color w:val="000000" w:themeColor="text1"/>
          <w:sz w:val="24"/>
          <w:szCs w:val="24"/>
          <w:highlight w:val="none"/>
          <w:lang w:val="en-US" w:eastAsia="zh-CN"/>
          <w14:textFill>
            <w14:solidFill>
              <w14:schemeClr w14:val="tx1"/>
            </w14:solidFill>
          </w14:textFill>
        </w:rPr>
        <w:t>暂定金额</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8.2.6</w:t>
      </w:r>
      <w:r>
        <w:rPr>
          <w:rFonts w:hint="eastAsia" w:ascii="宋体" w:hAnsi="宋体" w:cs="宋体"/>
          <w:color w:val="000000" w:themeColor="text1"/>
          <w:sz w:val="24"/>
          <w:szCs w:val="24"/>
          <w:highlight w:val="none"/>
          <w14:textFill>
            <w14:solidFill>
              <w14:schemeClr w14:val="tx1"/>
            </w14:solidFill>
          </w14:textFill>
        </w:rPr>
        <w:t>若标准或计划变更，经甲方同意，乙方可顺延期限。</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8.2.7</w:t>
      </w:r>
      <w:r>
        <w:rPr>
          <w:rFonts w:hint="eastAsia" w:ascii="宋体" w:hAnsi="宋体" w:cs="宋体"/>
          <w:color w:val="000000" w:themeColor="text1"/>
          <w:sz w:val="24"/>
          <w:szCs w:val="24"/>
          <w:highlight w:val="none"/>
          <w14:textFill>
            <w14:solidFill>
              <w14:schemeClr w14:val="tx1"/>
            </w14:solidFill>
          </w14:textFill>
        </w:rPr>
        <w:t>合同生效后，非甲方原因乙方要求解除合同的，应赔偿甲方的损失，并双倍退还定金。</w:t>
      </w:r>
    </w:p>
    <w:p>
      <w:pPr>
        <w:pStyle w:val="2"/>
        <w:ind w:firstLine="480" w:firstLineChars="200"/>
        <w:rPr>
          <w:rFonts w:hint="default" w:ascii="宋体" w:hAnsi="宋体" w:cs="宋体" w:eastAsiaTheme="minorEastAsia"/>
          <w:color w:val="000000" w:themeColor="text1"/>
          <w:kern w:val="2"/>
          <w:sz w:val="24"/>
          <w:szCs w:val="24"/>
          <w:highlight w:val="none"/>
          <w14:textFill>
            <w14:solidFill>
              <w14:schemeClr w14:val="tx1"/>
            </w14:solidFill>
          </w14:textFill>
        </w:rPr>
      </w:pPr>
      <w:r>
        <w:rPr>
          <w:rFonts w:hint="eastAsia" w:hAnsi="宋体" w:cs="宋体" w:eastAsiaTheme="minorEastAsia"/>
          <w:color w:val="000000" w:themeColor="text1"/>
          <w:kern w:val="2"/>
          <w:sz w:val="24"/>
          <w:szCs w:val="24"/>
          <w:highlight w:val="none"/>
          <w:lang w:val="en-US" w:eastAsia="zh-CN"/>
          <w14:textFill>
            <w14:solidFill>
              <w14:schemeClr w14:val="tx1"/>
            </w14:solidFill>
          </w14:textFill>
        </w:rPr>
        <w:t>8.2.8如甲方选择适用定金罚则，定金不足以弥补乙方违约造成的损失的，甲方可以请求赔偿超过定金数额的损失。</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第九条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知识产权</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第十条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争议解决</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（一）提交广州仲裁委员会仲裁；</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（二）依法向甲方所在地的人民法院起诉。</w:t>
      </w:r>
    </w:p>
    <w:p>
      <w:pPr>
        <w:adjustRightInd w:val="0"/>
        <w:spacing w:line="360" w:lineRule="auto"/>
        <w:jc w:val="left"/>
        <w:textAlignment w:val="baseline"/>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第十一条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合同生效及其他</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11.1</w:t>
      </w:r>
      <w:r>
        <w:rPr>
          <w:rFonts w:hint="eastAsia" w:ascii="宋体" w:hAnsi="宋体" w:cs="宋体"/>
          <w:color w:val="000000" w:themeColor="text1"/>
          <w:sz w:val="24"/>
          <w:szCs w:val="24"/>
          <w:highlight w:val="none"/>
          <w14:textFill>
            <w14:solidFill>
              <w14:schemeClr w14:val="tx1"/>
            </w14:solidFill>
          </w14:textFill>
        </w:rPr>
        <w:t>合同生效的条件：</w:t>
      </w:r>
      <w:r>
        <w:rPr>
          <w:rFonts w:hint="eastAsia" w:ascii="宋体" w:hAnsi="宋体" w:cs="宋体"/>
          <w:color w:val="000000" w:themeColor="text1"/>
          <w:sz w:val="24"/>
          <w:szCs w:val="24"/>
          <w:highlight w:val="none"/>
          <w:lang w:val="en-US" w:eastAsia="zh-CN"/>
          <w14:textFill>
            <w14:solidFill>
              <w14:schemeClr w14:val="tx1"/>
            </w14:solidFill>
          </w14:textFill>
        </w:rPr>
        <w:t>甲、乙双方法定代表人或授权代表签名并加盖公章</w:t>
      </w:r>
      <w:r>
        <w:rPr>
          <w:rFonts w:hint="eastAsia" w:ascii="宋体" w:hAnsi="宋体" w:cs="宋体"/>
          <w:color w:val="000000" w:themeColor="text1"/>
          <w:sz w:val="24"/>
          <w:szCs w:val="24"/>
          <w:highlight w:val="none"/>
          <w14:textFill>
            <w14:solidFill>
              <w14:schemeClr w14:val="tx1"/>
            </w14:solidFill>
          </w14:textFill>
        </w:rPr>
        <w:t>。</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11.3</w:t>
      </w:r>
      <w:r>
        <w:rPr>
          <w:rFonts w:hint="eastAsia" w:ascii="宋体" w:hAnsi="宋体" w:cs="宋体"/>
          <w:color w:val="000000" w:themeColor="text1"/>
          <w:sz w:val="24"/>
          <w:szCs w:val="24"/>
          <w:highlight w:val="none"/>
          <w14:textFill>
            <w14:solidFill>
              <w14:schemeClr w14:val="tx1"/>
            </w14:solidFill>
          </w14:textFill>
        </w:rPr>
        <w:t>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11.4</w:t>
      </w:r>
      <w:r>
        <w:rPr>
          <w:rFonts w:hint="eastAsia" w:ascii="宋体" w:hAnsi="宋体" w:cs="宋体"/>
          <w:color w:val="000000" w:themeColor="text1"/>
          <w:sz w:val="24"/>
          <w:szCs w:val="24"/>
          <w:highlight w:val="none"/>
          <w14:textFill>
            <w14:solidFill>
              <w14:schemeClr w14:val="tx1"/>
            </w14:solidFill>
          </w14:textFill>
        </w:rPr>
        <w:t>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11.5</w:t>
      </w:r>
      <w:r>
        <w:rPr>
          <w:rFonts w:hint="eastAsia" w:ascii="宋体" w:hAnsi="宋体" w:cs="宋体"/>
          <w:color w:val="000000" w:themeColor="text1"/>
          <w:sz w:val="24"/>
          <w:szCs w:val="24"/>
          <w:highlight w:val="none"/>
          <w14:textFill>
            <w14:solidFill>
              <w14:schemeClr w14:val="tx1"/>
            </w14:solidFill>
          </w14:textFill>
        </w:rPr>
        <w:t>本合同正本一式</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贰</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份，甲方执</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壹</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14:textFill>
            <w14:solidFill>
              <w14:schemeClr w14:val="tx1"/>
            </w14:solidFill>
          </w14:textFill>
        </w:rPr>
        <w:t>壹</w:t>
      </w:r>
      <w:r>
        <w:rPr>
          <w:rFonts w:hint="eastAsia" w:ascii="宋体" w:hAnsi="宋体" w:cs="宋体"/>
          <w:color w:val="000000" w:themeColor="text1"/>
          <w:sz w:val="24"/>
          <w:szCs w:val="24"/>
          <w:highlight w:val="none"/>
          <w14:textFill>
            <w14:solidFill>
              <w14:schemeClr w14:val="tx1"/>
            </w14:solidFill>
          </w14:textFill>
        </w:rPr>
        <w:t>份；副本一式</w:t>
      </w:r>
      <w:r>
        <w:rPr>
          <w:rFonts w:hint="eastAsia" w:ascii="宋体" w:hAnsi="宋体" w:cs="宋体"/>
          <w:color w:val="000000" w:themeColor="text1"/>
          <w:sz w:val="24"/>
          <w:szCs w:val="24"/>
          <w:highlight w:val="none"/>
          <w:u w:val="single"/>
          <w14:textFill>
            <w14:solidFill>
              <w14:schemeClr w14:val="tx1"/>
            </w14:solidFill>
          </w14:textFill>
        </w:rPr>
        <w:t>捌</w:t>
      </w:r>
      <w:r>
        <w:rPr>
          <w:rFonts w:hint="eastAsia" w:ascii="宋体" w:hAnsi="宋体" w:cs="宋体"/>
          <w:color w:val="000000" w:themeColor="text1"/>
          <w:sz w:val="24"/>
          <w:szCs w:val="24"/>
          <w:highlight w:val="none"/>
          <w14:textFill>
            <w14:solidFill>
              <w14:schemeClr w14:val="tx1"/>
            </w14:solidFill>
          </w14:textFill>
        </w:rPr>
        <w:t>份，甲方执</w:t>
      </w:r>
      <w:r>
        <w:rPr>
          <w:rFonts w:hint="eastAsia" w:ascii="宋体" w:hAnsi="宋体" w:cs="宋体"/>
          <w:color w:val="000000" w:themeColor="text1"/>
          <w:sz w:val="24"/>
          <w:szCs w:val="24"/>
          <w:highlight w:val="none"/>
          <w:u w:val="single"/>
          <w14:textFill>
            <w14:solidFill>
              <w14:schemeClr w14:val="tx1"/>
            </w14:solidFill>
          </w14:textFill>
        </w:rPr>
        <w:t>伍</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14:textFill>
            <w14:solidFill>
              <w14:schemeClr w14:val="tx1"/>
            </w14:solidFill>
          </w14:textFill>
        </w:rPr>
        <w:t>叁</w:t>
      </w:r>
      <w:r>
        <w:rPr>
          <w:rFonts w:hint="eastAsia" w:ascii="宋体" w:hAnsi="宋体" w:cs="宋体"/>
          <w:color w:val="000000" w:themeColor="text1"/>
          <w:sz w:val="24"/>
          <w:szCs w:val="24"/>
          <w:highlight w:val="none"/>
          <w14:textFill>
            <w14:solidFill>
              <w14:schemeClr w14:val="tx1"/>
            </w14:solidFill>
          </w14:textFill>
        </w:rPr>
        <w:t>份，双方所执合同具同等法律效力。</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11.6</w:t>
      </w:r>
      <w:r>
        <w:rPr>
          <w:rFonts w:hint="eastAsia" w:ascii="宋体" w:hAnsi="宋体" w:cs="宋体"/>
          <w:color w:val="000000" w:themeColor="text1"/>
          <w:sz w:val="24"/>
          <w:szCs w:val="24"/>
          <w:highlight w:val="none"/>
          <w14:textFill>
            <w14:solidFill>
              <w14:schemeClr w14:val="tx1"/>
            </w14:solidFill>
          </w14:textFill>
        </w:rPr>
        <w:t>双方履行完合同规定的义务后，本合同即行终止。</w:t>
      </w:r>
    </w:p>
    <w:p>
      <w:pPr>
        <w:adjustRightIn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11.7</w:t>
      </w:r>
      <w:r>
        <w:rPr>
          <w:rFonts w:hint="eastAsia" w:ascii="宋体" w:hAnsi="宋体" w:cs="宋体"/>
          <w:color w:val="000000" w:themeColor="text1"/>
          <w:sz w:val="24"/>
          <w:szCs w:val="24"/>
          <w:highlight w:val="none"/>
          <w14:textFill>
            <w14:solidFill>
              <w14:schemeClr w14:val="tx1"/>
            </w14:solidFill>
          </w14:textFill>
        </w:rPr>
        <w:t>双方认可的来往传真、会议纪要等，均为合同的组成部分，与本合同具有同等法律效力。</w:t>
      </w:r>
    </w:p>
    <w:p>
      <w:pPr>
        <w:spacing w:line="360" w:lineRule="auto"/>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11.8</w:t>
      </w:r>
      <w:r>
        <w:rPr>
          <w:rFonts w:hint="eastAsia" w:ascii="宋体" w:hAnsi="宋体" w:cs="宋体"/>
          <w:color w:val="000000" w:themeColor="text1"/>
          <w:sz w:val="24"/>
          <w:szCs w:val="24"/>
          <w:highlight w:val="none"/>
          <w14:textFill>
            <w14:solidFill>
              <w14:schemeClr w14:val="tx1"/>
            </w14:solidFill>
          </w14:textFill>
        </w:rPr>
        <w:t>未尽事宜，双方协商一致，可签订补充协议，补充协议与本合同具有同等效力。</w:t>
      </w:r>
    </w:p>
    <w:p>
      <w:pPr>
        <w:pStyle w:val="10"/>
        <w:spacing w:line="360" w:lineRule="auto"/>
        <w:ind w:left="465" w:leftChars="50" w:hanging="360" w:hangingChars="150"/>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11.9</w:t>
      </w:r>
      <w:r>
        <w:rPr>
          <w:rFonts w:hint="eastAsia" w:ascii="宋体" w:hAnsi="宋体" w:cs="宋体"/>
          <w:color w:val="000000" w:themeColor="text1"/>
          <w:sz w:val="24"/>
          <w:szCs w:val="24"/>
          <w:highlight w:val="none"/>
          <w14:textFill>
            <w14:solidFill>
              <w14:schemeClr w14:val="tx1"/>
            </w14:solidFill>
          </w14:textFill>
        </w:rPr>
        <w:t>本合同附件是合同不可分割的一部分，具有相同的法律效力，具体附件如下：</w:t>
      </w:r>
    </w:p>
    <w:p>
      <w:pPr>
        <w:pStyle w:val="10"/>
        <w:spacing w:line="360" w:lineRule="auto"/>
        <w:ind w:left="0" w:leftChars="0" w:firstLine="720" w:firstLineChars="300"/>
        <w:rPr>
          <w:rFonts w:hint="eastAsia" w:ascii="宋体" w:hAnsi="宋体" w:cs="宋体"/>
          <w:color w:val="000000" w:themeColor="text1"/>
          <w:sz w:val="24"/>
          <w:szCs w:val="24"/>
          <w:highlight w:val="none"/>
          <w14:textFill>
            <w14:solidFill>
              <w14:schemeClr w14:val="tx1"/>
            </w14:solidFill>
          </w14:textFill>
        </w:rPr>
      </w:pPr>
    </w:p>
    <w:p>
      <w:pPr>
        <w:pStyle w:val="10"/>
        <w:spacing w:line="360" w:lineRule="auto"/>
        <w:ind w:left="0" w:leftChars="0" w:firstLine="632"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附件1：</w:t>
      </w:r>
      <w:r>
        <w:rPr>
          <w:rFonts w:hint="eastAsia" w:ascii="宋体" w:hAnsi="宋体" w:cs="宋体"/>
          <w:b/>
          <w:bCs/>
          <w:color w:val="000000" w:themeColor="text1"/>
          <w:szCs w:val="21"/>
          <w:highlight w:val="none"/>
          <w14:textFill>
            <w14:solidFill>
              <w14:schemeClr w14:val="tx1"/>
            </w14:solidFill>
          </w14:textFill>
        </w:rPr>
        <w:t>发包通知书</w:t>
      </w:r>
    </w:p>
    <w:p>
      <w:pPr>
        <w:pStyle w:val="10"/>
        <w:spacing w:line="360" w:lineRule="auto"/>
        <w:ind w:left="0" w:leftChars="0" w:firstLine="632"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附件2：</w:t>
      </w:r>
      <w:r>
        <w:rPr>
          <w:rFonts w:hint="eastAsia" w:ascii="宋体" w:hAnsi="宋体" w:cs="宋体"/>
          <w:b/>
          <w:bCs/>
          <w:color w:val="000000" w:themeColor="text1"/>
          <w:szCs w:val="21"/>
          <w:highlight w:val="none"/>
          <w14:textFill>
            <w14:solidFill>
              <w14:schemeClr w14:val="tx1"/>
            </w14:solidFill>
          </w14:textFill>
        </w:rPr>
        <w:t>廉洁协议</w:t>
      </w:r>
    </w:p>
    <w:p>
      <w:pPr>
        <w:pStyle w:val="10"/>
        <w:spacing w:line="360" w:lineRule="auto"/>
        <w:ind w:left="465" w:leftChars="5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（以下无正文）</w:t>
      </w:r>
    </w:p>
    <w:tbl>
      <w:tblPr>
        <w:tblStyle w:val="19"/>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甲方：广州市净水有限公司</w:t>
            </w: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盖章</w:t>
            </w:r>
            <w:r>
              <w:rPr>
                <w:rFonts w:ascii="宋体" w:hAnsi="宋体" w:cs="宋体"/>
                <w:color w:val="000000" w:themeColor="text1"/>
                <w:sz w:val="24"/>
                <w:szCs w:val="24"/>
                <w:highlight w:val="none"/>
                <w14:textFill>
                  <w14:solidFill>
                    <w14:schemeClr w14:val="tx1"/>
                  </w14:solidFill>
                </w14:textFill>
              </w:rPr>
              <w:t>)</w:t>
            </w:r>
          </w:p>
          <w:p>
            <w:pPr>
              <w:spacing w:line="360" w:lineRule="auto"/>
              <w:rPr>
                <w:rFonts w:ascii="宋体" w:hAnsi="宋体" w:cs="宋体"/>
                <w:color w:val="000000" w:themeColor="text1"/>
                <w:sz w:val="24"/>
                <w:szCs w:val="24"/>
                <w:highlight w:val="none"/>
                <w14:textFill>
                  <w14:solidFill>
                    <w14:schemeClr w14:val="tx1"/>
                  </w14:solidFill>
                </w14:textFill>
              </w:rPr>
            </w:pPr>
          </w:p>
        </w:tc>
        <w:tc>
          <w:tcPr>
            <w:tcW w:w="562" w:type="dxa"/>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盖章</w:t>
            </w:r>
            <w:r>
              <w:rPr>
                <w:rFonts w:ascii="宋体" w:hAnsi="宋体" w:cs="宋体"/>
                <w:color w:val="000000" w:themeColor="text1"/>
                <w:sz w:val="24"/>
                <w:szCs w:val="24"/>
                <w:highlight w:val="none"/>
                <w14:textFill>
                  <w14:solidFill>
                    <w14:schemeClr w14:val="tx1"/>
                  </w14:solidFill>
                </w14:textFill>
              </w:rPr>
              <w:t>)</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授权代理人：</w:t>
            </w:r>
          </w:p>
          <w:p>
            <w:pPr>
              <w:spacing w:line="360" w:lineRule="auto"/>
              <w:rPr>
                <w:rFonts w:ascii="宋体" w:hAnsi="宋体" w:cs="宋体"/>
                <w:color w:val="000000" w:themeColor="text1"/>
                <w:sz w:val="24"/>
                <w:szCs w:val="24"/>
                <w:highlight w:val="none"/>
                <w14:textFill>
                  <w14:solidFill>
                    <w14:schemeClr w14:val="tx1"/>
                  </w14:solidFill>
                </w14:textFill>
              </w:rPr>
            </w:pPr>
          </w:p>
        </w:tc>
        <w:tc>
          <w:tcPr>
            <w:tcW w:w="562" w:type="dxa"/>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ind w:right="-19" w:rightChars="-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地址：广州市天河区临江大道</w:t>
            </w:r>
            <w:r>
              <w:rPr>
                <w:rFonts w:ascii="宋体" w:hAnsi="宋体" w:cs="宋体"/>
                <w:color w:val="000000" w:themeColor="text1"/>
                <w:sz w:val="24"/>
                <w:szCs w:val="24"/>
                <w:highlight w:val="none"/>
                <w14:textFill>
                  <w14:solidFill>
                    <w14:schemeClr w14:val="tx1"/>
                  </w14:solidFill>
                </w14:textFill>
              </w:rPr>
              <w:t>501</w:t>
            </w:r>
            <w:r>
              <w:rPr>
                <w:rFonts w:hint="eastAsia" w:ascii="宋体" w:hAnsi="宋体" w:cs="宋体"/>
                <w:color w:val="000000" w:themeColor="text1"/>
                <w:sz w:val="24"/>
                <w:szCs w:val="24"/>
                <w:highlight w:val="none"/>
                <w14:textFill>
                  <w14:solidFill>
                    <w14:schemeClr w14:val="tx1"/>
                  </w14:solidFill>
                </w14:textFill>
              </w:rPr>
              <w:t>号</w:t>
            </w:r>
          </w:p>
        </w:tc>
        <w:tc>
          <w:tcPr>
            <w:tcW w:w="562" w:type="dxa"/>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邮政编码：</w:t>
            </w:r>
            <w:r>
              <w:rPr>
                <w:rFonts w:ascii="宋体" w:hAnsi="宋体" w:cs="宋体"/>
                <w:color w:val="000000" w:themeColor="text1"/>
                <w:sz w:val="24"/>
                <w:szCs w:val="24"/>
                <w:highlight w:val="none"/>
                <w14:textFill>
                  <w14:solidFill>
                    <w14:schemeClr w14:val="tx1"/>
                  </w14:solidFill>
                </w14:textFill>
              </w:rPr>
              <w:t>510655</w:t>
            </w:r>
            <w:r>
              <w:rPr>
                <w:rFonts w:ascii="宋体" w:hAnsi="宋体" w:cs="宋体"/>
                <w:color w:val="000000" w:themeColor="text1"/>
                <w:sz w:val="24"/>
                <w:szCs w:val="24"/>
                <w:highlight w:val="none"/>
                <w14:textFill>
                  <w14:solidFill>
                    <w14:schemeClr w14:val="tx1"/>
                  </w14:solidFill>
                </w14:textFill>
              </w:rPr>
              <w:tab/>
            </w: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56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签约日期：</w:t>
            </w:r>
            <w:r>
              <w:rPr>
                <w:rFonts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000000" w:themeColor="text1"/>
                <w:sz w:val="24"/>
                <w:szCs w:val="24"/>
                <w:highlight w:val="none"/>
                <w14:textFill>
                  <w14:solidFill>
                    <w14:schemeClr w14:val="tx1"/>
                  </w14:solidFill>
                </w14:textFill>
              </w:rPr>
              <w:t>年月日</w:t>
            </w:r>
          </w:p>
        </w:tc>
        <w:tc>
          <w:tcPr>
            <w:tcW w:w="562" w:type="dxa"/>
            <w:vAlign w:val="center"/>
          </w:tcPr>
          <w:p>
            <w:pPr>
              <w:rPr>
                <w:rFonts w:ascii="宋体" w:hAnsi="宋体" w:cs="宋体"/>
                <w:color w:val="000000" w:themeColor="text1"/>
                <w:sz w:val="24"/>
                <w:szCs w:val="24"/>
                <w:highlight w:val="none"/>
                <w14:textFill>
                  <w14:solidFill>
                    <w14:schemeClr w14:val="tx1"/>
                  </w14:solidFill>
                </w14:textFill>
              </w:rPr>
            </w:pPr>
          </w:p>
        </w:tc>
        <w:tc>
          <w:tcPr>
            <w:tcW w:w="4007" w:type="dxa"/>
            <w:vAlign w:val="center"/>
          </w:tcPr>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签约日期：</w:t>
            </w:r>
            <w:r>
              <w:rPr>
                <w:rFonts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000000" w:themeColor="text1"/>
                <w:sz w:val="24"/>
                <w:szCs w:val="24"/>
                <w:highlight w:val="none"/>
                <w14:textFill>
                  <w14:solidFill>
                    <w14:schemeClr w14:val="tx1"/>
                  </w14:solidFill>
                </w14:textFill>
              </w:rPr>
              <w:t>年月日</w:t>
            </w:r>
          </w:p>
        </w:tc>
      </w:tr>
    </w:tbl>
    <w:p>
      <w:pPr>
        <w:spacing w:line="360" w:lineRule="auto"/>
        <w:rPr>
          <w:rFonts w:ascii="宋体" w:hAnsi="宋体" w:cs="宋体"/>
          <w:b/>
          <w:bCs/>
          <w:color w:val="000000" w:themeColor="text1"/>
          <w:szCs w:val="21"/>
          <w:highlight w:val="none"/>
          <w14:textFill>
            <w14:solidFill>
              <w14:schemeClr w14:val="tx1"/>
            </w14:solidFill>
          </w14:textFill>
        </w:rPr>
      </w:pPr>
    </w:p>
    <w:p>
      <w:pPr>
        <w:pStyle w:val="2"/>
        <w:rPr>
          <w:rFonts w:hAnsi="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ascii="宋体" w:hAnsi="宋体" w:cs="宋体"/>
          <w:b/>
          <w:bCs/>
          <w:color w:val="000000" w:themeColor="text1"/>
          <w:szCs w:val="21"/>
          <w:highlight w:val="none"/>
          <w14:textFill>
            <w14:solidFill>
              <w14:schemeClr w14:val="tx1"/>
            </w14:solidFill>
          </w14:textFill>
        </w:rPr>
        <w:t xml:space="preserve">1  </w:t>
      </w:r>
      <w:r>
        <w:rPr>
          <w:rFonts w:hint="eastAsia" w:ascii="宋体" w:hAnsi="宋体" w:cs="宋体"/>
          <w:b/>
          <w:bCs/>
          <w:color w:val="000000" w:themeColor="text1"/>
          <w:szCs w:val="21"/>
          <w:highlight w:val="none"/>
          <w14:textFill>
            <w14:solidFill>
              <w14:schemeClr w14:val="tx1"/>
            </w14:solidFill>
          </w14:textFill>
        </w:rPr>
        <w:t>发包通知书</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廉洁协议</w:t>
      </w:r>
    </w:p>
    <w:p>
      <w:pPr>
        <w:pStyle w:val="2"/>
        <w:rPr>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bookmarkStart w:id="3" w:name="_Toc389815031"/>
      <w:bookmarkStart w:id="4" w:name="_Toc389815339"/>
      <w:bookmarkStart w:id="5" w:name="_Toc387080836"/>
      <w:r>
        <w:rPr>
          <w:rFonts w:hint="eastAsia" w:ascii="宋体" w:hAnsi="宋体"/>
          <w:b/>
          <w:color w:val="000000" w:themeColor="text1"/>
          <w:sz w:val="32"/>
          <w:szCs w:val="32"/>
          <w:highlight w:val="none"/>
          <w14:textFill>
            <w14:solidFill>
              <w14:schemeClr w14:val="tx1"/>
            </w14:solidFill>
          </w14:textFill>
        </w:rPr>
        <w:t>廉洁协议</w:t>
      </w:r>
    </w:p>
    <w:p>
      <w:pPr>
        <w:spacing w:line="360" w:lineRule="auto"/>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color w:val="000000" w:themeColor="text1"/>
          <w:sz w:val="24"/>
          <w:highlight w:val="none"/>
          <w:u w:val="single"/>
          <w14:textFill>
            <w14:solidFill>
              <w14:schemeClr w14:val="tx1"/>
            </w14:solidFill>
          </w14:textFill>
        </w:rPr>
        <w:t>广州市净水有限公司</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以下称甲方</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与</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以下称乙方</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（二）严格执行（以下简称：主合同），自觉履行合同约定的相关义务。</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第二条甲方的义务</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第三条乙方的义务</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（三）乙方不得以任何理由安排甲方工作人员参加可能影响相关业务公开、公正、公平性的宴请及娱乐活动。</w:t>
      </w:r>
    </w:p>
    <w:p>
      <w:pPr>
        <w:pStyle w:val="1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第四条违约责任</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甲方举报投诉联系部门：广州市净水有限公司</w:t>
      </w:r>
      <w:r>
        <w:rPr>
          <w:rFonts w:hint="eastAsia" w:ascii="宋体" w:hAnsi="宋体"/>
          <w:color w:val="000000" w:themeColor="text1"/>
          <w:sz w:val="24"/>
          <w:highlight w:val="none"/>
          <w:u w:val="single"/>
          <w14:textFill>
            <w14:solidFill>
              <w14:schemeClr w14:val="tx1"/>
            </w14:solidFill>
          </w14:textFill>
        </w:rPr>
        <w:t>纪检室</w:t>
      </w: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xml:space="preserve"> 020-38890265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、扣除乙方全部履约保证金；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、解除主合同；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、追究乙方合同其他违约责任；</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、根据甲方及其上级单位、主管部门的有关规定，对乙方违反廉洁协议的行为限制其参与招投标活动的资格。</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第五条</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本协议执行情况，接受有管辖权的纪检、监察部门的监督，双方应予以配合检查调查。</w:t>
      </w:r>
      <w:r>
        <w:rPr>
          <w:rFonts w:ascii="宋体" w:hAnsi="宋体" w:cs="宋体"/>
          <w:color w:val="000000" w:themeColor="text1"/>
          <w:kern w:val="0"/>
          <w:sz w:val="24"/>
          <w:highlight w:val="none"/>
          <w14:textFill>
            <w14:solidFill>
              <w14:schemeClr w14:val="tx1"/>
            </w14:solidFill>
          </w14:textFill>
        </w:rPr>
        <w:t xml:space="preserve"> </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第六条</w:t>
      </w:r>
      <w:r>
        <w:rPr>
          <w:rFonts w:hint="eastAsia" w:ascii="宋体" w:hAnsi="宋体"/>
          <w:color w:val="000000" w:themeColor="text1"/>
          <w:sz w:val="24"/>
          <w:highlight w:val="none"/>
          <w14:textFill>
            <w14:solidFill>
              <w14:schemeClr w14:val="tx1"/>
            </w14:solidFill>
          </w14:textFill>
        </w:rPr>
        <w:t>本协议作为合同的附件，并具有同等的法律效力，本协议自双方签字盖章之日起生效，与主合同同时终止。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第七条</w:t>
      </w:r>
      <w:r>
        <w:rPr>
          <w:rFonts w:hint="eastAsia" w:ascii="宋体" w:hAnsi="宋体"/>
          <w:color w:val="000000" w:themeColor="text1"/>
          <w:sz w:val="24"/>
          <w:highlight w:val="none"/>
          <w14:textFill>
            <w14:solidFill>
              <w14:schemeClr w14:val="tx1"/>
            </w14:solidFill>
          </w14:textFill>
        </w:rPr>
        <w:t>本</w:t>
      </w:r>
      <w:r>
        <w:rPr>
          <w:rFonts w:hint="eastAsia" w:ascii="宋体" w:hAnsi="宋体"/>
          <w:color w:val="000000" w:themeColor="text1"/>
          <w:sz w:val="24"/>
          <w:szCs w:val="24"/>
          <w:highlight w:val="none"/>
          <w14:textFill>
            <w14:solidFill>
              <w14:schemeClr w14:val="tx1"/>
            </w14:solidFill>
          </w14:textFill>
        </w:rPr>
        <w:t>协议一式份，甲方份，乙方份。</w:t>
      </w:r>
    </w:p>
    <w:p>
      <w:pPr>
        <w:spacing w:line="360" w:lineRule="auto"/>
        <w:ind w:firstLine="480" w:firstLineChars="200"/>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textWrapping"/>
      </w:r>
      <w:r>
        <w:rPr>
          <w:rFonts w:hint="eastAsia" w:ascii="宋体" w:hAnsi="宋体"/>
          <w:color w:val="000000" w:themeColor="text1"/>
          <w:sz w:val="24"/>
          <w:highlight w:val="none"/>
          <w14:textFill>
            <w14:solidFill>
              <w14:schemeClr w14:val="tx1"/>
            </w14:solidFill>
          </w14:textFill>
        </w:rPr>
        <w:t>甲方（盖章）：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乙方（盖章）：</w:t>
      </w:r>
    </w:p>
    <w:p>
      <w:pPr>
        <w:pStyle w:val="32"/>
        <w:tabs>
          <w:tab w:val="left" w:pos="5100"/>
        </w:tabs>
        <w:spacing w:line="360" w:lineRule="auto"/>
        <w:ind w:left="7200" w:firstLine="0" w:firstLineChars="0"/>
        <w:jc w:val="left"/>
        <w:rPr>
          <w:rFonts w:ascii="宋体" w:hAnsi="宋体"/>
          <w:color w:val="000000" w:themeColor="text1"/>
          <w:sz w:val="24"/>
          <w:highlight w:val="none"/>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签约代表：</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签约代表：</w:t>
      </w:r>
    </w:p>
    <w:p>
      <w:pPr>
        <w:tabs>
          <w:tab w:val="left" w:pos="4170"/>
        </w:tabs>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2021</w:t>
      </w:r>
      <w:r>
        <w:rPr>
          <w:rFonts w:hint="eastAsia" w:ascii="宋体" w:hAnsi="宋体"/>
          <w:color w:val="000000" w:themeColor="text1"/>
          <w:sz w:val="24"/>
          <w:highlight w:val="none"/>
          <w14:textFill>
            <w14:solidFill>
              <w14:schemeClr w14:val="tx1"/>
            </w14:solidFill>
          </w14:textFill>
        </w:rPr>
        <w:t>年月日</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2021</w:t>
      </w:r>
      <w:r>
        <w:rPr>
          <w:rFonts w:hint="eastAsia" w:ascii="宋体" w:hAnsi="宋体"/>
          <w:color w:val="000000" w:themeColor="text1"/>
          <w:sz w:val="24"/>
          <w:highlight w:val="none"/>
          <w14:textFill>
            <w14:solidFill>
              <w14:schemeClr w14:val="tx1"/>
            </w14:solidFill>
          </w14:textFill>
        </w:rPr>
        <w:t>年月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pStyle w:val="2"/>
        <w:rPr>
          <w:rFonts w:ascii="宋体" w:hAnsi="Times New Roman" w:eastAsia="仿宋_GB2312" w:cs="宋体"/>
          <w:bCs w:val="0"/>
          <w:color w:val="000000" w:themeColor="text1"/>
          <w:kern w:val="0"/>
          <w:sz w:val="24"/>
          <w:szCs w:val="2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left"/>
        <w:rPr>
          <w:rFonts w:hint="eastAsia" w:ascii="宋体" w:hAnsi="宋体" w:cs="宋体"/>
          <w:b/>
          <w:bCs/>
          <w:color w:val="000000" w:themeColor="text1"/>
          <w:szCs w:val="21"/>
          <w:highlight w:val="none"/>
          <w14:textFill>
            <w14:solidFill>
              <w14:schemeClr w14:val="tx1"/>
            </w14:solidFill>
          </w14:textFill>
        </w:rPr>
      </w:pPr>
    </w:p>
    <w:bookmarkEnd w:id="3"/>
    <w:bookmarkEnd w:id="4"/>
    <w:bookmarkEnd w:id="5"/>
    <w:p>
      <w:pPr>
        <w:pStyle w:val="4"/>
        <w:spacing w:line="360" w:lineRule="auto"/>
        <w:jc w:val="center"/>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highlight w:val="none"/>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highlight w:val="none"/>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highlight w:val="none"/>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highlight w:val="none"/>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（项目名称）</w:t>
      </w:r>
    </w:p>
    <w:p>
      <w:pPr>
        <w:pStyle w:val="9"/>
        <w:jc w:val="center"/>
        <w:rPr>
          <w:rFonts w:ascii="仿宋" w:hAnsi="仿宋" w:eastAsia="仿宋" w:cs="仿宋_GB2312"/>
          <w:b/>
          <w:color w:val="000000" w:themeColor="text1"/>
          <w:sz w:val="24"/>
          <w:szCs w:val="24"/>
          <w:highlight w:val="none"/>
          <w14:textFill>
            <w14:solidFill>
              <w14:schemeClr w14:val="tx1"/>
            </w14:solidFill>
          </w14:textFill>
        </w:rPr>
      </w:pPr>
    </w:p>
    <w:p>
      <w:pPr>
        <w:pStyle w:val="9"/>
        <w:jc w:val="center"/>
        <w:rPr>
          <w:rFonts w:ascii="仿宋" w:hAnsi="仿宋" w:eastAsia="仿宋" w:cs="仿宋_GB2312"/>
          <w:b/>
          <w:color w:val="000000" w:themeColor="text1"/>
          <w:sz w:val="24"/>
          <w:szCs w:val="24"/>
          <w:highlight w:val="none"/>
          <w14:textFill>
            <w14:solidFill>
              <w14:schemeClr w14:val="tx1"/>
            </w14:solidFill>
          </w14:textFill>
        </w:rPr>
      </w:pPr>
    </w:p>
    <w:p>
      <w:pPr>
        <w:pStyle w:val="9"/>
        <w:jc w:val="center"/>
        <w:rPr>
          <w:rFonts w:ascii="仿宋" w:hAnsi="仿宋" w:eastAsia="仿宋" w:cs="仿宋_GB2312"/>
          <w:b/>
          <w:color w:val="000000" w:themeColor="text1"/>
          <w:sz w:val="24"/>
          <w:szCs w:val="24"/>
          <w:highlight w:val="none"/>
          <w14:textFill>
            <w14:solidFill>
              <w14:schemeClr w14:val="tx1"/>
            </w14:solidFill>
          </w14:textFill>
        </w:rPr>
      </w:pPr>
    </w:p>
    <w:p>
      <w:pPr>
        <w:pStyle w:val="9"/>
        <w:jc w:val="center"/>
        <w:rPr>
          <w:rFonts w:ascii="仿宋" w:hAnsi="仿宋" w:eastAsia="仿宋" w:cs="仿宋_GB2312"/>
          <w:b/>
          <w:color w:val="000000" w:themeColor="text1"/>
          <w:sz w:val="24"/>
          <w:szCs w:val="24"/>
          <w:highlight w:val="none"/>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highlight w:val="none"/>
          <w14:textFill>
            <w14:solidFill>
              <w14:schemeClr w14:val="tx1"/>
            </w14:solidFill>
          </w14:textFill>
        </w:rPr>
      </w:pPr>
      <w:r>
        <w:rPr>
          <w:rFonts w:hint="eastAsia" w:ascii="仿宋" w:hAnsi="仿宋" w:eastAsia="仿宋" w:cs="仿宋_GB2312"/>
          <w:b/>
          <w:color w:val="000000" w:themeColor="text1"/>
          <w:spacing w:val="100"/>
          <w:w w:val="110"/>
          <w:kern w:val="0"/>
          <w:sz w:val="28"/>
          <w:szCs w:val="28"/>
          <w:highlight w:val="none"/>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（正本</w:t>
      </w:r>
      <w:r>
        <w:rPr>
          <w:rFonts w:ascii="仿宋" w:hAnsi="仿宋" w:eastAsia="仿宋" w:cs="仿宋_GB2312"/>
          <w:b/>
          <w:color w:val="000000" w:themeColor="text1"/>
          <w:sz w:val="28"/>
          <w:szCs w:val="28"/>
          <w:highlight w:val="none"/>
          <w14:textFill>
            <w14:solidFill>
              <w14:schemeClr w14:val="tx1"/>
            </w14:solidFill>
          </w14:textFill>
        </w:rPr>
        <w:t>/</w:t>
      </w:r>
      <w:r>
        <w:rPr>
          <w:rFonts w:hint="eastAsia" w:ascii="仿宋" w:hAnsi="仿宋" w:eastAsia="仿宋" w:cs="仿宋_GB2312"/>
          <w:b/>
          <w:color w:val="000000" w:themeColor="text1"/>
          <w:sz w:val="28"/>
          <w:szCs w:val="28"/>
          <w:highlight w:val="none"/>
          <w14:textFill>
            <w14:solidFill>
              <w14:schemeClr w14:val="tx1"/>
            </w14:solidFill>
          </w14:textFill>
        </w:rPr>
        <w:t>副本）</w:t>
      </w:r>
    </w:p>
    <w:p>
      <w:pPr>
        <w:pStyle w:val="9"/>
        <w:jc w:val="center"/>
        <w:rPr>
          <w:rFonts w:ascii="仿宋" w:hAnsi="仿宋" w:eastAsia="仿宋" w:cs="仿宋_GB2312"/>
          <w:b/>
          <w:color w:val="000000" w:themeColor="text1"/>
          <w:highlight w:val="none"/>
          <w14:textFill>
            <w14:solidFill>
              <w14:schemeClr w14:val="tx1"/>
            </w14:solidFill>
          </w14:textFill>
        </w:rPr>
      </w:pPr>
    </w:p>
    <w:p>
      <w:pPr>
        <w:pStyle w:val="9"/>
        <w:jc w:val="center"/>
        <w:rPr>
          <w:rFonts w:ascii="仿宋" w:hAnsi="仿宋" w:eastAsia="仿宋" w:cs="仿宋_GB2312"/>
          <w:b/>
          <w:color w:val="000000" w:themeColor="text1"/>
          <w:highlight w:val="none"/>
          <w14:textFill>
            <w14:solidFill>
              <w14:schemeClr w14:val="tx1"/>
            </w14:solidFill>
          </w14:textFill>
        </w:rPr>
      </w:pPr>
    </w:p>
    <w:p>
      <w:pPr>
        <w:pStyle w:val="9"/>
        <w:jc w:val="center"/>
        <w:rPr>
          <w:rFonts w:ascii="仿宋" w:hAnsi="仿宋" w:eastAsia="仿宋" w:cs="仿宋_GB2312"/>
          <w:b/>
          <w:color w:val="000000" w:themeColor="text1"/>
          <w:highlight w:val="none"/>
          <w14:textFill>
            <w14:solidFill>
              <w14:schemeClr w14:val="tx1"/>
            </w14:solidFill>
          </w14:textFill>
        </w:rPr>
      </w:pPr>
    </w:p>
    <w:p>
      <w:pPr>
        <w:pStyle w:val="9"/>
        <w:jc w:val="center"/>
        <w:rPr>
          <w:rFonts w:ascii="仿宋" w:hAnsi="仿宋" w:eastAsia="仿宋" w:cs="仿宋_GB2312"/>
          <w:b/>
          <w:color w:val="000000" w:themeColor="text1"/>
          <w:highlight w:val="none"/>
          <w14:textFill>
            <w14:solidFill>
              <w14:schemeClr w14:val="tx1"/>
            </w14:solidFill>
          </w14:textFill>
        </w:rPr>
      </w:pPr>
    </w:p>
    <w:p>
      <w:pPr>
        <w:pStyle w:val="9"/>
        <w:jc w:val="center"/>
        <w:rPr>
          <w:rFonts w:ascii="仿宋" w:hAnsi="仿宋" w:eastAsia="仿宋" w:cs="仿宋_GB2312"/>
          <w:b/>
          <w:color w:val="000000" w:themeColor="text1"/>
          <w:highlight w:val="none"/>
          <w14:textFill>
            <w14:solidFill>
              <w14:schemeClr w14:val="tx1"/>
            </w14:solidFill>
          </w14:textFill>
        </w:rPr>
      </w:pPr>
    </w:p>
    <w:p>
      <w:pPr>
        <w:pStyle w:val="9"/>
        <w:jc w:val="center"/>
        <w:rPr>
          <w:rFonts w:ascii="仿宋" w:hAnsi="仿宋" w:eastAsia="仿宋" w:cs="仿宋_GB2312"/>
          <w:b/>
          <w:color w:val="000000" w:themeColor="text1"/>
          <w:sz w:val="28"/>
          <w:szCs w:val="28"/>
          <w:highlight w:val="none"/>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项目编号（包、组号）：</w:t>
      </w:r>
    </w:p>
    <w:p>
      <w:pPr>
        <w:pStyle w:val="8"/>
        <w:spacing w:line="360" w:lineRule="auto"/>
        <w:ind w:firstLine="560" w:firstLineChars="20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项目名称：广州市净水有限公司</w:t>
      </w:r>
      <w:r>
        <w:rPr>
          <w:rFonts w:hint="eastAsia" w:ascii="仿宋" w:hAnsi="仿宋" w:eastAsia="仿宋" w:cs="仿宋_GB2312"/>
          <w:b w:val="0"/>
          <w:bCs w:val="0"/>
          <w:color w:val="000000" w:themeColor="text1"/>
          <w:sz w:val="28"/>
          <w:szCs w:val="28"/>
          <w:highlight w:val="none"/>
          <w14:textFill>
            <w14:solidFill>
              <w14:schemeClr w14:val="tx1"/>
            </w14:solidFill>
          </w14:textFill>
        </w:rPr>
        <w:t>海珠西部净水厂地块控制性详细规划调整及专题评估。</w:t>
      </w: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ind w:firstLine="632" w:firstLineChars="300"/>
        <w:rPr>
          <w:rFonts w:ascii="仿宋" w:hAnsi="仿宋" w:eastAsia="仿宋" w:cs="仿宋_GB2312"/>
          <w:b/>
          <w:color w:val="000000" w:themeColor="text1"/>
          <w:highlight w:val="none"/>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highlight w:val="none"/>
          <w:u w:val="singl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highlight w:val="none"/>
          <w:u w:val="singl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日期：</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年</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月</w:t>
      </w:r>
      <w:r>
        <w:rPr>
          <w:rFonts w:ascii="仿宋" w:hAnsi="仿宋" w:eastAsia="仿宋" w:cs="仿宋_GB2312"/>
          <w:b/>
          <w:color w:val="000000" w:themeColor="text1"/>
          <w:sz w:val="28"/>
          <w:szCs w:val="28"/>
          <w:highlight w:val="none"/>
          <w14:textFill>
            <w14:solidFill>
              <w14:schemeClr w14:val="tx1"/>
            </w14:solidFill>
          </w14:textFill>
        </w:rPr>
        <w:t xml:space="preserve">      </w:t>
      </w:r>
      <w:r>
        <w:rPr>
          <w:rFonts w:hint="eastAsia" w:ascii="仿宋" w:hAnsi="仿宋" w:eastAsia="仿宋" w:cs="仿宋_GB2312"/>
          <w:b/>
          <w:color w:val="000000" w:themeColor="text1"/>
          <w:sz w:val="28"/>
          <w:szCs w:val="28"/>
          <w:highlight w:val="none"/>
          <w14:textFill>
            <w14:solidFill>
              <w14:schemeClr w14:val="tx1"/>
            </w14:solidFill>
          </w14:textFill>
        </w:rPr>
        <w:t>日</w:t>
      </w:r>
    </w:p>
    <w:p>
      <w:pPr>
        <w:widowControl/>
        <w:jc w:val="left"/>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br w:type="page"/>
      </w:r>
    </w:p>
    <w:p>
      <w:pPr>
        <w:pStyle w:val="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、法定代表人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w:t>
      </w:r>
      <w:r>
        <w:rPr>
          <w:rFonts w:ascii="仿宋" w:hAnsi="仿宋" w:eastAsia="仿宋" w:cs="仿宋_GB2312"/>
          <w:b/>
          <w:color w:val="000000" w:themeColor="text1"/>
          <w:sz w:val="28"/>
          <w:szCs w:val="28"/>
          <w:highlight w:val="none"/>
          <w14:textFill>
            <w14:solidFill>
              <w14:schemeClr w14:val="tx1"/>
            </w14:solidFill>
          </w14:textFill>
        </w:rPr>
        <w:t>1</w:t>
      </w:r>
      <w:r>
        <w:rPr>
          <w:rFonts w:hint="eastAsia" w:ascii="仿宋" w:hAnsi="仿宋" w:eastAsia="仿宋" w:cs="仿宋_GB2312"/>
          <w:b/>
          <w:color w:val="000000" w:themeColor="text1"/>
          <w:sz w:val="28"/>
          <w:szCs w:val="28"/>
          <w:highlight w:val="none"/>
          <w14:textFill>
            <w14:solidFill>
              <w14:schemeClr w14:val="tx1"/>
            </w14:solidFill>
          </w14:textFill>
        </w:rPr>
        <w:t>）法定代表人</w:t>
      </w:r>
      <w:r>
        <w:rPr>
          <w:rFonts w:ascii="仿宋" w:hAnsi="仿宋" w:eastAsia="仿宋" w:cs="仿宋_GB2312"/>
          <w:b/>
          <w:color w:val="000000" w:themeColor="text1"/>
          <w:sz w:val="28"/>
          <w:szCs w:val="28"/>
          <w:highlight w:val="none"/>
          <w14:textFill>
            <w14:solidFill>
              <w14:schemeClr w14:val="tx1"/>
            </w14:solidFill>
          </w14:textFill>
        </w:rPr>
        <w:t>/</w:t>
      </w:r>
      <w:r>
        <w:rPr>
          <w:rFonts w:hint="eastAsia" w:ascii="仿宋" w:hAnsi="仿宋" w:eastAsia="仿宋" w:cs="仿宋_GB2312"/>
          <w:b/>
          <w:color w:val="000000" w:themeColor="text1"/>
          <w:sz w:val="28"/>
          <w:szCs w:val="28"/>
          <w:highlight w:val="none"/>
          <w14:textFill>
            <w14:solidFill>
              <w14:schemeClr w14:val="tx1"/>
            </w14:solidFill>
          </w14:textFill>
        </w:rPr>
        <w:t>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spacing w:line="440" w:lineRule="exact"/>
        <w:rPr>
          <w:rFonts w:hint="eastAsia" w:ascii="仿宋" w:hAnsi="仿宋" w:eastAsia="仿宋" w:cs="仿宋_GB2312"/>
          <w:color w:val="000000" w:themeColor="text1"/>
          <w:sz w:val="28"/>
          <w:szCs w:val="28"/>
          <w:highlight w:val="none"/>
          <w:lang w:eastAsia="zh-CN"/>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rPr>
          <w:rFonts w:ascii="仿宋_GB2312" w:hAnsi="仿宋_GB2312" w:eastAsia="仿宋_GB2312"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br w:type="page"/>
      </w:r>
      <w:r>
        <w:rPr>
          <w:rFonts w:hint="eastAsia" w:ascii="仿宋" w:hAnsi="仿宋" w:eastAsia="仿宋" w:cs="仿宋_GB2312"/>
          <w:b/>
          <w:color w:val="000000" w:themeColor="text1"/>
          <w:sz w:val="28"/>
          <w:szCs w:val="28"/>
          <w:highlight w:val="none"/>
          <w14:textFill>
            <w14:solidFill>
              <w14:schemeClr w14:val="tx1"/>
            </w14:solidFill>
          </w14:textFill>
        </w:rPr>
        <w:t>（</w:t>
      </w:r>
      <w:r>
        <w:rPr>
          <w:rFonts w:ascii="仿宋" w:hAnsi="仿宋" w:eastAsia="仿宋" w:cs="仿宋_GB2312"/>
          <w:b/>
          <w:color w:val="000000" w:themeColor="text1"/>
          <w:sz w:val="28"/>
          <w:szCs w:val="28"/>
          <w:highlight w:val="none"/>
          <w14:textFill>
            <w14:solidFill>
              <w14:schemeClr w14:val="tx1"/>
            </w14:solidFill>
          </w14:textFill>
        </w:rPr>
        <w:t>2</w:t>
      </w:r>
      <w:r>
        <w:rPr>
          <w:rFonts w:hint="eastAsia" w:ascii="仿宋" w:hAnsi="仿宋" w:eastAsia="仿宋" w:cs="仿宋_GB2312"/>
          <w:b/>
          <w:color w:val="000000" w:themeColor="text1"/>
          <w:sz w:val="28"/>
          <w:szCs w:val="28"/>
          <w:highlight w:val="none"/>
          <w14:textFill>
            <w14:solidFill>
              <w14:schemeClr w14:val="tx1"/>
            </w14:solidFill>
          </w14:textFill>
        </w:rPr>
        <w:t>）法定代表人</w:t>
      </w:r>
      <w:r>
        <w:rPr>
          <w:rFonts w:ascii="仿宋" w:hAnsi="仿宋" w:eastAsia="仿宋" w:cs="仿宋_GB2312"/>
          <w:b/>
          <w:color w:val="000000" w:themeColor="text1"/>
          <w:sz w:val="28"/>
          <w:szCs w:val="28"/>
          <w:highlight w:val="none"/>
          <w14:textFill>
            <w14:solidFill>
              <w14:schemeClr w14:val="tx1"/>
            </w14:solidFill>
          </w14:textFill>
        </w:rPr>
        <w:t>/</w:t>
      </w:r>
      <w:r>
        <w:rPr>
          <w:rFonts w:hint="eastAsia" w:ascii="仿宋" w:hAnsi="仿宋" w:eastAsia="仿宋" w:cs="仿宋_GB2312"/>
          <w:b/>
          <w:color w:val="000000" w:themeColor="text1"/>
          <w:sz w:val="28"/>
          <w:szCs w:val="28"/>
          <w:highlight w:val="none"/>
          <w14:textFill>
            <w14:solidFill>
              <w14:schemeClr w14:val="tx1"/>
            </w14:solidFill>
          </w14:textFill>
        </w:rPr>
        <w:t>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843" w:firstLineChars="300"/>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color w:val="000000" w:themeColor="text1"/>
          <w:sz w:val="28"/>
          <w:szCs w:val="28"/>
          <w:highlight w:val="none"/>
          <w14:textFill>
            <w14:solidFill>
              <w14:schemeClr w14:val="tx1"/>
            </w14:solidFill>
          </w14:textFill>
        </w:rPr>
      </w:pPr>
    </w:p>
    <w:p>
      <w:pPr>
        <w:jc w:val="center"/>
        <w:rPr>
          <w:rFonts w:ascii="仿宋" w:hAnsi="仿宋" w:eastAsia="仿宋" w:cs="仿宋_GB2312"/>
          <w:color w:val="000000" w:themeColor="text1"/>
          <w:sz w:val="28"/>
          <w:szCs w:val="28"/>
          <w:highlight w:val="none"/>
          <w14:textFill>
            <w14:solidFill>
              <w14:schemeClr w14:val="tx1"/>
            </w14:solidFill>
          </w14:textFill>
        </w:rPr>
      </w:pPr>
    </w:p>
    <w:p>
      <w:pPr>
        <w:widowControl/>
        <w:jc w:val="left"/>
        <w:rPr>
          <w:rFonts w:ascii="仿宋_GB2312" w:hAnsi="仿宋_GB2312" w:eastAsia="仿宋_GB2312" w:cs="仿宋_GB2312"/>
          <w:color w:val="000000" w:themeColor="text1"/>
          <w:sz w:val="28"/>
          <w:szCs w:val="28"/>
          <w:highlight w:val="none"/>
          <w:u w:val="single"/>
          <w14:textFill>
            <w14:solidFill>
              <w14:schemeClr w14:val="tx1"/>
            </w14:solidFill>
          </w14:textFill>
        </w:rPr>
      </w:pPr>
    </w:p>
    <w:p>
      <w:pPr>
        <w:spacing w:line="300" w:lineRule="auto"/>
        <w:rPr>
          <w:rFonts w:ascii="仿宋_GB2312" w:hAnsi="仿宋_GB2312" w:eastAsia="仿宋_GB2312" w:cs="仿宋_GB2312"/>
          <w:b/>
          <w:color w:val="000000" w:themeColor="text1"/>
          <w:sz w:val="28"/>
          <w:szCs w:val="28"/>
          <w:highlight w:val="none"/>
          <w14:textFill>
            <w14:solidFill>
              <w14:schemeClr w14:val="tx1"/>
            </w14:solidFill>
          </w14:textFill>
        </w:rPr>
      </w:pPr>
    </w:p>
    <w:p>
      <w:pPr>
        <w:pStyle w:val="4"/>
        <w:ind w:firstLine="0"/>
        <w:jc w:val="both"/>
        <w:rPr>
          <w:rFonts w:ascii="仿宋_GB2312" w:hAnsi="仿宋_GB2312" w:cs="仿宋_GB2312"/>
          <w:bCs w:val="0"/>
          <w:color w:val="000000" w:themeColor="text1"/>
          <w:highlight w:val="none"/>
          <w14:textFill>
            <w14:solidFill>
              <w14:schemeClr w14:val="tx1"/>
            </w14:solidFill>
          </w14:textFill>
        </w:rPr>
      </w:pPr>
    </w:p>
    <w:p>
      <w:pPr>
        <w:pStyle w:val="4"/>
        <w:ind w:firstLine="562"/>
        <w:jc w:val="center"/>
        <w:rPr>
          <w:rFonts w:ascii="仿宋_GB2312" w:hAnsi="仿宋_GB2312" w:cs="仿宋_GB2312"/>
          <w:b w:val="0"/>
          <w:bCs w:val="0"/>
          <w:color w:val="000000" w:themeColor="text1"/>
          <w:highlight w:val="none"/>
          <w14:textFill>
            <w14:solidFill>
              <w14:schemeClr w14:val="tx1"/>
            </w14:solidFill>
          </w14:textFill>
        </w:rPr>
      </w:pPr>
      <w:r>
        <w:rPr>
          <w:rFonts w:ascii="仿宋_GB2312" w:hAnsi="仿宋_GB2312" w:cs="仿宋_GB2312"/>
          <w:bCs w:val="0"/>
          <w:color w:val="000000" w:themeColor="text1"/>
          <w:highlight w:val="none"/>
          <w14:textFill>
            <w14:solidFill>
              <w14:schemeClr w14:val="tx1"/>
            </w14:solidFill>
          </w14:textFill>
        </w:rPr>
        <w:t>2</w:t>
      </w:r>
      <w:r>
        <w:rPr>
          <w:rFonts w:hint="eastAsia" w:ascii="仿宋_GB2312" w:hAnsi="仿宋_GB2312" w:cs="仿宋_GB2312"/>
          <w:bCs w:val="0"/>
          <w:color w:val="000000" w:themeColor="text1"/>
          <w:highlight w:val="none"/>
          <w14:textFill>
            <w14:solidFill>
              <w14:schemeClr w14:val="tx1"/>
            </w14:solidFill>
          </w14:textFill>
        </w:rPr>
        <w:t>资格证明文件</w:t>
      </w:r>
    </w:p>
    <w:p>
      <w:pPr>
        <w:rPr>
          <w:color w:val="000000" w:themeColor="text1"/>
          <w:highlight w:val="none"/>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关于贵方项目名称</w:t>
      </w:r>
      <w:r>
        <w:rPr>
          <w:rFonts w:ascii="仿宋_GB2312" w:hAnsi="仿宋_GB2312" w:eastAsia="仿宋_GB2312" w:cs="仿宋_GB2312"/>
          <w:color w:val="000000" w:themeColor="text1"/>
          <w:sz w:val="28"/>
          <w:szCs w:val="28"/>
          <w:highlight w:val="none"/>
          <w14:textFill>
            <w14:solidFill>
              <w14:schemeClr w14:val="tx1"/>
            </w14:solidFill>
          </w14:textFill>
        </w:rPr>
        <w:t>:____________</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项目编号：</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pPr>
        <w:spacing w:line="480" w:lineRule="exact"/>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报价单位代表（签名或盖私章）：</w:t>
      </w:r>
    </w:p>
    <w:p>
      <w:pPr>
        <w:adjustRightInd w:val="0"/>
        <w:snapToGrid w:val="0"/>
        <w:spacing w:line="300" w:lineRule="auto"/>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报价单位名称（盖单位公章）：</w:t>
      </w:r>
    </w:p>
    <w:p>
      <w:pPr>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日期：年</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pPr>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t xml:space="preserve">3 </w:t>
      </w:r>
      <w:r>
        <w:rPr>
          <w:rFonts w:hint="eastAsia" w:ascii="仿宋" w:hAnsi="仿宋" w:eastAsia="仿宋" w:cs="仿宋_GB2312"/>
          <w:b/>
          <w:color w:val="000000" w:themeColor="text1"/>
          <w:sz w:val="28"/>
          <w:szCs w:val="28"/>
          <w:highlight w:val="none"/>
          <w14:textFill>
            <w14:solidFill>
              <w14:schemeClr w14:val="tx1"/>
            </w14:solidFill>
          </w14:textFill>
        </w:rPr>
        <w:t>报价意向承诺及声明函</w:t>
      </w:r>
    </w:p>
    <w:p>
      <w:pPr>
        <w:jc w:val="center"/>
        <w:rPr>
          <w:rFonts w:ascii="仿宋" w:hAnsi="仿宋" w:eastAsia="仿宋" w:cs="仿宋_GB2312"/>
          <w:b/>
          <w:color w:val="000000" w:themeColor="text1"/>
          <w:sz w:val="28"/>
          <w:szCs w:val="28"/>
          <w:highlight w:val="none"/>
          <w14:textFill>
            <w14:solidFill>
              <w14:schemeClr w14:val="tx1"/>
            </w14:solidFill>
          </w14:textFill>
        </w:rPr>
      </w:pPr>
    </w:p>
    <w:p>
      <w:pPr>
        <w:pStyle w:val="40"/>
        <w:adjustRightInd w:val="0"/>
        <w:ind w:firstLine="0"/>
        <w:rPr>
          <w:rFonts w:hAnsi="仿宋" w:cs="仿宋_GB2312"/>
          <w:color w:val="000000" w:themeColor="text1"/>
          <w:sz w:val="24"/>
          <w:szCs w:val="24"/>
          <w:highlight w:val="none"/>
          <w14:textFill>
            <w14:solidFill>
              <w14:schemeClr w14:val="tx1"/>
            </w14:solidFill>
          </w14:textFill>
        </w:rPr>
      </w:pPr>
      <w:r>
        <w:rPr>
          <w:rFonts w:hint="eastAsia" w:hAnsi="仿宋" w:cs="仿宋_GB2312"/>
          <w:color w:val="000000" w:themeColor="text1"/>
          <w:sz w:val="24"/>
          <w:szCs w:val="24"/>
          <w:highlight w:val="none"/>
          <w14:textFill>
            <w14:solidFill>
              <w14:schemeClr w14:val="tx1"/>
            </w14:solidFill>
          </w14:textFill>
        </w:rPr>
        <w:t>致：</w:t>
      </w:r>
      <w:r>
        <w:rPr>
          <w:rFonts w:hint="eastAsia" w:hAnsi="仿宋" w:cs="仿宋_GB2312"/>
          <w:color w:val="000000" w:themeColor="text1"/>
          <w:sz w:val="24"/>
          <w:szCs w:val="24"/>
          <w:highlight w:val="none"/>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1.</w:t>
      </w:r>
      <w:r>
        <w:rPr>
          <w:rFonts w:hint="eastAsia" w:ascii="仿宋_GB2312" w:hAnsi="仿宋" w:eastAsia="仿宋_GB2312" w:cs="仿宋_GB2312"/>
          <w:color w:val="000000" w:themeColor="text1"/>
          <w:sz w:val="24"/>
          <w:highlight w:val="none"/>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2.</w:t>
      </w:r>
      <w:r>
        <w:rPr>
          <w:rFonts w:hint="eastAsia" w:ascii="仿宋_GB2312" w:hAnsi="仿宋" w:eastAsia="仿宋_GB2312" w:cs="仿宋_GB2312"/>
          <w:color w:val="000000" w:themeColor="text1"/>
          <w:sz w:val="24"/>
          <w:highlight w:val="none"/>
          <w14:textFill>
            <w14:solidFill>
              <w14:schemeClr w14:val="tx1"/>
            </w14:solidFill>
          </w14:textFill>
        </w:rPr>
        <w:t>现我方承诺：</w:t>
      </w:r>
      <w:r>
        <w:rPr>
          <w:rFonts w:hint="eastAsia" w:ascii="仿宋_GB2312" w:hAnsi="仿宋" w:eastAsia="仿宋_GB2312" w:cs="仿宋_GB2312"/>
          <w:color w:val="000000" w:themeColor="text1"/>
          <w:kern w:val="0"/>
          <w:sz w:val="24"/>
          <w:highlight w:val="none"/>
          <w14:textFill>
            <w14:solidFill>
              <w14:schemeClr w14:val="tx1"/>
            </w14:solidFill>
          </w14:textFill>
        </w:rPr>
        <w:t>愿以人民币</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单价</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元</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（小写：￥元）</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总价</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元</w:t>
      </w:r>
      <w:r>
        <w:rPr>
          <w:rFonts w:ascii="仿宋_GB2312" w:hAnsi="仿宋" w:eastAsia="仿宋_GB2312" w:cs="仿宋_GB2312"/>
          <w:color w:val="000000" w:themeColor="text1"/>
          <w:kern w:val="0"/>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3.</w:t>
      </w:r>
      <w:r>
        <w:rPr>
          <w:rFonts w:hint="eastAsia" w:ascii="仿宋_GB2312" w:hAnsi="仿宋" w:eastAsia="仿宋_GB2312" w:cs="仿宋_GB2312"/>
          <w:color w:val="000000" w:themeColor="text1"/>
          <w:sz w:val="24"/>
          <w:highlight w:val="none"/>
          <w14:textFill>
            <w14:solidFill>
              <w14:schemeClr w14:val="tx1"/>
            </w14:solidFill>
          </w14:textFill>
        </w:rPr>
        <w:t>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4.</w:t>
      </w:r>
      <w:r>
        <w:rPr>
          <w:rFonts w:hint="eastAsia" w:ascii="仿宋_GB2312" w:hAnsi="仿宋" w:eastAsia="仿宋_GB2312" w:cs="仿宋_GB2312"/>
          <w:color w:val="000000" w:themeColor="text1"/>
          <w:sz w:val="24"/>
          <w:highlight w:val="none"/>
          <w14:textFill>
            <w14:solidFill>
              <w14:schemeClr w14:val="tx1"/>
            </w14:solidFill>
          </w14:textFill>
        </w:rPr>
        <w:t>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5.</w:t>
      </w:r>
      <w:r>
        <w:rPr>
          <w:rFonts w:hint="eastAsia" w:ascii="仿宋_GB2312" w:hAnsi="仿宋" w:eastAsia="仿宋_GB2312" w:cs="仿宋_GB2312"/>
          <w:color w:val="000000" w:themeColor="text1"/>
          <w:sz w:val="24"/>
          <w:highlight w:val="none"/>
          <w14:textFill>
            <w14:solidFill>
              <w14:schemeClr w14:val="tx1"/>
            </w14:solidFill>
          </w14:textFill>
        </w:rPr>
        <w:t>如果我方获得承包资格，我方保证将</w:t>
      </w:r>
      <w:r>
        <w:rPr>
          <w:rFonts w:hint="eastAsia" w:ascii="仿宋_GB2312" w:hAnsi="仿宋" w:eastAsia="仿宋_GB2312" w:cs="仿宋_GB2312"/>
          <w:color w:val="000000" w:themeColor="text1"/>
          <w:kern w:val="0"/>
          <w:sz w:val="24"/>
          <w:highlight w:val="none"/>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6.</w:t>
      </w:r>
      <w:r>
        <w:rPr>
          <w:rFonts w:hint="eastAsia" w:ascii="仿宋_GB2312" w:hAnsi="仿宋" w:eastAsia="仿宋_GB2312" w:cs="仿宋_GB2312"/>
          <w:color w:val="000000" w:themeColor="text1"/>
          <w:sz w:val="24"/>
          <w:highlight w:val="none"/>
          <w14:textFill>
            <w14:solidFill>
              <w14:schemeClr w14:val="tx1"/>
            </w14:solidFill>
          </w14:textFill>
        </w:rPr>
        <w:t>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ascii="仿宋_GB2312" w:hAnsi="仿宋" w:eastAsia="仿宋_GB2312" w:cs="仿宋_GB2312"/>
          <w:color w:val="000000" w:themeColor="text1"/>
          <w:sz w:val="24"/>
          <w:highlight w:val="none"/>
          <w14:textFill>
            <w14:solidFill>
              <w14:schemeClr w14:val="tx1"/>
            </w14:solidFill>
          </w14:textFill>
        </w:rPr>
        <w:t>7.</w:t>
      </w:r>
      <w:r>
        <w:rPr>
          <w:rFonts w:hint="eastAsia" w:ascii="仿宋_GB2312" w:hAnsi="仿宋" w:eastAsia="仿宋_GB2312" w:cs="仿宋_GB2312"/>
          <w:color w:val="000000" w:themeColor="text1"/>
          <w:sz w:val="24"/>
          <w:highlight w:val="none"/>
          <w14:textFill>
            <w14:solidFill>
              <w14:schemeClr w14:val="tx1"/>
            </w14:solidFill>
          </w14:textFill>
        </w:rPr>
        <w:t>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⑷本公司及其有隶属关系的机构没有参加本项目的前期工作编写工作。</w:t>
      </w:r>
    </w:p>
    <w:p>
      <w:pPr>
        <w:pStyle w:val="39"/>
        <w:ind w:firstLine="496"/>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本公司违反上述承诺，或本声明陈述与事实不符，经查实，本公司愿意接受公开通报，承担由此带来的法律后果。</w:t>
      </w:r>
    </w:p>
    <w:p>
      <w:pPr>
        <w:pStyle w:val="39"/>
        <w:ind w:firstLine="496"/>
        <w:rPr>
          <w:rFonts w:ascii="仿宋_GB2312" w:hAnsi="仿宋" w:eastAsia="仿宋_GB2312" w:cs="仿宋_GB2312"/>
          <w:color w:val="000000" w:themeColor="text1"/>
          <w:highlight w:val="none"/>
          <w:u w:val="singl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承包意向人：</w:t>
      </w:r>
      <w:r>
        <w:rPr>
          <w:rFonts w:ascii="仿宋_GB2312" w:hAnsi="仿宋" w:eastAsia="仿宋_GB2312" w:cs="仿宋_GB2312"/>
          <w:color w:val="000000" w:themeColor="text1"/>
          <w:highlight w:val="none"/>
          <w14:textFill>
            <w14:solidFill>
              <w14:schemeClr w14:val="tx1"/>
            </w14:solidFill>
          </w14:textFill>
        </w:rPr>
        <w:t>(</w:t>
      </w:r>
      <w:r>
        <w:rPr>
          <w:rFonts w:hint="eastAsia" w:ascii="仿宋_GB2312" w:hAnsi="仿宋" w:eastAsia="仿宋_GB2312" w:cs="仿宋_GB2312"/>
          <w:color w:val="000000" w:themeColor="text1"/>
          <w:highlight w:val="none"/>
          <w14:textFill>
            <w14:solidFill>
              <w14:schemeClr w14:val="tx1"/>
            </w14:solidFill>
          </w14:textFill>
        </w:rPr>
        <w:t>盖公章</w:t>
      </w:r>
      <w:r>
        <w:rPr>
          <w:rFonts w:ascii="仿宋_GB2312" w:hAnsi="仿宋" w:eastAsia="仿宋_GB2312" w:cs="仿宋_GB2312"/>
          <w:color w:val="000000" w:themeColor="text1"/>
          <w:highlight w:val="none"/>
          <w14:textFill>
            <w14:solidFill>
              <w14:schemeClr w14:val="tx1"/>
            </w14:solidFill>
          </w14:textFill>
        </w:rPr>
        <w:t>)</w:t>
      </w:r>
    </w:p>
    <w:p>
      <w:pPr>
        <w:pStyle w:val="39"/>
        <w:ind w:firstLine="496"/>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法定代表人（签名或盖章）：</w:t>
      </w:r>
    </w:p>
    <w:p>
      <w:pPr>
        <w:pStyle w:val="39"/>
        <w:ind w:firstLine="496"/>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日</w:t>
      </w:r>
      <w:r>
        <w:rPr>
          <w:rFonts w:ascii="仿宋_GB2312" w:hAnsi="仿宋" w:eastAsia="仿宋_GB2312" w:cs="仿宋_GB2312"/>
          <w:color w:val="000000" w:themeColor="text1"/>
          <w:highlight w:val="none"/>
          <w14:textFill>
            <w14:solidFill>
              <w14:schemeClr w14:val="tx1"/>
            </w14:solidFill>
          </w14:textFill>
        </w:rPr>
        <w:t xml:space="preserve">    </w:t>
      </w:r>
      <w:r>
        <w:rPr>
          <w:rFonts w:hint="eastAsia" w:ascii="仿宋_GB2312" w:hAnsi="仿宋" w:eastAsia="仿宋_GB2312" w:cs="仿宋_GB2312"/>
          <w:color w:val="000000" w:themeColor="text1"/>
          <w:highlight w:val="none"/>
          <w14:textFill>
            <w14:solidFill>
              <w14:schemeClr w14:val="tx1"/>
            </w14:solidFill>
          </w14:textFill>
        </w:rPr>
        <w:t>期：</w:t>
      </w:r>
      <w:r>
        <w:rPr>
          <w:rFonts w:ascii="仿宋_GB2312" w:hAnsi="仿宋" w:eastAsia="仿宋_GB2312" w:cs="仿宋_GB2312"/>
          <w:color w:val="000000" w:themeColor="text1"/>
          <w:highlight w:val="none"/>
          <w14:textFill>
            <w14:solidFill>
              <w14:schemeClr w14:val="tx1"/>
            </w14:solidFill>
          </w14:textFill>
        </w:rPr>
        <w:t xml:space="preserve">  </w:t>
      </w:r>
      <w:r>
        <w:rPr>
          <w:rFonts w:hint="eastAsia" w:ascii="仿宋_GB2312" w:hAnsi="仿宋" w:eastAsia="仿宋_GB2312" w:cs="仿宋_GB2312"/>
          <w:color w:val="000000" w:themeColor="text1"/>
          <w:highlight w:val="none"/>
          <w14:textFill>
            <w14:solidFill>
              <w14:schemeClr w14:val="tx1"/>
            </w14:solidFill>
          </w14:textFill>
        </w:rPr>
        <w:t>年</w:t>
      </w:r>
      <w:r>
        <w:rPr>
          <w:rFonts w:ascii="仿宋_GB2312" w:hAnsi="仿宋" w:eastAsia="仿宋_GB2312" w:cs="仿宋_GB2312"/>
          <w:color w:val="000000" w:themeColor="text1"/>
          <w:highlight w:val="none"/>
          <w14:textFill>
            <w14:solidFill>
              <w14:schemeClr w14:val="tx1"/>
            </w14:solidFill>
          </w14:textFill>
        </w:rPr>
        <w:t xml:space="preserve"> </w:t>
      </w:r>
      <w:r>
        <w:rPr>
          <w:rFonts w:hint="eastAsia" w:ascii="仿宋_GB2312" w:hAnsi="仿宋" w:eastAsia="仿宋_GB2312" w:cs="仿宋_GB2312"/>
          <w:color w:val="000000" w:themeColor="text1"/>
          <w:highlight w:val="none"/>
          <w14:textFill>
            <w14:solidFill>
              <w14:schemeClr w14:val="tx1"/>
            </w14:solidFill>
          </w14:textFill>
        </w:rPr>
        <w:t>月</w:t>
      </w:r>
      <w:r>
        <w:rPr>
          <w:rFonts w:ascii="仿宋_GB2312" w:hAnsi="仿宋" w:eastAsia="仿宋_GB2312" w:cs="仿宋_GB2312"/>
          <w:color w:val="000000" w:themeColor="text1"/>
          <w:highlight w:val="none"/>
          <w14:textFill>
            <w14:solidFill>
              <w14:schemeClr w14:val="tx1"/>
            </w14:solidFill>
          </w14:textFill>
        </w:rPr>
        <w:t xml:space="preserve"> </w:t>
      </w:r>
      <w:r>
        <w:rPr>
          <w:rFonts w:hint="eastAsia" w:ascii="仿宋_GB2312" w:hAnsi="仿宋" w:eastAsia="仿宋_GB2312" w:cs="仿宋_GB2312"/>
          <w:color w:val="000000" w:themeColor="text1"/>
          <w:highlight w:val="none"/>
          <w14:textFill>
            <w14:solidFill>
              <w14:schemeClr w14:val="tx1"/>
            </w14:solidFill>
          </w14:textFill>
        </w:rPr>
        <w:t xml:space="preserve">日  </w:t>
      </w:r>
    </w:p>
    <w:p>
      <w:pPr>
        <w:pStyle w:val="39"/>
        <w:ind w:firstLine="496"/>
        <w:rPr>
          <w:rFonts w:ascii="仿宋_GB2312" w:hAnsi="仿宋_GB2312" w:eastAsia="仿宋_GB2312" w:cs="仿宋_GB2312"/>
          <w:color w:val="000000" w:themeColor="text1"/>
          <w:highlight w:val="none"/>
          <w14:textFill>
            <w14:solidFill>
              <w14:schemeClr w14:val="tx1"/>
            </w14:solidFill>
          </w14:textFill>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t xml:space="preserve">4 </w:t>
      </w:r>
      <w:r>
        <w:rPr>
          <w:rFonts w:hint="eastAsia" w:ascii="仿宋" w:hAnsi="仿宋" w:eastAsia="仿宋" w:cs="仿宋_GB2312"/>
          <w:b/>
          <w:color w:val="000000" w:themeColor="text1"/>
          <w:sz w:val="28"/>
          <w:szCs w:val="28"/>
          <w:highlight w:val="none"/>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highlight w:val="none"/>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highlight w:val="none"/>
                <w14:textFill>
                  <w14:solidFill>
                    <w14:schemeClr w14:val="tx1"/>
                  </w14:solidFill>
                </w14:textFill>
              </w:rPr>
            </w:pPr>
          </w:p>
        </w:tc>
      </w:tr>
    </w:tbl>
    <w:p>
      <w:pPr>
        <w:jc w:val="center"/>
        <w:rPr>
          <w:rFonts w:ascii="仿宋" w:hAnsi="仿宋" w:eastAsia="仿宋" w:cs="仿宋_GB2312"/>
          <w:b/>
          <w:color w:val="000000" w:themeColor="text1"/>
          <w:sz w:val="28"/>
          <w:szCs w:val="28"/>
          <w:highlight w:val="none"/>
          <w14:textFill>
            <w14:solidFill>
              <w14:schemeClr w14:val="tx1"/>
            </w14:solidFill>
          </w14:textFill>
        </w:rPr>
      </w:pPr>
    </w:p>
    <w:p>
      <w:pPr>
        <w:jc w:val="center"/>
        <w:rPr>
          <w:rFonts w:ascii="仿宋" w:hAnsi="仿宋" w:eastAsia="仿宋" w:cs="仿宋_GB2312"/>
          <w:b/>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日期：年月日</w:t>
      </w:r>
    </w:p>
    <w:p>
      <w:pPr>
        <w:pStyle w:val="2"/>
        <w:jc w:val="center"/>
        <w:rPr>
          <w:rFonts w:ascii="仿宋" w:hAnsi="仿宋" w:eastAsia="仿宋" w:cs="仿宋_GB2312"/>
          <w:color w:val="000000" w:themeColor="text1"/>
          <w:sz w:val="28"/>
          <w:szCs w:val="28"/>
          <w:highlight w:val="none"/>
          <w14:textFill>
            <w14:solidFill>
              <w14:schemeClr w14:val="tx1"/>
            </w14:solidFill>
          </w14:textFill>
        </w:rPr>
      </w:pPr>
    </w:p>
    <w:p>
      <w:pPr>
        <w:pStyle w:val="2"/>
        <w:jc w:val="center"/>
        <w:rPr>
          <w:rFonts w:ascii="仿宋" w:hAnsi="仿宋" w:eastAsia="仿宋" w:cs="仿宋_GB2312"/>
          <w:color w:val="000000" w:themeColor="text1"/>
          <w:sz w:val="28"/>
          <w:szCs w:val="28"/>
          <w:highlight w:val="none"/>
          <w14:textFill>
            <w14:solidFill>
              <w14:schemeClr w14:val="tx1"/>
            </w14:solidFill>
          </w14:textFill>
        </w:rPr>
      </w:pPr>
    </w:p>
    <w:p>
      <w:pPr>
        <w:pStyle w:val="2"/>
        <w:jc w:val="center"/>
        <w:rPr>
          <w:rFonts w:ascii="仿宋" w:hAnsi="仿宋" w:eastAsia="仿宋" w:cs="仿宋_GB2312"/>
          <w:color w:val="000000" w:themeColor="text1"/>
          <w:sz w:val="28"/>
          <w:szCs w:val="28"/>
          <w:highlight w:val="none"/>
          <w14:textFill>
            <w14:solidFill>
              <w14:schemeClr w14:val="tx1"/>
            </w14:solidFill>
          </w14:textFill>
        </w:rPr>
      </w:pPr>
    </w:p>
    <w:p>
      <w:pPr>
        <w:pStyle w:val="2"/>
        <w:jc w:val="center"/>
        <w:rPr>
          <w:rFonts w:eastAsia="仿宋"/>
          <w:color w:val="000000" w:themeColor="text1"/>
          <w:highlight w:val="none"/>
          <w14:textFill>
            <w14:solidFill>
              <w14:schemeClr w14:val="tx1"/>
            </w14:solidFill>
          </w14:textFill>
        </w:rPr>
      </w:pPr>
      <w:r>
        <w:rPr>
          <w:rFonts w:ascii="仿宋" w:hAnsi="仿宋" w:eastAsia="仿宋" w:cs="仿宋_GB2312"/>
          <w:color w:val="000000" w:themeColor="text1"/>
          <w:sz w:val="28"/>
          <w:szCs w:val="28"/>
          <w:highlight w:val="none"/>
          <w14:textFill>
            <w14:solidFill>
              <w14:schemeClr w14:val="tx1"/>
            </w14:solidFill>
          </w14:textFill>
        </w:rPr>
        <w:t xml:space="preserve">5  </w:t>
      </w:r>
      <w:r>
        <w:rPr>
          <w:rFonts w:hint="eastAsia" w:ascii="仿宋" w:hAnsi="仿宋" w:eastAsia="仿宋" w:cs="仿宋_GB2312"/>
          <w:color w:val="000000" w:themeColor="text1"/>
          <w:sz w:val="28"/>
          <w:szCs w:val="28"/>
          <w:highlight w:val="none"/>
          <w14:textFill>
            <w14:solidFill>
              <w14:schemeClr w14:val="tx1"/>
            </w14:solidFill>
          </w14:textFill>
        </w:rPr>
        <w:t>项目单位、人员资格情况</w:t>
      </w:r>
    </w:p>
    <w:p>
      <w:pPr>
        <w:jc w:val="cente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themeColor="text1"/>
          <w:sz w:val="28"/>
          <w:szCs w:val="28"/>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88240"/>
    <w:multiLevelType w:val="singleLevel"/>
    <w:tmpl w:val="88E88240"/>
    <w:lvl w:ilvl="0" w:tentative="0">
      <w:start w:val="10"/>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100B7B"/>
    <w:multiLevelType w:val="singleLevel"/>
    <w:tmpl w:val="24100B7B"/>
    <w:lvl w:ilvl="0" w:tentative="0">
      <w:start w:val="4"/>
      <w:numFmt w:val="chineseCounting"/>
      <w:suff w:val="space"/>
      <w:lvlText w:val="第%1部分"/>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46D5"/>
    <w:rsid w:val="000A513D"/>
    <w:rsid w:val="000B2E59"/>
    <w:rsid w:val="000B6E2A"/>
    <w:rsid w:val="000E45BC"/>
    <w:rsid w:val="000F0E33"/>
    <w:rsid w:val="00112127"/>
    <w:rsid w:val="00113A79"/>
    <w:rsid w:val="001166BB"/>
    <w:rsid w:val="001467CA"/>
    <w:rsid w:val="00163A61"/>
    <w:rsid w:val="00173F0E"/>
    <w:rsid w:val="00194425"/>
    <w:rsid w:val="00196351"/>
    <w:rsid w:val="001F46A9"/>
    <w:rsid w:val="001F4B7D"/>
    <w:rsid w:val="001F5CC8"/>
    <w:rsid w:val="00203513"/>
    <w:rsid w:val="00204AB7"/>
    <w:rsid w:val="002144D7"/>
    <w:rsid w:val="00235700"/>
    <w:rsid w:val="00243240"/>
    <w:rsid w:val="002457FF"/>
    <w:rsid w:val="00250256"/>
    <w:rsid w:val="002623A0"/>
    <w:rsid w:val="002A1110"/>
    <w:rsid w:val="002A21F8"/>
    <w:rsid w:val="002C040B"/>
    <w:rsid w:val="002E23B2"/>
    <w:rsid w:val="002E52BA"/>
    <w:rsid w:val="002F588A"/>
    <w:rsid w:val="00320FA9"/>
    <w:rsid w:val="00335D77"/>
    <w:rsid w:val="00352134"/>
    <w:rsid w:val="00356EFB"/>
    <w:rsid w:val="0036175D"/>
    <w:rsid w:val="003A0C70"/>
    <w:rsid w:val="003A2FAA"/>
    <w:rsid w:val="003A30A6"/>
    <w:rsid w:val="003D205C"/>
    <w:rsid w:val="003D66E3"/>
    <w:rsid w:val="003E3A96"/>
    <w:rsid w:val="00413436"/>
    <w:rsid w:val="00416538"/>
    <w:rsid w:val="004273C1"/>
    <w:rsid w:val="0046764A"/>
    <w:rsid w:val="00477301"/>
    <w:rsid w:val="00481194"/>
    <w:rsid w:val="004814F2"/>
    <w:rsid w:val="0048211B"/>
    <w:rsid w:val="004E1354"/>
    <w:rsid w:val="004F1E04"/>
    <w:rsid w:val="004F3212"/>
    <w:rsid w:val="0050227A"/>
    <w:rsid w:val="00504917"/>
    <w:rsid w:val="00523FFA"/>
    <w:rsid w:val="00525D06"/>
    <w:rsid w:val="00527A1E"/>
    <w:rsid w:val="005328FE"/>
    <w:rsid w:val="00536854"/>
    <w:rsid w:val="00567344"/>
    <w:rsid w:val="00570096"/>
    <w:rsid w:val="00570D85"/>
    <w:rsid w:val="005840C1"/>
    <w:rsid w:val="005A4EA8"/>
    <w:rsid w:val="005A6632"/>
    <w:rsid w:val="005F336B"/>
    <w:rsid w:val="006077E7"/>
    <w:rsid w:val="00613B10"/>
    <w:rsid w:val="00653163"/>
    <w:rsid w:val="006840DB"/>
    <w:rsid w:val="006A6CDB"/>
    <w:rsid w:val="006C74DB"/>
    <w:rsid w:val="006E0C83"/>
    <w:rsid w:val="00703691"/>
    <w:rsid w:val="00705227"/>
    <w:rsid w:val="007216C5"/>
    <w:rsid w:val="00721E26"/>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60D04"/>
    <w:rsid w:val="00974494"/>
    <w:rsid w:val="0098076A"/>
    <w:rsid w:val="009B1F7B"/>
    <w:rsid w:val="009C7F95"/>
    <w:rsid w:val="00A042A5"/>
    <w:rsid w:val="00A07297"/>
    <w:rsid w:val="00A10754"/>
    <w:rsid w:val="00A10F87"/>
    <w:rsid w:val="00A26B96"/>
    <w:rsid w:val="00A37654"/>
    <w:rsid w:val="00A40D65"/>
    <w:rsid w:val="00A467E3"/>
    <w:rsid w:val="00A55510"/>
    <w:rsid w:val="00A66265"/>
    <w:rsid w:val="00A76B38"/>
    <w:rsid w:val="00A9730C"/>
    <w:rsid w:val="00AC7CE3"/>
    <w:rsid w:val="00AE2741"/>
    <w:rsid w:val="00AF5083"/>
    <w:rsid w:val="00AF5C08"/>
    <w:rsid w:val="00B057D6"/>
    <w:rsid w:val="00B322B9"/>
    <w:rsid w:val="00B529B2"/>
    <w:rsid w:val="00B76342"/>
    <w:rsid w:val="00B908B9"/>
    <w:rsid w:val="00B936D7"/>
    <w:rsid w:val="00BA63CA"/>
    <w:rsid w:val="00BC5308"/>
    <w:rsid w:val="00BC63F4"/>
    <w:rsid w:val="00BD0A61"/>
    <w:rsid w:val="00BD2540"/>
    <w:rsid w:val="00BD6CB0"/>
    <w:rsid w:val="00BF29CD"/>
    <w:rsid w:val="00BF3A06"/>
    <w:rsid w:val="00C00DEE"/>
    <w:rsid w:val="00C2525F"/>
    <w:rsid w:val="00C351CD"/>
    <w:rsid w:val="00C40D7A"/>
    <w:rsid w:val="00C669FA"/>
    <w:rsid w:val="00C95977"/>
    <w:rsid w:val="00CA61FE"/>
    <w:rsid w:val="00CC428A"/>
    <w:rsid w:val="00CC5BB3"/>
    <w:rsid w:val="00CC688F"/>
    <w:rsid w:val="00CE775C"/>
    <w:rsid w:val="00D0201F"/>
    <w:rsid w:val="00D141CE"/>
    <w:rsid w:val="00D30450"/>
    <w:rsid w:val="00D32BCA"/>
    <w:rsid w:val="00D53583"/>
    <w:rsid w:val="00D61CC7"/>
    <w:rsid w:val="00D61E8F"/>
    <w:rsid w:val="00D70B32"/>
    <w:rsid w:val="00DB0C60"/>
    <w:rsid w:val="00DB1C9B"/>
    <w:rsid w:val="00DC06EB"/>
    <w:rsid w:val="00E135A3"/>
    <w:rsid w:val="00E6060A"/>
    <w:rsid w:val="00EE09EB"/>
    <w:rsid w:val="00EE5DF6"/>
    <w:rsid w:val="00F0050B"/>
    <w:rsid w:val="00F056F1"/>
    <w:rsid w:val="00F222B0"/>
    <w:rsid w:val="00F35C04"/>
    <w:rsid w:val="00F44C25"/>
    <w:rsid w:val="00F81A4F"/>
    <w:rsid w:val="00F95E78"/>
    <w:rsid w:val="00FA5339"/>
    <w:rsid w:val="00FC38AC"/>
    <w:rsid w:val="00FC4531"/>
    <w:rsid w:val="00FD2A30"/>
    <w:rsid w:val="01213C08"/>
    <w:rsid w:val="0215573E"/>
    <w:rsid w:val="024822B0"/>
    <w:rsid w:val="027951E6"/>
    <w:rsid w:val="02C45024"/>
    <w:rsid w:val="02CB58CB"/>
    <w:rsid w:val="03087985"/>
    <w:rsid w:val="03475D9E"/>
    <w:rsid w:val="035D56B7"/>
    <w:rsid w:val="03832948"/>
    <w:rsid w:val="03D06DBA"/>
    <w:rsid w:val="047A4814"/>
    <w:rsid w:val="04DA01ED"/>
    <w:rsid w:val="055C1B6B"/>
    <w:rsid w:val="05F767B7"/>
    <w:rsid w:val="06DB216C"/>
    <w:rsid w:val="07194265"/>
    <w:rsid w:val="0738668D"/>
    <w:rsid w:val="07945DCD"/>
    <w:rsid w:val="07966214"/>
    <w:rsid w:val="079E1868"/>
    <w:rsid w:val="07BF48E5"/>
    <w:rsid w:val="0A4A2DA1"/>
    <w:rsid w:val="0A810BB7"/>
    <w:rsid w:val="0A851038"/>
    <w:rsid w:val="0BEE4AD8"/>
    <w:rsid w:val="0BF7794B"/>
    <w:rsid w:val="0C056B63"/>
    <w:rsid w:val="0C165C1F"/>
    <w:rsid w:val="0C600E47"/>
    <w:rsid w:val="0CA010C8"/>
    <w:rsid w:val="0CD71487"/>
    <w:rsid w:val="0D4A2254"/>
    <w:rsid w:val="0D917F28"/>
    <w:rsid w:val="0DD442A4"/>
    <w:rsid w:val="0E0F34CE"/>
    <w:rsid w:val="0E105F13"/>
    <w:rsid w:val="0E8B1A39"/>
    <w:rsid w:val="0F157AE7"/>
    <w:rsid w:val="0F390B28"/>
    <w:rsid w:val="0F5027BF"/>
    <w:rsid w:val="0F595CE1"/>
    <w:rsid w:val="0F5D2C98"/>
    <w:rsid w:val="0FB15B6E"/>
    <w:rsid w:val="0FE9290F"/>
    <w:rsid w:val="100551E5"/>
    <w:rsid w:val="10363B02"/>
    <w:rsid w:val="10930A51"/>
    <w:rsid w:val="10A21193"/>
    <w:rsid w:val="10CC2CED"/>
    <w:rsid w:val="117C356D"/>
    <w:rsid w:val="117D701A"/>
    <w:rsid w:val="118C396D"/>
    <w:rsid w:val="11981258"/>
    <w:rsid w:val="11DD09DC"/>
    <w:rsid w:val="120339C7"/>
    <w:rsid w:val="122261D1"/>
    <w:rsid w:val="15A9210F"/>
    <w:rsid w:val="15BD06CB"/>
    <w:rsid w:val="166677CD"/>
    <w:rsid w:val="16774A77"/>
    <w:rsid w:val="16AD7949"/>
    <w:rsid w:val="16CB57E7"/>
    <w:rsid w:val="16CE05E6"/>
    <w:rsid w:val="16EE30E7"/>
    <w:rsid w:val="171B257B"/>
    <w:rsid w:val="17374AFE"/>
    <w:rsid w:val="175975CB"/>
    <w:rsid w:val="18341647"/>
    <w:rsid w:val="18576EA5"/>
    <w:rsid w:val="18832F1A"/>
    <w:rsid w:val="195E787B"/>
    <w:rsid w:val="198533A4"/>
    <w:rsid w:val="19EE3322"/>
    <w:rsid w:val="1A3C59EA"/>
    <w:rsid w:val="1A5A050B"/>
    <w:rsid w:val="1B055CC7"/>
    <w:rsid w:val="1B43354C"/>
    <w:rsid w:val="1B6C3A06"/>
    <w:rsid w:val="1BC51A48"/>
    <w:rsid w:val="1BE72C9D"/>
    <w:rsid w:val="1C440C1D"/>
    <w:rsid w:val="1CC63289"/>
    <w:rsid w:val="1D8D6C0F"/>
    <w:rsid w:val="1DDD2F7D"/>
    <w:rsid w:val="1DFD3E11"/>
    <w:rsid w:val="1E172573"/>
    <w:rsid w:val="1E75317E"/>
    <w:rsid w:val="1E8651E3"/>
    <w:rsid w:val="1F626CBE"/>
    <w:rsid w:val="1F8137F2"/>
    <w:rsid w:val="1FDA5354"/>
    <w:rsid w:val="1FEB48D2"/>
    <w:rsid w:val="201607F8"/>
    <w:rsid w:val="201C0EBB"/>
    <w:rsid w:val="20636523"/>
    <w:rsid w:val="2094043D"/>
    <w:rsid w:val="20E1358A"/>
    <w:rsid w:val="21197576"/>
    <w:rsid w:val="214B6BF0"/>
    <w:rsid w:val="21734A3E"/>
    <w:rsid w:val="21B11969"/>
    <w:rsid w:val="221F635B"/>
    <w:rsid w:val="22760A40"/>
    <w:rsid w:val="227C086A"/>
    <w:rsid w:val="229B7230"/>
    <w:rsid w:val="23285357"/>
    <w:rsid w:val="2344568D"/>
    <w:rsid w:val="23971F13"/>
    <w:rsid w:val="23CB38A6"/>
    <w:rsid w:val="23E76396"/>
    <w:rsid w:val="23F70EF4"/>
    <w:rsid w:val="2411337A"/>
    <w:rsid w:val="24133080"/>
    <w:rsid w:val="24254283"/>
    <w:rsid w:val="24AF79E0"/>
    <w:rsid w:val="251A021B"/>
    <w:rsid w:val="25351C96"/>
    <w:rsid w:val="25C507A2"/>
    <w:rsid w:val="26F56AC0"/>
    <w:rsid w:val="27B26870"/>
    <w:rsid w:val="27D50AB7"/>
    <w:rsid w:val="27EF76F4"/>
    <w:rsid w:val="28651E57"/>
    <w:rsid w:val="28B67AA9"/>
    <w:rsid w:val="28F033EC"/>
    <w:rsid w:val="291E1603"/>
    <w:rsid w:val="29221318"/>
    <w:rsid w:val="29A441D3"/>
    <w:rsid w:val="29B26E64"/>
    <w:rsid w:val="29E47B0A"/>
    <w:rsid w:val="2A940D1D"/>
    <w:rsid w:val="2AA42BA4"/>
    <w:rsid w:val="2AFA2A43"/>
    <w:rsid w:val="2B8F2CA4"/>
    <w:rsid w:val="2BF2732D"/>
    <w:rsid w:val="2C0F5B60"/>
    <w:rsid w:val="2C2E6EB5"/>
    <w:rsid w:val="2CD61190"/>
    <w:rsid w:val="2D19638F"/>
    <w:rsid w:val="2DAB1D7F"/>
    <w:rsid w:val="2DC53DC4"/>
    <w:rsid w:val="2DF2482E"/>
    <w:rsid w:val="2E054B4C"/>
    <w:rsid w:val="2E234B22"/>
    <w:rsid w:val="2E9A7907"/>
    <w:rsid w:val="2EBA18AD"/>
    <w:rsid w:val="2F0B2C00"/>
    <w:rsid w:val="2F30035C"/>
    <w:rsid w:val="2FC067FF"/>
    <w:rsid w:val="2FCA12C3"/>
    <w:rsid w:val="30645169"/>
    <w:rsid w:val="31343EAE"/>
    <w:rsid w:val="3147188F"/>
    <w:rsid w:val="31D806F6"/>
    <w:rsid w:val="31FE415B"/>
    <w:rsid w:val="32207E65"/>
    <w:rsid w:val="3249649D"/>
    <w:rsid w:val="32D03ED3"/>
    <w:rsid w:val="33027DBF"/>
    <w:rsid w:val="337E01B8"/>
    <w:rsid w:val="338D3FB9"/>
    <w:rsid w:val="33B204B9"/>
    <w:rsid w:val="3427114C"/>
    <w:rsid w:val="349E71E6"/>
    <w:rsid w:val="34D10313"/>
    <w:rsid w:val="34E92F2E"/>
    <w:rsid w:val="357836E7"/>
    <w:rsid w:val="358B4E40"/>
    <w:rsid w:val="35971342"/>
    <w:rsid w:val="35C75BE6"/>
    <w:rsid w:val="368842E7"/>
    <w:rsid w:val="36BE6E81"/>
    <w:rsid w:val="377E7997"/>
    <w:rsid w:val="37942F37"/>
    <w:rsid w:val="381E2730"/>
    <w:rsid w:val="38555AFD"/>
    <w:rsid w:val="38953193"/>
    <w:rsid w:val="38F70FAB"/>
    <w:rsid w:val="392F1B12"/>
    <w:rsid w:val="394D21E7"/>
    <w:rsid w:val="395A5702"/>
    <w:rsid w:val="39A16AFE"/>
    <w:rsid w:val="39C851DB"/>
    <w:rsid w:val="39E340D1"/>
    <w:rsid w:val="3A042CB3"/>
    <w:rsid w:val="3A0C2CEF"/>
    <w:rsid w:val="3AB900A5"/>
    <w:rsid w:val="3B5E7FDD"/>
    <w:rsid w:val="3B6B6DD0"/>
    <w:rsid w:val="3BA305CB"/>
    <w:rsid w:val="3CE74F29"/>
    <w:rsid w:val="3D1F511B"/>
    <w:rsid w:val="3D5B310B"/>
    <w:rsid w:val="3E095BCA"/>
    <w:rsid w:val="3E0F351A"/>
    <w:rsid w:val="3EC8123A"/>
    <w:rsid w:val="3EEB1ACE"/>
    <w:rsid w:val="3F055128"/>
    <w:rsid w:val="3F54054D"/>
    <w:rsid w:val="3F7A5E74"/>
    <w:rsid w:val="401310ED"/>
    <w:rsid w:val="40FA308D"/>
    <w:rsid w:val="41D14A55"/>
    <w:rsid w:val="41DF27B1"/>
    <w:rsid w:val="42093E84"/>
    <w:rsid w:val="42BF01C5"/>
    <w:rsid w:val="42C17449"/>
    <w:rsid w:val="4310494B"/>
    <w:rsid w:val="43415061"/>
    <w:rsid w:val="43A4461F"/>
    <w:rsid w:val="441066A3"/>
    <w:rsid w:val="441A32F1"/>
    <w:rsid w:val="441A4899"/>
    <w:rsid w:val="44600DBD"/>
    <w:rsid w:val="44FD12C2"/>
    <w:rsid w:val="45AD04AE"/>
    <w:rsid w:val="45D04201"/>
    <w:rsid w:val="45D12721"/>
    <w:rsid w:val="4611043A"/>
    <w:rsid w:val="46194FAB"/>
    <w:rsid w:val="461C0EF1"/>
    <w:rsid w:val="464B1280"/>
    <w:rsid w:val="46B34996"/>
    <w:rsid w:val="475A2186"/>
    <w:rsid w:val="477F4975"/>
    <w:rsid w:val="478B465D"/>
    <w:rsid w:val="47977170"/>
    <w:rsid w:val="47C65815"/>
    <w:rsid w:val="480139C4"/>
    <w:rsid w:val="481F5DE7"/>
    <w:rsid w:val="48DB21ED"/>
    <w:rsid w:val="4A2851B5"/>
    <w:rsid w:val="4A2F4E2F"/>
    <w:rsid w:val="4AD262D7"/>
    <w:rsid w:val="4AD9788D"/>
    <w:rsid w:val="4BC82AC7"/>
    <w:rsid w:val="4C3F0075"/>
    <w:rsid w:val="4CE82F0D"/>
    <w:rsid w:val="4CF66E15"/>
    <w:rsid w:val="4D284C9B"/>
    <w:rsid w:val="4D3840BE"/>
    <w:rsid w:val="4E0830BF"/>
    <w:rsid w:val="4E725989"/>
    <w:rsid w:val="4E762343"/>
    <w:rsid w:val="4F2F4D0F"/>
    <w:rsid w:val="4F505F21"/>
    <w:rsid w:val="4FCB1D63"/>
    <w:rsid w:val="500D4543"/>
    <w:rsid w:val="502E55DD"/>
    <w:rsid w:val="513E3034"/>
    <w:rsid w:val="515A619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B91869"/>
    <w:rsid w:val="54BF3C9C"/>
    <w:rsid w:val="54FB7AE0"/>
    <w:rsid w:val="55461FCB"/>
    <w:rsid w:val="56447F87"/>
    <w:rsid w:val="56A0149E"/>
    <w:rsid w:val="56E25835"/>
    <w:rsid w:val="5715646F"/>
    <w:rsid w:val="57435AA6"/>
    <w:rsid w:val="57E2260A"/>
    <w:rsid w:val="57FC0614"/>
    <w:rsid w:val="582E1436"/>
    <w:rsid w:val="584222D3"/>
    <w:rsid w:val="588449CA"/>
    <w:rsid w:val="58C8034C"/>
    <w:rsid w:val="595A6DAA"/>
    <w:rsid w:val="5A36592C"/>
    <w:rsid w:val="5A6155C2"/>
    <w:rsid w:val="5A9D2DFB"/>
    <w:rsid w:val="5AFC4773"/>
    <w:rsid w:val="5B1E4FDA"/>
    <w:rsid w:val="5B3C1EDE"/>
    <w:rsid w:val="5B7758D0"/>
    <w:rsid w:val="5C955D81"/>
    <w:rsid w:val="5CF93944"/>
    <w:rsid w:val="5DD0123C"/>
    <w:rsid w:val="5E52450A"/>
    <w:rsid w:val="5E6C1EE2"/>
    <w:rsid w:val="5E784C84"/>
    <w:rsid w:val="5EC05712"/>
    <w:rsid w:val="5ECF3F37"/>
    <w:rsid w:val="5F2B4751"/>
    <w:rsid w:val="5F6F647E"/>
    <w:rsid w:val="5F7B439F"/>
    <w:rsid w:val="612F265F"/>
    <w:rsid w:val="61317F51"/>
    <w:rsid w:val="616A4354"/>
    <w:rsid w:val="61932D7D"/>
    <w:rsid w:val="62CD5B89"/>
    <w:rsid w:val="6331176E"/>
    <w:rsid w:val="634D18EF"/>
    <w:rsid w:val="63526B3A"/>
    <w:rsid w:val="63581F2F"/>
    <w:rsid w:val="635D716A"/>
    <w:rsid w:val="63BE341B"/>
    <w:rsid w:val="646269CB"/>
    <w:rsid w:val="64D4152E"/>
    <w:rsid w:val="65284570"/>
    <w:rsid w:val="655C3140"/>
    <w:rsid w:val="656D64FA"/>
    <w:rsid w:val="658052DD"/>
    <w:rsid w:val="65C47416"/>
    <w:rsid w:val="665C3C76"/>
    <w:rsid w:val="669D7E10"/>
    <w:rsid w:val="67057CC2"/>
    <w:rsid w:val="670D7173"/>
    <w:rsid w:val="671F1E08"/>
    <w:rsid w:val="673B2037"/>
    <w:rsid w:val="6785569E"/>
    <w:rsid w:val="67C72854"/>
    <w:rsid w:val="681869FD"/>
    <w:rsid w:val="687C6CFF"/>
    <w:rsid w:val="690B6D7C"/>
    <w:rsid w:val="699C0231"/>
    <w:rsid w:val="6A091B6D"/>
    <w:rsid w:val="6A3320AF"/>
    <w:rsid w:val="6ABB5727"/>
    <w:rsid w:val="6B1A6F57"/>
    <w:rsid w:val="6B4026C8"/>
    <w:rsid w:val="6C4F7095"/>
    <w:rsid w:val="6CD41863"/>
    <w:rsid w:val="6DA93AF7"/>
    <w:rsid w:val="6DE42D7A"/>
    <w:rsid w:val="6DFD1267"/>
    <w:rsid w:val="6E7634A5"/>
    <w:rsid w:val="6F0A4BA7"/>
    <w:rsid w:val="6F1A7372"/>
    <w:rsid w:val="6F2155D1"/>
    <w:rsid w:val="6F3B08A0"/>
    <w:rsid w:val="6F4D1D02"/>
    <w:rsid w:val="6F541BFA"/>
    <w:rsid w:val="702E3856"/>
    <w:rsid w:val="70624653"/>
    <w:rsid w:val="70B83986"/>
    <w:rsid w:val="710B10C2"/>
    <w:rsid w:val="71223E59"/>
    <w:rsid w:val="71950079"/>
    <w:rsid w:val="71EA5114"/>
    <w:rsid w:val="71F37EA0"/>
    <w:rsid w:val="72411309"/>
    <w:rsid w:val="726957A9"/>
    <w:rsid w:val="727F051E"/>
    <w:rsid w:val="72903204"/>
    <w:rsid w:val="72962E22"/>
    <w:rsid w:val="72A30DB4"/>
    <w:rsid w:val="72AD7B2C"/>
    <w:rsid w:val="73AD6D3B"/>
    <w:rsid w:val="73B5332C"/>
    <w:rsid w:val="73F64AD6"/>
    <w:rsid w:val="745B0474"/>
    <w:rsid w:val="75664885"/>
    <w:rsid w:val="75FC5708"/>
    <w:rsid w:val="764515DD"/>
    <w:rsid w:val="76B414A3"/>
    <w:rsid w:val="76C057F2"/>
    <w:rsid w:val="76EA239D"/>
    <w:rsid w:val="77104A5B"/>
    <w:rsid w:val="774A16C1"/>
    <w:rsid w:val="78033B32"/>
    <w:rsid w:val="79816561"/>
    <w:rsid w:val="79BE5874"/>
    <w:rsid w:val="79FE6F5F"/>
    <w:rsid w:val="7A052862"/>
    <w:rsid w:val="7AA856BE"/>
    <w:rsid w:val="7ADA653A"/>
    <w:rsid w:val="7B0559E9"/>
    <w:rsid w:val="7C57001E"/>
    <w:rsid w:val="7C8912DD"/>
    <w:rsid w:val="7C8F63C8"/>
    <w:rsid w:val="7DCB439A"/>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6"/>
    <w:qFormat/>
    <w:uiPriority w:val="0"/>
    <w:pPr>
      <w:jc w:val="left"/>
    </w:pPr>
    <w:rPr>
      <w:rFonts w:ascii="Times New Roman" w:hAnsi="Times New Roman" w:eastAsia="宋体" w:cs="Times New Roman"/>
      <w:szCs w:val="24"/>
    </w:rPr>
  </w:style>
  <w:style w:type="paragraph" w:styleId="7">
    <w:name w:val="Body Text"/>
    <w:basedOn w:val="1"/>
    <w:unhideWhenUsed/>
    <w:qFormat/>
    <w:uiPriority w:val="99"/>
    <w:rPr>
      <w:sz w:val="28"/>
    </w:rPr>
  </w:style>
  <w:style w:type="paragraph" w:styleId="8">
    <w:name w:val="Body Text Indent"/>
    <w:basedOn w:val="1"/>
    <w:link w:val="38"/>
    <w:semiHidden/>
    <w:unhideWhenUsed/>
    <w:qFormat/>
    <w:uiPriority w:val="99"/>
    <w:pPr>
      <w:spacing w:after="120"/>
      <w:ind w:left="420" w:leftChars="200"/>
    </w:pPr>
  </w:style>
  <w:style w:type="paragraph" w:styleId="9">
    <w:name w:val="Plain Text"/>
    <w:basedOn w:val="1"/>
    <w:link w:val="33"/>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2"/>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1"/>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5"/>
    <w:qFormat/>
    <w:uiPriority w:val="0"/>
    <w:pPr>
      <w:spacing w:before="240" w:after="60"/>
      <w:jc w:val="center"/>
      <w:outlineLvl w:val="0"/>
    </w:pPr>
    <w:rPr>
      <w:rFonts w:ascii="Cambria" w:hAnsi="Cambria" w:eastAsia="宋体" w:cs="Times New Roman"/>
      <w:b/>
      <w:bCs/>
      <w:sz w:val="32"/>
      <w:szCs w:val="32"/>
    </w:rPr>
  </w:style>
  <w:style w:type="paragraph" w:styleId="18">
    <w:name w:val="Body Text First Indent"/>
    <w:basedOn w:val="7"/>
    <w:link w:val="44"/>
    <w:unhideWhenUsed/>
    <w:qFormat/>
    <w:uiPriority w:val="99"/>
    <w:pPr>
      <w:spacing w:after="120"/>
      <w:ind w:firstLine="420"/>
    </w:pPr>
    <w:rPr>
      <w:sz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rFonts w:eastAsia="宋体"/>
      <w:b/>
      <w:bCs/>
      <w:kern w:val="2"/>
      <w:sz w:val="24"/>
      <w:szCs w:val="24"/>
      <w:lang w:val="en-US" w:eastAsia="zh-CN" w:bidi="ar-SA"/>
    </w:rPr>
  </w:style>
  <w:style w:type="character" w:styleId="23">
    <w:name w:val="page number"/>
    <w:basedOn w:val="21"/>
    <w:qFormat/>
    <w:uiPriority w:val="0"/>
  </w:style>
  <w:style w:type="character" w:styleId="24">
    <w:name w:val="annotation reference"/>
    <w:basedOn w:val="21"/>
    <w:qFormat/>
    <w:uiPriority w:val="0"/>
    <w:rPr>
      <w:sz w:val="21"/>
      <w:szCs w:val="21"/>
    </w:rPr>
  </w:style>
  <w:style w:type="character" w:customStyle="1" w:styleId="25">
    <w:name w:val="页眉 Char"/>
    <w:basedOn w:val="21"/>
    <w:link w:val="13"/>
    <w:qFormat/>
    <w:uiPriority w:val="99"/>
    <w:rPr>
      <w:sz w:val="18"/>
      <w:szCs w:val="18"/>
    </w:rPr>
  </w:style>
  <w:style w:type="character" w:customStyle="1" w:styleId="26">
    <w:name w:val="页脚 Char"/>
    <w:basedOn w:val="21"/>
    <w:link w:val="12"/>
    <w:qFormat/>
    <w:uiPriority w:val="99"/>
    <w:rPr>
      <w:sz w:val="18"/>
      <w:szCs w:val="18"/>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5 Char"/>
    <w:basedOn w:val="21"/>
    <w:link w:val="5"/>
    <w:semiHidden/>
    <w:qFormat/>
    <w:uiPriority w:val="9"/>
    <w:rPr>
      <w:b/>
      <w:bCs/>
      <w:sz w:val="28"/>
      <w:szCs w:val="28"/>
    </w:rPr>
  </w:style>
  <w:style w:type="character" w:customStyle="1" w:styleId="29">
    <w:name w:val="标题 5 Char1"/>
    <w:basedOn w:val="21"/>
    <w:link w:val="5"/>
    <w:qFormat/>
    <w:uiPriority w:val="9"/>
    <w:rPr>
      <w:rFonts w:asciiTheme="majorHAnsi" w:hAnsiTheme="majorHAnsi" w:eastAsiaTheme="majorEastAsia" w:cstheme="majorBidi"/>
      <w:color w:val="376092" w:themeColor="accent1" w:themeShade="BF"/>
      <w:kern w:val="0"/>
      <w:sz w:val="22"/>
    </w:rPr>
  </w:style>
  <w:style w:type="character" w:customStyle="1" w:styleId="30">
    <w:name w:val="正文文本缩进 3 Char"/>
    <w:basedOn w:val="21"/>
    <w:link w:val="15"/>
    <w:semiHidden/>
    <w:qFormat/>
    <w:uiPriority w:val="99"/>
    <w:rPr>
      <w:sz w:val="16"/>
      <w:szCs w:val="16"/>
    </w:rPr>
  </w:style>
  <w:style w:type="character" w:customStyle="1" w:styleId="31">
    <w:name w:val="正文文本缩进 3 Char1"/>
    <w:basedOn w:val="21"/>
    <w:link w:val="15"/>
    <w:qFormat/>
    <w:uiPriority w:val="99"/>
    <w:rPr>
      <w:kern w:val="0"/>
      <w:sz w:val="16"/>
      <w:szCs w:val="16"/>
    </w:rPr>
  </w:style>
  <w:style w:type="paragraph" w:styleId="32">
    <w:name w:val="List Paragraph"/>
    <w:basedOn w:val="1"/>
    <w:qFormat/>
    <w:uiPriority w:val="34"/>
    <w:pPr>
      <w:ind w:firstLine="420" w:firstLineChars="200"/>
    </w:pPr>
  </w:style>
  <w:style w:type="character" w:customStyle="1" w:styleId="33">
    <w:name w:val="纯文本 Char"/>
    <w:basedOn w:val="21"/>
    <w:link w:val="9"/>
    <w:qFormat/>
    <w:uiPriority w:val="0"/>
    <w:rPr>
      <w:rFonts w:ascii="宋体" w:hAnsi="Courier New" w:eastAsia="宋体" w:cs="Courier New"/>
      <w:szCs w:val="21"/>
    </w:rPr>
  </w:style>
  <w:style w:type="character" w:customStyle="1" w:styleId="34">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5">
    <w:name w:val="标题 Char"/>
    <w:basedOn w:val="21"/>
    <w:link w:val="17"/>
    <w:qFormat/>
    <w:uiPriority w:val="0"/>
    <w:rPr>
      <w:rFonts w:ascii="Cambria" w:hAnsi="Cambria" w:eastAsia="宋体" w:cs="Times New Roman"/>
      <w:b/>
      <w:bCs/>
      <w:sz w:val="32"/>
      <w:szCs w:val="32"/>
    </w:rPr>
  </w:style>
  <w:style w:type="character" w:customStyle="1" w:styleId="36">
    <w:name w:val="批注文字 Char"/>
    <w:basedOn w:val="21"/>
    <w:link w:val="6"/>
    <w:qFormat/>
    <w:uiPriority w:val="0"/>
    <w:rPr>
      <w:rFonts w:ascii="Times New Roman" w:hAnsi="Times New Roman" w:eastAsia="宋体" w:cs="Times New Roman"/>
      <w:szCs w:val="24"/>
    </w:rPr>
  </w:style>
  <w:style w:type="character" w:customStyle="1" w:styleId="37">
    <w:name w:val="标题 3 Char"/>
    <w:basedOn w:val="21"/>
    <w:link w:val="4"/>
    <w:semiHidden/>
    <w:qFormat/>
    <w:uiPriority w:val="9"/>
    <w:rPr>
      <w:b/>
      <w:bCs/>
      <w:sz w:val="32"/>
      <w:szCs w:val="32"/>
    </w:rPr>
  </w:style>
  <w:style w:type="character" w:customStyle="1" w:styleId="38">
    <w:name w:val="正文文本缩进 Char"/>
    <w:basedOn w:val="21"/>
    <w:link w:val="8"/>
    <w:semiHidden/>
    <w:qFormat/>
    <w:uiPriority w:val="99"/>
  </w:style>
  <w:style w:type="paragraph" w:customStyle="1" w:styleId="39">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1">
    <w:name w:val="apple-converted-space"/>
    <w:basedOn w:val="21"/>
    <w:qFormat/>
    <w:uiPriority w:val="0"/>
  </w:style>
  <w:style w:type="character" w:customStyle="1" w:styleId="42">
    <w:name w:val="批注框文本 Char"/>
    <w:basedOn w:val="21"/>
    <w:link w:val="11"/>
    <w:semiHidden/>
    <w:qFormat/>
    <w:uiPriority w:val="99"/>
    <w:rPr>
      <w:kern w:val="2"/>
      <w:sz w:val="18"/>
      <w:szCs w:val="18"/>
    </w:r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正文首行缩进 Char"/>
    <w:basedOn w:val="21"/>
    <w:link w:val="18"/>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2406</Words>
  <Characters>13716</Characters>
  <Lines>114</Lines>
  <Paragraphs>32</Paragraphs>
  <TotalTime>3</TotalTime>
  <ScaleCrop>false</ScaleCrop>
  <LinksUpToDate>false</LinksUpToDate>
  <CharactersWithSpaces>16090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2021-06-08T07:49:00Z</dcterms:created>
  <dc:creator>李嘉雯</dc:creator>
  <cp:lastModifiedBy>林煜韩</cp:lastModifiedBy>
  <cp:lastPrinted>2021-06-16T06:46:00Z</cp:lastPrinted>
  <dcterms:modified xsi:type="dcterms:W3CDTF">2021-06-22T02:57:36Z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79C17FCC2E4B4215A1CCABB905119CEB</vt:lpwstr>
  </property>
</Properties>
</file>