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500" w:lineRule="exact"/>
        <w:jc w:val="left"/>
        <w:rPr>
          <w:rFonts w:ascii="仿宋" w:hAnsi="仿宋" w:eastAsia="仿宋" w:cs="仿宋_GB2312"/>
          <w:b/>
          <w:bCs w:val="0"/>
          <w:color w:val="000000" w:themeColor="text1"/>
          <w:sz w:val="32"/>
          <w:szCs w:val="32"/>
          <w14:textFill>
            <w14:solidFill>
              <w14:schemeClr w14:val="tx1"/>
            </w14:solidFill>
          </w14:textFill>
        </w:rPr>
      </w:pPr>
      <w:r>
        <w:rPr>
          <w:rFonts w:hint="eastAsia" w:ascii="仿宋" w:hAnsi="仿宋" w:eastAsia="仿宋" w:cs="仿宋_GB2312"/>
          <w:b/>
          <w:bCs w:val="0"/>
          <w:color w:val="000000" w:themeColor="text1"/>
          <w:sz w:val="32"/>
          <w:szCs w:val="32"/>
          <w14:textFill>
            <w14:solidFill>
              <w14:schemeClr w14:val="tx1"/>
            </w14:solidFill>
          </w14:textFill>
        </w:rPr>
        <w:t>项目编号：</w:t>
      </w:r>
      <w:r>
        <w:rPr>
          <w:rFonts w:hint="eastAsia" w:ascii="仿宋" w:hAnsi="仿宋" w:eastAsia="仿宋" w:cs="仿宋_GB2312"/>
          <w:b/>
          <w:bCs w:val="0"/>
          <w:color w:val="000000" w:themeColor="text1"/>
          <w:sz w:val="32"/>
          <w:szCs w:val="32"/>
          <w:lang w:val="en-US" w:eastAsia="zh-CN"/>
          <w14:textFill>
            <w14:solidFill>
              <w14:schemeClr w14:val="tx1"/>
            </w14:solidFill>
          </w14:textFill>
        </w:rPr>
        <w:t>XJXX-20210618-1</w:t>
      </w:r>
      <w:r>
        <w:rPr>
          <w:rFonts w:ascii="仿宋" w:hAnsi="仿宋" w:eastAsia="仿宋" w:cs="仿宋_GB2312"/>
          <w:b/>
          <w:bCs w:val="0"/>
          <w:color w:val="000000" w:themeColor="text1"/>
          <w:sz w:val="32"/>
          <w:szCs w:val="32"/>
          <w14:textFill>
            <w14:solidFill>
              <w14:schemeClr w14:val="tx1"/>
            </w14:solidFill>
          </w14:textFill>
        </w:rPr>
        <w:t xml:space="preserve"> </w:t>
      </w:r>
      <w:r>
        <w:rPr>
          <w:rFonts w:hint="eastAsia" w:ascii="仿宋" w:hAnsi="仿宋" w:eastAsia="仿宋" w:cs="仿宋_GB2312"/>
          <w:b/>
          <w:bCs w:val="0"/>
          <w:color w:val="000000" w:themeColor="text1"/>
          <w:sz w:val="32"/>
          <w:szCs w:val="32"/>
          <w14:textFill>
            <w14:solidFill>
              <w14:schemeClr w14:val="tx1"/>
            </w14:solidFill>
          </w14:textFill>
        </w:rPr>
        <w:t xml:space="preserve"> </w:t>
      </w:r>
      <w:r>
        <w:rPr>
          <w:b/>
          <w:bCs w:val="0"/>
          <w:color w:val="000000" w:themeColor="text1"/>
          <w:sz w:val="32"/>
          <w:szCs w:val="32"/>
          <w14:textFill>
            <w14:solidFill>
              <w14:schemeClr w14:val="tx1"/>
            </w14:solidFill>
          </w14:textFill>
        </w:rPr>
        <w:fldChar w:fldCharType="begin"/>
      </w:r>
      <w:r>
        <w:rPr>
          <w:b/>
          <w:bCs w:val="0"/>
          <w:color w:val="000000" w:themeColor="text1"/>
          <w:sz w:val="32"/>
          <w:szCs w:val="32"/>
          <w14:textFill>
            <w14:solidFill>
              <w14:schemeClr w14:val="tx1"/>
            </w14:solidFill>
          </w14:textFill>
        </w:rPr>
        <w:instrText xml:space="preserve"> DOCVARIABLE  采购编号  \* MERGEFORMAT </w:instrText>
      </w:r>
      <w:r>
        <w:rPr>
          <w:b/>
          <w:bCs w:val="0"/>
          <w:color w:val="000000" w:themeColor="text1"/>
          <w:sz w:val="32"/>
          <w:szCs w:val="32"/>
          <w14:textFill>
            <w14:solidFill>
              <w14:schemeClr w14:val="tx1"/>
            </w14:solidFill>
          </w14:textFill>
        </w:rPr>
        <w:fldChar w:fldCharType="end"/>
      </w:r>
    </w:p>
    <w:p>
      <w:pPr>
        <w:spacing w:line="500" w:lineRule="exact"/>
        <w:jc w:val="left"/>
        <w:rPr>
          <w:rFonts w:ascii="仿宋_GB2312" w:hAnsi="仿宋_GB2312" w:eastAsia="仿宋" w:cs="仿宋_GB2312"/>
          <w:b/>
          <w:bCs/>
          <w:color w:val="000000" w:themeColor="text1"/>
          <w14:textFill>
            <w14:solidFill>
              <w14:schemeClr w14:val="tx1"/>
            </w14:solidFill>
          </w14:textFill>
        </w:rPr>
      </w:pPr>
      <w:r>
        <w:rPr>
          <w:rFonts w:hint="eastAsia" w:ascii="仿宋" w:hAnsi="仿宋" w:eastAsia="仿宋" w:cs="仿宋_GB2312"/>
          <w:b/>
          <w:bCs w:val="0"/>
          <w:color w:val="000000" w:themeColor="text1"/>
          <w:sz w:val="32"/>
          <w:szCs w:val="32"/>
          <w14:textFill>
            <w14:solidFill>
              <w14:schemeClr w14:val="tx1"/>
            </w14:solidFill>
          </w14:textFill>
        </w:rPr>
        <w:t>项目名称：广州市净水有限公司沥滘三期多媒体互动展示项目</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hint="eastAsia" w:ascii="仿宋_GB2312" w:hAnsi="仿宋_GB2312" w:eastAsia="仿宋_GB2312" w:cs="仿宋_GB2312"/>
          <w:b/>
          <w:bCs/>
          <w:color w:val="000000" w:themeColor="text1"/>
          <w:sz w:val="36"/>
          <w14:textFill>
            <w14:solidFill>
              <w14:schemeClr w14:val="tx1"/>
            </w14:solidFill>
          </w14:textFill>
        </w:rPr>
        <w:t>广州市净水有限公司  编制</w:t>
      </w:r>
    </w:p>
    <w:p>
      <w:pPr>
        <w:spacing w:line="360" w:lineRule="auto"/>
        <w:jc w:val="center"/>
        <w:rPr>
          <w:rFonts w:ascii="仿宋_GB2312" w:hAnsi="仿宋_GB2312" w:eastAsia="仿宋_GB2312" w:cs="仿宋_GB2312"/>
          <w:b/>
          <w:bCs/>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发布日期：20</w:t>
      </w:r>
      <w:r>
        <w:rPr>
          <w:rFonts w:ascii="仿宋_GB2312" w:hAnsi="仿宋_GB2312" w:eastAsia="仿宋_GB2312" w:cs="仿宋_GB2312"/>
          <w:b/>
          <w:bCs/>
          <w:color w:val="000000" w:themeColor="text1"/>
          <w:sz w:val="28"/>
          <w14:textFill>
            <w14:solidFill>
              <w14:schemeClr w14:val="tx1"/>
            </w14:solidFill>
          </w14:textFill>
        </w:rPr>
        <w:t>2</w:t>
      </w:r>
      <w:r>
        <w:rPr>
          <w:rFonts w:hint="eastAsia" w:ascii="仿宋_GB2312" w:hAnsi="仿宋_GB2312" w:eastAsia="仿宋_GB2312" w:cs="仿宋_GB2312"/>
          <w:b/>
          <w:bCs/>
          <w:color w:val="000000" w:themeColor="text1"/>
          <w:sz w:val="28"/>
          <w14:textFill>
            <w14:solidFill>
              <w14:schemeClr w14:val="tx1"/>
            </w14:solidFill>
          </w14:textFill>
        </w:rPr>
        <w:t>1年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6</w:t>
      </w:r>
      <w:r>
        <w:rPr>
          <w:rFonts w:hint="eastAsia"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18</w:t>
      </w:r>
      <w:r>
        <w:rPr>
          <w:rFonts w:hint="eastAsia" w:ascii="仿宋_GB2312" w:hAnsi="仿宋_GB2312" w:eastAsia="仿宋_GB2312" w:cs="仿宋_GB2312"/>
          <w:b/>
          <w:bCs/>
          <w:color w:val="000000" w:themeColor="text1"/>
          <w:sz w:val="28"/>
          <w14:textFill>
            <w14:solidFill>
              <w14:schemeClr w14:val="tx1"/>
            </w14:solidFill>
          </w14:textFill>
        </w:rPr>
        <w:t>日</w:t>
      </w:r>
    </w:p>
    <w:p>
      <w:pPr>
        <w:pageBreakBefore/>
        <w:jc w:val="center"/>
        <w:rPr>
          <w:rFonts w:hint="eastAsia"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      录</w:t>
      </w:r>
      <w:r>
        <w:rPr>
          <w:rFonts w:hint="eastAsia"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9"/>
        <w:tabs>
          <w:tab w:val="right" w:leader="dot" w:pos="9174"/>
        </w:tabs>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  报价邀请函</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  项目内容</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  报价须知</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  合同书格式</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  响应文件格式</w:t>
      </w:r>
    </w:p>
    <w:p>
      <w:pPr>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hint="eastAsia" w:ascii="仿宋_GB2312" w:hAnsi="仿宋_GB2312" w:eastAsia="仿宋_GB2312" w:cs="仿宋_GB2312"/>
          <w:color w:val="000000" w:themeColor="text1"/>
          <w:kern w:val="0"/>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pStyle w:val="23"/>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第一部分报价邀请函</w:t>
      </w:r>
    </w:p>
    <w:p>
      <w:pPr>
        <w:ind w:firstLine="478" w:firstLineChars="171"/>
        <w:rPr>
          <w:rFonts w:hint="eastAsia" w:ascii="仿宋_GB2312" w:hAnsi="仿宋_GB2312" w:eastAsia="仿宋_GB2312" w:cs="仿宋_GB2312"/>
          <w:color w:val="000000" w:themeColor="text1"/>
          <w:kern w:val="0"/>
          <w:sz w:val="28"/>
          <w:szCs w:val="28"/>
          <w14:textFill>
            <w14:solidFill>
              <w14:schemeClr w14:val="tx1"/>
            </w14:solidFill>
          </w14:textFill>
        </w:rPr>
      </w:pPr>
    </w:p>
    <w:p>
      <w:pP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p>
    <w:p>
      <w:pPr>
        <w:ind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sz w:val="28"/>
          <w:szCs w:val="28"/>
          <w:u w:val="single"/>
        </w:rPr>
        <w:t>沥滘三期多媒体互动展示项目</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企业自有资金</w:t>
      </w:r>
    </w:p>
    <w:p>
      <w:pPr>
        <w:autoSpaceDE w:val="0"/>
        <w:autoSpaceDN w:val="0"/>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XJXX-20210618-1</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u w:val="single"/>
          <w14:textFill>
            <w14:solidFill>
              <w14:schemeClr w14:val="tx1"/>
            </w14:solidFill>
          </w14:textFill>
        </w:rPr>
        <w:t>沥滘三期多媒体互动展示项目</w:t>
      </w:r>
    </w:p>
    <w:p>
      <w:pPr>
        <w:autoSpaceDE w:val="0"/>
        <w:autoSpaceDN w:val="0"/>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12.26664</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万元</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zh-CN"/>
          <w14:textFill>
            <w14:solidFill>
              <w14:schemeClr w14:val="tx1"/>
            </w14:solidFill>
          </w14:textFill>
        </w:rPr>
        <w:tab/>
      </w:r>
    </w:p>
    <w:p>
      <w:pPr>
        <w:autoSpaceDE w:val="0"/>
        <w:autoSpaceDN w:val="0"/>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在沥滘三期负一层建设多媒体互动投影展示系统，实现企业场馆的业务流程介绍，技术路线讲解，科学净水的科普等功能，有效地把专业科学的净水工作逻辑，更直观地向参观者介绍，了解整个三期工厂净水过程，以及其净水效果，并能带回家广而告之，让科学专业变得更有趣味和直观，以达环保科普目的。具体业务目标如下：</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参观者步行到负一层走到，墙壁的待机界面变为净水的动画流程。</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参观者触摸其中一块流程功能，整个墙壁马上展示其净水流程的动画，不同的按钮展示的流程不同共5个，参观者继续触摸不同功能按钮，触发不同的处理流程。</w:t>
      </w:r>
    </w:p>
    <w:p>
      <w:pPr>
        <w:spacing w:line="6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设备配置需求：</w:t>
      </w:r>
    </w:p>
    <w:p>
      <w:pPr>
        <w:ind w:firstLine="280" w:firstLineChars="100"/>
        <w:rPr>
          <w:rFonts w:ascii="仿宋_GB2312" w:eastAsia="仿宋_GB2312"/>
          <w:sz w:val="28"/>
          <w:szCs w:val="28"/>
        </w:rPr>
      </w:pPr>
      <w:r>
        <w:rPr>
          <w:rFonts w:hint="eastAsia" w:ascii="仿宋_GB2312" w:eastAsia="仿宋_GB2312"/>
          <w:sz w:val="28"/>
          <w:szCs w:val="28"/>
        </w:rPr>
        <w:t>1、两台超短焦激光工程投影机；</w:t>
      </w:r>
    </w:p>
    <w:p>
      <w:pPr>
        <w:ind w:firstLine="280" w:firstLineChars="100"/>
        <w:rPr>
          <w:rFonts w:ascii="仿宋_GB2312" w:eastAsia="仿宋_GB2312"/>
          <w:sz w:val="28"/>
          <w:szCs w:val="28"/>
        </w:rPr>
      </w:pPr>
      <w:r>
        <w:rPr>
          <w:rFonts w:hint="eastAsia" w:ascii="仿宋_GB2312" w:eastAsia="仿宋_GB2312"/>
          <w:sz w:val="28"/>
          <w:szCs w:val="28"/>
        </w:rPr>
        <w:t>2、一套雷达触摸感应系统，能覆盖20*10米投影区域；</w:t>
      </w:r>
    </w:p>
    <w:p>
      <w:pPr>
        <w:ind w:firstLine="280" w:firstLineChars="100"/>
        <w:rPr>
          <w:rFonts w:ascii="仿宋_GB2312" w:eastAsia="仿宋_GB2312"/>
          <w:sz w:val="28"/>
          <w:szCs w:val="28"/>
        </w:rPr>
      </w:pPr>
      <w:r>
        <w:rPr>
          <w:rFonts w:hint="eastAsia" w:ascii="仿宋_GB2312" w:eastAsia="仿宋_GB2312"/>
          <w:sz w:val="28"/>
          <w:szCs w:val="28"/>
        </w:rPr>
        <w:t>3、控制服务器；</w:t>
      </w:r>
    </w:p>
    <w:p>
      <w:pPr>
        <w:ind w:firstLine="280" w:firstLineChars="100"/>
        <w:rPr>
          <w:rFonts w:ascii="仿宋_GB2312" w:eastAsia="仿宋_GB2312"/>
          <w:sz w:val="28"/>
          <w:szCs w:val="28"/>
        </w:rPr>
      </w:pPr>
      <w:r>
        <w:rPr>
          <w:rFonts w:hint="eastAsia" w:ascii="仿宋_GB2312" w:eastAsia="仿宋_GB2312"/>
          <w:sz w:val="28"/>
          <w:szCs w:val="28"/>
        </w:rPr>
        <w:t>4、音响系统；</w:t>
      </w:r>
    </w:p>
    <w:p>
      <w:pPr>
        <w:ind w:firstLine="280" w:firstLineChars="100"/>
        <w:rPr>
          <w:rFonts w:ascii="仿宋_GB2312" w:eastAsia="仿宋_GB2312"/>
          <w:sz w:val="28"/>
          <w:szCs w:val="28"/>
        </w:rPr>
      </w:pPr>
      <w:r>
        <w:rPr>
          <w:rFonts w:hint="eastAsia" w:ascii="仿宋_GB2312" w:eastAsia="仿宋_GB2312"/>
          <w:sz w:val="28"/>
          <w:szCs w:val="28"/>
        </w:rPr>
        <w:t>5、多屏幕融合系统；</w:t>
      </w:r>
    </w:p>
    <w:p>
      <w:pPr>
        <w:ind w:firstLine="280" w:firstLineChars="100"/>
        <w:rPr>
          <w:rFonts w:ascii="仿宋_GB2312" w:eastAsia="仿宋_GB2312"/>
          <w:sz w:val="28"/>
          <w:szCs w:val="28"/>
        </w:rPr>
      </w:pPr>
      <w:r>
        <w:rPr>
          <w:rFonts w:hint="eastAsia" w:ascii="仿宋_GB2312" w:eastAsia="仿宋_GB2312"/>
          <w:sz w:val="28"/>
          <w:szCs w:val="28"/>
        </w:rPr>
        <w:t>6、触控互动软件系统</w:t>
      </w:r>
    </w:p>
    <w:p>
      <w:pPr>
        <w:ind w:firstLine="560" w:firstLineChars="200"/>
        <w:rPr>
          <w:rFonts w:ascii="仿宋_GB2312" w:eastAsia="仿宋_GB2312"/>
          <w:sz w:val="28"/>
          <w:szCs w:val="28"/>
        </w:rPr>
      </w:pPr>
      <w:r>
        <w:rPr>
          <w:rFonts w:hint="eastAsia" w:ascii="仿宋_GB2312" w:eastAsia="仿宋_GB2312"/>
          <w:sz w:val="28"/>
          <w:szCs w:val="28"/>
        </w:rPr>
        <w:t xml:space="preserve">具体技术参数要求如下： </w:t>
      </w:r>
    </w:p>
    <w:p>
      <w:pPr>
        <w:ind w:firstLine="280" w:firstLineChars="100"/>
        <w:rPr>
          <w:rFonts w:ascii="仿宋_GB2312" w:eastAsia="仿宋_GB2312"/>
          <w:sz w:val="28"/>
          <w:szCs w:val="28"/>
        </w:rPr>
      </w:pPr>
      <w:r>
        <w:rPr>
          <w:rFonts w:hint="eastAsia" w:ascii="仿宋_GB2312" w:eastAsia="仿宋_GB2312"/>
          <w:sz w:val="28"/>
          <w:szCs w:val="28"/>
        </w:rPr>
        <w:t>硬件要求：</w:t>
      </w:r>
    </w:p>
    <w:tbl>
      <w:tblPr>
        <w:tblStyle w:val="26"/>
        <w:tblW w:w="4294" w:type="pct"/>
        <w:jc w:val="center"/>
        <w:tblLayout w:type="autofit"/>
        <w:tblCellMar>
          <w:top w:w="0" w:type="dxa"/>
          <w:left w:w="0" w:type="dxa"/>
          <w:bottom w:w="0" w:type="dxa"/>
          <w:right w:w="0" w:type="dxa"/>
        </w:tblCellMar>
      </w:tblPr>
      <w:tblGrid>
        <w:gridCol w:w="2019"/>
        <w:gridCol w:w="6019"/>
      </w:tblGrid>
      <w:tr>
        <w:tblPrEx>
          <w:tblCellMar>
            <w:top w:w="0" w:type="dxa"/>
            <w:left w:w="0" w:type="dxa"/>
            <w:bottom w:w="0" w:type="dxa"/>
            <w:right w:w="0" w:type="dxa"/>
          </w:tblCellMar>
        </w:tblPrEx>
        <w:trPr>
          <w:trHeight w:val="458" w:hRule="atLeast"/>
          <w:jc w:val="center"/>
        </w:trPr>
        <w:tc>
          <w:tcPr>
            <w:tcW w:w="209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类别</w:t>
            </w:r>
            <w:r>
              <w:rPr>
                <w:rFonts w:hint="eastAsia" w:ascii="仿宋_GB2312" w:eastAsia="仿宋_GB2312" w:cs="Arial"/>
                <w:color w:val="000000"/>
                <w:kern w:val="24"/>
                <w:szCs w:val="21"/>
              </w:rPr>
              <w:t xml:space="preserve"> </w:t>
            </w:r>
          </w:p>
        </w:tc>
        <w:tc>
          <w:tcPr>
            <w:tcW w:w="6198"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说明</w:t>
            </w:r>
            <w:r>
              <w:rPr>
                <w:rFonts w:hint="eastAsia" w:ascii="仿宋_GB2312" w:eastAsia="仿宋_GB2312" w:cs="Arial"/>
                <w:color w:val="000000"/>
                <w:kern w:val="24"/>
                <w:szCs w:val="21"/>
              </w:rPr>
              <w:t xml:space="preserve"> </w:t>
            </w:r>
          </w:p>
        </w:tc>
      </w:tr>
      <w:tr>
        <w:tblPrEx>
          <w:tblCellMar>
            <w:top w:w="0" w:type="dxa"/>
            <w:left w:w="0" w:type="dxa"/>
            <w:bottom w:w="0" w:type="dxa"/>
            <w:right w:w="0" w:type="dxa"/>
          </w:tblCellMar>
        </w:tblPrEx>
        <w:trPr>
          <w:trHeight w:val="3369" w:hRule="atLeast"/>
          <w:jc w:val="center"/>
        </w:trPr>
        <w:tc>
          <w:tcPr>
            <w:tcW w:w="209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投影机</w:t>
            </w:r>
          </w:p>
        </w:tc>
        <w:tc>
          <w:tcPr>
            <w:tcW w:w="619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投影技术DLP，0.48 DMD，IP6X防尘等级；30000小时激光光源；亮度≧ 4500流明；标准分辨率：1920*1200；对比度≧2000000:1；梯形校正≧+/-5度（垂直&amp;水平），具有四角梯形校正功能；投射比：0.252：1；内置10W*2音箱；采用最新的ColorBoost 3D色彩技术；支持蓝光HDMI 3D 适配 144Hz 24p</w:t>
            </w:r>
          </w:p>
          <w:p>
            <w:pPr>
              <w:widowControl/>
              <w:spacing w:line="320" w:lineRule="exact"/>
              <w:jc w:val="left"/>
              <w:textAlignment w:val="center"/>
              <w:rPr>
                <w:rFonts w:ascii="仿宋_GB2312" w:eastAsia="仿宋_GB2312" w:cs="Arial"/>
                <w:color w:val="000000"/>
                <w:kern w:val="0"/>
                <w:szCs w:val="21"/>
              </w:rPr>
            </w:pPr>
          </w:p>
        </w:tc>
      </w:tr>
      <w:tr>
        <w:tblPrEx>
          <w:tblCellMar>
            <w:top w:w="0" w:type="dxa"/>
            <w:left w:w="0" w:type="dxa"/>
            <w:bottom w:w="0" w:type="dxa"/>
            <w:right w:w="0" w:type="dxa"/>
          </w:tblCellMar>
        </w:tblPrEx>
        <w:trPr>
          <w:trHeight w:val="454" w:hRule="exact"/>
          <w:jc w:val="center"/>
        </w:trPr>
        <w:tc>
          <w:tcPr>
            <w:tcW w:w="209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主机</w:t>
            </w:r>
          </w:p>
        </w:tc>
        <w:tc>
          <w:tcPr>
            <w:tcW w:w="619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I5/Z390-A/8G/P620显卡/SSD240G/500W</w:t>
            </w:r>
          </w:p>
        </w:tc>
      </w:tr>
      <w:tr>
        <w:tblPrEx>
          <w:tblCellMar>
            <w:top w:w="0" w:type="dxa"/>
            <w:left w:w="0" w:type="dxa"/>
            <w:bottom w:w="0" w:type="dxa"/>
            <w:right w:w="0" w:type="dxa"/>
          </w:tblCellMar>
        </w:tblPrEx>
        <w:trPr>
          <w:trHeight w:val="1657" w:hRule="exact"/>
          <w:jc w:val="center"/>
        </w:trPr>
        <w:tc>
          <w:tcPr>
            <w:tcW w:w="209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雷达</w:t>
            </w:r>
          </w:p>
        </w:tc>
        <w:tc>
          <w:tcPr>
            <w:tcW w:w="619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单台触控范围：700cm*300,支持多台并机工作;角度分辨率：0.33；激光波长：905nm；扫码角度：≤270°；触控类型：最多可达60点；响应速度：≤20ms;防护等级：IP67;以太网端口网线传输，信号传输零衰减，</w:t>
            </w:r>
          </w:p>
        </w:tc>
      </w:tr>
      <w:tr>
        <w:tblPrEx>
          <w:tblCellMar>
            <w:top w:w="0" w:type="dxa"/>
            <w:left w:w="0" w:type="dxa"/>
            <w:bottom w:w="0" w:type="dxa"/>
            <w:right w:w="0" w:type="dxa"/>
          </w:tblCellMar>
        </w:tblPrEx>
        <w:trPr>
          <w:trHeight w:val="2732" w:hRule="exact"/>
          <w:jc w:val="center"/>
        </w:trPr>
        <w:tc>
          <w:tcPr>
            <w:tcW w:w="209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供放</w:t>
            </w:r>
          </w:p>
        </w:tc>
        <w:tc>
          <w:tcPr>
            <w:tcW w:w="6198"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电源需求:AC220V/50-60Hz、额定功率:4×60W、频率响应:100Hz~16kHz ±3dB、失真度:＜0.8%(1KHz，1/3额定输出功率)、输出方式:4~16定阻输出，70V,100V定压输出、输入灵敏度:775mV/0dB平衡、辅助输出:775mV/0dB、非平衡信噪比:90dB</w:t>
            </w:r>
          </w:p>
        </w:tc>
      </w:tr>
      <w:tr>
        <w:tblPrEx>
          <w:tblCellMar>
            <w:top w:w="0" w:type="dxa"/>
            <w:left w:w="0" w:type="dxa"/>
            <w:bottom w:w="0" w:type="dxa"/>
            <w:right w:w="0" w:type="dxa"/>
          </w:tblCellMar>
        </w:tblPrEx>
        <w:trPr>
          <w:trHeight w:val="1436" w:hRule="exact"/>
          <w:jc w:val="center"/>
        </w:trPr>
        <w:tc>
          <w:tcPr>
            <w:tcW w:w="2092"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吸项</w:t>
            </w:r>
          </w:p>
        </w:tc>
        <w:tc>
          <w:tcPr>
            <w:tcW w:w="619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额定功率/ 阻抗 3.8/7.5/15/30W/8Ω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线电压 100V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灵敏度(1m,1W) 89±3dB(1m,1W) </w:t>
            </w:r>
          </w:p>
          <w:p>
            <w:pPr>
              <w:widowControl/>
              <w:spacing w:line="320" w:lineRule="exact"/>
              <w:jc w:val="left"/>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频率响应 100Hz～ 20kHz</w:t>
            </w:r>
          </w:p>
        </w:tc>
      </w:tr>
    </w:tbl>
    <w:p>
      <w:pPr>
        <w:ind w:firstLine="280" w:firstLineChars="100"/>
        <w:rPr>
          <w:rFonts w:ascii="仿宋_GB2312" w:eastAsia="仿宋_GB2312"/>
          <w:sz w:val="28"/>
          <w:szCs w:val="28"/>
        </w:rPr>
      </w:pPr>
      <w:r>
        <w:rPr>
          <w:rFonts w:hint="eastAsia" w:ascii="仿宋_GB2312" w:eastAsia="仿宋_GB2312"/>
          <w:sz w:val="28"/>
          <w:szCs w:val="28"/>
        </w:rPr>
        <w:t>软件要求：</w:t>
      </w:r>
    </w:p>
    <w:tbl>
      <w:tblPr>
        <w:tblStyle w:val="26"/>
        <w:tblW w:w="4216" w:type="pct"/>
        <w:jc w:val="center"/>
        <w:tblLayout w:type="autofit"/>
        <w:tblCellMar>
          <w:top w:w="0" w:type="dxa"/>
          <w:left w:w="0" w:type="dxa"/>
          <w:bottom w:w="0" w:type="dxa"/>
          <w:right w:w="0" w:type="dxa"/>
        </w:tblCellMar>
      </w:tblPr>
      <w:tblGrid>
        <w:gridCol w:w="3914"/>
        <w:gridCol w:w="3978"/>
      </w:tblGrid>
      <w:tr>
        <w:tblPrEx>
          <w:tblCellMar>
            <w:top w:w="0" w:type="dxa"/>
            <w:left w:w="0" w:type="dxa"/>
            <w:bottom w:w="0" w:type="dxa"/>
            <w:right w:w="0" w:type="dxa"/>
          </w:tblCellMar>
        </w:tblPrEx>
        <w:trPr>
          <w:trHeight w:val="454" w:hRule="exact"/>
          <w:jc w:val="center"/>
        </w:trPr>
        <w:tc>
          <w:tcPr>
            <w:tcW w:w="3915"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rPr>
                <w:rFonts w:ascii="仿宋_GB2312" w:eastAsia="仿宋_GB2312"/>
                <w:color w:val="000000"/>
                <w:szCs w:val="21"/>
              </w:rPr>
            </w:pPr>
            <w:r>
              <w:rPr>
                <w:rFonts w:hint="eastAsia" w:ascii="仿宋_GB2312" w:eastAsia="仿宋_GB2312"/>
                <w:b/>
                <w:bCs/>
                <w:color w:val="000000"/>
                <w:szCs w:val="21"/>
              </w:rPr>
              <w:t>类别</w:t>
            </w:r>
            <w:r>
              <w:rPr>
                <w:rFonts w:hint="eastAsia" w:ascii="仿宋_GB2312" w:eastAsia="仿宋_GB2312"/>
                <w:color w:val="000000"/>
                <w:szCs w:val="21"/>
              </w:rPr>
              <w:t xml:space="preserve"> </w:t>
            </w:r>
          </w:p>
        </w:tc>
        <w:tc>
          <w:tcPr>
            <w:tcW w:w="3978"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rPr>
                <w:rFonts w:ascii="仿宋_GB2312" w:eastAsia="仿宋_GB2312"/>
                <w:color w:val="000000"/>
                <w:szCs w:val="21"/>
              </w:rPr>
            </w:pPr>
            <w:r>
              <w:rPr>
                <w:rFonts w:hint="eastAsia" w:ascii="仿宋_GB2312" w:eastAsia="仿宋_GB2312"/>
                <w:b/>
                <w:bCs/>
                <w:color w:val="000000"/>
                <w:szCs w:val="21"/>
              </w:rPr>
              <w:t xml:space="preserve">说明 </w:t>
            </w:r>
          </w:p>
        </w:tc>
      </w:tr>
      <w:tr>
        <w:tblPrEx>
          <w:tblCellMar>
            <w:top w:w="0" w:type="dxa"/>
            <w:left w:w="0" w:type="dxa"/>
            <w:bottom w:w="0" w:type="dxa"/>
            <w:right w:w="0" w:type="dxa"/>
          </w:tblCellMar>
        </w:tblPrEx>
        <w:trPr>
          <w:trHeight w:val="13634" w:hRule="exact"/>
          <w:jc w:val="center"/>
        </w:trPr>
        <w:tc>
          <w:tcPr>
            <w:tcW w:w="3915"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jc w:val="center"/>
              <w:rPr>
                <w:rFonts w:ascii="仿宋_GB2312" w:eastAsia="仿宋_GB2312"/>
                <w:b/>
                <w:bCs/>
                <w:color w:val="000000"/>
                <w:szCs w:val="21"/>
              </w:rPr>
            </w:pPr>
            <w:r>
              <w:rPr>
                <w:rFonts w:hint="eastAsia" w:ascii="仿宋_GB2312" w:hAnsi="仿宋_GB2312" w:eastAsia="仿宋_GB2312" w:cs="仿宋_GB2312"/>
                <w:color w:val="000000"/>
                <w:kern w:val="0"/>
                <w:szCs w:val="21"/>
                <w:lang w:bidi="ar"/>
              </w:rPr>
              <w:t>雷达后台</w:t>
            </w:r>
          </w:p>
        </w:tc>
        <w:tc>
          <w:tcPr>
            <w:tcW w:w="3978"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1、支持各激光雷达，红外摄像枪，KINECT体感器等各类设备.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2、支持多雷达并接布局，简单容易操作。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3、支持精细识别、毫米级识别度。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4、支持雷达角度调整、感应范围调整、转速调整。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5、支持手动设置屏幕互动范围， 最大支持4组范围。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6、支持中控协议，与第三方可编程中控系统，无缝对接。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7、支持自定义播放列表内容、可以设置互动时间、随机或顺序播放。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8、支持定时关机，启动延时等待操作。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9、支持多点触摸TOUCH（最大支持255触摸点同时响应），鼠标点击、右点击等。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10、支持TUIO数据输出。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11、自动消除雷达背景，无需手动绘制遮罩。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12、支持win7, win8, win10 多点触摸操作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13、支持多种界面语言（简体、英文）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14、支持T形屏、L形屏及拼接屏的单元校准（可以任意定义校准点4点、16点、32点、64点、及用户自定义校准点数和任意拖放屏幕互动区域位置）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15、增加互动内容切换等待窗口，以防止切换时鼠标乱跳触碰到桌面图标。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16、性能提升、支持多个雷达级联、减少地面互动死角。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17、支持无屏校准。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18、支持多窗口素材同时显示及互动，如并列多个flash?或U3D素材窗口显示交互。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19、支持播放列表添加多个不同交互对接方式的素材，如第一个素材为TUIO、第二个为鼠标、第三个为多点触摸，软件系统可根据用户设定自动切换识别输出。</w:t>
            </w:r>
          </w:p>
          <w:p>
            <w:pPr>
              <w:widowControl/>
              <w:spacing w:line="320" w:lineRule="exact"/>
              <w:jc w:val="left"/>
              <w:textAlignment w:val="center"/>
              <w:rPr>
                <w:rFonts w:ascii="仿宋_GB2312" w:eastAsia="仿宋_GB2312"/>
                <w:b/>
                <w:bCs/>
                <w:color w:val="000000"/>
                <w:szCs w:val="21"/>
              </w:rPr>
            </w:pPr>
            <w:r>
              <w:rPr>
                <w:rFonts w:hint="eastAsia" w:ascii="仿宋_GB2312" w:hAnsi="仿宋_GB2312" w:eastAsia="仿宋_GB2312" w:cs="仿宋_GB2312"/>
                <w:color w:val="000000"/>
                <w:kern w:val="0"/>
                <w:szCs w:val="21"/>
                <w:lang w:bidi="ar"/>
              </w:rPr>
              <w:t>20、新增加校准点通过键盘微调，方便用户精准校准坐标点。并能对于多个校准区域，对于校准精度有误差的，进行单独修改调整。</w:t>
            </w:r>
          </w:p>
        </w:tc>
      </w:tr>
      <w:tr>
        <w:tblPrEx>
          <w:tblCellMar>
            <w:top w:w="0" w:type="dxa"/>
            <w:left w:w="0" w:type="dxa"/>
            <w:bottom w:w="0" w:type="dxa"/>
            <w:right w:w="0" w:type="dxa"/>
          </w:tblCellMar>
        </w:tblPrEx>
        <w:trPr>
          <w:trHeight w:val="4415" w:hRule="exact"/>
          <w:jc w:val="center"/>
        </w:trPr>
        <w:tc>
          <w:tcPr>
            <w:tcW w:w="3915"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olor w:val="000000"/>
                <w:szCs w:val="21"/>
              </w:rPr>
            </w:pPr>
          </w:p>
        </w:tc>
        <w:tc>
          <w:tcPr>
            <w:tcW w:w="397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20、新增加校准点通过键盘微调，方便用户精准校准坐标点。并能对于多个校准区域，对于校准精度有误差的，进行单独修改调整。</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21、多台电脑同步播放同一种互动素材画面，同步协调播放，使得效果更一整体。</w:t>
            </w:r>
          </w:p>
          <w:p>
            <w:pPr>
              <w:widowControl/>
              <w:spacing w:line="320" w:lineRule="exact"/>
              <w:jc w:val="left"/>
              <w:textAlignment w:val="center"/>
              <w:rPr>
                <w:rFonts w:ascii="仿宋_GB2312" w:hAnsi="仿宋_GB2312" w:eastAsia="仿宋_GB2312" w:cs="仿宋_GB2312"/>
                <w:color w:val="000000"/>
                <w:kern w:val="0"/>
                <w:szCs w:val="21"/>
                <w:u w:val="single"/>
                <w:lang w:bidi="ar"/>
              </w:rPr>
            </w:pPr>
            <w:r>
              <w:rPr>
                <w:rFonts w:hint="eastAsia" w:ascii="仿宋_GB2312" w:hAnsi="仿宋_GB2312" w:eastAsia="仿宋_GB2312" w:cs="仿宋_GB2312"/>
                <w:color w:val="000000"/>
                <w:kern w:val="0"/>
                <w:szCs w:val="21"/>
                <w:u w:val="single"/>
                <w:lang w:bidi="ar"/>
              </w:rPr>
              <w:t>22、</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产品生产厂家（公司）软件著作权登记证书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p>
            <w:pPr>
              <w:widowControl/>
              <w:spacing w:line="320" w:lineRule="exact"/>
              <w:jc w:val="left"/>
              <w:textAlignment w:val="center"/>
              <w:rPr>
                <w:rFonts w:ascii="仿宋_GB2312" w:eastAsia="仿宋_GB2312"/>
                <w:color w:val="000000"/>
                <w:szCs w:val="21"/>
              </w:rPr>
            </w:pPr>
            <w:r>
              <w:rPr>
                <w:rFonts w:hint="eastAsia" w:ascii="仿宋_GB2312" w:hAnsi="仿宋_GB2312" w:eastAsia="仿宋_GB2312" w:cs="仿宋_GB2312"/>
                <w:color w:val="000000"/>
                <w:kern w:val="0"/>
                <w:szCs w:val="21"/>
                <w:u w:val="single"/>
                <w:lang w:bidi="ar"/>
              </w:rPr>
              <w:t>23、</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产品生产厂家（公司）国家高新技术企业证书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tc>
      </w:tr>
      <w:tr>
        <w:tblPrEx>
          <w:tblCellMar>
            <w:top w:w="0" w:type="dxa"/>
            <w:left w:w="0" w:type="dxa"/>
            <w:bottom w:w="0" w:type="dxa"/>
            <w:right w:w="0" w:type="dxa"/>
          </w:tblCellMar>
        </w:tblPrEx>
        <w:trPr>
          <w:trHeight w:val="9704" w:hRule="exact"/>
          <w:jc w:val="center"/>
        </w:trPr>
        <w:tc>
          <w:tcPr>
            <w:tcW w:w="3915"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olor w:val="000000"/>
                <w:szCs w:val="21"/>
              </w:rPr>
            </w:pPr>
            <w:r>
              <w:rPr>
                <w:rFonts w:hint="eastAsia" w:ascii="仿宋_GB2312" w:hAnsi="仿宋_GB2312" w:eastAsia="仿宋_GB2312" w:cs="仿宋_GB2312"/>
                <w:color w:val="000000"/>
                <w:kern w:val="0"/>
                <w:szCs w:val="21"/>
                <w:lang w:bidi="ar"/>
              </w:rPr>
              <w:t>融合软件</w:t>
            </w:r>
          </w:p>
        </w:tc>
        <w:tc>
          <w:tcPr>
            <w:tcW w:w="397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1、支持多通道图像的分割、拼接、边缘融合、几何矫正和视频播放，实现图像的完整一体化、无失真、多通道的无缝拼接。</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2、支持遮罩功能。即在常规的矩形图像上通过加载遮罩使投影出来的图像变为其它形状（如椭圆、圆形等）。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3、支持画面的变形和旋转。</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4、支持AV采集卡和VGA采集卡、DVI、HDMI等高清采集卡对采集数据的输入，兼容多屏显示软件，支持多开窗口（画中画），。</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5、支持标准格式影像文件、图片、动画、采集视频以及互动插件的播放。</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6、支持画面(融合机画面和场景在融合机中的画面)位置和大小的调节，支持数值自定义或直接对画面的缩放和平移的调节方式。</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7、支持融合带宽度和节点的实时调节，手动几何校正，平幕、弧幕、折幕、U幕、柱幕、S形曲面、不规则幕面校正等。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8、支持投影机色差的校正。</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9、支持红、绿、蓝单通道颜色的融合过渡。</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10、支持场景的手动切换和自动切换，手机或平板或键盘切换等。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11、支持操作的回退（撤消）、单屏的复位以及多屏的全部复位（回到未调试时的状态）。</w:t>
            </w:r>
          </w:p>
          <w:p>
            <w:pPr>
              <w:widowControl/>
              <w:spacing w:line="320" w:lineRule="exact"/>
              <w:jc w:val="left"/>
              <w:textAlignment w:val="center"/>
              <w:rPr>
                <w:rFonts w:hint="eastAsia" w:ascii="仿宋_GB2312" w:hAnsi="仿宋_GB2312" w:eastAsia="仿宋_GB2312" w:cs="仿宋_GB2312"/>
                <w:color w:val="000000"/>
                <w:kern w:val="0"/>
                <w:szCs w:val="21"/>
                <w:lang w:bidi="ar"/>
              </w:rPr>
            </w:pPr>
          </w:p>
        </w:tc>
      </w:tr>
      <w:tr>
        <w:tblPrEx>
          <w:tblCellMar>
            <w:top w:w="0" w:type="dxa"/>
            <w:left w:w="0" w:type="dxa"/>
            <w:bottom w:w="0" w:type="dxa"/>
            <w:right w:w="0" w:type="dxa"/>
          </w:tblCellMar>
        </w:tblPrEx>
        <w:trPr>
          <w:trHeight w:val="14392" w:hRule="exact"/>
          <w:jc w:val="center"/>
        </w:trPr>
        <w:tc>
          <w:tcPr>
            <w:tcW w:w="3915"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olor w:val="000000"/>
                <w:szCs w:val="21"/>
              </w:rPr>
            </w:pPr>
          </w:p>
        </w:tc>
        <w:tc>
          <w:tcPr>
            <w:tcW w:w="397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12、支持媒体的播放、暂停、停止、进度控制、音量调节，可播放硬盘内的视频、文档、PPT、图片，多媒体控制系统，高性能视频播放器，支持4K-8k极清，不超过400M码流，支持视频格式 avi、rmvb、rm、mkv、wmv、mp4、mpeg、mpg、mov等，支持图片格式 jpg、jpeg、png、bmp等。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13、支持LCD投影机和DLP投影机的投影以及LED显示屏的显示，融合带Gamma校正处理，多灰阶以及RGB色阶调节,投影机边缘叠加高消隐处理，使投影画面平滑过渡，对色差较大的LCD投影机也能保持色彩一致。</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14、支持屏幕键盘和导播系统的调用。</w:t>
            </w:r>
          </w:p>
          <w:p>
            <w:pPr>
              <w:widowControl/>
              <w:spacing w:line="320" w:lineRule="exact"/>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15、单机最大支持8通道显示，如果超过最大通道数，可通过多机同步模块进行扩展，标准分辨率1024*768~9600*1200，可自定义任意分辨率，最大支持单台投影9600*1200。</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16、支持同步能力，精确同步、帧同步。</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17、支持桌面融合支持inter架构,Windows系统windows 7,windows 8.1,windows 10。</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18、支持鼠标状态  显示/隐藏/系统，精准鼠标定位，真实还原鼠标各种运行状态。</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19、支持远程协议控制，UDP,TCP,232串口等。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20、支持自动启动效果，自动融合桌面/播放视频图片等。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21、支持3D系统，支持被动式3D，支持左右、上下、2D，亮度叠加之间相互切换。</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22、图像渲染引，DirectX 高性能图像渲染引擎，基于融合配置信息对图像进行实时渲染。</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23、支持可采集网络信号上大屏，支持多窗口显示及画面漫游。</w:t>
            </w:r>
          </w:p>
          <w:p>
            <w:pPr>
              <w:widowControl/>
              <w:spacing w:line="320" w:lineRule="exact"/>
              <w:jc w:val="left"/>
              <w:textAlignment w:val="center"/>
              <w:rPr>
                <w:rFonts w:ascii="仿宋_GB2312" w:hAnsi="仿宋_GB2312" w:eastAsia="仿宋_GB2312" w:cs="仿宋_GB2312"/>
                <w:color w:val="000000"/>
                <w:kern w:val="0"/>
                <w:szCs w:val="21"/>
                <w:u w:val="single"/>
                <w:lang w:bidi="ar"/>
              </w:rPr>
            </w:pPr>
            <w:r>
              <w:rPr>
                <w:rFonts w:hint="eastAsia" w:ascii="仿宋_GB2312" w:hAnsi="仿宋_GB2312" w:eastAsia="仿宋_GB2312" w:cs="仿宋_GB2312"/>
                <w:color w:val="000000"/>
                <w:kern w:val="0"/>
                <w:szCs w:val="21"/>
                <w:u w:val="single"/>
                <w:lang w:bidi="ar"/>
              </w:rPr>
              <w:t>2</w:t>
            </w:r>
            <w:r>
              <w:rPr>
                <w:rFonts w:hint="eastAsia" w:ascii="仿宋_GB2312" w:hAnsi="仿宋_GB2312" w:eastAsia="仿宋_GB2312" w:cs="仿宋_GB2312"/>
                <w:color w:val="000000"/>
                <w:kern w:val="0"/>
                <w:szCs w:val="21"/>
                <w:u w:val="single"/>
                <w:lang w:val="en-US" w:eastAsia="zh-CN" w:bidi="ar"/>
              </w:rPr>
              <w:t>4</w:t>
            </w:r>
            <w:r>
              <w:rPr>
                <w:rFonts w:hint="eastAsia" w:ascii="仿宋_GB2312" w:hAnsi="仿宋_GB2312" w:eastAsia="仿宋_GB2312" w:cs="仿宋_GB2312"/>
                <w:color w:val="000000"/>
                <w:kern w:val="0"/>
                <w:szCs w:val="21"/>
                <w:u w:val="single"/>
                <w:lang w:bidi="ar"/>
              </w:rPr>
              <w:t>、</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产品生产厂家（公司）软件著作权登记证书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p>
            <w:pPr>
              <w:widowControl/>
              <w:spacing w:line="320" w:lineRule="exact"/>
              <w:jc w:val="left"/>
              <w:textAlignment w:val="center"/>
              <w:rPr>
                <w:rFonts w:ascii="仿宋_GB2312" w:eastAsia="仿宋_GB2312"/>
                <w:color w:val="000000"/>
                <w:szCs w:val="21"/>
              </w:rPr>
            </w:pPr>
            <w:r>
              <w:rPr>
                <w:rFonts w:hint="eastAsia" w:ascii="仿宋_GB2312" w:hAnsi="仿宋_GB2312" w:eastAsia="仿宋_GB2312" w:cs="仿宋_GB2312"/>
                <w:color w:val="000000"/>
                <w:kern w:val="0"/>
                <w:szCs w:val="21"/>
                <w:u w:val="single"/>
                <w:lang w:bidi="ar"/>
              </w:rPr>
              <w:t>2</w:t>
            </w:r>
            <w:r>
              <w:rPr>
                <w:rFonts w:hint="eastAsia" w:ascii="仿宋_GB2312" w:hAnsi="仿宋_GB2312" w:eastAsia="仿宋_GB2312" w:cs="仿宋_GB2312"/>
                <w:color w:val="000000"/>
                <w:kern w:val="0"/>
                <w:szCs w:val="21"/>
                <w:u w:val="single"/>
                <w:lang w:val="en-US" w:eastAsia="zh-CN" w:bidi="ar"/>
              </w:rPr>
              <w:t>5</w:t>
            </w:r>
            <w:r>
              <w:rPr>
                <w:rFonts w:hint="eastAsia" w:ascii="仿宋_GB2312" w:hAnsi="仿宋_GB2312" w:eastAsia="仿宋_GB2312" w:cs="仿宋_GB2312"/>
                <w:color w:val="000000"/>
                <w:kern w:val="0"/>
                <w:szCs w:val="21"/>
                <w:u w:val="single"/>
                <w:lang w:bidi="ar"/>
              </w:rPr>
              <w:t>、</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产品生产厂家（公司）国家高新技术企业证书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tc>
      </w:tr>
      <w:tr>
        <w:tblPrEx>
          <w:tblCellMar>
            <w:top w:w="0" w:type="dxa"/>
            <w:left w:w="0" w:type="dxa"/>
            <w:bottom w:w="0" w:type="dxa"/>
            <w:right w:w="0" w:type="dxa"/>
          </w:tblCellMar>
        </w:tblPrEx>
        <w:trPr>
          <w:trHeight w:val="13359" w:hRule="exact"/>
          <w:jc w:val="center"/>
        </w:trPr>
        <w:tc>
          <w:tcPr>
            <w:tcW w:w="3915" w:type="dxa"/>
            <w:tcBorders>
              <w:top w:val="dotted" w:color="auto" w:sz="8" w:space="0"/>
              <w:left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中控系统</w:t>
            </w:r>
          </w:p>
        </w:tc>
        <w:tc>
          <w:tcPr>
            <w:tcW w:w="397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1、支持 WEB 网页和 PC 软件等多种参数配置方式，配置参数方便灵活</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2、支持多个模块进行总线组网，使 I/O 点数得到灵活扩展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3、支持采集现场的 I/O 输入信号，并输出 I/O 控制信号.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4、支持I/O 信号类型可根据现场需要进行灵活配置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5、支持输入支持事件响应，事件支持滤波处理.</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6、支持输出支持初始状态锁定、输出锁定及安全电压设定。</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7、支持可通过远程命令对模块进行控制.</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8、支持以太网口和串口均可读取并控制 I/O 状态.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9、支持可在云端直接控制，并可上报自定义内容.       </w:t>
            </w:r>
          </w:p>
          <w:p>
            <w:pPr>
              <w:widowControl/>
              <w:spacing w:line="320" w:lineRule="exact"/>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10、支持具有自动报告 IP 的功能，支持在线更新固件</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11、支持10/100M 自适应以太网接口，支持动态 IP（DHCP）和静态 IP。</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12、支持集合 I/O 采集，控制输出，串口服务器，Modbus 网关功能于一身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13、支持IOS控制端程序开发模块，支持IOS界面定制，支持IOS控制程序云备份，更新，下载等功能</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14、支持内置各种常用多媒体设备的强大代码库，支持快速编程、修改，自定义等；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15、支持主板网络远程唤醒，支持TCP/UDP数据协议，支持串口设备，网络设备的控制，支持IO控制；</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16、支持PC端和Ipad同时使用，也可认为PC端播放器控制软件备份；</w:t>
            </w:r>
          </w:p>
          <w:p>
            <w:pPr>
              <w:widowControl/>
              <w:spacing w:line="320" w:lineRule="exact"/>
              <w:jc w:val="left"/>
              <w:textAlignment w:val="center"/>
              <w:rPr>
                <w:rFonts w:ascii="仿宋_GB2312" w:hAnsi="仿宋_GB2312" w:eastAsia="仿宋_GB2312" w:cs="仿宋_GB2312"/>
                <w:color w:val="000000"/>
                <w:kern w:val="0"/>
                <w:szCs w:val="21"/>
                <w:u w:val="single"/>
                <w:lang w:bidi="ar"/>
              </w:rPr>
            </w:pPr>
            <w:r>
              <w:rPr>
                <w:rFonts w:hint="eastAsia" w:ascii="仿宋_GB2312" w:hAnsi="仿宋_GB2312" w:eastAsia="仿宋_GB2312" w:cs="仿宋_GB2312"/>
                <w:color w:val="000000"/>
                <w:kern w:val="0"/>
                <w:szCs w:val="21"/>
                <w:u w:val="single"/>
                <w:lang w:val="en-US" w:eastAsia="zh-CN" w:bidi="ar"/>
              </w:rPr>
              <w:t>17</w:t>
            </w:r>
            <w:r>
              <w:rPr>
                <w:rFonts w:hint="eastAsia" w:ascii="仿宋_GB2312" w:hAnsi="仿宋_GB2312" w:eastAsia="仿宋_GB2312" w:cs="仿宋_GB2312"/>
                <w:color w:val="000000"/>
                <w:kern w:val="0"/>
                <w:szCs w:val="21"/>
                <w:u w:val="single"/>
                <w:lang w:bidi="ar"/>
              </w:rPr>
              <w:t>、</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产品生产厂家（公司）软件著作权登记证书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u w:val="single"/>
                <w:lang w:val="en-US" w:eastAsia="zh-CN" w:bidi="ar"/>
              </w:rPr>
              <w:t>18</w:t>
            </w:r>
            <w:r>
              <w:rPr>
                <w:rFonts w:hint="eastAsia" w:ascii="仿宋_GB2312" w:hAnsi="仿宋_GB2312" w:eastAsia="仿宋_GB2312" w:cs="仿宋_GB2312"/>
                <w:color w:val="000000"/>
                <w:kern w:val="0"/>
                <w:szCs w:val="21"/>
                <w:u w:val="single"/>
                <w:lang w:bidi="ar"/>
              </w:rPr>
              <w:t>、</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产品生产厂家（公司）国家高新技术企业证书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tc>
      </w:tr>
    </w:tbl>
    <w:p>
      <w:pPr>
        <w:spacing w:line="600" w:lineRule="exact"/>
        <w:rPr>
          <w:rFonts w:hint="eastAsia" w:ascii="仿宋_GB2312" w:hAnsi="仿宋_GB2312" w:eastAsia="仿宋_GB2312" w:cs="仿宋_GB2312"/>
          <w:sz w:val="28"/>
          <w:szCs w:val="28"/>
        </w:rPr>
      </w:pPr>
    </w:p>
    <w:p>
      <w:pPr>
        <w:autoSpaceDE w:val="0"/>
        <w:autoSpaceDN w:val="0"/>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p>
    <w:p>
      <w:pPr>
        <w:autoSpaceDE w:val="0"/>
        <w:autoSpaceDN w:val="0"/>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报价单位须是中华人民共和国境内法人或者其他组织，同时持有工商行政管理或市场监督管理部门核发的有效营业执照，按国家法律经营，</w:t>
      </w:r>
      <w:r>
        <w:rPr>
          <w:rFonts w:hint="eastAsia" w:ascii="仿宋_GB2312" w:hAnsi="仿宋_GB2312" w:eastAsia="仿宋_GB2312" w:cs="仿宋_GB2312"/>
          <w:color w:val="000000" w:themeColor="text1"/>
          <w:sz w:val="28"/>
          <w:szCs w:val="28"/>
          <w:u w:val="single"/>
          <w14:textFill>
            <w14:solidFill>
              <w14:schemeClr w14:val="tx1"/>
            </w14:solidFill>
          </w14:textFill>
        </w:rPr>
        <w:t>且能开具增值税专用发票。</w:t>
      </w:r>
    </w:p>
    <w:p>
      <w:pPr>
        <w:numPr>
          <w:ilvl w:val="0"/>
          <w:numId w:val="0"/>
        </w:numPr>
        <w:autoSpaceDE/>
        <w:autoSpaceDN/>
        <w:ind w:firstLine="560" w:firstLineChars="200"/>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销售业绩要求：2018年1月1日至今</w:t>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t>最少</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具有</w:t>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t>一</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项类似</w:t>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t>互动投影项目实施</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业绩</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（提供合同复印件证明，包括但不限于项目名称、金额及实施内容、合同双方签字盖章、签订日期，并加盖单位公章）。</w:t>
      </w:r>
    </w:p>
    <w:p>
      <w:pPr>
        <w:autoSpaceDE w:val="0"/>
        <w:autoSpaceDN w:val="0"/>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、现场踏勘(答疑会)时间、地点（也可由报价单位自行踏勘现场）：</w:t>
      </w:r>
    </w:p>
    <w:p>
      <w:pPr>
        <w:autoSpaceDE w:val="0"/>
        <w:autoSpaceDN w:val="0"/>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1. 现场踏勘(答疑会)集合时间：/</w:t>
      </w:r>
    </w:p>
    <w:p>
      <w:pPr>
        <w:autoSpaceDE w:val="0"/>
        <w:autoSpaceDN w:val="0"/>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2. 现场踏勘(答疑会)集合地点：/</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24</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 xml:space="preserve">时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 xml:space="preserve"> 分前，在广州市净水有限公司门户网站免费下载。</w:t>
      </w:r>
    </w:p>
    <w:p>
      <w:pPr>
        <w:ind w:firstLine="588" w:firstLineChars="21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九、询价响应文件递交时间：2021年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 xml:space="preserve">月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24</w:t>
      </w:r>
      <w:r>
        <w:rPr>
          <w:rFonts w:hint="eastAsia" w:ascii="仿宋_GB2312" w:hAnsi="仿宋_GB2312" w:eastAsia="仿宋_GB2312" w:cs="仿宋_GB2312"/>
          <w:color w:val="000000" w:themeColor="text1"/>
          <w:sz w:val="28"/>
          <w:szCs w:val="28"/>
          <w14:textFill>
            <w14:solidFill>
              <w14:schemeClr w14:val="tx1"/>
            </w14:solidFill>
          </w14:textFill>
        </w:rPr>
        <w:t xml:space="preserve">日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 xml:space="preserve"> 时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 xml:space="preserve">分至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 xml:space="preserve"> 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 xml:space="preserve"> 分；询价响应文件递交截止时间：2021年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24</w:t>
      </w:r>
      <w:r>
        <w:rPr>
          <w:rFonts w:hint="eastAsia" w:ascii="仿宋_GB2312" w:hAnsi="仿宋_GB2312" w:eastAsia="仿宋_GB2312" w:cs="仿宋_GB2312"/>
          <w:color w:val="000000" w:themeColor="text1"/>
          <w:sz w:val="28"/>
          <w:szCs w:val="28"/>
          <w14:textFill>
            <w14:solidFill>
              <w14:schemeClr w14:val="tx1"/>
            </w14:solidFill>
          </w14:textFill>
        </w:rPr>
        <w:t xml:space="preserve">日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 xml:space="preserve">时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color w:val="000000"/>
          <w:sz w:val="28"/>
          <w:szCs w:val="28"/>
          <w:u w:val="none"/>
        </w:rPr>
        <w:t>递交响应文件时须提供授权委托人身份证原件备查。</w:t>
      </w:r>
    </w:p>
    <w:p>
      <w:pPr>
        <w:ind w:firstLine="588" w:firstLineChars="21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十、询价响应文件送达地点：广州市天河区临江大道501号广州市净水有限公司</w:t>
      </w:r>
      <w:r>
        <w:rPr>
          <w:rFonts w:hint="eastAsia" w:ascii="仿宋_GB2312" w:hAnsi="仿宋_GB2312" w:eastAsia="仿宋_GB2312" w:cs="仿宋_GB2312"/>
          <w:color w:val="000000" w:themeColor="text1"/>
          <w:sz w:val="28"/>
          <w:szCs w:val="28"/>
          <w:lang w:eastAsia="zh-CN"/>
          <w14:textFill>
            <w14:solidFill>
              <w14:schemeClr w14:val="tx1"/>
            </w14:solidFill>
          </w14:textFill>
        </w:rPr>
        <w:t>。（注：基于近期疫情防控形势，授权委托人须出示健康码和提供疫苗接种情况，否则不予进入我公司；如以快递形式递交响应文件，须在递交截止时间前送达，不参加见证报价开启程序的报价单位视其认可所有报价。）</w:t>
      </w:r>
    </w:p>
    <w:p>
      <w:pPr>
        <w:ind w:firstLine="588" w:firstLineChars="21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十一、评审时间：2021年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 xml:space="preserve"> 月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24</w:t>
      </w:r>
      <w:r>
        <w:rPr>
          <w:rFonts w:hint="eastAsia" w:ascii="仿宋_GB2312" w:hAnsi="仿宋_GB2312" w:eastAsia="仿宋_GB2312" w:cs="仿宋_GB2312"/>
          <w:color w:val="000000" w:themeColor="text1"/>
          <w:sz w:val="28"/>
          <w:szCs w:val="28"/>
          <w14:textFill>
            <w14:solidFill>
              <w14:schemeClr w14:val="tx1"/>
            </w14:solidFill>
          </w14:textFill>
        </w:rPr>
        <w:t xml:space="preserve"> 日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 xml:space="preserve"> 时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 xml:space="preserve"> 分。</w:t>
      </w:r>
    </w:p>
    <w:p>
      <w:pPr>
        <w:ind w:firstLine="588" w:firstLineChars="21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十二、评审地点：广州市净水有限公司                    </w:t>
      </w:r>
    </w:p>
    <w:p>
      <w:pPr>
        <w:ind w:firstLine="588" w:firstLineChars="21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360" w:lineRule="auto"/>
        <w:ind w:firstLine="630" w:firstLineChars="22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联系人：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黎浚淇</w:t>
      </w:r>
      <w:r>
        <w:rPr>
          <w:rFonts w:hint="eastAsia" w:ascii="仿宋_GB2312" w:hAnsi="仿宋_GB2312" w:eastAsia="仿宋_GB2312" w:cs="仿宋_GB2312"/>
          <w:color w:val="000000" w:themeColor="text1"/>
          <w:sz w:val="28"/>
          <w:szCs w:val="28"/>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17602008884</w:t>
      </w:r>
    </w:p>
    <w:p>
      <w:pPr>
        <w:ind w:firstLine="4340" w:firstLineChars="15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广州市净水有限公司</w:t>
      </w:r>
    </w:p>
    <w:p>
      <w:pPr>
        <w:ind w:firstLine="3920" w:firstLineChars="14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2021年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 xml:space="preserve"> 月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18</w:t>
      </w:r>
      <w:r>
        <w:rPr>
          <w:rFonts w:hint="eastAsia" w:ascii="仿宋_GB2312" w:hAnsi="仿宋_GB2312" w:eastAsia="仿宋_GB2312" w:cs="仿宋_GB2312"/>
          <w:color w:val="000000" w:themeColor="text1"/>
          <w:sz w:val="28"/>
          <w:szCs w:val="28"/>
          <w14:textFill>
            <w14:solidFill>
              <w14:schemeClr w14:val="tx1"/>
            </w14:solidFill>
          </w14:textFill>
        </w:rPr>
        <w:t xml:space="preserve"> 日</w:t>
      </w:r>
    </w:p>
    <w:p>
      <w:pPr>
        <w:rPr>
          <w:rFonts w:hint="eastAsia"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3"/>
        <w:rPr>
          <w:rFonts w:hint="eastAsia" w:ascii="仿宋_GB2312" w:hAnsi="仿宋_GB2312" w:eastAsia="仿宋_GB2312" w:cs="仿宋_GB2312"/>
          <w:color w:val="000000" w:themeColor="text1"/>
          <w:lang w:val="zh-CN"/>
          <w14:textFill>
            <w14:solidFill>
              <w14:schemeClr w14:val="tx1"/>
            </w14:solidFill>
          </w14:textFill>
        </w:rPr>
      </w:pPr>
      <w:r>
        <w:rPr>
          <w:rFonts w:hint="eastAsia" w:ascii="仿宋_GB2312" w:hAnsi="仿宋_GB2312" w:eastAsia="仿宋_GB2312" w:cs="仿宋_GB2312"/>
          <w:color w:val="000000" w:themeColor="text1"/>
          <w:lang w:val="zh-CN"/>
          <w14:textFill>
            <w14:solidFill>
              <w14:schemeClr w14:val="tx1"/>
            </w14:solidFill>
          </w14:textFill>
        </w:rPr>
        <w:t>第二部分项目内容</w:t>
      </w:r>
    </w:p>
    <w:p>
      <w:pPr>
        <w:pStyle w:val="14"/>
        <w:adjustRightInd w:val="0"/>
        <w:snapToGrid w:val="0"/>
        <w:spacing w:line="300" w:lineRule="auto"/>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2"/>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一、目标需求：</w:t>
      </w:r>
    </w:p>
    <w:p>
      <w:pPr>
        <w:pStyle w:val="4"/>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（一）目标:</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通过本项目为广州市净水有限公司</w:t>
      </w:r>
      <w:r>
        <w:rPr>
          <w:rFonts w:hint="eastAsia" w:ascii="仿宋_GB2312" w:hAnsi="仿宋_GB2312" w:eastAsia="仿宋_GB2312" w:cs="仿宋_GB2312"/>
          <w:sz w:val="28"/>
          <w:szCs w:val="28"/>
          <w:lang w:val="en-US" w:eastAsia="zh-CN"/>
        </w:rPr>
        <w:t>沥滘三期多媒体互动展示</w:t>
      </w:r>
      <w:r>
        <w:rPr>
          <w:rFonts w:hint="eastAsia" w:ascii="仿宋_GB2312" w:hAnsi="仿宋_GB2312" w:eastAsia="仿宋_GB2312" w:cs="仿宋_GB2312"/>
          <w:sz w:val="28"/>
          <w:szCs w:val="28"/>
        </w:rPr>
        <w:t>，主要达成的目标如下：</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1.制作厂区提供的工艺流程动画内容。</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2.制作的工艺流程动画不少于5条。</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3.可以通过触摸等方式触发设定的动画内容播放。</w:t>
      </w:r>
    </w:p>
    <w:p>
      <w:pPr>
        <w:pStyle w:val="2"/>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二、技术服务要求</w:t>
      </w:r>
    </w:p>
    <w:p>
      <w:pPr>
        <w:pStyle w:val="4"/>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（一）技术要求：</w:t>
      </w:r>
    </w:p>
    <w:p>
      <w:pPr>
        <w:ind w:firstLine="560" w:firstLineChars="200"/>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通过本项目采购实施部署安装，多媒体动画内容由厂区相关人员进行确认。</w:t>
      </w:r>
    </w:p>
    <w:p>
      <w:pPr>
        <w:spacing w:line="60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★拟采购的软硬件如下（以下指标若出现负偏离，则视无效</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处理）：</w:t>
      </w:r>
    </w:p>
    <w:p>
      <w:pPr>
        <w:ind w:firstLine="280" w:firstLineChars="100"/>
        <w:rPr>
          <w:rFonts w:ascii="仿宋_GB2312" w:eastAsia="仿宋_GB2312"/>
          <w:sz w:val="28"/>
          <w:szCs w:val="28"/>
        </w:rPr>
      </w:pPr>
      <w:r>
        <w:rPr>
          <w:rFonts w:hint="eastAsia" w:ascii="仿宋_GB2312" w:eastAsia="仿宋_GB2312"/>
          <w:sz w:val="28"/>
          <w:szCs w:val="28"/>
        </w:rPr>
        <w:t>硬件要求：</w:t>
      </w:r>
    </w:p>
    <w:tbl>
      <w:tblPr>
        <w:tblStyle w:val="26"/>
        <w:tblW w:w="4294" w:type="pct"/>
        <w:jc w:val="center"/>
        <w:tblLayout w:type="autofit"/>
        <w:tblCellMar>
          <w:top w:w="0" w:type="dxa"/>
          <w:left w:w="0" w:type="dxa"/>
          <w:bottom w:w="0" w:type="dxa"/>
          <w:right w:w="0" w:type="dxa"/>
        </w:tblCellMar>
      </w:tblPr>
      <w:tblGrid>
        <w:gridCol w:w="2091"/>
        <w:gridCol w:w="6197"/>
      </w:tblGrid>
      <w:tr>
        <w:tblPrEx>
          <w:tblCellMar>
            <w:top w:w="0" w:type="dxa"/>
            <w:left w:w="0" w:type="dxa"/>
            <w:bottom w:w="0" w:type="dxa"/>
            <w:right w:w="0" w:type="dxa"/>
          </w:tblCellMar>
        </w:tblPrEx>
        <w:trPr>
          <w:trHeight w:val="458" w:hRule="atLeast"/>
          <w:jc w:val="center"/>
        </w:trPr>
        <w:tc>
          <w:tcPr>
            <w:tcW w:w="209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类别</w:t>
            </w:r>
            <w:r>
              <w:rPr>
                <w:rFonts w:hint="eastAsia" w:ascii="仿宋_GB2312" w:eastAsia="仿宋_GB2312" w:cs="Arial"/>
                <w:color w:val="000000"/>
                <w:kern w:val="24"/>
                <w:szCs w:val="21"/>
              </w:rPr>
              <w:t xml:space="preserve"> </w:t>
            </w:r>
          </w:p>
        </w:tc>
        <w:tc>
          <w:tcPr>
            <w:tcW w:w="6198"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说明</w:t>
            </w:r>
            <w:r>
              <w:rPr>
                <w:rFonts w:hint="eastAsia" w:ascii="仿宋_GB2312" w:eastAsia="仿宋_GB2312" w:cs="Arial"/>
                <w:color w:val="000000"/>
                <w:kern w:val="24"/>
                <w:szCs w:val="21"/>
              </w:rPr>
              <w:t xml:space="preserve"> </w:t>
            </w:r>
          </w:p>
        </w:tc>
      </w:tr>
      <w:tr>
        <w:tblPrEx>
          <w:tblCellMar>
            <w:top w:w="0" w:type="dxa"/>
            <w:left w:w="0" w:type="dxa"/>
            <w:bottom w:w="0" w:type="dxa"/>
            <w:right w:w="0" w:type="dxa"/>
          </w:tblCellMar>
        </w:tblPrEx>
        <w:trPr>
          <w:trHeight w:val="3369" w:hRule="atLeast"/>
          <w:jc w:val="center"/>
        </w:trPr>
        <w:tc>
          <w:tcPr>
            <w:tcW w:w="209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投影机</w:t>
            </w:r>
          </w:p>
        </w:tc>
        <w:tc>
          <w:tcPr>
            <w:tcW w:w="619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投影技术DLP，0.48 DMD，IP6X防尘等级；30000小时激光光源；亮度≧ 4500流明；标准分辨率：1920*1200；对比度≧2000000:1；梯形校正≧+/-5度（垂直&amp;水平），具有四角梯形校正功能；投射比：0.252：1；内置10W*2音箱；采用最新的ColorBoost 3D色彩技术；支持蓝光HDMI 3D 适配 144Hz 24p</w:t>
            </w:r>
          </w:p>
          <w:p>
            <w:pPr>
              <w:widowControl/>
              <w:spacing w:line="320" w:lineRule="exact"/>
              <w:jc w:val="left"/>
              <w:textAlignment w:val="center"/>
              <w:rPr>
                <w:rFonts w:ascii="仿宋_GB2312" w:eastAsia="仿宋_GB2312" w:cs="Arial"/>
                <w:color w:val="000000"/>
                <w:kern w:val="0"/>
                <w:szCs w:val="21"/>
              </w:rPr>
            </w:pPr>
          </w:p>
        </w:tc>
      </w:tr>
      <w:tr>
        <w:tblPrEx>
          <w:tblCellMar>
            <w:top w:w="0" w:type="dxa"/>
            <w:left w:w="0" w:type="dxa"/>
            <w:bottom w:w="0" w:type="dxa"/>
            <w:right w:w="0" w:type="dxa"/>
          </w:tblCellMar>
        </w:tblPrEx>
        <w:trPr>
          <w:trHeight w:val="454" w:hRule="exact"/>
          <w:jc w:val="center"/>
        </w:trPr>
        <w:tc>
          <w:tcPr>
            <w:tcW w:w="209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主机</w:t>
            </w:r>
          </w:p>
        </w:tc>
        <w:tc>
          <w:tcPr>
            <w:tcW w:w="619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I5/Z390-A/8G/P620显卡/SSD240G/500W</w:t>
            </w:r>
          </w:p>
        </w:tc>
      </w:tr>
      <w:tr>
        <w:tblPrEx>
          <w:tblCellMar>
            <w:top w:w="0" w:type="dxa"/>
            <w:left w:w="0" w:type="dxa"/>
            <w:bottom w:w="0" w:type="dxa"/>
            <w:right w:w="0" w:type="dxa"/>
          </w:tblCellMar>
        </w:tblPrEx>
        <w:trPr>
          <w:trHeight w:val="1657" w:hRule="exact"/>
          <w:jc w:val="center"/>
        </w:trPr>
        <w:tc>
          <w:tcPr>
            <w:tcW w:w="209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雷达</w:t>
            </w:r>
          </w:p>
        </w:tc>
        <w:tc>
          <w:tcPr>
            <w:tcW w:w="619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单台触控范围：700cm*300,支持多台并机工作;角度分辨率：0.33；激光波长：905nm；扫码角度：≤270°；触控类型：最多可达60点；响应速度：≤20ms;防护等级：IP67;以太网端口网线传输，信号传输零衰减，</w:t>
            </w:r>
          </w:p>
        </w:tc>
      </w:tr>
      <w:tr>
        <w:tblPrEx>
          <w:tblCellMar>
            <w:top w:w="0" w:type="dxa"/>
            <w:left w:w="0" w:type="dxa"/>
            <w:bottom w:w="0" w:type="dxa"/>
            <w:right w:w="0" w:type="dxa"/>
          </w:tblCellMar>
        </w:tblPrEx>
        <w:trPr>
          <w:trHeight w:val="2732" w:hRule="exact"/>
          <w:jc w:val="center"/>
        </w:trPr>
        <w:tc>
          <w:tcPr>
            <w:tcW w:w="209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供放</w:t>
            </w:r>
          </w:p>
        </w:tc>
        <w:tc>
          <w:tcPr>
            <w:tcW w:w="6198"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电源需求:AC220V/50-60Hz、额定功率:4×60W、频率响应:100Hz~16kHz ±3dB、失真度:＜0.8%(1KHz，1/3额定输出功率)、输出方式:4~16定阻输出，70V,100V定压输出、输入灵敏度:775mV/0dB平衡、辅助输出:775mV/0dB、非平衡信噪比:90dB</w:t>
            </w:r>
          </w:p>
        </w:tc>
      </w:tr>
      <w:tr>
        <w:tblPrEx>
          <w:tblCellMar>
            <w:top w:w="0" w:type="dxa"/>
            <w:left w:w="0" w:type="dxa"/>
            <w:bottom w:w="0" w:type="dxa"/>
            <w:right w:w="0" w:type="dxa"/>
          </w:tblCellMar>
        </w:tblPrEx>
        <w:trPr>
          <w:trHeight w:val="1436" w:hRule="exact"/>
          <w:jc w:val="center"/>
        </w:trPr>
        <w:tc>
          <w:tcPr>
            <w:tcW w:w="2092"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吸项</w:t>
            </w:r>
          </w:p>
        </w:tc>
        <w:tc>
          <w:tcPr>
            <w:tcW w:w="619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额定功率/ 阻抗 3.8/7.5/15/30W/8Ω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线电压 100V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灵敏度(1m,1W) 89±3dB(1m,1W) </w:t>
            </w:r>
          </w:p>
          <w:p>
            <w:pPr>
              <w:widowControl/>
              <w:spacing w:line="320" w:lineRule="exact"/>
              <w:jc w:val="left"/>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频率响应 100Hz～ 20kHz</w:t>
            </w:r>
          </w:p>
        </w:tc>
      </w:tr>
    </w:tbl>
    <w:p>
      <w:pPr>
        <w:ind w:firstLine="280" w:firstLineChars="100"/>
        <w:rPr>
          <w:rFonts w:ascii="仿宋_GB2312" w:eastAsia="仿宋_GB2312"/>
          <w:sz w:val="28"/>
          <w:szCs w:val="28"/>
        </w:rPr>
      </w:pPr>
      <w:r>
        <w:rPr>
          <w:rFonts w:hint="eastAsia" w:ascii="仿宋_GB2312" w:eastAsia="仿宋_GB2312"/>
          <w:sz w:val="28"/>
          <w:szCs w:val="28"/>
        </w:rPr>
        <w:t>软件要求：</w:t>
      </w:r>
    </w:p>
    <w:tbl>
      <w:tblPr>
        <w:tblStyle w:val="26"/>
        <w:tblW w:w="4216" w:type="pct"/>
        <w:jc w:val="center"/>
        <w:tblLayout w:type="autofit"/>
        <w:tblCellMar>
          <w:top w:w="0" w:type="dxa"/>
          <w:left w:w="0" w:type="dxa"/>
          <w:bottom w:w="0" w:type="dxa"/>
          <w:right w:w="0" w:type="dxa"/>
        </w:tblCellMar>
      </w:tblPr>
      <w:tblGrid>
        <w:gridCol w:w="4037"/>
        <w:gridCol w:w="4101"/>
      </w:tblGrid>
      <w:tr>
        <w:tblPrEx>
          <w:tblCellMar>
            <w:top w:w="0" w:type="dxa"/>
            <w:left w:w="0" w:type="dxa"/>
            <w:bottom w:w="0" w:type="dxa"/>
            <w:right w:w="0" w:type="dxa"/>
          </w:tblCellMar>
        </w:tblPrEx>
        <w:trPr>
          <w:trHeight w:val="454" w:hRule="exact"/>
          <w:jc w:val="center"/>
        </w:trPr>
        <w:tc>
          <w:tcPr>
            <w:tcW w:w="3915"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1" w:firstLineChars="100"/>
              <w:rPr>
                <w:rFonts w:ascii="仿宋_GB2312" w:eastAsia="仿宋_GB2312"/>
                <w:color w:val="000000"/>
                <w:szCs w:val="21"/>
              </w:rPr>
            </w:pPr>
            <w:r>
              <w:rPr>
                <w:rFonts w:hint="eastAsia" w:ascii="仿宋_GB2312" w:eastAsia="仿宋_GB2312"/>
                <w:b/>
                <w:bCs/>
                <w:color w:val="000000"/>
                <w:szCs w:val="21"/>
              </w:rPr>
              <w:t>类别</w:t>
            </w:r>
            <w:r>
              <w:rPr>
                <w:rFonts w:hint="eastAsia" w:ascii="仿宋_GB2312" w:eastAsia="仿宋_GB2312"/>
                <w:color w:val="000000"/>
                <w:szCs w:val="21"/>
              </w:rPr>
              <w:t xml:space="preserve"> </w:t>
            </w:r>
          </w:p>
        </w:tc>
        <w:tc>
          <w:tcPr>
            <w:tcW w:w="3978"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1" w:firstLineChars="100"/>
              <w:rPr>
                <w:rFonts w:ascii="仿宋_GB2312" w:eastAsia="仿宋_GB2312"/>
                <w:color w:val="000000"/>
                <w:szCs w:val="21"/>
              </w:rPr>
            </w:pPr>
            <w:r>
              <w:rPr>
                <w:rFonts w:hint="eastAsia" w:ascii="仿宋_GB2312" w:eastAsia="仿宋_GB2312"/>
                <w:b/>
                <w:bCs/>
                <w:color w:val="000000"/>
                <w:szCs w:val="21"/>
              </w:rPr>
              <w:t xml:space="preserve">说明 </w:t>
            </w:r>
          </w:p>
        </w:tc>
      </w:tr>
      <w:tr>
        <w:tblPrEx>
          <w:tblCellMar>
            <w:top w:w="0" w:type="dxa"/>
            <w:left w:w="0" w:type="dxa"/>
            <w:bottom w:w="0" w:type="dxa"/>
            <w:right w:w="0" w:type="dxa"/>
          </w:tblCellMar>
        </w:tblPrEx>
        <w:trPr>
          <w:trHeight w:val="13634" w:hRule="exact"/>
          <w:jc w:val="center"/>
        </w:trPr>
        <w:tc>
          <w:tcPr>
            <w:tcW w:w="3915"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jc w:val="center"/>
              <w:rPr>
                <w:rFonts w:ascii="仿宋_GB2312" w:eastAsia="仿宋_GB2312"/>
                <w:b/>
                <w:bCs/>
                <w:color w:val="000000"/>
                <w:szCs w:val="21"/>
              </w:rPr>
            </w:pPr>
            <w:r>
              <w:rPr>
                <w:rFonts w:hint="eastAsia" w:ascii="仿宋_GB2312" w:hAnsi="仿宋_GB2312" w:eastAsia="仿宋_GB2312" w:cs="仿宋_GB2312"/>
                <w:color w:val="000000"/>
                <w:kern w:val="0"/>
                <w:szCs w:val="21"/>
                <w:lang w:bidi="ar"/>
              </w:rPr>
              <w:t>雷达后台</w:t>
            </w:r>
          </w:p>
        </w:tc>
        <w:tc>
          <w:tcPr>
            <w:tcW w:w="3978"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1、支持各激光雷达，红外摄像枪，KINECT体感器等各类设备.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2、支持多雷达并接布局，简单容易操作。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3、支持精细识别、毫米级识别度。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4、支持雷达角度调整、感应范围调整、转速调整。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5、支持手动设置屏幕互动范围， 最大支持4组范围。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6、支持中控协议，与第三方可编程中控系统，无缝对接。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7、支持自定义播放列表内容、可以设置互动时间、随机或顺序播放。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8、支持定时关机，启动延时等待操作。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9、支持多点触摸TOUCH（最大支持255触摸点同时响应），鼠标点击、右点击等。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10、支持TUIO数据输出。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11、自动消除雷达背景，无需手动绘制遮罩。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12、支持win7, win8, win10 多点触摸操作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13、支持多种界面语言（简体、英文）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14、支持T形屏、L形屏及拼接屏的单元校准（可以任意定义校准点4点、16点、32点、64点、及用户自定义校准点数和任意拖放屏幕互动区域位置）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15、增加互动内容切换等待窗口，以防止切换时鼠标乱跳触碰到桌面图标。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16、性能提升、支持多个雷达级联、减少地面互动死角。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17、支持无屏校准。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18、支持多窗口素材同时显示及互动，如并列多个flash?或U3D素材窗口显示交互。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19、支持播放列表添加多个不同交互对接方式的素材，如第一个素材为TUIO、第二个为鼠标、第三个为多点触摸，软件系统可根据用户设定自动切换识别输出。</w:t>
            </w:r>
          </w:p>
          <w:p>
            <w:pPr>
              <w:widowControl/>
              <w:spacing w:line="320" w:lineRule="exact"/>
              <w:jc w:val="left"/>
              <w:textAlignment w:val="center"/>
              <w:rPr>
                <w:rFonts w:ascii="仿宋_GB2312" w:eastAsia="仿宋_GB2312"/>
                <w:b/>
                <w:bCs/>
                <w:color w:val="000000"/>
                <w:szCs w:val="21"/>
              </w:rPr>
            </w:pPr>
            <w:r>
              <w:rPr>
                <w:rFonts w:hint="eastAsia" w:ascii="仿宋_GB2312" w:hAnsi="仿宋_GB2312" w:eastAsia="仿宋_GB2312" w:cs="仿宋_GB2312"/>
                <w:color w:val="000000"/>
                <w:kern w:val="0"/>
                <w:szCs w:val="21"/>
                <w:lang w:bidi="ar"/>
              </w:rPr>
              <w:t>20、新增加校准点通过键盘微调，方便用户精准校准坐标点。并能对于多个校准区域，对于校准精度有误差的，进行单独修改调整。</w:t>
            </w:r>
          </w:p>
        </w:tc>
      </w:tr>
      <w:tr>
        <w:tblPrEx>
          <w:tblCellMar>
            <w:top w:w="0" w:type="dxa"/>
            <w:left w:w="0" w:type="dxa"/>
            <w:bottom w:w="0" w:type="dxa"/>
            <w:right w:w="0" w:type="dxa"/>
          </w:tblCellMar>
        </w:tblPrEx>
        <w:trPr>
          <w:trHeight w:val="4567" w:hRule="exact"/>
          <w:jc w:val="center"/>
        </w:trPr>
        <w:tc>
          <w:tcPr>
            <w:tcW w:w="3915"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olor w:val="000000"/>
                <w:szCs w:val="21"/>
              </w:rPr>
            </w:pPr>
          </w:p>
        </w:tc>
        <w:tc>
          <w:tcPr>
            <w:tcW w:w="397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20、新增加校准点通过键盘微调，方便用户精准校准坐标点。并能对于多个校准区域，对于校准精度有误差的，进行单独修改调整。</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21、多台电脑同步播放同一种互动素材画面，同步协调播放，使得效果更一整体。</w:t>
            </w:r>
          </w:p>
          <w:p>
            <w:pPr>
              <w:widowControl/>
              <w:spacing w:line="320" w:lineRule="exact"/>
              <w:jc w:val="left"/>
              <w:textAlignment w:val="center"/>
              <w:rPr>
                <w:rFonts w:ascii="仿宋_GB2312" w:hAnsi="仿宋_GB2312" w:eastAsia="仿宋_GB2312" w:cs="仿宋_GB2312"/>
                <w:color w:val="000000"/>
                <w:kern w:val="0"/>
                <w:szCs w:val="21"/>
                <w:u w:val="single"/>
                <w:lang w:bidi="ar"/>
              </w:rPr>
            </w:pPr>
            <w:r>
              <w:rPr>
                <w:rFonts w:hint="eastAsia" w:ascii="仿宋_GB2312" w:hAnsi="仿宋_GB2312" w:eastAsia="仿宋_GB2312" w:cs="仿宋_GB2312"/>
                <w:color w:val="000000"/>
                <w:kern w:val="0"/>
                <w:szCs w:val="21"/>
                <w:u w:val="single"/>
                <w:lang w:bidi="ar"/>
              </w:rPr>
              <w:t>22、</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产品生产厂家（公司）软件著作权登记证书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p>
            <w:pPr>
              <w:widowControl/>
              <w:spacing w:line="320" w:lineRule="exact"/>
              <w:jc w:val="left"/>
              <w:textAlignment w:val="center"/>
              <w:rPr>
                <w:rFonts w:ascii="仿宋_GB2312" w:eastAsia="仿宋_GB2312"/>
                <w:color w:val="000000"/>
                <w:szCs w:val="21"/>
              </w:rPr>
            </w:pPr>
            <w:r>
              <w:rPr>
                <w:rFonts w:hint="eastAsia" w:ascii="仿宋_GB2312" w:hAnsi="仿宋_GB2312" w:eastAsia="仿宋_GB2312" w:cs="仿宋_GB2312"/>
                <w:color w:val="000000"/>
                <w:kern w:val="0"/>
                <w:szCs w:val="21"/>
                <w:u w:val="single"/>
                <w:lang w:bidi="ar"/>
              </w:rPr>
              <w:t>23、</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产品生产厂家（公司）国家高新技术企业证书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tc>
      </w:tr>
      <w:tr>
        <w:tblPrEx>
          <w:tblCellMar>
            <w:top w:w="0" w:type="dxa"/>
            <w:left w:w="0" w:type="dxa"/>
            <w:bottom w:w="0" w:type="dxa"/>
            <w:right w:w="0" w:type="dxa"/>
          </w:tblCellMar>
        </w:tblPrEx>
        <w:trPr>
          <w:trHeight w:val="9704" w:hRule="exact"/>
          <w:jc w:val="center"/>
        </w:trPr>
        <w:tc>
          <w:tcPr>
            <w:tcW w:w="3915"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olor w:val="000000"/>
                <w:szCs w:val="21"/>
              </w:rPr>
            </w:pPr>
            <w:r>
              <w:rPr>
                <w:rFonts w:hint="eastAsia" w:ascii="仿宋_GB2312" w:hAnsi="仿宋_GB2312" w:eastAsia="仿宋_GB2312" w:cs="仿宋_GB2312"/>
                <w:color w:val="000000"/>
                <w:kern w:val="0"/>
                <w:szCs w:val="21"/>
                <w:lang w:bidi="ar"/>
              </w:rPr>
              <w:t>融合软件</w:t>
            </w:r>
          </w:p>
        </w:tc>
        <w:tc>
          <w:tcPr>
            <w:tcW w:w="397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1、支持多通道图像的分割、拼接、边缘融合、几何矫正和视频播放，实现图像的完整一体化、无失真、多通道的无缝拼接。</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2、支持遮罩功能。即在常规的矩形图像上通过加载遮罩使投影出来的图像变为其它形状（如椭圆、圆形等）。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3、支持画面的变形和旋转。</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4、支持AV采集卡和VGA采集卡、DVI、HDMI等高清采集卡对采集数据的输入，兼容多屏显示软件，支持多开窗口（画中画），。</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5、支持标准格式影像文件、图片、动画、采集视频以及互动插件的播放。</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6、支持画面(融合机画面和场景在融合机中的画面)位置和大小的调节，支持数值自定义或直接对画面的缩放和平移的调节方式。</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7、支持融合带宽度和节点的实时调节，手动几何校正，平幕、弧幕、折幕、U幕、柱幕、S形曲面、不规则幕面校正等。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8、支持投影机色差的校正。</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9、支持红、绿、蓝单通道颜色的融合过渡。</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10、支持场景的手动切换和自动切换，手机或平板或键盘切换等。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11、支持操作的回退（撤消）、单屏的复位以及多屏的全部复位（回到未调试时的状态）。</w:t>
            </w:r>
          </w:p>
          <w:p>
            <w:pPr>
              <w:widowControl/>
              <w:spacing w:line="320" w:lineRule="exact"/>
              <w:jc w:val="left"/>
              <w:textAlignment w:val="center"/>
              <w:rPr>
                <w:rFonts w:hint="eastAsia" w:ascii="仿宋_GB2312" w:hAnsi="仿宋_GB2312" w:eastAsia="仿宋_GB2312" w:cs="仿宋_GB2312"/>
                <w:color w:val="000000"/>
                <w:kern w:val="0"/>
                <w:szCs w:val="21"/>
                <w:lang w:bidi="ar"/>
              </w:rPr>
            </w:pPr>
          </w:p>
        </w:tc>
      </w:tr>
      <w:tr>
        <w:tblPrEx>
          <w:tblCellMar>
            <w:top w:w="0" w:type="dxa"/>
            <w:left w:w="0" w:type="dxa"/>
            <w:bottom w:w="0" w:type="dxa"/>
            <w:right w:w="0" w:type="dxa"/>
          </w:tblCellMar>
        </w:tblPrEx>
        <w:trPr>
          <w:trHeight w:val="14030" w:hRule="exact"/>
          <w:jc w:val="center"/>
        </w:trPr>
        <w:tc>
          <w:tcPr>
            <w:tcW w:w="3915"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olor w:val="000000"/>
                <w:szCs w:val="21"/>
              </w:rPr>
            </w:pPr>
          </w:p>
        </w:tc>
        <w:tc>
          <w:tcPr>
            <w:tcW w:w="397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12、支持媒体的播放、暂停、停止、进度控制、音量调节，可播放硬盘内的视频、文档、PPT、图片，多媒体控制系统，高性能视频播放器，支持4K-8k极清，不超过400M码流，支持视频格式 avi、rmvb、rm、mkv、wmv、mp4、mpeg、mpg、mov等，支持图片格式 jpg、jpeg、png、bmp等。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13、支持LCD投影机和DLP投影机的投影以及LED显示屏的显示，融合带Gamma校正处理，多灰阶以及RGB色阶调节,投影机边缘叠加高消隐处理，使投影画面平滑过渡，对色差较大的LCD投影机也能保持色彩一致。</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14、支持屏幕键盘和导播系统的调用。</w:t>
            </w:r>
          </w:p>
          <w:p>
            <w:pPr>
              <w:widowControl/>
              <w:spacing w:line="320" w:lineRule="exact"/>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15、单机最大支持8通道显示，如果超过最大通道数，可通过多机同步模块进行扩展，标准分辨率1024*768~9600*1200，可自定义任意分辨率，最大支持单台投影9600*1200。</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16、支持同步能力，精确同步、帧同步。</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17、支持桌面融合支持inter架构,Windows系统windows 7,windows 8.1,windows 10。</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18、支持鼠标状态  显示/隐藏/系统，精准鼠标定位，真实还原鼠标各种运行状态。</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19、支持远程协议控制，UDP,TCP,232串口等。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20、支持自动启动效果，自动融合桌面/播放视频图片等。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21、支持3D系统，支持被动式3D，支持左右、上下、2D，亮度叠加之间相互切换。</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22、图像渲染引，DirectX 高性能图像渲染引擎，基于融合配置信息对图像进行实时渲染。</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23、支持可采集网络信号上大屏，支持多窗口显示及画面漫游。</w:t>
            </w:r>
          </w:p>
          <w:p>
            <w:pPr>
              <w:widowControl/>
              <w:spacing w:line="320" w:lineRule="exact"/>
              <w:jc w:val="left"/>
              <w:textAlignment w:val="center"/>
              <w:rPr>
                <w:rFonts w:ascii="仿宋_GB2312" w:hAnsi="仿宋_GB2312" w:eastAsia="仿宋_GB2312" w:cs="仿宋_GB2312"/>
                <w:color w:val="000000"/>
                <w:kern w:val="0"/>
                <w:szCs w:val="21"/>
                <w:u w:val="single"/>
                <w:lang w:bidi="ar"/>
              </w:rPr>
            </w:pPr>
            <w:r>
              <w:rPr>
                <w:rFonts w:hint="eastAsia" w:ascii="仿宋_GB2312" w:hAnsi="仿宋_GB2312" w:eastAsia="仿宋_GB2312" w:cs="仿宋_GB2312"/>
                <w:color w:val="000000"/>
                <w:kern w:val="0"/>
                <w:szCs w:val="21"/>
                <w:u w:val="single"/>
                <w:lang w:bidi="ar"/>
              </w:rPr>
              <w:t>2</w:t>
            </w:r>
            <w:r>
              <w:rPr>
                <w:rFonts w:hint="eastAsia" w:ascii="仿宋_GB2312" w:hAnsi="仿宋_GB2312" w:eastAsia="仿宋_GB2312" w:cs="仿宋_GB2312"/>
                <w:color w:val="000000"/>
                <w:kern w:val="0"/>
                <w:szCs w:val="21"/>
                <w:u w:val="single"/>
                <w:lang w:val="en-US" w:eastAsia="zh-CN" w:bidi="ar"/>
              </w:rPr>
              <w:t>4</w:t>
            </w:r>
            <w:r>
              <w:rPr>
                <w:rFonts w:hint="eastAsia" w:ascii="仿宋_GB2312" w:hAnsi="仿宋_GB2312" w:eastAsia="仿宋_GB2312" w:cs="仿宋_GB2312"/>
                <w:color w:val="000000"/>
                <w:kern w:val="0"/>
                <w:szCs w:val="21"/>
                <w:u w:val="single"/>
                <w:lang w:bidi="ar"/>
              </w:rPr>
              <w:t>、</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产品生产厂家（公司）软件著作权登记证书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p>
            <w:pPr>
              <w:widowControl/>
              <w:spacing w:line="320" w:lineRule="exact"/>
              <w:jc w:val="left"/>
              <w:textAlignment w:val="center"/>
              <w:rPr>
                <w:rFonts w:ascii="仿宋_GB2312" w:eastAsia="仿宋_GB2312"/>
                <w:color w:val="000000"/>
                <w:szCs w:val="21"/>
              </w:rPr>
            </w:pPr>
            <w:r>
              <w:rPr>
                <w:rFonts w:hint="eastAsia" w:ascii="仿宋_GB2312" w:hAnsi="仿宋_GB2312" w:eastAsia="仿宋_GB2312" w:cs="仿宋_GB2312"/>
                <w:color w:val="000000"/>
                <w:kern w:val="0"/>
                <w:szCs w:val="21"/>
                <w:u w:val="single"/>
                <w:lang w:bidi="ar"/>
              </w:rPr>
              <w:t>2</w:t>
            </w:r>
            <w:r>
              <w:rPr>
                <w:rFonts w:hint="eastAsia" w:ascii="仿宋_GB2312" w:hAnsi="仿宋_GB2312" w:eastAsia="仿宋_GB2312" w:cs="仿宋_GB2312"/>
                <w:color w:val="000000"/>
                <w:kern w:val="0"/>
                <w:szCs w:val="21"/>
                <w:u w:val="single"/>
                <w:lang w:val="en-US" w:eastAsia="zh-CN" w:bidi="ar"/>
              </w:rPr>
              <w:t>5</w:t>
            </w:r>
            <w:r>
              <w:rPr>
                <w:rFonts w:hint="eastAsia" w:ascii="仿宋_GB2312" w:hAnsi="仿宋_GB2312" w:eastAsia="仿宋_GB2312" w:cs="仿宋_GB2312"/>
                <w:color w:val="000000"/>
                <w:kern w:val="0"/>
                <w:szCs w:val="21"/>
                <w:u w:val="single"/>
                <w:lang w:bidi="ar"/>
              </w:rPr>
              <w:t>、</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产品生产厂家（公司）国家高新技术企业证书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tc>
      </w:tr>
      <w:tr>
        <w:tblPrEx>
          <w:tblCellMar>
            <w:top w:w="0" w:type="dxa"/>
            <w:left w:w="0" w:type="dxa"/>
            <w:bottom w:w="0" w:type="dxa"/>
            <w:right w:w="0" w:type="dxa"/>
          </w:tblCellMar>
        </w:tblPrEx>
        <w:trPr>
          <w:trHeight w:val="13287" w:hRule="exact"/>
          <w:jc w:val="center"/>
        </w:trPr>
        <w:tc>
          <w:tcPr>
            <w:tcW w:w="3915" w:type="dxa"/>
            <w:tcBorders>
              <w:top w:val="dotted" w:color="auto" w:sz="8" w:space="0"/>
              <w:left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中控系统</w:t>
            </w:r>
          </w:p>
        </w:tc>
        <w:tc>
          <w:tcPr>
            <w:tcW w:w="397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1、支持 WEB 网页和 PC 软件等多种参数配置方式，配置参数方便灵活</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2、支持多个模块进行总线组网，使 I/O 点数得到灵活扩展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3、支持采集现场的 I/O 输入信号，并输出 I/O 控制信号.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4、支持I/O 信号类型可根据现场需要进行灵活配置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5、支持输入支持事件响应，事件支持滤波处理.</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6、支持输出支持初始状态锁定、输出锁定及安全电压设定。</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7、支持可通过远程命令对模块进行控制.</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8、支持以太网口和串口均可读取并控制 I/O 状态.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9、支持可在云端直接控制，并可上报自定义内容.       </w:t>
            </w:r>
          </w:p>
          <w:p>
            <w:pPr>
              <w:widowControl/>
              <w:spacing w:line="320" w:lineRule="exact"/>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10、支持具有自动报告 IP 的功能，支持在线更新固件</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11、支持10/100M 自适应以太网接口，支持动态 IP（DHCP）和静态 IP。</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12、支持集合 I/O 采集，控制输出，串口服务器，Modbus 网关功能于一身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13、支持IOS控制端程序开发模块，支持IOS界面定制，支持IOS控制程序云备份，更新，下载等功能</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14、支持内置各种常用多媒体设备的强大代码库，支持快速编程、修改，自定义等；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15、支持主板网络远程唤醒，支持TCP/UDP数据协议，支持串口设备，网络设备的控制，支持IO控制；</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16、支持PC端和Ipad同时使用，也可认为PC端播放器控制软件备份；</w:t>
            </w:r>
          </w:p>
          <w:p>
            <w:pPr>
              <w:widowControl/>
              <w:spacing w:line="320" w:lineRule="exact"/>
              <w:jc w:val="left"/>
              <w:textAlignment w:val="center"/>
              <w:rPr>
                <w:rFonts w:ascii="仿宋_GB2312" w:hAnsi="仿宋_GB2312" w:eastAsia="仿宋_GB2312" w:cs="仿宋_GB2312"/>
                <w:color w:val="000000"/>
                <w:kern w:val="0"/>
                <w:szCs w:val="21"/>
                <w:u w:val="single"/>
                <w:lang w:bidi="ar"/>
              </w:rPr>
            </w:pPr>
            <w:r>
              <w:rPr>
                <w:rFonts w:hint="eastAsia" w:ascii="仿宋_GB2312" w:hAnsi="仿宋_GB2312" w:eastAsia="仿宋_GB2312" w:cs="仿宋_GB2312"/>
                <w:color w:val="000000"/>
                <w:kern w:val="0"/>
                <w:szCs w:val="21"/>
                <w:u w:val="single"/>
                <w:lang w:val="en-US" w:eastAsia="zh-CN" w:bidi="ar"/>
              </w:rPr>
              <w:t>17</w:t>
            </w:r>
            <w:r>
              <w:rPr>
                <w:rFonts w:hint="eastAsia" w:ascii="仿宋_GB2312" w:hAnsi="仿宋_GB2312" w:eastAsia="仿宋_GB2312" w:cs="仿宋_GB2312"/>
                <w:color w:val="000000"/>
                <w:kern w:val="0"/>
                <w:szCs w:val="21"/>
                <w:u w:val="single"/>
                <w:lang w:bidi="ar"/>
              </w:rPr>
              <w:t>、</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产品生产厂家（公司）软件著作权登记证书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u w:val="single"/>
                <w:lang w:val="en-US" w:eastAsia="zh-CN" w:bidi="ar"/>
              </w:rPr>
              <w:t>18</w:t>
            </w:r>
            <w:r>
              <w:rPr>
                <w:rFonts w:hint="eastAsia" w:ascii="仿宋_GB2312" w:hAnsi="仿宋_GB2312" w:eastAsia="仿宋_GB2312" w:cs="仿宋_GB2312"/>
                <w:color w:val="000000"/>
                <w:kern w:val="0"/>
                <w:szCs w:val="21"/>
                <w:u w:val="single"/>
                <w:lang w:bidi="ar"/>
              </w:rPr>
              <w:t>、</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产品生产厂家（公司）国家高新技术企业证书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p>
            <w:pPr>
              <w:widowControl/>
              <w:spacing w:line="320" w:lineRule="exact"/>
              <w:jc w:val="left"/>
              <w:textAlignment w:val="center"/>
              <w:rPr>
                <w:rFonts w:ascii="仿宋_GB2312" w:hAnsi="仿宋_GB2312" w:eastAsia="仿宋_GB2312" w:cs="仿宋_GB2312"/>
                <w:color w:val="000000"/>
                <w:kern w:val="0"/>
                <w:szCs w:val="21"/>
                <w:lang w:bidi="ar"/>
              </w:rPr>
            </w:pPr>
          </w:p>
        </w:tc>
      </w:tr>
    </w:tbl>
    <w:p>
      <w:pPr>
        <w:ind w:left="420"/>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项目交付中所需线材等辅助性材料</w:t>
      </w:r>
      <w:r>
        <w:rPr>
          <w:rFonts w:hint="eastAsia" w:ascii="仿宋_GB2312" w:hAnsi="仿宋_GB2312" w:eastAsia="仿宋_GB2312" w:cs="仿宋_GB2312"/>
          <w:sz w:val="28"/>
          <w:szCs w:val="28"/>
          <w:lang w:val="en-US" w:eastAsia="zh-CN"/>
        </w:rPr>
        <w:t>及动画设计</w:t>
      </w:r>
      <w:r>
        <w:rPr>
          <w:rFonts w:hint="eastAsia" w:ascii="仿宋_GB2312" w:hAnsi="仿宋_GB2312" w:eastAsia="仿宋_GB2312" w:cs="仿宋_GB2312"/>
          <w:sz w:val="28"/>
          <w:szCs w:val="28"/>
        </w:rPr>
        <w:t>包含在报价中。</w:t>
      </w:r>
    </w:p>
    <w:p>
      <w:pPr>
        <w:pStyle w:val="4"/>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（二）服务要求：</w:t>
      </w:r>
    </w:p>
    <w:p>
      <w:pPr>
        <w:ind w:left="420" w:leftChars="200" w:firstLine="145" w:firstLineChars="52"/>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项目必须提供的具体服务内容如下：</w:t>
      </w:r>
    </w:p>
    <w:p>
      <w:pP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质保期服务内容</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1.</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报价人</w:t>
      </w:r>
      <w:r>
        <w:rPr>
          <w:rFonts w:hint="eastAsia" w:ascii="仿宋_GB2312" w:hAnsi="仿宋_GB2312" w:eastAsia="仿宋_GB2312" w:cs="仿宋_GB2312"/>
          <w:color w:val="000000" w:themeColor="text1"/>
          <w:sz w:val="28"/>
          <w:szCs w:val="28"/>
          <w:u w:val="single"/>
          <w14:textFill>
            <w14:solidFill>
              <w14:schemeClr w14:val="tx1"/>
            </w14:solidFill>
          </w14:textFill>
        </w:rPr>
        <w:t>明确承诺:本项目硬件部分（即</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投影仪、主机、雷达等</w:t>
      </w:r>
      <w:r>
        <w:rPr>
          <w:rFonts w:hint="eastAsia" w:ascii="仿宋_GB2312" w:hAnsi="仿宋_GB2312" w:eastAsia="仿宋_GB2312" w:cs="仿宋_GB2312"/>
          <w:color w:val="000000" w:themeColor="text1"/>
          <w:sz w:val="28"/>
          <w:szCs w:val="28"/>
          <w:u w:val="single"/>
          <w14:textFill>
            <w14:solidFill>
              <w14:schemeClr w14:val="tx1"/>
            </w14:solidFill>
          </w14:textFill>
        </w:rPr>
        <w:t>）需提供三年售后技术服务，本项目软件部分（即</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中控系统、雷达软件、融合软件</w:t>
      </w:r>
      <w:r>
        <w:rPr>
          <w:rFonts w:hint="eastAsia" w:ascii="仿宋_GB2312" w:hAnsi="仿宋_GB2312" w:eastAsia="仿宋_GB2312" w:cs="仿宋_GB2312"/>
          <w:color w:val="000000" w:themeColor="text1"/>
          <w:sz w:val="28"/>
          <w:szCs w:val="28"/>
          <w:u w:val="single"/>
          <w14:textFill>
            <w14:solidFill>
              <w14:schemeClr w14:val="tx1"/>
            </w14:solidFill>
          </w14:textFill>
        </w:rPr>
        <w:t>）提供一年售后技术服务。</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报价人</w:t>
      </w:r>
      <w:r>
        <w:rPr>
          <w:rFonts w:hint="eastAsia" w:ascii="仿宋_GB2312" w:hAnsi="仿宋_GB2312" w:eastAsia="仿宋_GB2312" w:cs="仿宋_GB2312"/>
          <w:color w:val="000000" w:themeColor="text1"/>
          <w:sz w:val="28"/>
          <w:szCs w:val="28"/>
          <w14:textFill>
            <w14:solidFill>
              <w14:schemeClr w14:val="tx1"/>
            </w14:solidFill>
          </w14:textFill>
        </w:rPr>
        <w:t>产品属于国家规定“三包”范围的，其产品质量保证期不得低于“三包”规定。</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报价人</w:t>
      </w:r>
      <w:r>
        <w:rPr>
          <w:rFonts w:hint="eastAsia" w:ascii="仿宋_GB2312" w:hAnsi="仿宋_GB2312" w:eastAsia="仿宋_GB2312" w:cs="仿宋_GB2312"/>
          <w:color w:val="000000" w:themeColor="text1"/>
          <w:sz w:val="28"/>
          <w:szCs w:val="28"/>
          <w14:textFill>
            <w14:solidFill>
              <w14:schemeClr w14:val="tx1"/>
            </w14:solidFill>
          </w14:textFill>
        </w:rPr>
        <w:t>的质量保证期承诺优于国家“三包”规定的，按承包人实际承诺执行。</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4.</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报价人</w:t>
      </w:r>
      <w:r>
        <w:rPr>
          <w:rFonts w:hint="eastAsia" w:ascii="仿宋_GB2312" w:hAnsi="仿宋_GB2312" w:eastAsia="仿宋_GB2312" w:cs="仿宋_GB2312"/>
          <w:color w:val="000000" w:themeColor="text1"/>
          <w:sz w:val="28"/>
          <w:szCs w:val="28"/>
          <w:u w:val="single"/>
          <w14:textFill>
            <w14:solidFill>
              <w14:schemeClr w14:val="tx1"/>
            </w14:solidFill>
          </w14:textFill>
        </w:rPr>
        <w:t>产品由原厂负责标准售后服务的，应当在</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报价</w:t>
      </w:r>
      <w:r>
        <w:rPr>
          <w:rFonts w:hint="eastAsia" w:ascii="仿宋_GB2312" w:hAnsi="仿宋_GB2312" w:eastAsia="仿宋_GB2312" w:cs="仿宋_GB2312"/>
          <w:color w:val="000000" w:themeColor="text1"/>
          <w:sz w:val="28"/>
          <w:szCs w:val="28"/>
          <w:u w:val="single"/>
          <w14:textFill>
            <w14:solidFill>
              <w14:schemeClr w14:val="tx1"/>
            </w14:solidFill>
          </w14:textFill>
        </w:rPr>
        <w:t>文件中予以明确说明,并附厂家售后服务承诺内容。</w:t>
      </w:r>
    </w:p>
    <w:p>
      <w:pP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售后服务内容</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1.承包人在质量保证期内应当为询价人提供以下技术支持和服务:</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A、电话咨询</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承包人应当为询价人提供其单位以及原厂的技术援助电话，解答询价人在使用中遇到的问题，及时为询价人提出解决问题的建议。</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B、现场响应</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2.质保期外服务要求</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A、质量保证期过后，承包人应同样提供免费电话咨询服务，并应承诺提供产品上门维护服务。</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B、质量保证期过后，询价人需要继续由承包人提供售后服务的，该承包人应以优惠价格提供售后服务。</w:t>
      </w:r>
    </w:p>
    <w:p>
      <w:pPr>
        <w:autoSpaceDE w:val="0"/>
        <w:autoSpaceDN w:val="0"/>
        <w:ind w:left="560"/>
        <w:rPr>
          <w:rFonts w:hint="eastAsia" w:ascii="仿宋_GB2312" w:hAnsi="仿宋_GB2312" w:eastAsia="仿宋_GB2312" w:cs="仿宋_GB2312"/>
          <w:color w:val="000000" w:themeColor="text1"/>
          <w:sz w:val="28"/>
          <w:szCs w:val="28"/>
          <w14:textFill>
            <w14:solidFill>
              <w14:schemeClr w14:val="tx1"/>
            </w14:solidFill>
          </w14:textFill>
        </w:rPr>
      </w:pPr>
    </w:p>
    <w:p>
      <w:pPr>
        <w:pStyle w:val="2"/>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pStyle w:val="2"/>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pStyle w:val="2"/>
        <w:rPr>
          <w:rFonts w:hint="eastAsia"/>
        </w:rPr>
      </w:pPr>
    </w:p>
    <w:p>
      <w:pPr>
        <w:pStyle w:val="2"/>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pStyle w:val="2"/>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pStyle w:val="2"/>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pStyle w:val="2"/>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autoSpaceDE w:val="0"/>
        <w:autoSpaceDN w:val="0"/>
        <w:rPr>
          <w:rFonts w:hint="eastAsia" w:ascii="仿宋_GB2312" w:hAnsi="仿宋_GB2312" w:eastAsia="仿宋_GB2312" w:cs="仿宋_GB2312"/>
          <w:color w:val="000000" w:themeColor="text1"/>
          <w:sz w:val="28"/>
          <w:szCs w:val="28"/>
          <w14:textFill>
            <w14:solidFill>
              <w14:schemeClr w14:val="tx1"/>
            </w14:solidFill>
          </w14:textFill>
        </w:rPr>
      </w:pPr>
    </w:p>
    <w:p>
      <w:pPr>
        <w:pStyle w:val="14"/>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14"/>
        <w:adjustRightInd w:val="0"/>
        <w:snapToGrid w:val="0"/>
        <w:spacing w:line="30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一、概念释义</w:t>
      </w:r>
    </w:p>
    <w:p>
      <w:pPr>
        <w:pStyle w:val="14"/>
        <w:adjustRightInd w:val="0"/>
        <w:snapToGrid w:val="0"/>
        <w:spacing w:line="300" w:lineRule="auto"/>
        <w:ind w:left="560"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1.“询价人”是指：广州市净水有限公司。</w:t>
      </w:r>
    </w:p>
    <w:p>
      <w:pPr>
        <w:pStyle w:val="14"/>
        <w:tabs>
          <w:tab w:val="left" w:pos="360"/>
        </w:tabs>
        <w:adjustRightInd w:val="0"/>
        <w:snapToGrid w:val="0"/>
        <w:spacing w:line="300" w:lineRule="auto"/>
        <w:ind w:left="560" w:hanging="560" w:hanging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2.合格的报价单位:</w:t>
      </w:r>
      <w:r>
        <w:rPr>
          <w:rFonts w:hint="eastAsia" w:ascii="仿宋_GB2312" w:hAnsi="仿宋_GB2312" w:eastAsia="仿宋_GB2312" w:cs="仿宋_GB2312"/>
          <w:color w:val="000000" w:themeColor="text1"/>
          <w:kern w:val="0"/>
          <w:sz w:val="28"/>
          <w:szCs w:val="28"/>
          <w14:textFill>
            <w14:solidFill>
              <w14:schemeClr w14:val="tx1"/>
            </w14:solidFill>
          </w14:textFill>
        </w:rPr>
        <w:t>符合询价文件规定资格</w:t>
      </w:r>
      <w:r>
        <w:rPr>
          <w:rFonts w:hint="eastAsia" w:ascii="仿宋_GB2312" w:hAnsi="仿宋_GB2312" w:eastAsia="仿宋_GB2312" w:cs="仿宋_GB2312"/>
          <w:color w:val="000000" w:themeColor="text1"/>
          <w:sz w:val="28"/>
          <w:szCs w:val="28"/>
          <w:lang w:val="zh-CN"/>
          <w14:textFill>
            <w14:solidFill>
              <w14:schemeClr w14:val="tx1"/>
            </w14:solidFill>
          </w14:textFill>
        </w:rPr>
        <w:t>要求</w:t>
      </w:r>
      <w:r>
        <w:rPr>
          <w:rFonts w:hint="eastAsia" w:ascii="仿宋_GB2312" w:hAnsi="仿宋_GB2312" w:eastAsia="仿宋_GB2312" w:cs="仿宋_GB2312"/>
          <w:color w:val="000000" w:themeColor="text1"/>
          <w:kern w:val="0"/>
          <w:sz w:val="28"/>
          <w:szCs w:val="28"/>
          <w14:textFill>
            <w14:solidFill>
              <w14:schemeClr w14:val="tx1"/>
            </w14:solidFill>
          </w14:textFill>
        </w:rPr>
        <w:t>的报价单位。</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3.“承包人”是指经法定程序确认并授以合同的报价单位。</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二、询价文件</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5．适用范围:本询价文件适用于本报价邀请中所述项目的询价。</w:t>
      </w:r>
    </w:p>
    <w:p>
      <w:pPr>
        <w:pStyle w:val="14"/>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询价文件的构成</w:t>
      </w:r>
    </w:p>
    <w:p>
      <w:pPr>
        <w:pStyle w:val="14"/>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6.1询价文件包括但不限于下列文件:</w:t>
      </w:r>
    </w:p>
    <w:p>
      <w:pPr>
        <w:pStyle w:val="14"/>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1）报价邀请函</w:t>
      </w:r>
    </w:p>
    <w:p>
      <w:pPr>
        <w:pStyle w:val="14"/>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项目内容</w:t>
      </w:r>
    </w:p>
    <w:p>
      <w:pPr>
        <w:pStyle w:val="14"/>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报价单位须知</w:t>
      </w:r>
    </w:p>
    <w:p>
      <w:pPr>
        <w:pStyle w:val="14"/>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合同书格式</w:t>
      </w:r>
    </w:p>
    <w:p>
      <w:pPr>
        <w:pStyle w:val="14"/>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询价响应文件格式</w:t>
      </w:r>
    </w:p>
    <w:p>
      <w:pPr>
        <w:pStyle w:val="14"/>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在询价过程中由询价人发出的修正和补充文件等</w:t>
      </w:r>
    </w:p>
    <w:p>
      <w:pPr>
        <w:pStyle w:val="14"/>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询价文件的澄清或修改</w:t>
      </w:r>
    </w:p>
    <w:p>
      <w:pPr>
        <w:pStyle w:val="14"/>
        <w:adjustRightInd w:val="0"/>
        <w:snapToGrid w:val="0"/>
        <w:spacing w:line="300" w:lineRule="auto"/>
        <w:ind w:left="420" w:hanging="420"/>
        <w:rPr>
          <w:rFonts w:hint="eastAsia" w:ascii="仿宋_GB2312" w:hAnsi="仿宋_GB2312" w:eastAsia="仿宋_GB2312" w:cs="仿宋_GB2312"/>
          <w:b w:val="0"/>
          <w:color w:val="000000" w:themeColor="text1"/>
          <w:sz w:val="28"/>
          <w:szCs w:val="28"/>
          <w14:textFill>
            <w14:solidFill>
              <w14:schemeClr w14:val="tx1"/>
            </w14:solidFill>
          </w14:textFill>
        </w:rPr>
      </w:pPr>
      <w:r>
        <w:rPr>
          <w:rFonts w:hint="eastAsia" w:ascii="仿宋_GB2312" w:hAnsi="仿宋_GB2312" w:eastAsia="仿宋_GB2312" w:cs="仿宋_GB2312"/>
          <w:b w:val="0"/>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b w:val="0"/>
          <w:color w:val="000000" w:themeColor="text1"/>
          <w:sz w:val="28"/>
          <w:szCs w:val="28"/>
          <w14:textFill>
            <w14:solidFill>
              <w14:schemeClr w14:val="tx1"/>
            </w14:solidFill>
          </w14:textFill>
        </w:rPr>
        <w:t>.2 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4"/>
        <w:adjustRightInd w:val="0"/>
        <w:snapToGrid w:val="0"/>
        <w:spacing w:line="300" w:lineRule="auto"/>
        <w:ind w:left="420" w:hanging="420"/>
        <w:rPr>
          <w:rFonts w:hint="eastAsia" w:ascii="仿宋_GB2312" w:hAnsi="仿宋_GB2312" w:eastAsia="仿宋_GB2312" w:cs="仿宋_GB2312"/>
          <w:b w:val="0"/>
          <w:color w:val="000000" w:themeColor="text1"/>
          <w:sz w:val="28"/>
          <w:szCs w:val="28"/>
          <w14:textFill>
            <w14:solidFill>
              <w14:schemeClr w14:val="tx1"/>
            </w14:solidFill>
          </w14:textFill>
        </w:rPr>
      </w:pPr>
      <w:r>
        <w:rPr>
          <w:rFonts w:hint="eastAsia" w:ascii="仿宋_GB2312" w:hAnsi="仿宋_GB2312" w:eastAsia="仿宋_GB2312" w:cs="仿宋_GB2312"/>
          <w:b w:val="0"/>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b w:val="0"/>
          <w:color w:val="000000" w:themeColor="text1"/>
          <w:sz w:val="28"/>
          <w:szCs w:val="28"/>
          <w14:textFill>
            <w14:solidFill>
              <w14:schemeClr w14:val="tx1"/>
            </w14:solidFill>
          </w14:textFill>
        </w:rPr>
        <w:t>.3 询价文件的修改或澄清将以书面形式通知所有获取询价文件的报价单位，并对其具有约束力。</w:t>
      </w:r>
    </w:p>
    <w:p>
      <w:pPr>
        <w:pStyle w:val="14"/>
        <w:adjustRightInd w:val="0"/>
        <w:snapToGrid w:val="0"/>
        <w:spacing w:line="300" w:lineRule="auto"/>
        <w:ind w:left="420" w:hanging="420"/>
        <w:rPr>
          <w:rFonts w:hint="eastAsia" w:ascii="仿宋_GB2312" w:hAnsi="仿宋_GB2312" w:eastAsia="仿宋_GB2312" w:cs="仿宋_GB2312"/>
          <w:b w:val="0"/>
          <w:color w:val="000000" w:themeColor="text1"/>
          <w:sz w:val="28"/>
          <w:szCs w:val="28"/>
          <w14:textFill>
            <w14:solidFill>
              <w14:schemeClr w14:val="tx1"/>
            </w14:solidFill>
          </w14:textFill>
        </w:rPr>
      </w:pPr>
      <w:r>
        <w:rPr>
          <w:rFonts w:hint="eastAsia" w:ascii="仿宋_GB2312" w:hAnsi="仿宋_GB2312" w:eastAsia="仿宋_GB2312" w:cs="仿宋_GB2312"/>
          <w:b w:val="0"/>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b w:val="0"/>
          <w:color w:val="000000" w:themeColor="text1"/>
          <w:sz w:val="28"/>
          <w:szCs w:val="28"/>
          <w14:textFill>
            <w14:solidFill>
              <w14:schemeClr w14:val="tx1"/>
            </w14:solidFill>
          </w14:textFill>
        </w:rPr>
        <w:t>.4 询价人可以视询价具体情况，延长递交询价响应文件截止时间，并将变更时间以书面形式通知所有询价文件收受人。</w:t>
      </w:r>
    </w:p>
    <w:p>
      <w:pPr>
        <w:pStyle w:val="14"/>
        <w:adjustRightInd w:val="0"/>
        <w:snapToGrid w:val="0"/>
        <w:spacing w:line="300" w:lineRule="auto"/>
        <w:ind w:left="420" w:hanging="420"/>
        <w:rPr>
          <w:rFonts w:hint="eastAsia" w:ascii="仿宋_GB2312" w:hAnsi="仿宋_GB2312" w:eastAsia="仿宋_GB2312" w:cs="仿宋_GB2312"/>
          <w:b w:val="0"/>
          <w:color w:val="000000" w:themeColor="text1"/>
          <w:sz w:val="28"/>
          <w:szCs w:val="28"/>
          <w14:textFill>
            <w14:solidFill>
              <w14:schemeClr w14:val="tx1"/>
            </w14:solidFill>
          </w14:textFill>
        </w:rPr>
      </w:pPr>
      <w:r>
        <w:rPr>
          <w:rFonts w:hint="eastAsia" w:ascii="仿宋_GB2312" w:hAnsi="仿宋_GB2312" w:eastAsia="仿宋_GB2312" w:cs="仿宋_GB2312"/>
          <w:b w:val="0"/>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b w:val="0"/>
          <w:color w:val="000000" w:themeColor="text1"/>
          <w:sz w:val="28"/>
          <w:szCs w:val="28"/>
          <w14:textFill>
            <w14:solidFill>
              <w14:schemeClr w14:val="tx1"/>
            </w14:solidFill>
          </w14:textFill>
        </w:rPr>
        <w:t>.5 书面形式包括但不限于以纸质、电子邮件、门户网站信息公告等形式。三、询价响应文件的编制和数量</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8．询价响应费用</w:t>
      </w:r>
    </w:p>
    <w:p>
      <w:pPr>
        <w:pStyle w:val="14"/>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9．报价的语言及计量</w:t>
      </w:r>
    </w:p>
    <w:p>
      <w:pPr>
        <w:pStyle w:val="14"/>
        <w:adjustRightInd w:val="0"/>
        <w:snapToGrid w:val="0"/>
        <w:spacing w:line="300" w:lineRule="auto"/>
        <w:ind w:left="360" w:hanging="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10．询价响应文件的构成</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询价响应文件编制</w:t>
      </w:r>
    </w:p>
    <w:p>
      <w:pPr>
        <w:spacing w:line="300" w:lineRule="auto"/>
        <w:ind w:left="630" w:hanging="630" w:hangingChars="22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11.1报价单位应按响应文件格式编制询价响应文件。</w:t>
      </w:r>
    </w:p>
    <w:p>
      <w:pPr>
        <w:pStyle w:val="14"/>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12.3任何有选择性报价的报价，将被视为无效报价。</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.4 报价人不得存在以下情形之一：</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（1）与询价人存在利害关系且可能影响询价公正性；</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（2）法定代表人或单位负责人为同一个人或者存在控股、管理关系的不同单位,同时参加同一项目或同一子项目；</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（3）为本询价项目提供过设计、编制技术规范和其他文件的咨询服务；</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（4）被依法暂停或者取消投标资格；</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（5）被责令停产停业、暂扣或者吊销许可证、暂扣或者吊销执照；</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（6）进入清算程序，或被宣告破产，或其他丧失履约能力的情形；</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（7）在参加本项目前3年内在存在重大违法记录；</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（8）被“全国企业信用信息公示系统”（网址：http://www.gsxt.gov.cn/）列入经营异常名录和严重违法企业名单；</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（9）被《信用中国》网站（www.creditchina.gov.cn）公示存在不良信用记录；</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（10）本项目截止时间前的半年中，在询价人组织的招标、询价活动中有被查实提供虚假材料的。 </w:t>
      </w:r>
    </w:p>
    <w:p>
      <w:pPr>
        <w:pStyle w:val="14"/>
        <w:adjustRightInd w:val="0"/>
        <w:snapToGrid w:val="0"/>
        <w:spacing w:line="300" w:lineRule="auto"/>
        <w:ind w:left="562" w:leftChars="1" w:hanging="560" w:hanging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 联合体报价</w:t>
      </w:r>
    </w:p>
    <w:p>
      <w:pPr>
        <w:pStyle w:val="14"/>
        <w:adjustRightInd w:val="0"/>
        <w:snapToGrid w:val="0"/>
        <w:spacing w:line="300" w:lineRule="auto"/>
        <w:ind w:left="562" w:leftChars="1" w:hanging="560" w:hanging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13.1本项目不接受联合体参加报价。</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 报价单位资格证明文件</w:t>
      </w:r>
    </w:p>
    <w:p>
      <w:pPr>
        <w:pStyle w:val="14"/>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14.2资格证明文件必须真实有效，复印件必须加盖单位印章。</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15.1询价响应文件应在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递交响应文件截止时间</w:t>
      </w:r>
      <w:r>
        <w:rPr>
          <w:rFonts w:hint="eastAsia" w:ascii="仿宋_GB2312" w:hAnsi="仿宋_GB2312" w:eastAsia="仿宋_GB2312" w:cs="仿宋_GB2312"/>
          <w:color w:val="000000" w:themeColor="text1"/>
          <w:sz w:val="28"/>
          <w:szCs w:val="28"/>
          <w14:textFill>
            <w14:solidFill>
              <w14:schemeClr w14:val="tx1"/>
            </w14:solidFill>
          </w14:textFill>
        </w:rPr>
        <w:t>之日起</w:t>
      </w:r>
      <w:r>
        <w:rPr>
          <w:rFonts w:hint="eastAsia" w:ascii="仿宋_GB2312" w:hAnsi="仿宋_GB2312" w:eastAsia="仿宋_GB2312" w:cs="仿宋_GB2312"/>
          <w:color w:val="000000" w:themeColor="text1"/>
          <w:sz w:val="28"/>
          <w:szCs w:val="28"/>
          <w:u w:val="single"/>
          <w14:textFill>
            <w14:solidFill>
              <w14:schemeClr w14:val="tx1"/>
            </w14:solidFill>
          </w14:textFill>
        </w:rPr>
        <w:t>90</w:t>
      </w:r>
      <w:r>
        <w:rPr>
          <w:rFonts w:hint="eastAsia" w:ascii="仿宋_GB2312" w:hAnsi="仿宋_GB2312" w:eastAsia="仿宋_GB2312"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16.1 报价单位应编制询价响应文件一式</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14"/>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 询价响应文件的密封和标记</w:t>
      </w:r>
    </w:p>
    <w:p>
      <w:pPr>
        <w:pStyle w:val="14"/>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4"/>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17.2每一密封信封均应：</w:t>
      </w:r>
    </w:p>
    <w:p>
      <w:pPr>
        <w:pStyle w:val="14"/>
        <w:adjustRightInd w:val="0"/>
        <w:snapToGrid w:val="0"/>
        <w:spacing w:line="300" w:lineRule="auto"/>
        <w:ind w:left="1439" w:leftChars="343" w:hanging="719" w:hangingChars="257"/>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（1）标明项目编号、项目名称，并注明“正本”或“副本”字样；</w:t>
      </w:r>
    </w:p>
    <w:p>
      <w:pPr>
        <w:pStyle w:val="14"/>
        <w:adjustRightInd w:val="0"/>
        <w:snapToGrid w:val="0"/>
        <w:spacing w:line="300" w:lineRule="auto"/>
        <w:ind w:left="1439" w:leftChars="343" w:hanging="719" w:hangingChars="257"/>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（2）注明“于（递交询价响应文件截止时间）之前不准启封”的字样。</w:t>
      </w:r>
    </w:p>
    <w:p>
      <w:pPr>
        <w:pStyle w:val="14"/>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4"/>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18. 询价响应文件递交截止时间</w:t>
      </w:r>
    </w:p>
    <w:p>
      <w:pPr>
        <w:pStyle w:val="14"/>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 询价响应文件的修改和撤回</w:t>
      </w:r>
    </w:p>
    <w:p>
      <w:pPr>
        <w:pStyle w:val="14"/>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4"/>
        <w:adjustRightInd w:val="0"/>
        <w:snapToGrid w:val="0"/>
        <w:spacing w:line="300" w:lineRule="auto"/>
        <w:ind w:left="420" w:right="32"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14"/>
        <w:adjustRightInd w:val="0"/>
        <w:snapToGrid w:val="0"/>
        <w:spacing w:line="30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五、评审</w:t>
      </w:r>
    </w:p>
    <w:p>
      <w:pPr>
        <w:pStyle w:val="14"/>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20.1 </w:t>
      </w:r>
      <w:r>
        <w:rPr>
          <w:rFonts w:hint="eastAsia" w:ascii="仿宋_GB2312" w:hAnsi="仿宋_GB2312" w:eastAsia="仿宋_GB2312" w:cs="仿宋_GB2312"/>
          <w:color w:val="000000" w:themeColor="text1"/>
          <w:kern w:val="0"/>
          <w:sz w:val="28"/>
          <w:szCs w:val="28"/>
          <w14:textFill>
            <w14:solidFill>
              <w14:schemeClr w14:val="tx1"/>
            </w14:solidFill>
          </w14:textFill>
        </w:rPr>
        <w:t>评审由</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21.4  </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第一候选单位，若注册资金相同则以上一年资产盈利高的作为第一候选单位。</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22.3超过最高限价的报价将被拒绝。</w:t>
      </w:r>
    </w:p>
    <w:p>
      <w:pPr>
        <w:spacing w:line="25" w:lineRule="atLeas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23.2承包人确定后，询价人</w:t>
      </w:r>
      <w:r>
        <w:rPr>
          <w:rFonts w:hint="eastAsia" w:ascii="仿宋_GB2312" w:hAnsi="仿宋_GB2312" w:eastAsia="仿宋_GB2312" w:cs="仿宋_GB2312"/>
          <w:color w:val="000000" w:themeColor="text1"/>
          <w:kern w:val="0"/>
          <w:sz w:val="28"/>
          <w:szCs w:val="28"/>
          <w14:textFill>
            <w14:solidFill>
              <w14:schemeClr w14:val="tx1"/>
            </w14:solidFill>
          </w14:textFill>
        </w:rPr>
        <w:t>向承包人发出《发包通知书》，</w:t>
      </w:r>
      <w:r>
        <w:rPr>
          <w:rFonts w:hint="eastAsia" w:ascii="仿宋_GB2312" w:hAnsi="仿宋_GB2312" w:eastAsia="仿宋_GB2312" w:cs="仿宋_GB2312"/>
          <w:color w:val="000000" w:themeColor="text1"/>
          <w:sz w:val="28"/>
          <w:szCs w:val="28"/>
          <w14:textFill>
            <w14:solidFill>
              <w14:schemeClr w14:val="tx1"/>
            </w14:solidFill>
          </w14:textFill>
        </w:rPr>
        <w:t>对承包人和询价人具有同等法律效力</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pStyle w:val="14"/>
        <w:adjustRightInd w:val="0"/>
        <w:snapToGrid w:val="0"/>
        <w:spacing w:line="30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_GB2312" w:hAnsi="仿宋_GB2312" w:eastAsia="仿宋_GB2312"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不得超出询价文件和承包人询价响应文件的范围、也不得再行订立背离合同实质性内容的其他协议。因承包人原因导致未按规定时限签订合同的，发包人有权视为其自动放弃该项目。</w:t>
      </w:r>
    </w:p>
    <w:p>
      <w:pPr>
        <w:adjustRightInd w:val="0"/>
        <w:snapToGrid w:val="0"/>
        <w:spacing w:line="30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_GB2312" w:hAnsi="仿宋_GB2312" w:eastAsia="仿宋_GB2312"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_GB2312" w:hAnsi="仿宋_GB2312" w:eastAsia="仿宋_GB2312"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rPr>
          <w:rFonts w:hint="eastAsia" w:ascii="仿宋_GB2312" w:hAnsi="仿宋_GB2312" w:eastAsia="仿宋_GB2312" w:cs="仿宋_GB2312"/>
          <w:b/>
          <w:bCs/>
          <w:color w:val="000000" w:themeColor="text1"/>
          <w14:textFill>
            <w14:solidFill>
              <w14:schemeClr w14:val="tx1"/>
            </w14:solidFill>
          </w14:textFill>
        </w:rPr>
        <w:sectPr>
          <w:pgSz w:w="11906" w:h="16838"/>
          <w:pgMar w:top="1089" w:right="1466" w:bottom="1089" w:left="1077" w:header="851" w:footer="992" w:gutter="0"/>
          <w:cols w:space="720" w:num="1"/>
          <w:docGrid w:type="lines" w:linePitch="312" w:charSpace="0"/>
        </w:sectPr>
      </w:pPr>
      <w:bookmarkStart w:id="0" w:name="_Toc371433002"/>
      <w:bookmarkStart w:id="1" w:name="_Toc179632599"/>
      <w:bookmarkStart w:id="2" w:name="_Toc152042358"/>
      <w:bookmarkStart w:id="3" w:name="_Toc144974548"/>
      <w:bookmarkStart w:id="4" w:name="_Toc247085739"/>
      <w:bookmarkStart w:id="5" w:name="_Toc152045581"/>
    </w:p>
    <w:p>
      <w:pPr>
        <w:pStyle w:val="2"/>
        <w:rPr>
          <w:rFonts w:hint="eastAsia" w:ascii="仿宋_GB2312" w:hAnsi="仿宋_GB2312" w:eastAsia="仿宋_GB2312" w:cs="仿宋_GB2312"/>
          <w:color w:val="000000"/>
        </w:rPr>
      </w:pPr>
      <w:r>
        <w:rPr>
          <w:rFonts w:hint="eastAsia" w:ascii="仿宋_GB2312" w:hAnsi="仿宋_GB2312" w:eastAsia="仿宋_GB2312" w:cs="仿宋_GB2312"/>
          <w:color w:val="000000"/>
        </w:rPr>
        <w:t>附件一 报价记录表</w:t>
      </w:r>
      <w:bookmarkEnd w:id="0"/>
      <w:bookmarkEnd w:id="1"/>
      <w:bookmarkEnd w:id="2"/>
      <w:bookmarkEnd w:id="3"/>
      <w:bookmarkEnd w:id="4"/>
      <w:bookmarkEnd w:id="5"/>
    </w:p>
    <w:p>
      <w:pPr>
        <w:spacing w:line="40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广州市净水有限公司沥滘三期多媒体互动展示项目</w:t>
      </w:r>
      <w:r>
        <w:rPr>
          <w:rFonts w:hint="eastAsia" w:ascii="仿宋_GB2312" w:hAnsi="仿宋_GB2312" w:eastAsia="仿宋_GB2312" w:cs="仿宋_GB2312"/>
          <w:b/>
          <w:bCs/>
          <w:color w:val="000000"/>
          <w:sz w:val="28"/>
          <w:szCs w:val="28"/>
        </w:rPr>
        <w:t>报价记录表</w:t>
      </w:r>
    </w:p>
    <w:p>
      <w:pPr>
        <w:spacing w:line="500" w:lineRule="exact"/>
        <w:ind w:firstLine="3465" w:firstLineChars="1650"/>
        <w:rPr>
          <w:rFonts w:hint="eastAsia"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报价文件开启时间：年月日时分</w:t>
      </w:r>
    </w:p>
    <w:tbl>
      <w:tblPr>
        <w:tblStyle w:val="26"/>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bl>
    <w:p>
      <w:pPr>
        <w:spacing w:line="440" w:lineRule="exact"/>
        <w:rPr>
          <w:rFonts w:hint="eastAsia" w:ascii="仿宋_GB2312" w:hAnsi="仿宋_GB2312" w:eastAsia="仿宋_GB2312" w:cs="仿宋_GB2312"/>
          <w:color w:val="000000"/>
        </w:rPr>
      </w:pP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 xml:space="preserve">经办人： </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记录人：</w:t>
      </w:r>
    </w:p>
    <w:p>
      <w:pPr>
        <w:spacing w:line="440" w:lineRule="exact"/>
        <w:ind w:firstLine="420" w:firstLineChars="200"/>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年</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日</w:t>
      </w:r>
    </w:p>
    <w:p>
      <w:pPr>
        <w:ind w:firstLine="720" w:firstLineChars="300"/>
        <w:rPr>
          <w:rFonts w:hint="eastAsia" w:ascii="仿宋_GB2312" w:hAnsi="仿宋_GB2312" w:eastAsia="仿宋_GB2312" w:cs="仿宋_GB2312"/>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2"/>
        <w:rPr>
          <w:rFonts w:hint="eastAsia" w:ascii="仿宋_GB2312" w:hAnsi="仿宋_GB2312" w:eastAsia="仿宋_GB2312" w:cs="仿宋_GB2312"/>
          <w:color w:val="000000"/>
        </w:rPr>
      </w:pPr>
      <w:r>
        <w:rPr>
          <w:rFonts w:hint="eastAsia" w:ascii="仿宋_GB2312" w:hAnsi="仿宋_GB2312" w:eastAsia="仿宋_GB2312" w:cs="仿宋_GB2312"/>
          <w:color w:val="000000"/>
        </w:rPr>
        <w:t>附件二</w:t>
      </w:r>
    </w:p>
    <w:p>
      <w:pPr>
        <w:jc w:val="center"/>
        <w:rPr>
          <w:rFonts w:hint="eastAsia" w:ascii="仿宋_GB2312" w:hAnsi="仿宋_GB2312" w:eastAsia="仿宋_GB2312" w:cs="仿宋_GB2312"/>
          <w:b/>
          <w:bCs/>
          <w:color w:val="000000"/>
          <w:sz w:val="32"/>
          <w:szCs w:val="40"/>
        </w:rPr>
      </w:pPr>
      <w:r>
        <w:rPr>
          <w:rFonts w:hint="eastAsia" w:ascii="仿宋_GB2312" w:hAnsi="仿宋_GB2312" w:eastAsia="仿宋_GB2312" w:cs="仿宋_GB2312"/>
          <w:b/>
          <w:bCs/>
          <w:color w:val="000000"/>
          <w:sz w:val="32"/>
          <w:szCs w:val="40"/>
        </w:rPr>
        <w:t>广州市净水有限公司非公开招标项目评审记录表</w:t>
      </w:r>
    </w:p>
    <w:p>
      <w:pPr>
        <w:spacing w:line="360" w:lineRule="auto"/>
        <w:ind w:left="1200" w:hanging="1200" w:hangingChars="5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项目名称：</w:t>
      </w:r>
      <w:r>
        <w:rPr>
          <w:rFonts w:hint="eastAsia" w:ascii="仿宋_GB2312" w:hAnsi="仿宋_GB2312" w:eastAsia="仿宋_GB2312" w:cs="仿宋_GB2312"/>
          <w:color w:val="000000" w:themeColor="text1"/>
          <w:sz w:val="24"/>
          <w:lang w:val="en-US" w:eastAsia="zh-CN"/>
          <w14:textFill>
            <w14:solidFill>
              <w14:schemeClr w14:val="tx1"/>
            </w14:solidFill>
          </w14:textFill>
        </w:rPr>
        <w:t>广州市净水有限公司沥滘三期多媒体互动展示项目</w:t>
      </w:r>
    </w:p>
    <w:tbl>
      <w:tblPr>
        <w:tblStyle w:val="26"/>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序号</w:t>
            </w:r>
          </w:p>
        </w:tc>
        <w:tc>
          <w:tcPr>
            <w:tcW w:w="4154" w:type="dxa"/>
            <w:vMerge w:val="restart"/>
            <w:tcBorders>
              <w:top w:val="double" w:color="auto" w:sz="4" w:space="0"/>
              <w:left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b/>
                <w:color w:val="000000"/>
                <w:sz w:val="28"/>
                <w:szCs w:val="28"/>
                <w:lang w:bidi="ar-SA"/>
              </w:rPr>
              <w:t>项目资料</w:t>
            </w:r>
          </w:p>
        </w:tc>
        <w:tc>
          <w:tcPr>
            <w:tcW w:w="1082" w:type="dxa"/>
            <w:vMerge w:val="restart"/>
            <w:tcBorders>
              <w:top w:val="double" w:color="auto" w:sz="4" w:space="0"/>
              <w:left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b/>
                <w:color w:val="000000"/>
                <w:sz w:val="28"/>
                <w:szCs w:val="28"/>
                <w:lang w:bidi="ar-SA"/>
              </w:rPr>
              <w:t>提交资料要求</w:t>
            </w:r>
          </w:p>
        </w:tc>
        <w:tc>
          <w:tcPr>
            <w:tcW w:w="3992" w:type="dxa"/>
            <w:gridSpan w:val="4"/>
            <w:tcBorders>
              <w:top w:val="double" w:color="auto" w:sz="4" w:space="0"/>
              <w:left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审核情况</w:t>
            </w:r>
          </w:p>
        </w:tc>
        <w:tc>
          <w:tcPr>
            <w:tcW w:w="806"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noWrap w:val="0"/>
            <w:vAlign w:val="center"/>
          </w:tcPr>
          <w:p/>
        </w:tc>
        <w:tc>
          <w:tcPr>
            <w:tcW w:w="4154" w:type="dxa"/>
            <w:vMerge w:val="continue"/>
            <w:tcBorders>
              <w:left w:val="single" w:color="auto" w:sz="4" w:space="0"/>
              <w:bottom w:val="single" w:color="auto" w:sz="4" w:space="0"/>
              <w:right w:val="single" w:color="auto" w:sz="4" w:space="0"/>
            </w:tcBorders>
            <w:noWrap w:val="0"/>
            <w:vAlign w:val="center"/>
          </w:tcPr>
          <w:p/>
        </w:tc>
        <w:tc>
          <w:tcPr>
            <w:tcW w:w="1082" w:type="dxa"/>
            <w:vMerge w:val="continue"/>
            <w:tcBorders>
              <w:left w:val="single" w:color="auto" w:sz="4" w:space="0"/>
              <w:bottom w:val="single" w:color="auto" w:sz="4" w:space="0"/>
              <w:right w:val="single" w:color="auto" w:sz="4" w:space="0"/>
            </w:tcBorders>
            <w:noWrap w:val="0"/>
            <w:vAlign w:val="center"/>
          </w:tcP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0"/>
                <w:szCs w:val="20"/>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0"/>
                <w:szCs w:val="20"/>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0"/>
                <w:szCs w:val="20"/>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0"/>
                <w:szCs w:val="20"/>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1</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企业法定代表人资格证明书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2</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法定代表人授权委托书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3</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关于资格的声明函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4</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符合报名条件资格要求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5</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响应询价文件第二部分项目要求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原</w:t>
            </w:r>
            <w:r>
              <w:rPr>
                <w:rFonts w:hint="eastAsia" w:ascii="仿宋" w:eastAsia="仿宋" w:cs="仿宋"/>
                <w:color w:val="000000"/>
                <w:sz w:val="28"/>
                <w:szCs w:val="28"/>
                <w:lang w:bidi="ar-SA"/>
              </w:rPr>
              <w:t>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6</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拟委派的项目负责人情况表</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7</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报价意向承诺及声明函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结论</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评审人签名</w:t>
            </w:r>
          </w:p>
        </w:tc>
        <w:tc>
          <w:tcPr>
            <w:tcW w:w="4798" w:type="dxa"/>
            <w:gridSpan w:val="5"/>
            <w:tcBorders>
              <w:top w:val="single" w:color="auto" w:sz="4" w:space="0"/>
              <w:left w:val="single" w:color="auto" w:sz="4" w:space="0"/>
              <w:bottom w:val="single" w:color="auto" w:sz="4" w:space="0"/>
              <w:right w:val="double" w:color="auto" w:sz="4" w:space="0"/>
            </w:tcBorders>
            <w:noWrap w:val="0"/>
            <w:vAlign w:val="top"/>
          </w:tcPr>
          <w:p>
            <w:pPr>
              <w:rPr>
                <w:rFonts w:hint="eastAsia" w:ascii="仿宋" w:eastAsia="仿宋" w:cs="仿宋"/>
                <w:color w:val="000000"/>
                <w:sz w:val="28"/>
                <w:szCs w:val="28"/>
                <w:lang w:bidi="ar-SA"/>
              </w:rPr>
            </w:pPr>
          </w:p>
        </w:tc>
      </w:tr>
    </w:tbl>
    <w:p>
      <w:pPr>
        <w:ind w:left="0" w:firstLine="0" w:firstLineChars="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备注：1、审核情况填写“符合”或“不符合；或者打“√”或“×”。</w:t>
      </w:r>
    </w:p>
    <w:p>
      <w:pPr>
        <w:numPr>
          <w:ilvl w:val="0"/>
          <w:numId w:val="2"/>
        </w:numPr>
        <w:ind w:firstLine="630" w:firstLineChars="3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本表所有审核情况均为符合的，结论为报名成功。若有一项或以上审核情况为不符合的，结论为报名不成功。</w:t>
      </w:r>
    </w:p>
    <w:p>
      <w:pPr>
        <w:pStyle w:val="2"/>
        <w:rPr>
          <w:rFonts w:hint="eastAsia"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hint="eastAsia" w:ascii="仿宋_GB2312" w:hAnsi="仿宋_GB2312" w:eastAsia="仿宋_GB2312" w:cs="仿宋_GB2312"/>
          <w:kern w:val="0"/>
          <w:sz w:val="28"/>
          <w:szCs w:val="28"/>
        </w:rPr>
      </w:pPr>
    </w:p>
    <w:p>
      <w:pPr>
        <w:tabs>
          <w:tab w:val="left" w:pos="5740"/>
        </w:tabs>
        <w:autoSpaceDE w:val="0"/>
        <w:autoSpaceDN w:val="0"/>
        <w:adjustRightInd w:val="0"/>
        <w:jc w:val="center"/>
        <w:rPr>
          <w:rFonts w:hint="eastAsia" w:ascii="仿宋_GB2312" w:hAnsi="仿宋_GB2312" w:eastAsia="仿宋_GB2312" w:cs="仿宋_GB2312"/>
          <w:sz w:val="44"/>
          <w:szCs w:val="44"/>
        </w:rPr>
      </w:pPr>
      <w:r>
        <w:rPr>
          <w:rFonts w:hint="eastAsia" w:ascii="仿宋_GB2312" w:hAnsi="仿宋_GB2312" w:eastAsia="仿宋_GB2312" w:cs="仿宋_GB2312"/>
          <w:bCs/>
          <w:kern w:val="0"/>
          <w:sz w:val="44"/>
          <w:szCs w:val="44"/>
        </w:rPr>
        <w:t>广州市净水有限公司</w:t>
      </w:r>
      <w:r>
        <w:rPr>
          <w:rFonts w:hint="eastAsia" w:ascii="仿宋_GB2312" w:hAnsi="仿宋_GB2312" w:eastAsia="仿宋_GB2312" w:cs="仿宋_GB2312"/>
          <w:sz w:val="44"/>
          <w:szCs w:val="44"/>
        </w:rPr>
        <w:t>非公开招标项目</w:t>
      </w:r>
    </w:p>
    <w:p>
      <w:pPr>
        <w:tabs>
          <w:tab w:val="left" w:pos="5740"/>
        </w:tabs>
        <w:autoSpaceDE w:val="0"/>
        <w:autoSpaceDN w:val="0"/>
        <w:adjustRightInd w:val="0"/>
        <w:jc w:val="center"/>
        <w:rPr>
          <w:rFonts w:hint="eastAsia" w:ascii="仿宋_GB2312" w:hAnsi="仿宋_GB2312" w:eastAsia="仿宋_GB2312" w:cs="仿宋_GB2312"/>
          <w:bCs/>
          <w:kern w:val="0"/>
          <w:sz w:val="44"/>
          <w:szCs w:val="44"/>
        </w:rPr>
      </w:pPr>
      <w:r>
        <w:rPr>
          <w:rFonts w:hint="eastAsia" w:ascii="仿宋_GB2312" w:hAnsi="仿宋_GB2312" w:eastAsia="仿宋_GB2312" w:cs="仿宋_GB2312"/>
          <w:bCs/>
          <w:kern w:val="0"/>
          <w:sz w:val="44"/>
          <w:szCs w:val="44"/>
        </w:rPr>
        <w:t>发包通知书</w:t>
      </w:r>
    </w:p>
    <w:p>
      <w:pPr>
        <w:autoSpaceDE w:val="0"/>
        <w:autoSpaceDN w:val="0"/>
        <w:adjustRightInd w:val="0"/>
        <w:spacing w:after="400"/>
        <w:jc w:val="center"/>
        <w:rPr>
          <w:rFonts w:hint="eastAsia" w:ascii="仿宋_GB2312" w:hAnsi="仿宋_GB2312" w:eastAsia="仿宋_GB2312" w:cs="仿宋_GB2312"/>
          <w:kern w:val="0"/>
          <w:sz w:val="32"/>
          <w:szCs w:val="32"/>
        </w:rPr>
      </w:pPr>
    </w:p>
    <w:p>
      <w:pPr>
        <w:tabs>
          <w:tab w:val="left" w:pos="709"/>
        </w:tabs>
        <w:autoSpaceDE w:val="0"/>
        <w:autoSpaceDN w:val="0"/>
        <w:adjustRightInd w:val="0"/>
        <w:spacing w:after="40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广净（非公招）字 [20××] 第 [×××] 号</w:t>
      </w:r>
    </w:p>
    <w:p>
      <w:pPr>
        <w:autoSpaceDE w:val="0"/>
        <w:autoSpaceDN w:val="0"/>
        <w:adjustRightInd w:val="0"/>
        <w:spacing w:after="3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承包单位(全称):</w:t>
      </w:r>
    </w:p>
    <w:p>
      <w:pPr>
        <w:autoSpaceDE w:val="0"/>
        <w:autoSpaceDN w:val="0"/>
        <w:adjustRightInd w:val="0"/>
        <w:spacing w:after="300" w:line="500" w:lineRule="atLeas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w:t>
      </w:r>
    </w:p>
    <w:p>
      <w:pPr>
        <w:autoSpaceDE w:val="0"/>
        <w:autoSpaceDN w:val="0"/>
        <w:adjustRightInd w:val="0"/>
        <w:spacing w:after="5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项目负责人姓名： </w:t>
      </w:r>
    </w:p>
    <w:p>
      <w:pPr>
        <w:autoSpaceDE w:val="0"/>
        <w:autoSpaceDN w:val="0"/>
        <w:adjustRightInd w:val="0"/>
        <w:spacing w:before="600" w:after="200"/>
        <w:ind w:left="576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发包单位（盖章）：</w:t>
      </w:r>
    </w:p>
    <w:p>
      <w:pPr>
        <w:autoSpaceDE w:val="0"/>
        <w:autoSpaceDN w:val="0"/>
        <w:adjustRightInd w:val="0"/>
        <w:spacing w:after="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p>
      <w:pPr>
        <w:rPr>
          <w:rFonts w:hint="eastAsia" w:ascii="仿宋_GB2312" w:hAnsi="仿宋_GB2312" w:eastAsia="仿宋_GB2312" w:cs="仿宋_GB2312"/>
          <w:b/>
          <w:sz w:val="28"/>
          <w:szCs w:val="28"/>
        </w:rPr>
        <w:sectPr>
          <w:pgSz w:w="11906" w:h="16838"/>
          <w:pgMar w:top="1089" w:right="1466" w:bottom="1089" w:left="1077" w:header="851" w:footer="992" w:gutter="0"/>
          <w:cols w:space="720" w:num="1"/>
          <w:docGrid w:type="lines" w:linePitch="312" w:charSpace="0"/>
        </w:sectPr>
      </w:pPr>
    </w:p>
    <w:p>
      <w:pPr>
        <w:rPr>
          <w:rFonts w:hint="eastAsia" w:ascii="仿宋_GB2312" w:hAnsi="仿宋_GB2312" w:eastAsia="仿宋_GB2312" w:cs="仿宋_GB2312"/>
          <w:b/>
          <w:kern w:val="0"/>
        </w:rPr>
      </w:pPr>
    </w:p>
    <w:p>
      <w:pPr>
        <w:rPr>
          <w:rFonts w:hint="eastAsia" w:ascii="仿宋_GB2312" w:hAnsi="仿宋_GB2312" w:eastAsia="仿宋_GB2312" w:cs="仿宋_GB2312"/>
          <w:b/>
          <w:kern w:val="0"/>
        </w:rPr>
      </w:pPr>
    </w:p>
    <w:p>
      <w:pPr>
        <w:pStyle w:val="23"/>
        <w:rPr>
          <w:rFonts w:hint="eastAsia" w:ascii="仿宋_GB2312" w:hAnsi="仿宋_GB2312" w:eastAsia="仿宋_GB2312" w:cs="仿宋_GB2312"/>
          <w:lang w:val="zh-CN"/>
        </w:rPr>
      </w:pPr>
      <w:r>
        <w:rPr>
          <w:rFonts w:hint="eastAsia" w:ascii="仿宋_GB2312" w:hAnsi="仿宋_GB2312" w:eastAsia="仿宋_GB2312" w:cs="仿宋_GB2312"/>
          <w:lang w:val="zh-CN"/>
        </w:rPr>
        <w:t>第四部分  合同书格式</w:t>
      </w: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信息系统建设合同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 xml:space="preserve">项目名称: </w:t>
      </w:r>
    </w:p>
    <w:p>
      <w:pPr>
        <w:spacing w:line="400" w:lineRule="atLeast"/>
        <w:rPr>
          <w:rFonts w:ascii="宋体" w:hAnsi="宋体" w:cs="宋体"/>
          <w:b/>
          <w:sz w:val="30"/>
          <w:szCs w:val="30"/>
        </w:rPr>
      </w:pPr>
      <w:r>
        <w:rPr>
          <w:rFonts w:hint="eastAsia" w:ascii="宋体" w:hAnsi="宋体" w:cs="宋体"/>
          <w:b/>
          <w:sz w:val="30"/>
          <w:szCs w:val="30"/>
        </w:rPr>
        <w:t>项目编号：</w:t>
      </w:r>
      <w:r>
        <w:rPr>
          <w:rFonts w:ascii="宋体" w:hAnsi="宋体" w:cs="宋体"/>
          <w:b/>
          <w:sz w:val="30"/>
          <w:szCs w:val="30"/>
        </w:rPr>
        <w:t xml:space="preserve"> </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乙方： </w:t>
      </w:r>
    </w:p>
    <w:p>
      <w:pPr>
        <w:rPr>
          <w:rFonts w:ascii="仿宋_GB2312" w:eastAsia="仿宋_GB2312"/>
          <w:bCs/>
          <w:sz w:val="28"/>
          <w:szCs w:val="28"/>
        </w:rPr>
      </w:pPr>
    </w:p>
    <w:p>
      <w:pPr>
        <w:rPr>
          <w:rFonts w:ascii="仿宋_GB2312" w:eastAsia="仿宋_GB2312"/>
          <w:bCs/>
          <w:sz w:val="28"/>
          <w:szCs w:val="28"/>
        </w:rPr>
      </w:pPr>
    </w:p>
    <w:p>
      <w:pPr>
        <w:rPr>
          <w:rFonts w:ascii="仿宋_GB2312" w:eastAsia="仿宋_GB2312"/>
          <w:bCs/>
          <w:sz w:val="28"/>
          <w:szCs w:val="28"/>
        </w:rPr>
      </w:pPr>
    </w:p>
    <w:p>
      <w:pPr>
        <w:spacing w:line="540" w:lineRule="exact"/>
        <w:rPr>
          <w:rFonts w:ascii="宋体" w:hAnsi="宋体" w:cs="宋体"/>
          <w:b/>
          <w:kern w:val="0"/>
          <w:sz w:val="24"/>
          <w:szCs w:val="24"/>
        </w:rPr>
      </w:pPr>
    </w:p>
    <w:p>
      <w:pPr>
        <w:spacing w:before="93" w:beforeLines="30" w:line="500" w:lineRule="exact"/>
        <w:ind w:firstLine="720" w:firstLineChars="300"/>
        <w:rPr>
          <w:rFonts w:ascii="宋体" w:hAnsi="宋体" w:cs="宋体"/>
          <w:sz w:val="24"/>
          <w:szCs w:val="24"/>
        </w:rPr>
      </w:pPr>
      <w:r>
        <w:rPr>
          <w:rFonts w:hint="eastAsia" w:ascii="宋体" w:hAnsi="宋体" w:cs="宋体"/>
          <w:sz w:val="24"/>
          <w:szCs w:val="24"/>
          <w:u w:val="single"/>
        </w:rPr>
        <w:t>广州市净水有限公司</w:t>
      </w:r>
      <w:r>
        <w:rPr>
          <w:rFonts w:hint="eastAsia" w:ascii="宋体" w:hAnsi="宋体" w:cs="宋体"/>
          <w:sz w:val="24"/>
          <w:szCs w:val="24"/>
        </w:rPr>
        <w:t>（以下简称“甲方”）与</w:t>
      </w:r>
      <w:r>
        <w:rPr>
          <w:rFonts w:hint="eastAsia" w:ascii="宋体" w:hAnsi="宋体" w:cs="宋体"/>
          <w:sz w:val="24"/>
          <w:szCs w:val="24"/>
          <w:u w:val="single"/>
        </w:rPr>
        <w:t xml:space="preserve">    …  </w:t>
      </w:r>
      <w:r>
        <w:rPr>
          <w:rFonts w:hint="eastAsia" w:ascii="宋体" w:hAnsi="宋体" w:cs="宋体"/>
          <w:sz w:val="24"/>
          <w:szCs w:val="24"/>
        </w:rPr>
        <w:t>（以下简称“乙方”）依照</w:t>
      </w:r>
      <w:r>
        <w:rPr>
          <w:rFonts w:hint="eastAsia" w:ascii="宋体" w:hAnsi="宋体" w:cs="宋体"/>
          <w:sz w:val="24"/>
          <w:szCs w:val="24"/>
          <w:shd w:val="clear" w:color="auto" w:fill="FFFFFF"/>
        </w:rPr>
        <w:t>《中华人民共和国网络安全法》及相关</w:t>
      </w:r>
      <w:r>
        <w:rPr>
          <w:rFonts w:hint="eastAsia" w:ascii="宋体" w:hAnsi="宋体" w:cs="宋体"/>
          <w:sz w:val="24"/>
          <w:szCs w:val="24"/>
        </w:rPr>
        <w:t>法律法规，就</w:t>
      </w:r>
      <w:r>
        <w:rPr>
          <w:rFonts w:hint="eastAsia" w:ascii="宋体" w:hAnsi="宋体" w:cs="宋体"/>
          <w:sz w:val="24"/>
          <w:szCs w:val="24"/>
          <w:u w:val="single"/>
        </w:rPr>
        <w:t xml:space="preserve">  … </w:t>
      </w:r>
      <w:r>
        <w:rPr>
          <w:rFonts w:hint="eastAsia" w:ascii="宋体" w:hAnsi="宋体" w:cs="宋体"/>
          <w:sz w:val="24"/>
          <w:szCs w:val="24"/>
        </w:rPr>
        <w:t>项目遵循平等、自愿、公平和诚实信用的原则，经双方协商一致，特订立本合同。</w:t>
      </w:r>
    </w:p>
    <w:p>
      <w:pPr>
        <w:spacing w:before="93" w:beforeLines="30" w:line="500" w:lineRule="exact"/>
        <w:ind w:firstLine="482" w:firstLineChars="200"/>
        <w:rPr>
          <w:rFonts w:ascii="宋体" w:hAnsi="宋体" w:cs="宋体"/>
          <w:b/>
          <w:bCs/>
          <w:sz w:val="24"/>
          <w:szCs w:val="24"/>
        </w:rPr>
      </w:pPr>
      <w:r>
        <w:rPr>
          <w:rFonts w:hint="eastAsia" w:ascii="宋体" w:hAnsi="宋体" w:cs="宋体"/>
          <w:b/>
          <w:bCs/>
          <w:sz w:val="24"/>
          <w:szCs w:val="24"/>
        </w:rPr>
        <w:t>一、组成合同的文件及优先顺序</w:t>
      </w:r>
    </w:p>
    <w:p>
      <w:pPr>
        <w:spacing w:line="500" w:lineRule="exact"/>
        <w:ind w:firstLine="482"/>
        <w:rPr>
          <w:rFonts w:ascii="宋体" w:hAnsi="宋体" w:cs="宋体"/>
          <w:bCs/>
          <w:sz w:val="24"/>
          <w:szCs w:val="24"/>
        </w:rPr>
      </w:pPr>
      <w:r>
        <w:rPr>
          <w:rFonts w:hint="eastAsia" w:ascii="宋体" w:hAnsi="宋体" w:cs="宋体"/>
          <w:bCs/>
          <w:sz w:val="24"/>
          <w:szCs w:val="24"/>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szCs w:val="24"/>
        </w:rPr>
      </w:pPr>
      <w:r>
        <w:rPr>
          <w:rFonts w:hint="eastAsia" w:ascii="宋体" w:hAnsi="宋体" w:cs="宋体"/>
          <w:bCs/>
          <w:sz w:val="24"/>
          <w:szCs w:val="24"/>
        </w:rPr>
        <w:t xml:space="preserve">⑴ </w:t>
      </w:r>
      <w:r>
        <w:rPr>
          <w:rFonts w:hint="eastAsia" w:ascii="宋体" w:hAnsi="宋体" w:cs="宋体"/>
          <w:sz w:val="24"/>
          <w:szCs w:val="24"/>
        </w:rPr>
        <w:t>在本合同实施过程双方签署的补充与修正文件</w:t>
      </w:r>
      <w:r>
        <w:rPr>
          <w:rFonts w:hint="eastAsia" w:ascii="宋体" w:hAnsi="宋体" w:cs="宋体"/>
          <w:bCs/>
          <w:sz w:val="24"/>
          <w:szCs w:val="24"/>
        </w:rPr>
        <w:t>；</w:t>
      </w:r>
    </w:p>
    <w:p>
      <w:pPr>
        <w:spacing w:line="500" w:lineRule="exact"/>
        <w:ind w:firstLine="482"/>
        <w:rPr>
          <w:rFonts w:ascii="宋体" w:hAnsi="宋体" w:cs="宋体"/>
          <w:bCs/>
          <w:sz w:val="24"/>
          <w:szCs w:val="24"/>
        </w:rPr>
      </w:pPr>
      <w:r>
        <w:rPr>
          <w:rFonts w:hint="eastAsia" w:ascii="宋体" w:hAnsi="宋体" w:cs="宋体"/>
          <w:bCs/>
          <w:sz w:val="24"/>
          <w:szCs w:val="24"/>
        </w:rPr>
        <w:t>⑵ 本合同书；</w:t>
      </w:r>
    </w:p>
    <w:p>
      <w:pPr>
        <w:spacing w:line="500" w:lineRule="exact"/>
        <w:ind w:firstLine="482"/>
        <w:rPr>
          <w:rFonts w:ascii="宋体" w:hAnsi="宋体" w:cs="宋体"/>
          <w:bCs/>
          <w:sz w:val="24"/>
          <w:szCs w:val="24"/>
        </w:rPr>
      </w:pPr>
      <w:r>
        <w:rPr>
          <w:rFonts w:hint="eastAsia" w:ascii="宋体" w:hAnsi="宋体" w:cs="宋体"/>
          <w:bCs/>
          <w:sz w:val="24"/>
          <w:szCs w:val="24"/>
        </w:rPr>
        <w:t>⑶ 发包通知书/委托函；</w:t>
      </w:r>
    </w:p>
    <w:p>
      <w:pPr>
        <w:spacing w:line="500" w:lineRule="exact"/>
        <w:ind w:firstLine="482"/>
        <w:rPr>
          <w:rFonts w:ascii="宋体" w:hAnsi="宋体" w:cs="宋体"/>
          <w:bCs/>
          <w:sz w:val="24"/>
          <w:szCs w:val="24"/>
        </w:rPr>
      </w:pPr>
      <w:r>
        <w:rPr>
          <w:rFonts w:hint="eastAsia" w:ascii="宋体" w:hAnsi="宋体" w:cs="宋体"/>
          <w:bCs/>
          <w:sz w:val="24"/>
          <w:szCs w:val="24"/>
        </w:rPr>
        <w:t>⑷ 询价文件；</w:t>
      </w:r>
    </w:p>
    <w:p>
      <w:pPr>
        <w:spacing w:line="500" w:lineRule="exact"/>
        <w:ind w:firstLine="482"/>
        <w:rPr>
          <w:rFonts w:ascii="宋体" w:hAnsi="宋体" w:cs="宋体"/>
          <w:bCs/>
          <w:sz w:val="24"/>
          <w:szCs w:val="24"/>
        </w:rPr>
      </w:pPr>
      <w:r>
        <w:rPr>
          <w:rFonts w:hint="eastAsia" w:ascii="宋体" w:hAnsi="宋体" w:cs="宋体"/>
          <w:bCs/>
          <w:sz w:val="24"/>
          <w:szCs w:val="24"/>
        </w:rPr>
        <w:t>⑸ 响应文件；</w:t>
      </w:r>
    </w:p>
    <w:p>
      <w:pPr>
        <w:spacing w:line="500" w:lineRule="exact"/>
        <w:ind w:firstLine="482"/>
        <w:rPr>
          <w:rFonts w:ascii="宋体" w:hAnsi="宋体" w:cs="宋体"/>
          <w:bCs/>
          <w:sz w:val="24"/>
          <w:szCs w:val="24"/>
        </w:rPr>
      </w:pPr>
      <w:r>
        <w:rPr>
          <w:rFonts w:hint="eastAsia" w:ascii="宋体" w:hAnsi="宋体" w:cs="宋体"/>
          <w:bCs/>
          <w:sz w:val="24"/>
          <w:szCs w:val="24"/>
        </w:rPr>
        <w:t>⑹ 标准、规范及有关技术性文件；</w:t>
      </w:r>
    </w:p>
    <w:p>
      <w:pPr>
        <w:spacing w:line="500" w:lineRule="exact"/>
        <w:ind w:firstLine="480" w:firstLineChars="200"/>
        <w:rPr>
          <w:rFonts w:hint="eastAsia" w:ascii="宋体" w:hAnsi="宋体" w:eastAsia="宋体" w:cs="宋体"/>
          <w:bCs/>
          <w:sz w:val="24"/>
          <w:szCs w:val="24"/>
          <w:lang w:val="en-US" w:eastAsia="zh-CN"/>
        </w:rPr>
      </w:pPr>
      <w:r>
        <w:rPr>
          <w:rFonts w:hint="eastAsia" w:ascii="宋体" w:hAnsi="宋体" w:cs="宋体"/>
          <w:bCs/>
          <w:sz w:val="24"/>
          <w:szCs w:val="24"/>
        </w:rPr>
        <w:t>⑺ 技术需求书</w:t>
      </w:r>
      <w:r>
        <w:rPr>
          <w:rFonts w:hint="eastAsia" w:ascii="宋体" w:hAnsi="宋体" w:cs="宋体"/>
          <w:bCs/>
          <w:sz w:val="24"/>
          <w:szCs w:val="24"/>
          <w:lang w:val="en-US" w:eastAsia="zh-CN"/>
        </w:rPr>
        <w:t>;</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本合同其他附件；</w:t>
      </w:r>
    </w:p>
    <w:p>
      <w:pPr>
        <w:spacing w:line="500" w:lineRule="exact"/>
        <w:rPr>
          <w:rFonts w:ascii="宋体" w:hAnsi="宋体" w:cs="宋体"/>
          <w:b/>
          <w:sz w:val="24"/>
          <w:szCs w:val="24"/>
        </w:rPr>
      </w:pPr>
      <w:r>
        <w:rPr>
          <w:rFonts w:hint="eastAsia" w:ascii="宋体" w:hAnsi="宋体" w:cs="宋体"/>
          <w:sz w:val="24"/>
          <w:szCs w:val="24"/>
        </w:rPr>
        <w:t>　　</w:t>
      </w:r>
      <w:r>
        <w:rPr>
          <w:rFonts w:hint="eastAsia" w:ascii="宋体" w:hAnsi="宋体" w:cs="宋体"/>
          <w:b/>
          <w:sz w:val="24"/>
          <w:szCs w:val="24"/>
        </w:rPr>
        <w:t>二、服务内容及建设目标：</w:t>
      </w:r>
    </w:p>
    <w:p>
      <w:pPr>
        <w:spacing w:line="50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2.1服务内容：</w:t>
      </w:r>
    </w:p>
    <w:p>
      <w:pPr>
        <w:spacing w:line="50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乙方须完成甲方询价文件中第二部分项目内容的所有内容，包括目标需求、技术服务要求，并提供项目所涉及的所有设备清单，包括但不限于硬件设备、软件、授权、辅助配件等。</w:t>
      </w:r>
    </w:p>
    <w:p>
      <w:pPr>
        <w:spacing w:line="50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设备清单</w:t>
      </w:r>
      <w:r>
        <w:rPr>
          <w:rFonts w:hint="eastAsia" w:ascii="宋体" w:hAnsi="宋体" w:eastAsia="宋体" w:cs="宋体"/>
          <w:sz w:val="24"/>
          <w:szCs w:val="24"/>
          <w:lang w:val="en-US" w:eastAsia="zh-CN"/>
        </w:rPr>
        <w:t>(包括硬件和软件）</w:t>
      </w:r>
      <w:r>
        <w:rPr>
          <w:rFonts w:hint="eastAsia" w:ascii="宋体" w:hAnsi="宋体" w:eastAsia="宋体" w:cs="宋体"/>
          <w:sz w:val="24"/>
          <w:szCs w:val="24"/>
        </w:rPr>
        <w: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606"/>
        <w:gridCol w:w="1754"/>
        <w:gridCol w:w="705"/>
        <w:gridCol w:w="1560"/>
        <w:gridCol w:w="770"/>
        <w:gridCol w:w="1495"/>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序号</w:t>
            </w:r>
          </w:p>
        </w:tc>
        <w:tc>
          <w:tcPr>
            <w:tcW w:w="1606"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物品名称</w:t>
            </w:r>
          </w:p>
        </w:tc>
        <w:tc>
          <w:tcPr>
            <w:tcW w:w="1754"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规格</w:t>
            </w:r>
          </w:p>
        </w:tc>
        <w:tc>
          <w:tcPr>
            <w:tcW w:w="705"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数量</w:t>
            </w:r>
          </w:p>
        </w:tc>
        <w:tc>
          <w:tcPr>
            <w:tcW w:w="1560"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单价</w:t>
            </w:r>
          </w:p>
        </w:tc>
        <w:tc>
          <w:tcPr>
            <w:tcW w:w="770"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单位</w:t>
            </w:r>
          </w:p>
        </w:tc>
        <w:tc>
          <w:tcPr>
            <w:tcW w:w="1495"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总价</w:t>
            </w:r>
          </w:p>
        </w:tc>
        <w:tc>
          <w:tcPr>
            <w:tcW w:w="901"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1</w:t>
            </w:r>
          </w:p>
        </w:tc>
        <w:tc>
          <w:tcPr>
            <w:tcW w:w="1606" w:type="dxa"/>
          </w:tcPr>
          <w:p>
            <w:pPr>
              <w:spacing w:line="520" w:lineRule="exact"/>
              <w:rPr>
                <w:rFonts w:hint="eastAsia" w:ascii="仿宋_GB2312" w:hAnsi="仿宋_GB2312" w:eastAsia="仿宋_GB2312" w:cs="仿宋_GB2312"/>
                <w:sz w:val="24"/>
                <w:lang w:eastAsia="zh-SG"/>
              </w:rPr>
            </w:pPr>
          </w:p>
        </w:tc>
        <w:tc>
          <w:tcPr>
            <w:tcW w:w="1754" w:type="dxa"/>
          </w:tcPr>
          <w:p>
            <w:pPr>
              <w:spacing w:line="520" w:lineRule="exact"/>
              <w:rPr>
                <w:rFonts w:hint="eastAsia" w:ascii="仿宋_GB2312" w:hAnsi="仿宋_GB2312" w:eastAsia="仿宋_GB2312" w:cs="仿宋_GB2312"/>
                <w:sz w:val="24"/>
                <w:lang w:eastAsia="zh-SG"/>
              </w:rPr>
            </w:pPr>
          </w:p>
        </w:tc>
        <w:tc>
          <w:tcPr>
            <w:tcW w:w="705" w:type="dxa"/>
          </w:tcPr>
          <w:p>
            <w:pPr>
              <w:spacing w:line="520" w:lineRule="exact"/>
              <w:rPr>
                <w:rFonts w:hint="eastAsia" w:ascii="仿宋_GB2312" w:hAnsi="仿宋_GB2312" w:eastAsia="仿宋_GB2312" w:cs="仿宋_GB2312"/>
                <w:sz w:val="24"/>
                <w:lang w:eastAsia="zh-SG"/>
              </w:rPr>
            </w:pPr>
          </w:p>
        </w:tc>
        <w:tc>
          <w:tcPr>
            <w:tcW w:w="1560" w:type="dxa"/>
          </w:tcPr>
          <w:p>
            <w:pPr>
              <w:spacing w:line="520" w:lineRule="exact"/>
              <w:rPr>
                <w:rFonts w:hint="eastAsia" w:ascii="仿宋_GB2312" w:hAnsi="仿宋_GB2312" w:eastAsia="仿宋_GB2312" w:cs="仿宋_GB2312"/>
                <w:sz w:val="24"/>
                <w:lang w:eastAsia="zh-SG"/>
              </w:rPr>
            </w:pPr>
          </w:p>
        </w:tc>
        <w:tc>
          <w:tcPr>
            <w:tcW w:w="770" w:type="dxa"/>
          </w:tcPr>
          <w:p>
            <w:pPr>
              <w:spacing w:line="520" w:lineRule="exact"/>
              <w:rPr>
                <w:rFonts w:hint="eastAsia" w:ascii="仿宋_GB2312" w:hAnsi="仿宋_GB2312" w:eastAsia="仿宋_GB2312" w:cs="仿宋_GB2312"/>
                <w:sz w:val="24"/>
                <w:lang w:eastAsia="zh-SG"/>
              </w:rPr>
            </w:pPr>
          </w:p>
        </w:tc>
        <w:tc>
          <w:tcPr>
            <w:tcW w:w="1495" w:type="dxa"/>
          </w:tcPr>
          <w:p>
            <w:pPr>
              <w:spacing w:line="520" w:lineRule="exact"/>
              <w:rPr>
                <w:rFonts w:hint="eastAsia" w:ascii="仿宋_GB2312" w:hAnsi="仿宋_GB2312" w:eastAsia="仿宋_GB2312" w:cs="仿宋_GB2312"/>
                <w:sz w:val="24"/>
                <w:lang w:eastAsia="zh-SG"/>
              </w:rPr>
            </w:pPr>
          </w:p>
        </w:tc>
        <w:tc>
          <w:tcPr>
            <w:tcW w:w="901" w:type="dxa"/>
          </w:tcPr>
          <w:p>
            <w:pPr>
              <w:spacing w:line="520" w:lineRule="exact"/>
              <w:rPr>
                <w:rFonts w:hint="eastAsia"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2</w:t>
            </w:r>
          </w:p>
        </w:tc>
        <w:tc>
          <w:tcPr>
            <w:tcW w:w="1606" w:type="dxa"/>
          </w:tcPr>
          <w:p>
            <w:pPr>
              <w:spacing w:line="520" w:lineRule="exact"/>
              <w:rPr>
                <w:rFonts w:hint="eastAsia" w:ascii="仿宋_GB2312" w:hAnsi="仿宋_GB2312" w:eastAsia="仿宋_GB2312" w:cs="仿宋_GB2312"/>
                <w:sz w:val="24"/>
                <w:lang w:eastAsia="zh-SG"/>
              </w:rPr>
            </w:pPr>
          </w:p>
        </w:tc>
        <w:tc>
          <w:tcPr>
            <w:tcW w:w="1754" w:type="dxa"/>
          </w:tcPr>
          <w:p>
            <w:pPr>
              <w:spacing w:line="520" w:lineRule="exact"/>
              <w:rPr>
                <w:rFonts w:hint="eastAsia" w:ascii="仿宋_GB2312" w:hAnsi="仿宋_GB2312" w:eastAsia="仿宋_GB2312" w:cs="仿宋_GB2312"/>
                <w:sz w:val="24"/>
                <w:lang w:eastAsia="zh-SG"/>
              </w:rPr>
            </w:pPr>
          </w:p>
        </w:tc>
        <w:tc>
          <w:tcPr>
            <w:tcW w:w="705" w:type="dxa"/>
          </w:tcPr>
          <w:p>
            <w:pPr>
              <w:spacing w:line="520" w:lineRule="exact"/>
              <w:rPr>
                <w:rFonts w:hint="eastAsia" w:ascii="仿宋_GB2312" w:hAnsi="仿宋_GB2312" w:eastAsia="仿宋_GB2312" w:cs="仿宋_GB2312"/>
                <w:sz w:val="24"/>
                <w:lang w:eastAsia="zh-SG"/>
              </w:rPr>
            </w:pPr>
          </w:p>
        </w:tc>
        <w:tc>
          <w:tcPr>
            <w:tcW w:w="1560" w:type="dxa"/>
          </w:tcPr>
          <w:p>
            <w:pPr>
              <w:spacing w:line="520" w:lineRule="exact"/>
              <w:rPr>
                <w:rFonts w:hint="eastAsia" w:ascii="仿宋_GB2312" w:hAnsi="仿宋_GB2312" w:eastAsia="仿宋_GB2312" w:cs="仿宋_GB2312"/>
                <w:sz w:val="24"/>
                <w:lang w:eastAsia="zh-SG"/>
              </w:rPr>
            </w:pPr>
          </w:p>
        </w:tc>
        <w:tc>
          <w:tcPr>
            <w:tcW w:w="770" w:type="dxa"/>
          </w:tcPr>
          <w:p>
            <w:pPr>
              <w:spacing w:line="520" w:lineRule="exact"/>
              <w:rPr>
                <w:rFonts w:hint="eastAsia" w:ascii="仿宋_GB2312" w:hAnsi="仿宋_GB2312" w:eastAsia="仿宋_GB2312" w:cs="仿宋_GB2312"/>
                <w:sz w:val="24"/>
                <w:lang w:eastAsia="zh-SG"/>
              </w:rPr>
            </w:pPr>
          </w:p>
        </w:tc>
        <w:tc>
          <w:tcPr>
            <w:tcW w:w="1495" w:type="dxa"/>
          </w:tcPr>
          <w:p>
            <w:pPr>
              <w:spacing w:line="520" w:lineRule="exact"/>
              <w:rPr>
                <w:rFonts w:hint="eastAsia" w:ascii="仿宋_GB2312" w:hAnsi="仿宋_GB2312" w:eastAsia="仿宋_GB2312" w:cs="仿宋_GB2312"/>
                <w:sz w:val="24"/>
                <w:lang w:eastAsia="zh-SG"/>
              </w:rPr>
            </w:pPr>
          </w:p>
        </w:tc>
        <w:tc>
          <w:tcPr>
            <w:tcW w:w="901" w:type="dxa"/>
          </w:tcPr>
          <w:p>
            <w:pPr>
              <w:spacing w:line="520" w:lineRule="exact"/>
              <w:rPr>
                <w:rFonts w:hint="eastAsia"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3</w:t>
            </w:r>
          </w:p>
        </w:tc>
        <w:tc>
          <w:tcPr>
            <w:tcW w:w="1606" w:type="dxa"/>
          </w:tcPr>
          <w:p>
            <w:pPr>
              <w:spacing w:line="520" w:lineRule="exact"/>
              <w:rPr>
                <w:rFonts w:hint="eastAsia" w:ascii="仿宋_GB2312" w:hAnsi="仿宋_GB2312" w:eastAsia="仿宋_GB2312" w:cs="仿宋_GB2312"/>
                <w:sz w:val="24"/>
                <w:lang w:eastAsia="zh-SG"/>
              </w:rPr>
            </w:pPr>
          </w:p>
        </w:tc>
        <w:tc>
          <w:tcPr>
            <w:tcW w:w="1754" w:type="dxa"/>
          </w:tcPr>
          <w:p>
            <w:pPr>
              <w:spacing w:line="520" w:lineRule="exact"/>
              <w:rPr>
                <w:rFonts w:hint="eastAsia" w:ascii="仿宋_GB2312" w:hAnsi="仿宋_GB2312" w:eastAsia="仿宋_GB2312" w:cs="仿宋_GB2312"/>
                <w:sz w:val="24"/>
                <w:lang w:eastAsia="zh-SG"/>
              </w:rPr>
            </w:pPr>
          </w:p>
        </w:tc>
        <w:tc>
          <w:tcPr>
            <w:tcW w:w="705" w:type="dxa"/>
          </w:tcPr>
          <w:p>
            <w:pPr>
              <w:spacing w:line="520" w:lineRule="exact"/>
              <w:rPr>
                <w:rFonts w:hint="eastAsia" w:ascii="仿宋_GB2312" w:hAnsi="仿宋_GB2312" w:eastAsia="仿宋_GB2312" w:cs="仿宋_GB2312"/>
                <w:sz w:val="24"/>
                <w:lang w:eastAsia="zh-SG"/>
              </w:rPr>
            </w:pPr>
          </w:p>
        </w:tc>
        <w:tc>
          <w:tcPr>
            <w:tcW w:w="1560" w:type="dxa"/>
          </w:tcPr>
          <w:p>
            <w:pPr>
              <w:spacing w:line="520" w:lineRule="exact"/>
              <w:rPr>
                <w:rFonts w:hint="eastAsia" w:ascii="仿宋_GB2312" w:hAnsi="仿宋_GB2312" w:eastAsia="仿宋_GB2312" w:cs="仿宋_GB2312"/>
                <w:sz w:val="24"/>
                <w:lang w:eastAsia="zh-SG"/>
              </w:rPr>
            </w:pPr>
          </w:p>
        </w:tc>
        <w:tc>
          <w:tcPr>
            <w:tcW w:w="770" w:type="dxa"/>
          </w:tcPr>
          <w:p>
            <w:pPr>
              <w:spacing w:line="520" w:lineRule="exact"/>
              <w:rPr>
                <w:rFonts w:hint="eastAsia" w:ascii="仿宋_GB2312" w:hAnsi="仿宋_GB2312" w:eastAsia="仿宋_GB2312" w:cs="仿宋_GB2312"/>
                <w:sz w:val="24"/>
                <w:lang w:eastAsia="zh-SG"/>
              </w:rPr>
            </w:pPr>
          </w:p>
        </w:tc>
        <w:tc>
          <w:tcPr>
            <w:tcW w:w="1495" w:type="dxa"/>
          </w:tcPr>
          <w:p>
            <w:pPr>
              <w:spacing w:line="520" w:lineRule="exact"/>
              <w:rPr>
                <w:rFonts w:hint="eastAsia" w:ascii="仿宋_GB2312" w:hAnsi="仿宋_GB2312" w:eastAsia="仿宋_GB2312" w:cs="仿宋_GB2312"/>
                <w:sz w:val="24"/>
                <w:lang w:eastAsia="zh-SG"/>
              </w:rPr>
            </w:pPr>
          </w:p>
        </w:tc>
        <w:tc>
          <w:tcPr>
            <w:tcW w:w="901" w:type="dxa"/>
          </w:tcPr>
          <w:p>
            <w:pPr>
              <w:spacing w:line="520" w:lineRule="exact"/>
              <w:rPr>
                <w:rFonts w:hint="eastAsia"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4</w:t>
            </w:r>
          </w:p>
        </w:tc>
        <w:tc>
          <w:tcPr>
            <w:tcW w:w="1606" w:type="dxa"/>
          </w:tcPr>
          <w:p>
            <w:pPr>
              <w:spacing w:line="520" w:lineRule="exact"/>
              <w:rPr>
                <w:rFonts w:hint="eastAsia" w:ascii="仿宋_GB2312" w:hAnsi="仿宋_GB2312" w:eastAsia="仿宋_GB2312" w:cs="仿宋_GB2312"/>
                <w:sz w:val="24"/>
                <w:lang w:eastAsia="zh-SG"/>
              </w:rPr>
            </w:pPr>
          </w:p>
        </w:tc>
        <w:tc>
          <w:tcPr>
            <w:tcW w:w="1754" w:type="dxa"/>
          </w:tcPr>
          <w:p>
            <w:pPr>
              <w:spacing w:line="520" w:lineRule="exact"/>
              <w:rPr>
                <w:rFonts w:hint="eastAsia" w:ascii="仿宋_GB2312" w:hAnsi="仿宋_GB2312" w:eastAsia="仿宋_GB2312" w:cs="仿宋_GB2312"/>
                <w:sz w:val="24"/>
                <w:lang w:eastAsia="zh-SG"/>
              </w:rPr>
            </w:pPr>
          </w:p>
        </w:tc>
        <w:tc>
          <w:tcPr>
            <w:tcW w:w="705" w:type="dxa"/>
          </w:tcPr>
          <w:p>
            <w:pPr>
              <w:spacing w:line="520" w:lineRule="exact"/>
              <w:rPr>
                <w:rFonts w:hint="eastAsia" w:ascii="仿宋_GB2312" w:hAnsi="仿宋_GB2312" w:eastAsia="仿宋_GB2312" w:cs="仿宋_GB2312"/>
                <w:sz w:val="24"/>
                <w:lang w:eastAsia="zh-SG"/>
              </w:rPr>
            </w:pPr>
          </w:p>
        </w:tc>
        <w:tc>
          <w:tcPr>
            <w:tcW w:w="1560" w:type="dxa"/>
          </w:tcPr>
          <w:p>
            <w:pPr>
              <w:spacing w:line="520" w:lineRule="exact"/>
              <w:rPr>
                <w:rFonts w:hint="eastAsia" w:ascii="仿宋_GB2312" w:hAnsi="仿宋_GB2312" w:eastAsia="仿宋_GB2312" w:cs="仿宋_GB2312"/>
                <w:sz w:val="24"/>
                <w:lang w:eastAsia="zh-SG"/>
              </w:rPr>
            </w:pPr>
          </w:p>
        </w:tc>
        <w:tc>
          <w:tcPr>
            <w:tcW w:w="770" w:type="dxa"/>
          </w:tcPr>
          <w:p>
            <w:pPr>
              <w:spacing w:line="520" w:lineRule="exact"/>
              <w:rPr>
                <w:rFonts w:hint="eastAsia" w:ascii="仿宋_GB2312" w:hAnsi="仿宋_GB2312" w:eastAsia="仿宋_GB2312" w:cs="仿宋_GB2312"/>
                <w:sz w:val="24"/>
                <w:lang w:eastAsia="zh-SG"/>
              </w:rPr>
            </w:pPr>
          </w:p>
        </w:tc>
        <w:tc>
          <w:tcPr>
            <w:tcW w:w="1495" w:type="dxa"/>
          </w:tcPr>
          <w:p>
            <w:pPr>
              <w:spacing w:line="520" w:lineRule="exact"/>
              <w:rPr>
                <w:rFonts w:hint="eastAsia" w:ascii="仿宋_GB2312" w:hAnsi="仿宋_GB2312" w:eastAsia="仿宋_GB2312" w:cs="仿宋_GB2312"/>
                <w:sz w:val="24"/>
                <w:lang w:eastAsia="zh-SG"/>
              </w:rPr>
            </w:pPr>
          </w:p>
        </w:tc>
        <w:tc>
          <w:tcPr>
            <w:tcW w:w="901" w:type="dxa"/>
          </w:tcPr>
          <w:p>
            <w:pPr>
              <w:spacing w:line="520" w:lineRule="exact"/>
              <w:rPr>
                <w:rFonts w:hint="eastAsia"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w:t>
            </w:r>
          </w:p>
        </w:tc>
        <w:tc>
          <w:tcPr>
            <w:tcW w:w="1606" w:type="dxa"/>
          </w:tcPr>
          <w:p>
            <w:pPr>
              <w:spacing w:line="520" w:lineRule="exact"/>
              <w:rPr>
                <w:rFonts w:hint="eastAsia" w:ascii="仿宋_GB2312" w:hAnsi="仿宋_GB2312" w:eastAsia="仿宋_GB2312" w:cs="仿宋_GB2312"/>
                <w:sz w:val="24"/>
                <w:lang w:eastAsia="zh-SG"/>
              </w:rPr>
            </w:pPr>
          </w:p>
        </w:tc>
        <w:tc>
          <w:tcPr>
            <w:tcW w:w="1754" w:type="dxa"/>
          </w:tcPr>
          <w:p>
            <w:pPr>
              <w:spacing w:line="520" w:lineRule="exact"/>
              <w:rPr>
                <w:rFonts w:hint="eastAsia" w:ascii="仿宋_GB2312" w:hAnsi="仿宋_GB2312" w:eastAsia="仿宋_GB2312" w:cs="仿宋_GB2312"/>
                <w:sz w:val="24"/>
                <w:lang w:eastAsia="zh-SG"/>
              </w:rPr>
            </w:pPr>
          </w:p>
        </w:tc>
        <w:tc>
          <w:tcPr>
            <w:tcW w:w="705" w:type="dxa"/>
          </w:tcPr>
          <w:p>
            <w:pPr>
              <w:spacing w:line="520" w:lineRule="exact"/>
              <w:rPr>
                <w:rFonts w:hint="eastAsia" w:ascii="仿宋_GB2312" w:hAnsi="仿宋_GB2312" w:eastAsia="仿宋_GB2312" w:cs="仿宋_GB2312"/>
                <w:sz w:val="24"/>
                <w:lang w:eastAsia="zh-SG"/>
              </w:rPr>
            </w:pPr>
          </w:p>
        </w:tc>
        <w:tc>
          <w:tcPr>
            <w:tcW w:w="1560" w:type="dxa"/>
          </w:tcPr>
          <w:p>
            <w:pPr>
              <w:spacing w:line="520" w:lineRule="exact"/>
              <w:rPr>
                <w:rFonts w:hint="eastAsia" w:ascii="仿宋_GB2312" w:hAnsi="仿宋_GB2312" w:eastAsia="仿宋_GB2312" w:cs="仿宋_GB2312"/>
                <w:sz w:val="24"/>
                <w:lang w:eastAsia="zh-SG"/>
              </w:rPr>
            </w:pPr>
          </w:p>
        </w:tc>
        <w:tc>
          <w:tcPr>
            <w:tcW w:w="770" w:type="dxa"/>
          </w:tcPr>
          <w:p>
            <w:pPr>
              <w:spacing w:line="520" w:lineRule="exact"/>
              <w:rPr>
                <w:rFonts w:hint="eastAsia" w:ascii="仿宋_GB2312" w:hAnsi="仿宋_GB2312" w:eastAsia="仿宋_GB2312" w:cs="仿宋_GB2312"/>
                <w:sz w:val="24"/>
                <w:lang w:eastAsia="zh-SG"/>
              </w:rPr>
            </w:pPr>
          </w:p>
        </w:tc>
        <w:tc>
          <w:tcPr>
            <w:tcW w:w="1495" w:type="dxa"/>
          </w:tcPr>
          <w:p>
            <w:pPr>
              <w:spacing w:line="520" w:lineRule="exact"/>
              <w:rPr>
                <w:rFonts w:hint="eastAsia" w:ascii="仿宋_GB2312" w:hAnsi="仿宋_GB2312" w:eastAsia="仿宋_GB2312" w:cs="仿宋_GB2312"/>
                <w:sz w:val="24"/>
                <w:lang w:eastAsia="zh-SG"/>
              </w:rPr>
            </w:pPr>
          </w:p>
        </w:tc>
        <w:tc>
          <w:tcPr>
            <w:tcW w:w="901" w:type="dxa"/>
          </w:tcPr>
          <w:p>
            <w:pPr>
              <w:spacing w:line="520" w:lineRule="exact"/>
              <w:rPr>
                <w:rFonts w:hint="eastAsia"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3" w:type="dxa"/>
            <w:gridSpan w:val="6"/>
          </w:tcPr>
          <w:p>
            <w:pPr>
              <w:spacing w:line="520" w:lineRule="exact"/>
              <w:jc w:val="center"/>
              <w:rPr>
                <w:rFonts w:hint="eastAsia" w:ascii="仿宋_GB2312" w:hAnsi="仿宋_GB2312" w:eastAsia="仿宋_GB2312" w:cs="仿宋_GB2312"/>
                <w:sz w:val="24"/>
                <w:lang w:eastAsia="zh-SG"/>
              </w:rPr>
            </w:pPr>
            <w:r>
              <w:rPr>
                <w:rFonts w:hint="eastAsia" w:ascii="仿宋_GB2312" w:hAnsi="仿宋_GB2312" w:eastAsia="仿宋_GB2312" w:cs="仿宋_GB2312"/>
                <w:sz w:val="24"/>
                <w:lang w:eastAsia="zh-SG"/>
              </w:rPr>
              <w:t>总计：</w:t>
            </w:r>
          </w:p>
        </w:tc>
        <w:tc>
          <w:tcPr>
            <w:tcW w:w="1495" w:type="dxa"/>
          </w:tcPr>
          <w:p>
            <w:pPr>
              <w:spacing w:line="520" w:lineRule="exact"/>
              <w:rPr>
                <w:rFonts w:hint="eastAsia" w:ascii="仿宋_GB2312" w:hAnsi="仿宋_GB2312" w:eastAsia="仿宋_GB2312" w:cs="仿宋_GB2312"/>
                <w:sz w:val="24"/>
                <w:lang w:eastAsia="zh-SG"/>
              </w:rPr>
            </w:pPr>
          </w:p>
        </w:tc>
        <w:tc>
          <w:tcPr>
            <w:tcW w:w="901" w:type="dxa"/>
          </w:tcPr>
          <w:p>
            <w:pPr>
              <w:spacing w:line="520" w:lineRule="exact"/>
              <w:rPr>
                <w:rFonts w:hint="eastAsia" w:ascii="仿宋_GB2312" w:hAnsi="仿宋_GB2312" w:eastAsia="仿宋_GB2312" w:cs="仿宋_GB2312"/>
                <w:sz w:val="24"/>
                <w:lang w:eastAsia="zh-SG"/>
              </w:rPr>
            </w:pPr>
          </w:p>
        </w:tc>
      </w:tr>
    </w:tbl>
    <w:p>
      <w:pPr>
        <w:spacing w:line="500" w:lineRule="exact"/>
        <w:ind w:firstLine="480" w:firstLineChars="200"/>
        <w:rPr>
          <w:rFonts w:hint="eastAsia" w:ascii="宋体" w:hAnsi="宋体" w:cs="宋体"/>
          <w:sz w:val="24"/>
          <w:szCs w:val="24"/>
        </w:rPr>
      </w:pPr>
    </w:p>
    <w:p>
      <w:pPr>
        <w:spacing w:line="500" w:lineRule="exact"/>
        <w:ind w:firstLine="480"/>
        <w:rPr>
          <w:rFonts w:hint="eastAsia" w:ascii="宋体" w:hAnsi="宋体" w:cs="宋体"/>
          <w:sz w:val="24"/>
          <w:szCs w:val="24"/>
        </w:rPr>
      </w:pPr>
      <w:r>
        <w:rPr>
          <w:rFonts w:hint="eastAsia" w:ascii="宋体" w:hAnsi="宋体" w:cs="宋体"/>
          <w:sz w:val="24"/>
          <w:szCs w:val="24"/>
        </w:rPr>
        <w:t>2.2建设目标：</w:t>
      </w:r>
    </w:p>
    <w:p>
      <w:pPr>
        <w:spacing w:line="50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通过本项目为广州市净水有限公司</w:t>
      </w:r>
      <w:r>
        <w:rPr>
          <w:rFonts w:hint="eastAsia" w:ascii="宋体" w:hAnsi="宋体" w:eastAsia="宋体" w:cs="宋体"/>
          <w:sz w:val="24"/>
          <w:szCs w:val="24"/>
          <w:lang w:val="en-US" w:eastAsia="zh-CN"/>
        </w:rPr>
        <w:t>沥滘三期多媒体互动展示</w:t>
      </w:r>
      <w:r>
        <w:rPr>
          <w:rFonts w:hint="eastAsia" w:ascii="宋体" w:hAnsi="宋体" w:eastAsia="宋体" w:cs="宋体"/>
          <w:sz w:val="24"/>
          <w:szCs w:val="24"/>
        </w:rPr>
        <w:t>，主要达成的目标如下：</w:t>
      </w:r>
    </w:p>
    <w:p>
      <w:pPr>
        <w:spacing w:line="500" w:lineRule="exact"/>
        <w:ind w:firstLine="480" w:firstLineChars="200"/>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1.制作厂区提供的工艺流程动画内容。</w:t>
      </w:r>
    </w:p>
    <w:p>
      <w:pPr>
        <w:spacing w:line="500" w:lineRule="exact"/>
        <w:ind w:firstLine="480" w:firstLineChars="200"/>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制作的</w:t>
      </w:r>
      <w:r>
        <w:rPr>
          <w:rFonts w:hint="eastAsia" w:ascii="宋体" w:hAnsi="宋体" w:eastAsia="宋体" w:cs="宋体"/>
          <w:sz w:val="24"/>
          <w:szCs w:val="24"/>
          <w:lang w:val="en-US" w:eastAsia="zh-CN"/>
        </w:rPr>
        <w:t>工艺流程动画</w:t>
      </w:r>
      <w:r>
        <w:rPr>
          <w:rFonts w:hint="eastAsia" w:ascii="宋体" w:hAnsi="宋体" w:cs="宋体"/>
          <w:sz w:val="24"/>
          <w:szCs w:val="24"/>
          <w:lang w:val="en-US" w:eastAsia="zh-CN"/>
        </w:rPr>
        <w:t>不少于</w:t>
      </w:r>
      <w:r>
        <w:rPr>
          <w:rFonts w:hint="eastAsia" w:ascii="宋体" w:hAnsi="宋体" w:eastAsia="宋体" w:cs="宋体"/>
          <w:sz w:val="24"/>
          <w:szCs w:val="24"/>
          <w:lang w:val="en-US" w:eastAsia="zh-CN"/>
        </w:rPr>
        <w:t>5条。</w:t>
      </w:r>
    </w:p>
    <w:p>
      <w:pPr>
        <w:spacing w:line="50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lang w:val="en-US" w:eastAsia="zh-CN"/>
        </w:rPr>
        <w:t>3.可以通过触摸等方式触发设定的动画内容播放。</w:t>
      </w:r>
    </w:p>
    <w:p>
      <w:pPr>
        <w:spacing w:line="500" w:lineRule="exact"/>
        <w:ind w:firstLine="480"/>
        <w:rPr>
          <w:rFonts w:ascii="宋体" w:hAnsi="宋体" w:cs="宋体"/>
          <w:sz w:val="24"/>
          <w:szCs w:val="24"/>
          <w:u w:val="single"/>
        </w:rPr>
      </w:pPr>
      <w:r>
        <w:rPr>
          <w:rFonts w:hint="eastAsia" w:ascii="宋体" w:hAnsi="宋体" w:cs="宋体"/>
          <w:sz w:val="24"/>
          <w:szCs w:val="24"/>
          <w:u w:val="single"/>
        </w:rPr>
        <w:t>（详见技术需求书）</w:t>
      </w:r>
    </w:p>
    <w:p>
      <w:pPr>
        <w:spacing w:line="500" w:lineRule="exact"/>
        <w:ind w:firstLine="482" w:firstLineChars="200"/>
        <w:rPr>
          <w:rFonts w:ascii="宋体" w:hAnsi="宋体" w:cs="宋体"/>
          <w:sz w:val="24"/>
          <w:szCs w:val="24"/>
        </w:rPr>
      </w:pPr>
      <w:r>
        <w:rPr>
          <w:rFonts w:hint="eastAsia" w:ascii="宋体" w:hAnsi="宋体" w:cs="宋体"/>
          <w:b/>
          <w:sz w:val="24"/>
          <w:szCs w:val="24"/>
        </w:rPr>
        <w:t>三、建设周期及承包方式：</w:t>
      </w:r>
    </w:p>
    <w:p>
      <w:pPr>
        <w:spacing w:line="500" w:lineRule="exact"/>
        <w:rPr>
          <w:rFonts w:ascii="宋体" w:hAnsi="宋体" w:cs="宋体"/>
          <w:sz w:val="24"/>
          <w:szCs w:val="24"/>
        </w:rPr>
      </w:pPr>
      <w:r>
        <w:rPr>
          <w:rFonts w:hint="eastAsia" w:ascii="宋体" w:hAnsi="宋体" w:cs="宋体"/>
          <w:sz w:val="24"/>
          <w:szCs w:val="24"/>
        </w:rPr>
        <w:t>　　3.1建设周期：</w:t>
      </w:r>
      <w:r>
        <w:rPr>
          <w:rFonts w:hint="eastAsia" w:ascii="宋体" w:hAnsi="宋体" w:cs="宋体"/>
          <w:sz w:val="24"/>
          <w:szCs w:val="24"/>
          <w:u w:val="single"/>
        </w:rPr>
        <w:t xml:space="preserve"> 项目建设</w:t>
      </w:r>
      <w:r>
        <w:rPr>
          <w:rFonts w:hint="eastAsia" w:ascii="宋体" w:hAnsi="宋体" w:cs="宋体"/>
          <w:sz w:val="24"/>
          <w:szCs w:val="24"/>
          <w:u w:val="single"/>
          <w:lang w:val="en-US" w:eastAsia="zh-CN"/>
        </w:rPr>
        <w:t>周</w:t>
      </w:r>
      <w:r>
        <w:rPr>
          <w:rFonts w:hint="eastAsia" w:ascii="宋体" w:hAnsi="宋体" w:cs="宋体"/>
          <w:sz w:val="24"/>
          <w:szCs w:val="24"/>
          <w:u w:val="single"/>
        </w:rPr>
        <w:t>期为</w:t>
      </w:r>
      <w:r>
        <w:rPr>
          <w:rFonts w:hint="eastAsia" w:ascii="宋体" w:hAnsi="宋体" w:cs="宋体"/>
          <w:sz w:val="24"/>
          <w:szCs w:val="24"/>
          <w:u w:val="single"/>
          <w:lang w:val="en-US" w:eastAsia="zh-CN"/>
        </w:rPr>
        <w:t>30天</w:t>
      </w:r>
      <w:r>
        <w:rPr>
          <w:rFonts w:hint="eastAsia" w:ascii="宋体" w:hAnsi="宋体" w:cs="宋体"/>
          <w:sz w:val="24"/>
          <w:szCs w:val="24"/>
          <w:u w:val="single"/>
        </w:rPr>
        <w:t>。</w:t>
      </w:r>
    </w:p>
    <w:p>
      <w:pPr>
        <w:spacing w:line="500" w:lineRule="exact"/>
        <w:ind w:firstLine="480" w:firstLineChars="200"/>
        <w:outlineLvl w:val="0"/>
        <w:rPr>
          <w:rFonts w:hint="default" w:ascii="宋体" w:hAnsi="宋体" w:eastAsia="宋体" w:cs="宋体"/>
          <w:sz w:val="24"/>
          <w:szCs w:val="24"/>
          <w:u w:val="single"/>
          <w:lang w:val="en-US" w:eastAsia="zh-CN"/>
        </w:rPr>
      </w:pPr>
      <w:r>
        <w:rPr>
          <w:rFonts w:ascii="宋体" w:hAnsi="宋体" w:cs="宋体"/>
          <w:sz w:val="24"/>
          <w:szCs w:val="24"/>
          <w:u w:val="single"/>
        </w:rPr>
        <w:t>3.2</w:t>
      </w:r>
      <w:r>
        <w:rPr>
          <w:rFonts w:hint="eastAsia" w:ascii="宋体" w:hAnsi="宋体" w:cs="宋体"/>
          <w:sz w:val="24"/>
          <w:szCs w:val="24"/>
          <w:u w:val="single"/>
        </w:rPr>
        <w:t>进度要求：签订合同后</w:t>
      </w:r>
      <w:r>
        <w:rPr>
          <w:rFonts w:hint="eastAsia" w:ascii="宋体" w:hAnsi="宋体" w:cs="宋体"/>
          <w:sz w:val="24"/>
          <w:szCs w:val="24"/>
          <w:u w:val="single"/>
          <w:lang w:val="en-US" w:eastAsia="zh-CN"/>
        </w:rPr>
        <w:t>30天内</w:t>
      </w:r>
      <w:r>
        <w:rPr>
          <w:rFonts w:hint="eastAsia" w:ascii="宋体" w:hAnsi="宋体" w:cs="宋体"/>
          <w:sz w:val="24"/>
          <w:szCs w:val="24"/>
          <w:u w:val="single"/>
        </w:rPr>
        <w:t>项目所需货物到货/实施人员进场</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非甲方施工条件原因，到货验收完成后30天内完成设备软硬件安装部署。</w:t>
      </w:r>
    </w:p>
    <w:p>
      <w:pPr>
        <w:spacing w:line="500" w:lineRule="exact"/>
        <w:ind w:firstLine="480" w:firstLineChars="200"/>
        <w:outlineLvl w:val="0"/>
        <w:rPr>
          <w:rFonts w:ascii="宋体" w:hAnsi="宋体" w:cs="宋体"/>
          <w:sz w:val="24"/>
          <w:szCs w:val="24"/>
        </w:rPr>
      </w:pPr>
      <w:r>
        <w:rPr>
          <w:rFonts w:hint="eastAsia" w:ascii="宋体" w:hAnsi="宋体" w:cs="宋体"/>
          <w:sz w:val="24"/>
          <w:szCs w:val="24"/>
        </w:rPr>
        <w:t>3.3承包方式按以下</w:t>
      </w:r>
      <w:r>
        <w:rPr>
          <w:rFonts w:hint="eastAsia" w:ascii="宋体" w:hAnsi="宋体" w:cs="宋体"/>
          <w:sz w:val="24"/>
          <w:szCs w:val="24"/>
          <w:u w:val="single"/>
          <w:lang w:val="en-US" w:eastAsia="zh-CN"/>
        </w:rPr>
        <w:t>(2)</w:t>
      </w:r>
      <w:r>
        <w:rPr>
          <w:rFonts w:hint="eastAsia" w:ascii="宋体" w:hAnsi="宋体" w:cs="宋体"/>
          <w:sz w:val="24"/>
          <w:szCs w:val="24"/>
        </w:rPr>
        <w:t>执行。</w:t>
      </w:r>
    </w:p>
    <w:p>
      <w:pPr>
        <w:spacing w:line="500" w:lineRule="exact"/>
        <w:ind w:firstLine="480" w:firstLineChars="200"/>
        <w:outlineLvl w:val="0"/>
        <w:rPr>
          <w:rFonts w:ascii="宋体" w:hAnsi="宋体" w:cs="宋体"/>
          <w:sz w:val="24"/>
          <w:szCs w:val="24"/>
          <w:u w:val="single"/>
        </w:rPr>
      </w:pPr>
      <w:r>
        <w:rPr>
          <w:rFonts w:hint="eastAsia" w:ascii="宋体" w:hAnsi="宋体" w:cs="宋体"/>
          <w:sz w:val="24"/>
          <w:szCs w:val="24"/>
        </w:rPr>
        <w:t>（1）按实际工作量结算，合同价包括且不限于：</w:t>
      </w:r>
      <w:r>
        <w:rPr>
          <w:rFonts w:hint="eastAsia" w:ascii="宋体" w:hAnsi="宋体" w:cs="宋体"/>
          <w:sz w:val="24"/>
          <w:szCs w:val="24"/>
          <w:u w:val="single"/>
        </w:rPr>
        <w:t>系统建设、软件开发、安装实施、维修维护、培训、税费、售后服务、运维服务、人工费及因项目产生的一切可预见及不可预见的相关费用。</w:t>
      </w:r>
    </w:p>
    <w:p>
      <w:pPr>
        <w:spacing w:line="500" w:lineRule="exact"/>
        <w:ind w:firstLine="480" w:firstLineChars="200"/>
        <w:outlineLvl w:val="0"/>
        <w:rPr>
          <w:rFonts w:ascii="宋体" w:hAnsi="宋体" w:cs="宋体"/>
          <w:sz w:val="24"/>
          <w:szCs w:val="24"/>
          <w:u w:val="single"/>
        </w:rPr>
      </w:pPr>
      <w:r>
        <w:rPr>
          <w:rFonts w:hint="eastAsia" w:ascii="宋体" w:hAnsi="宋体" w:cs="宋体"/>
          <w:sz w:val="24"/>
          <w:szCs w:val="24"/>
        </w:rPr>
        <w:t>（2）本合同为总价包干形式，合同价包括但不限于：</w:t>
      </w:r>
      <w:r>
        <w:rPr>
          <w:rFonts w:hint="eastAsia" w:ascii="宋体" w:hAnsi="宋体" w:cs="宋体"/>
          <w:sz w:val="24"/>
          <w:szCs w:val="24"/>
          <w:u w:val="single"/>
        </w:rPr>
        <w:t>系统建设、软件开发、安装实施、维修维护、培训、税费、售后服务、运维服务、人工费及因项目产生的一切可预见及不可预见的相关费用。</w:t>
      </w:r>
    </w:p>
    <w:p>
      <w:pPr>
        <w:spacing w:line="500" w:lineRule="exact"/>
        <w:ind w:firstLine="480" w:firstLineChars="200"/>
        <w:rPr>
          <w:rFonts w:ascii="宋体" w:hAnsi="宋体" w:cs="宋体"/>
          <w:sz w:val="24"/>
          <w:szCs w:val="24"/>
        </w:rPr>
      </w:pPr>
      <w:r>
        <w:rPr>
          <w:rFonts w:hint="eastAsia" w:ascii="宋体" w:hAnsi="宋体" w:cs="宋体"/>
          <w:sz w:val="24"/>
          <w:szCs w:val="24"/>
        </w:rPr>
        <w:t>3.4合同服务期内，如甲方增加服务内容，新增工作、完成时间及相关费用等，甲乙双方应协商签订补充协议。</w:t>
      </w:r>
    </w:p>
    <w:p>
      <w:pPr>
        <w:spacing w:line="500" w:lineRule="exact"/>
        <w:ind w:firstLine="482" w:firstLineChars="200"/>
        <w:outlineLvl w:val="0"/>
        <w:rPr>
          <w:rFonts w:ascii="宋体" w:hAnsi="宋体" w:cs="宋体"/>
          <w:b/>
          <w:sz w:val="24"/>
          <w:szCs w:val="24"/>
        </w:rPr>
      </w:pPr>
      <w:r>
        <w:rPr>
          <w:rFonts w:hint="eastAsia" w:ascii="宋体" w:hAnsi="宋体" w:cs="宋体"/>
          <w:b/>
          <w:sz w:val="24"/>
          <w:szCs w:val="24"/>
        </w:rPr>
        <w:t>四、合同价款</w:t>
      </w:r>
    </w:p>
    <w:p>
      <w:pPr>
        <w:spacing w:line="500" w:lineRule="exact"/>
        <w:ind w:firstLine="480" w:firstLineChars="200"/>
        <w:rPr>
          <w:rFonts w:ascii="宋体" w:hAnsi="宋体" w:cs="宋体"/>
          <w:bCs/>
          <w:sz w:val="24"/>
          <w:szCs w:val="24"/>
          <w:bdr w:val="single" w:color="auto" w:sz="4" w:space="0"/>
        </w:rPr>
      </w:pPr>
      <w:r>
        <w:rPr>
          <w:rFonts w:hint="eastAsia" w:ascii="宋体" w:hAnsi="宋体" w:cs="宋体"/>
          <w:sz w:val="24"/>
          <w:szCs w:val="24"/>
        </w:rPr>
        <w:t>4.1合同价款按以下</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2）</w:t>
      </w:r>
      <w:r>
        <w:rPr>
          <w:rFonts w:hint="eastAsia" w:ascii="宋体" w:hAnsi="宋体" w:cs="宋体"/>
          <w:sz w:val="24"/>
          <w:szCs w:val="24"/>
        </w:rPr>
        <w:t>执行。</w:t>
      </w:r>
    </w:p>
    <w:p>
      <w:pPr>
        <w:spacing w:line="500" w:lineRule="exact"/>
        <w:ind w:firstLine="480" w:firstLineChars="200"/>
        <w:rPr>
          <w:rFonts w:ascii="宋体" w:hAnsi="宋体" w:cs="宋体"/>
          <w:sz w:val="24"/>
          <w:szCs w:val="24"/>
        </w:rPr>
      </w:pPr>
      <w:r>
        <w:rPr>
          <w:rFonts w:hint="eastAsia" w:ascii="宋体" w:hAnsi="宋体" w:cs="宋体"/>
          <w:bCs/>
          <w:sz w:val="24"/>
          <w:szCs w:val="24"/>
        </w:rPr>
        <w:t>（1）</w:t>
      </w:r>
      <w:r>
        <w:rPr>
          <w:rFonts w:hint="eastAsia" w:ascii="宋体" w:hAnsi="宋体" w:cs="宋体"/>
          <w:sz w:val="24"/>
          <w:szCs w:val="24"/>
        </w:rPr>
        <w:t>合同暂定总价为：</w:t>
      </w:r>
      <w:r>
        <w:rPr>
          <w:rFonts w:hint="eastAsia" w:ascii="宋体" w:hAnsi="宋体" w:cs="宋体"/>
          <w:b/>
          <w:sz w:val="24"/>
          <w:szCs w:val="24"/>
          <w:u w:val="single"/>
        </w:rPr>
        <w:t>人民币</w:t>
      </w:r>
      <w:r>
        <w:rPr>
          <w:rFonts w:hint="eastAsia" w:ascii="宋体" w:hAnsi="宋体" w:cs="宋体"/>
          <w:b/>
          <w:sz w:val="24"/>
          <w:szCs w:val="24"/>
          <w:u w:val="single"/>
          <w:lang w:val="en-US" w:eastAsia="zh-CN"/>
        </w:rPr>
        <w:t xml:space="preserve">   </w:t>
      </w:r>
      <w:r>
        <w:rPr>
          <w:rFonts w:hint="eastAsia" w:ascii="宋体" w:hAnsi="宋体" w:cs="宋体"/>
          <w:b/>
          <w:sz w:val="24"/>
          <w:szCs w:val="24"/>
          <w:u w:val="single"/>
        </w:rPr>
        <w:t xml:space="preserve"> 元</w:t>
      </w:r>
      <w:r>
        <w:rPr>
          <w:rFonts w:hint="eastAsia" w:ascii="宋体" w:hAnsi="宋体" w:cs="宋体"/>
          <w:sz w:val="24"/>
          <w:szCs w:val="24"/>
        </w:rPr>
        <w:t>（大写:</w:t>
      </w:r>
      <w:r>
        <w:rPr>
          <w:rFonts w:hint="eastAsia" w:ascii="宋体" w:hAnsi="宋体" w:cs="宋体"/>
          <w:b/>
          <w:sz w:val="24"/>
          <w:szCs w:val="24"/>
          <w:u w:val="single"/>
        </w:rPr>
        <w:t xml:space="preserve"> </w:t>
      </w:r>
      <w:r>
        <w:rPr>
          <w:rFonts w:hint="eastAsia" w:ascii="宋体" w:hAnsi="宋体" w:cs="宋体"/>
          <w:b/>
          <w:sz w:val="24"/>
          <w:szCs w:val="24"/>
          <w:u w:val="single"/>
          <w:lang w:val="en-US" w:eastAsia="zh-CN"/>
        </w:rPr>
        <w:t xml:space="preserve">  </w:t>
      </w:r>
      <w:r>
        <w:rPr>
          <w:rFonts w:hint="eastAsia" w:ascii="宋体" w:hAnsi="宋体" w:cs="宋体"/>
          <w:b/>
          <w:sz w:val="24"/>
          <w:szCs w:val="24"/>
          <w:u w:val="single"/>
        </w:rPr>
        <w:t xml:space="preserve">  </w:t>
      </w:r>
      <w:r>
        <w:rPr>
          <w:rFonts w:hint="eastAsia" w:ascii="宋体" w:hAnsi="宋体" w:cs="宋体"/>
          <w:sz w:val="24"/>
          <w:szCs w:val="24"/>
        </w:rPr>
        <w:t>），按实结算。经甲方或甲方委托有资质第三方机构审核后，审核价作为合同结算价。若合同结算价超合同暂定总价，双方另行签订补充协议。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sz w:val="24"/>
          <w:szCs w:val="24"/>
        </w:rPr>
      </w:pPr>
      <w:r>
        <w:rPr>
          <w:rFonts w:hint="eastAsia" w:ascii="宋体" w:hAnsi="宋体" w:cs="宋体"/>
          <w:bCs/>
          <w:sz w:val="24"/>
          <w:szCs w:val="24"/>
        </w:rPr>
        <w:t>（2）</w:t>
      </w:r>
      <w:r>
        <w:rPr>
          <w:rFonts w:hint="eastAsia" w:ascii="宋体" w:hAnsi="宋体" w:cs="宋体"/>
          <w:sz w:val="24"/>
          <w:szCs w:val="24"/>
        </w:rPr>
        <w:t>合同以总价包干形式，合同暂定总价为：</w:t>
      </w:r>
      <w:r>
        <w:rPr>
          <w:rFonts w:hint="eastAsia" w:ascii="宋体" w:hAnsi="宋体" w:cs="宋体"/>
          <w:b/>
          <w:sz w:val="24"/>
          <w:szCs w:val="24"/>
          <w:u w:val="single"/>
        </w:rPr>
        <w:t xml:space="preserve">人民币 </w:t>
      </w:r>
      <w:r>
        <w:rPr>
          <w:rFonts w:hint="eastAsia" w:ascii="宋体" w:hAnsi="宋体" w:cs="宋体"/>
          <w:b/>
          <w:sz w:val="24"/>
          <w:szCs w:val="24"/>
          <w:u w:val="single"/>
          <w:lang w:val="en-US" w:eastAsia="zh-CN"/>
        </w:rPr>
        <w:t xml:space="preserve">  </w:t>
      </w:r>
      <w:r>
        <w:rPr>
          <w:rFonts w:hint="eastAsia" w:ascii="宋体" w:hAnsi="宋体" w:cs="宋体"/>
          <w:b/>
          <w:sz w:val="24"/>
          <w:szCs w:val="24"/>
          <w:u w:val="single"/>
        </w:rPr>
        <w:t xml:space="preserve"> 元</w:t>
      </w:r>
      <w:r>
        <w:rPr>
          <w:rFonts w:hint="eastAsia" w:ascii="宋体" w:hAnsi="宋体" w:cs="宋体"/>
          <w:sz w:val="24"/>
          <w:szCs w:val="24"/>
        </w:rPr>
        <w:t>（大写:</w:t>
      </w:r>
      <w:r>
        <w:rPr>
          <w:rFonts w:hint="eastAsia" w:ascii="宋体" w:hAnsi="宋体" w:cs="宋体"/>
          <w:b/>
          <w:sz w:val="24"/>
          <w:szCs w:val="24"/>
          <w:u w:val="single"/>
        </w:rPr>
        <w:t xml:space="preserve">  </w:t>
      </w:r>
      <w:r>
        <w:rPr>
          <w:rFonts w:hint="eastAsia" w:ascii="宋体" w:hAnsi="宋体" w:cs="宋体"/>
          <w:b/>
          <w:sz w:val="24"/>
          <w:szCs w:val="24"/>
          <w:u w:val="single"/>
          <w:lang w:val="en-US" w:eastAsia="zh-CN"/>
        </w:rPr>
        <w:t xml:space="preserve">  </w:t>
      </w:r>
      <w:r>
        <w:rPr>
          <w:rFonts w:hint="eastAsia" w:ascii="宋体" w:hAnsi="宋体" w:cs="宋体"/>
          <w:b/>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w:t>
      </w:r>
    </w:p>
    <w:p>
      <w:pPr>
        <w:spacing w:line="500" w:lineRule="exact"/>
        <w:ind w:firstLine="480" w:firstLineChars="200"/>
        <w:rPr>
          <w:rFonts w:ascii="宋体" w:hAnsi="宋体" w:cs="宋体"/>
          <w:sz w:val="24"/>
          <w:szCs w:val="24"/>
        </w:rPr>
      </w:pPr>
      <w:r>
        <w:rPr>
          <w:rFonts w:hint="eastAsia" w:ascii="宋体" w:hAnsi="宋体" w:cs="宋体"/>
          <w:sz w:val="24"/>
          <w:szCs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ascii="宋体" w:hAnsi="宋体" w:cs="宋体"/>
          <w:sz w:val="24"/>
          <w:szCs w:val="24"/>
        </w:rPr>
      </w:pPr>
      <w:r>
        <w:rPr>
          <w:rFonts w:hint="eastAsia" w:ascii="宋体" w:hAnsi="宋体" w:cs="宋体"/>
          <w:kern w:val="0"/>
          <w:sz w:val="24"/>
          <w:szCs w:val="24"/>
          <w:lang w:val="zh-CN"/>
        </w:rPr>
        <w:t>4.2</w:t>
      </w:r>
      <w:r>
        <w:rPr>
          <w:rFonts w:hint="eastAsia" w:ascii="宋体" w:hAnsi="宋体" w:cs="宋体"/>
          <w:kern w:val="0"/>
          <w:sz w:val="24"/>
          <w:szCs w:val="24"/>
        </w:rPr>
        <w:t>本合同约定的价格已含税价价格</w:t>
      </w:r>
      <w:r>
        <w:rPr>
          <w:rFonts w:hint="eastAsia" w:ascii="宋体" w:hAnsi="宋体" w:cs="宋体"/>
          <w:sz w:val="24"/>
          <w:szCs w:val="24"/>
        </w:rPr>
        <w:t>（税率</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），合同履行期间国家税率调整的，不含税价不变，价税合计相应调整</w:t>
      </w:r>
      <w:r>
        <w:rPr>
          <w:rFonts w:hint="eastAsia" w:ascii="宋体" w:hAnsi="宋体" w:cs="宋体"/>
          <w:sz w:val="24"/>
          <w:szCs w:val="24"/>
          <w:lang w:val="en-US" w:eastAsia="zh-CN"/>
        </w:rPr>
        <w:t>按实结算</w:t>
      </w:r>
      <w:r>
        <w:rPr>
          <w:rFonts w:hint="eastAsia" w:ascii="宋体" w:hAnsi="宋体" w:cs="宋体"/>
          <w:sz w:val="24"/>
          <w:szCs w:val="24"/>
        </w:rPr>
        <w:t>，以开具发票的时间为准。</w:t>
      </w:r>
    </w:p>
    <w:p>
      <w:pPr>
        <w:spacing w:line="500" w:lineRule="exact"/>
        <w:ind w:firstLine="490" w:firstLineChars="200"/>
        <w:rPr>
          <w:rFonts w:ascii="宋体" w:hAnsi="宋体" w:cs="宋体"/>
          <w:b/>
          <w:spacing w:val="2"/>
          <w:kern w:val="36"/>
          <w:position w:val="2"/>
          <w:sz w:val="24"/>
          <w:szCs w:val="24"/>
        </w:rPr>
      </w:pPr>
      <w:r>
        <w:rPr>
          <w:rFonts w:hint="eastAsia" w:ascii="宋体" w:hAnsi="宋体" w:cs="宋体"/>
          <w:b/>
          <w:spacing w:val="2"/>
          <w:kern w:val="36"/>
          <w:position w:val="2"/>
          <w:sz w:val="24"/>
          <w:szCs w:val="24"/>
        </w:rPr>
        <w:t>五、支付方式及履约担保：</w:t>
      </w:r>
    </w:p>
    <w:p>
      <w:pPr>
        <w:spacing w:line="500" w:lineRule="exact"/>
        <w:ind w:firstLine="488" w:firstLineChars="200"/>
        <w:rPr>
          <w:rFonts w:ascii="宋体" w:hAnsi="宋体" w:cs="宋体"/>
          <w:sz w:val="24"/>
          <w:szCs w:val="24"/>
        </w:rPr>
      </w:pPr>
      <w:r>
        <w:rPr>
          <w:rFonts w:hint="eastAsia" w:ascii="宋体" w:hAnsi="宋体" w:cs="宋体"/>
          <w:bCs/>
          <w:spacing w:val="2"/>
          <w:kern w:val="36"/>
          <w:position w:val="2"/>
          <w:sz w:val="24"/>
          <w:szCs w:val="24"/>
        </w:rPr>
        <w:t>5.1</w:t>
      </w:r>
      <w:r>
        <w:rPr>
          <w:rFonts w:hint="eastAsia" w:ascii="宋体" w:hAnsi="宋体" w:cs="宋体"/>
          <w:bCs/>
          <w:sz w:val="24"/>
          <w:szCs w:val="24"/>
        </w:rPr>
        <w:t>预付款的支付：</w:t>
      </w:r>
      <w:r>
        <w:rPr>
          <w:rFonts w:hint="eastAsia" w:ascii="宋体" w:hAnsi="宋体" w:cs="宋体"/>
          <w:bCs/>
          <w:sz w:val="24"/>
          <w:szCs w:val="24"/>
        </w:rPr>
        <w:sym w:font="Wingdings" w:char="00FE"/>
      </w:r>
      <w:r>
        <w:rPr>
          <w:rFonts w:hint="eastAsia" w:ascii="宋体" w:hAnsi="宋体" w:cs="宋体"/>
          <w:bCs/>
          <w:sz w:val="24"/>
          <w:szCs w:val="24"/>
        </w:rPr>
        <w:t xml:space="preserve">无；     </w:t>
      </w:r>
      <w:r>
        <w:rPr>
          <w:rFonts w:hint="eastAsia" w:ascii="宋体" w:hAnsi="宋体" w:cs="宋体"/>
          <w:bCs/>
          <w:sz w:val="24"/>
          <w:szCs w:val="24"/>
        </w:rPr>
        <w:sym w:font="Wingdings" w:char="F0A8"/>
      </w:r>
      <w:r>
        <w:rPr>
          <w:rFonts w:hint="eastAsia" w:ascii="宋体" w:hAnsi="宋体" w:cs="宋体"/>
          <w:bCs/>
          <w:sz w:val="24"/>
          <w:szCs w:val="24"/>
        </w:rPr>
        <w:t>有，合同签订后乙方开具等额的增值税专用发票及提交履约担保担保（如有）后</w:t>
      </w:r>
      <w:r>
        <w:rPr>
          <w:rFonts w:hint="eastAsia" w:ascii="宋体" w:hAnsi="宋体" w:cs="宋体"/>
          <w:bCs/>
          <w:sz w:val="24"/>
          <w:szCs w:val="24"/>
          <w:u w:val="single"/>
        </w:rPr>
        <w:t xml:space="preserve"> … </w:t>
      </w:r>
      <w:r>
        <w:rPr>
          <w:rFonts w:hint="eastAsia" w:ascii="宋体" w:hAnsi="宋体" w:cs="宋体"/>
          <w:bCs/>
          <w:sz w:val="24"/>
          <w:szCs w:val="24"/>
        </w:rPr>
        <w:t>个工作日内，甲方支付合同</w:t>
      </w:r>
      <w:r>
        <w:rPr>
          <w:rFonts w:hint="eastAsia" w:ascii="宋体" w:hAnsi="宋体" w:cs="宋体"/>
          <w:sz w:val="24"/>
          <w:szCs w:val="24"/>
        </w:rPr>
        <w:t>暂定总价</w:t>
      </w:r>
      <w:r>
        <w:rPr>
          <w:rFonts w:hint="eastAsia" w:ascii="宋体" w:hAnsi="宋体" w:cs="宋体"/>
          <w:bCs/>
          <w:sz w:val="24"/>
          <w:szCs w:val="24"/>
        </w:rPr>
        <w:t>的</w:t>
      </w:r>
      <w:r>
        <w:rPr>
          <w:rFonts w:hint="eastAsia" w:ascii="宋体" w:hAnsi="宋体" w:cs="宋体"/>
          <w:bCs/>
          <w:sz w:val="24"/>
          <w:szCs w:val="24"/>
          <w:u w:val="single"/>
        </w:rPr>
        <w:t xml:space="preserve">  （不得超过30%）  </w:t>
      </w:r>
      <w:r>
        <w:rPr>
          <w:rFonts w:hint="eastAsia" w:ascii="宋体" w:hAnsi="宋体" w:cs="宋体"/>
          <w:sz w:val="24"/>
          <w:szCs w:val="24"/>
        </w:rPr>
        <w:t>即</w:t>
      </w:r>
      <w:r>
        <w:rPr>
          <w:rFonts w:hint="eastAsia" w:ascii="宋体" w:hAnsi="宋体" w:cs="宋体"/>
          <w:sz w:val="24"/>
          <w:szCs w:val="24"/>
          <w:u w:val="single"/>
        </w:rPr>
        <w:t xml:space="preserve">   … 元，（大写：…）。</w:t>
      </w:r>
      <w:r>
        <w:rPr>
          <w:rFonts w:hint="eastAsia" w:ascii="宋体" w:hAnsi="宋体" w:cs="宋体"/>
          <w:sz w:val="24"/>
          <w:szCs w:val="24"/>
        </w:rPr>
        <w:t xml:space="preserve"> </w:t>
      </w:r>
    </w:p>
    <w:p>
      <w:pPr>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5.2乙方完成</w:t>
      </w:r>
      <w:r>
        <w:rPr>
          <w:rFonts w:hint="eastAsia" w:ascii="宋体" w:hAnsi="宋体" w:cs="宋体"/>
          <w:sz w:val="24"/>
          <w:szCs w:val="24"/>
          <w:u w:val="single"/>
        </w:rPr>
        <w:t xml:space="preserve"> 货物到货验收且经甲方验收合格，</w:t>
      </w:r>
      <w:r>
        <w:rPr>
          <w:rFonts w:hint="eastAsia" w:ascii="宋体" w:hAnsi="宋体" w:cs="宋体"/>
          <w:sz w:val="24"/>
          <w:szCs w:val="24"/>
        </w:rPr>
        <w:t>由乙方提交完整的设备验收合格到货清单、项目计划书及开具</w:t>
      </w:r>
      <w:r>
        <w:rPr>
          <w:rFonts w:hint="eastAsia" w:ascii="宋体" w:hAnsi="宋体" w:cs="宋体"/>
          <w:sz w:val="24"/>
          <w:szCs w:val="24"/>
          <w:lang w:val="en-US" w:eastAsia="zh-CN"/>
        </w:rPr>
        <w:t>本次支付金额</w:t>
      </w:r>
      <w:r>
        <w:rPr>
          <w:rFonts w:hint="eastAsia" w:ascii="宋体" w:hAnsi="宋体" w:cs="宋体"/>
          <w:sz w:val="24"/>
          <w:szCs w:val="24"/>
        </w:rPr>
        <w:t>等额增值税专用发票</w:t>
      </w:r>
      <w:r>
        <w:rPr>
          <w:rFonts w:hint="eastAsia" w:ascii="宋体" w:hAnsi="宋体" w:cs="宋体"/>
          <w:sz w:val="24"/>
          <w:szCs w:val="24"/>
          <w:lang w:val="en-US" w:eastAsia="zh-CN"/>
        </w:rPr>
        <w:t>后</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15</w:t>
      </w:r>
      <w:r>
        <w:rPr>
          <w:rFonts w:hint="eastAsia" w:ascii="宋体" w:hAnsi="宋体" w:cs="宋体"/>
          <w:sz w:val="24"/>
          <w:szCs w:val="24"/>
        </w:rPr>
        <w:t>个工作日内，甲方支付至合同暂定总价的</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%即 …元，（大写：…）。</w:t>
      </w:r>
    </w:p>
    <w:p>
      <w:pPr>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5.</w:t>
      </w:r>
      <w:r>
        <w:rPr>
          <w:rFonts w:hint="eastAsia" w:ascii="宋体" w:hAnsi="宋体" w:cs="宋体"/>
          <w:sz w:val="24"/>
          <w:szCs w:val="24"/>
          <w:lang w:val="en-US" w:eastAsia="zh-CN"/>
        </w:rPr>
        <w:t>3</w:t>
      </w:r>
      <w:r>
        <w:rPr>
          <w:rFonts w:hint="eastAsia" w:ascii="宋体" w:hAnsi="宋体" w:cs="宋体"/>
          <w:sz w:val="24"/>
          <w:szCs w:val="24"/>
        </w:rPr>
        <w:t>乙方完成</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设备软硬件安装部署</w:t>
      </w:r>
      <w:r>
        <w:rPr>
          <w:rFonts w:hint="eastAsia" w:ascii="宋体" w:hAnsi="宋体" w:cs="宋体"/>
          <w:sz w:val="24"/>
          <w:szCs w:val="24"/>
          <w:u w:val="single"/>
        </w:rPr>
        <w:t>，</w:t>
      </w:r>
      <w:r>
        <w:rPr>
          <w:rFonts w:hint="eastAsia" w:ascii="宋体" w:hAnsi="宋体" w:cs="宋体"/>
          <w:sz w:val="24"/>
          <w:szCs w:val="24"/>
        </w:rPr>
        <w:t>由乙方提交</w:t>
      </w:r>
      <w:r>
        <w:rPr>
          <w:rFonts w:hint="eastAsia" w:ascii="宋体" w:hAnsi="宋体" w:cs="宋体"/>
          <w:sz w:val="24"/>
          <w:szCs w:val="24"/>
          <w:lang w:val="en-US" w:eastAsia="zh-CN"/>
        </w:rPr>
        <w:t>经甲方相关部门审批通过的完工报告</w:t>
      </w:r>
      <w:r>
        <w:rPr>
          <w:rFonts w:hint="eastAsia" w:ascii="宋体" w:hAnsi="宋体" w:cs="宋体"/>
          <w:sz w:val="24"/>
          <w:szCs w:val="24"/>
        </w:rPr>
        <w:t>及开具</w:t>
      </w:r>
      <w:r>
        <w:rPr>
          <w:rFonts w:hint="eastAsia" w:ascii="宋体" w:hAnsi="宋体" w:cs="宋体"/>
          <w:sz w:val="24"/>
          <w:szCs w:val="24"/>
          <w:lang w:val="en-US" w:eastAsia="zh-CN"/>
        </w:rPr>
        <w:t>本次支付金额</w:t>
      </w:r>
      <w:r>
        <w:rPr>
          <w:rFonts w:hint="eastAsia" w:ascii="宋体" w:hAnsi="宋体" w:cs="宋体"/>
          <w:sz w:val="24"/>
          <w:szCs w:val="24"/>
        </w:rPr>
        <w:t>等额增值税专用发票</w:t>
      </w:r>
      <w:r>
        <w:rPr>
          <w:rFonts w:hint="eastAsia" w:ascii="宋体" w:hAnsi="宋体" w:cs="宋体"/>
          <w:sz w:val="24"/>
          <w:szCs w:val="24"/>
          <w:lang w:val="en-US" w:eastAsia="zh-CN"/>
        </w:rPr>
        <w:t>后</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15</w:t>
      </w:r>
      <w:r>
        <w:rPr>
          <w:rFonts w:hint="eastAsia" w:ascii="宋体" w:hAnsi="宋体" w:cs="宋体"/>
          <w:sz w:val="24"/>
          <w:szCs w:val="24"/>
        </w:rPr>
        <w:t>个工作日内，甲方支付至合同暂定总价的</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70</w:t>
      </w:r>
      <w:r>
        <w:rPr>
          <w:rFonts w:hint="eastAsia" w:ascii="宋体" w:hAnsi="宋体" w:cs="宋体"/>
          <w:sz w:val="24"/>
          <w:szCs w:val="24"/>
          <w:u w:val="single"/>
        </w:rPr>
        <w:t>%即 …元，（大写：…）。</w:t>
      </w:r>
    </w:p>
    <w:p>
      <w:pPr>
        <w:spacing w:line="500" w:lineRule="exact"/>
        <w:ind w:firstLine="480" w:firstLineChars="200"/>
        <w:rPr>
          <w:rFonts w:ascii="宋体" w:hAnsi="宋体" w:cs="宋体"/>
          <w:bCs/>
          <w:sz w:val="24"/>
          <w:szCs w:val="24"/>
          <w:u w:val="single"/>
        </w:rPr>
      </w:pPr>
      <w:r>
        <w:rPr>
          <w:rFonts w:hint="eastAsia" w:ascii="宋体" w:hAnsi="宋体" w:cs="宋体"/>
          <w:sz w:val="24"/>
          <w:szCs w:val="24"/>
        </w:rPr>
        <w:t xml:space="preserve"> 5.</w:t>
      </w:r>
      <w:r>
        <w:rPr>
          <w:rFonts w:hint="eastAsia" w:ascii="宋体" w:hAnsi="宋体" w:cs="宋体"/>
          <w:sz w:val="24"/>
          <w:szCs w:val="24"/>
          <w:lang w:val="en-US" w:eastAsia="zh-CN"/>
        </w:rPr>
        <w:t>4</w:t>
      </w:r>
      <w:r>
        <w:rPr>
          <w:rFonts w:hint="eastAsia" w:ascii="宋体" w:hAnsi="宋体" w:cs="宋体"/>
          <w:sz w:val="24"/>
          <w:szCs w:val="24"/>
        </w:rPr>
        <w:t>乙</w:t>
      </w:r>
      <w:r>
        <w:rPr>
          <w:rFonts w:hint="eastAsia" w:ascii="宋体" w:hAnsi="宋体" w:cs="宋体"/>
          <w:kern w:val="0"/>
          <w:sz w:val="24"/>
          <w:szCs w:val="24"/>
        </w:rPr>
        <w:t>方完成系统建设且</w:t>
      </w:r>
      <w:r>
        <w:rPr>
          <w:rFonts w:hint="eastAsia" w:ascii="宋体" w:hAnsi="宋体" w:cs="宋体"/>
          <w:kern w:val="0"/>
          <w:sz w:val="24"/>
          <w:szCs w:val="24"/>
          <w:u w:val="none"/>
          <w:lang w:val="en-US" w:eastAsia="zh-CN"/>
        </w:rPr>
        <w:t>通过30</w:t>
      </w:r>
      <w:r>
        <w:rPr>
          <w:rFonts w:hint="eastAsia" w:ascii="宋体" w:hAnsi="宋体" w:cs="宋体"/>
          <w:color w:val="auto"/>
          <w:kern w:val="0"/>
          <w:sz w:val="24"/>
          <w:lang w:val="en-US" w:eastAsia="zh-CN"/>
        </w:rPr>
        <w:t>日</w:t>
      </w:r>
      <w:r>
        <w:rPr>
          <w:rFonts w:hint="eastAsia" w:ascii="宋体" w:hAnsi="宋体" w:cs="宋体"/>
          <w:sz w:val="24"/>
          <w:szCs w:val="24"/>
          <w:u w:val="single"/>
          <w:lang w:val="en-US" w:eastAsia="zh-CN"/>
        </w:rPr>
        <w:t>试运行期</w:t>
      </w:r>
      <w:r>
        <w:rPr>
          <w:rFonts w:hint="eastAsia" w:ascii="宋体" w:hAnsi="宋体" w:cs="宋体"/>
          <w:kern w:val="0"/>
          <w:sz w:val="24"/>
          <w:szCs w:val="24"/>
        </w:rPr>
        <w:t xml:space="preserve">后 </w:t>
      </w:r>
      <w:r>
        <w:rPr>
          <w:rFonts w:hint="eastAsia" w:ascii="宋体" w:hAnsi="宋体" w:cs="宋体"/>
          <w:kern w:val="0"/>
          <w:sz w:val="24"/>
          <w:szCs w:val="24"/>
          <w:lang w:val="en-US" w:eastAsia="zh-CN"/>
        </w:rPr>
        <w:t>15</w:t>
      </w:r>
      <w:r>
        <w:rPr>
          <w:rFonts w:hint="eastAsia" w:ascii="宋体" w:hAnsi="宋体" w:cs="宋体"/>
          <w:kern w:val="0"/>
          <w:sz w:val="24"/>
          <w:szCs w:val="24"/>
        </w:rPr>
        <w:t>日内，乙方提交竣工验收报告，</w:t>
      </w:r>
      <w:r>
        <w:rPr>
          <w:rFonts w:hint="eastAsia" w:ascii="宋体" w:hAnsi="宋体" w:cs="宋体"/>
          <w:sz w:val="24"/>
          <w:szCs w:val="24"/>
        </w:rPr>
        <w:t>经</w:t>
      </w:r>
      <w:r>
        <w:rPr>
          <w:rFonts w:hint="eastAsia" w:ascii="宋体" w:hAnsi="宋体" w:cs="宋体"/>
          <w:sz w:val="24"/>
          <w:szCs w:val="24"/>
          <w:u w:val="single"/>
        </w:rPr>
        <w:t>甲方或甲方委托有资质第三方机构结算审核</w:t>
      </w:r>
      <w:r>
        <w:rPr>
          <w:rFonts w:hint="eastAsia" w:ascii="宋体" w:hAnsi="宋体" w:cs="宋体"/>
          <w:sz w:val="24"/>
          <w:szCs w:val="24"/>
        </w:rPr>
        <w:t>后，由乙方提交</w:t>
      </w:r>
      <w:r>
        <w:rPr>
          <w:rFonts w:hint="eastAsia" w:ascii="宋体" w:hAnsi="宋体" w:cs="宋体"/>
          <w:sz w:val="24"/>
          <w:szCs w:val="24"/>
          <w:lang w:val="en-US" w:eastAsia="zh-CN"/>
        </w:rPr>
        <w:t>结算价余款</w:t>
      </w:r>
      <w:r>
        <w:rPr>
          <w:rFonts w:hint="eastAsia" w:ascii="宋体" w:hAnsi="宋体" w:cs="宋体"/>
          <w:sz w:val="24"/>
          <w:szCs w:val="24"/>
        </w:rPr>
        <w:t>等额增值税专用发票</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15</w:t>
      </w:r>
      <w:r>
        <w:rPr>
          <w:rFonts w:hint="eastAsia" w:ascii="宋体" w:hAnsi="宋体" w:cs="宋体"/>
          <w:sz w:val="24"/>
          <w:szCs w:val="24"/>
          <w:u w:val="single"/>
        </w:rPr>
        <w:t xml:space="preserve"> </w:t>
      </w:r>
      <w:r>
        <w:rPr>
          <w:rFonts w:hint="eastAsia" w:ascii="宋体" w:hAnsi="宋体" w:cs="宋体"/>
          <w:sz w:val="24"/>
          <w:szCs w:val="24"/>
        </w:rPr>
        <w:t>个工作日内，甲方支付至合同结算价的</w:t>
      </w:r>
      <w:r>
        <w:rPr>
          <w:rFonts w:hint="eastAsia" w:ascii="宋体" w:hAnsi="宋体" w:cs="宋体"/>
          <w:sz w:val="24"/>
          <w:szCs w:val="24"/>
          <w:u w:val="single"/>
        </w:rPr>
        <w:t>95%（结算价超过合同暂定总价时，暂停合同的工程款支付程序，签订补充协议后支付）</w:t>
      </w:r>
      <w:r>
        <w:rPr>
          <w:rFonts w:hint="eastAsia" w:ascii="宋体" w:hAnsi="宋体" w:cs="宋体"/>
          <w:sz w:val="24"/>
          <w:szCs w:val="24"/>
        </w:rPr>
        <w:t>。</w:t>
      </w:r>
    </w:p>
    <w:p>
      <w:pPr>
        <w:spacing w:line="500" w:lineRule="exact"/>
        <w:ind w:firstLine="480" w:firstLineChars="200"/>
        <w:outlineLvl w:val="1"/>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5</w:t>
      </w:r>
      <w:r>
        <w:rPr>
          <w:rFonts w:hint="eastAsia" w:ascii="宋体" w:hAnsi="宋体" w:cs="宋体"/>
          <w:sz w:val="24"/>
          <w:szCs w:val="24"/>
        </w:rPr>
        <w:t>按合同约定完成运维服务/售后服务/质量保修期满后且乙方不存在违约情形，由乙方提交</w:t>
      </w:r>
      <w:r>
        <w:rPr>
          <w:rFonts w:hint="eastAsia" w:ascii="宋体" w:hAnsi="宋体" w:cs="宋体"/>
          <w:sz w:val="24"/>
          <w:szCs w:val="24"/>
          <w:lang w:val="en-US" w:eastAsia="zh-CN"/>
        </w:rPr>
        <w:t>质保金支付申请后</w:t>
      </w:r>
      <w:r>
        <w:rPr>
          <w:rFonts w:hint="eastAsia" w:ascii="宋体" w:hAnsi="宋体" w:cs="宋体"/>
          <w:sz w:val="24"/>
          <w:szCs w:val="24"/>
          <w:u w:val="single"/>
        </w:rPr>
        <w:t xml:space="preserve"> 15 </w:t>
      </w:r>
      <w:r>
        <w:rPr>
          <w:rFonts w:hint="eastAsia" w:ascii="宋体" w:hAnsi="宋体" w:cs="宋体"/>
          <w:sz w:val="24"/>
          <w:szCs w:val="24"/>
        </w:rPr>
        <w:t>个工作日内，甲方支付合同结算价的5％给乙方（无息）。</w:t>
      </w:r>
    </w:p>
    <w:p>
      <w:pPr>
        <w:spacing w:line="500" w:lineRule="exact"/>
        <w:ind w:firstLine="56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6</w:t>
      </w:r>
      <w:r>
        <w:rPr>
          <w:rFonts w:hint="eastAsia" w:ascii="宋体" w:hAnsi="宋体" w:cs="宋体"/>
          <w:sz w:val="24"/>
          <w:szCs w:val="24"/>
        </w:rPr>
        <w:t>如乙方应向甲方支付违约金、赔偿款或者其他款项，应当在接到甲方通知后</w:t>
      </w:r>
      <w:r>
        <w:rPr>
          <w:rFonts w:hint="eastAsia" w:ascii="宋体" w:hAnsi="宋体" w:cs="宋体"/>
          <w:sz w:val="24"/>
          <w:szCs w:val="24"/>
          <w:u w:val="single"/>
        </w:rPr>
        <w:t>30</w:t>
      </w:r>
      <w:r>
        <w:rPr>
          <w:rFonts w:hint="eastAsia" w:ascii="宋体" w:hAnsi="宋体" w:cs="宋体"/>
          <w:sz w:val="24"/>
          <w:szCs w:val="24"/>
        </w:rPr>
        <w:t>日内付清，甲方有权直接从应付款项中抵扣。</w:t>
      </w:r>
    </w:p>
    <w:p>
      <w:pPr>
        <w:spacing w:line="500" w:lineRule="exact"/>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7</w:t>
      </w:r>
      <w:r>
        <w:rPr>
          <w:rFonts w:hint="eastAsia" w:ascii="宋体" w:hAnsi="宋体" w:cs="宋体"/>
          <w:sz w:val="24"/>
          <w:szCs w:val="24"/>
        </w:rPr>
        <w:t>乙方收款账户：</w:t>
      </w:r>
      <w:r>
        <w:rPr>
          <w:rFonts w:hint="eastAsia" w:ascii="宋体" w:hAnsi="宋体" w:cs="宋体"/>
          <w:sz w:val="24"/>
          <w:szCs w:val="24"/>
          <w:u w:val="single"/>
        </w:rPr>
        <w:t xml:space="preserve">     …                      </w:t>
      </w:r>
      <w:r>
        <w:rPr>
          <w:rFonts w:hint="eastAsia" w:ascii="宋体" w:hAnsi="宋体" w:cs="宋体"/>
          <w:sz w:val="24"/>
          <w:szCs w:val="24"/>
        </w:rPr>
        <w:t>；</w:t>
      </w:r>
    </w:p>
    <w:p>
      <w:pPr>
        <w:spacing w:line="500" w:lineRule="exact"/>
        <w:ind w:firstLine="840" w:firstLineChars="350"/>
        <w:rPr>
          <w:rFonts w:ascii="宋体" w:hAnsi="宋体" w:cs="宋体"/>
          <w:sz w:val="24"/>
          <w:szCs w:val="24"/>
        </w:rPr>
      </w:pPr>
      <w:r>
        <w:rPr>
          <w:rFonts w:hint="eastAsia" w:ascii="宋体" w:hAnsi="宋体" w:cs="宋体"/>
          <w:sz w:val="24"/>
          <w:szCs w:val="24"/>
        </w:rPr>
        <w:t>收款账号：</w:t>
      </w:r>
      <w:r>
        <w:rPr>
          <w:rFonts w:hint="eastAsia" w:ascii="宋体" w:hAnsi="宋体" w:cs="宋体"/>
          <w:sz w:val="24"/>
          <w:szCs w:val="24"/>
          <w:u w:val="single"/>
        </w:rPr>
        <w:t xml:space="preserve">          …                   </w:t>
      </w:r>
      <w:r>
        <w:rPr>
          <w:rFonts w:hint="eastAsia" w:ascii="宋体" w:hAnsi="宋体" w:cs="宋体"/>
          <w:sz w:val="24"/>
          <w:szCs w:val="24"/>
        </w:rPr>
        <w:t>；</w:t>
      </w:r>
    </w:p>
    <w:p>
      <w:pPr>
        <w:spacing w:line="500" w:lineRule="exact"/>
        <w:ind w:firstLine="840" w:firstLineChars="350"/>
        <w:rPr>
          <w:rFonts w:ascii="宋体" w:hAnsi="宋体" w:cs="宋体"/>
          <w:sz w:val="24"/>
          <w:szCs w:val="24"/>
        </w:rPr>
      </w:pPr>
      <w:r>
        <w:rPr>
          <w:rFonts w:hint="eastAsia" w:ascii="宋体" w:hAnsi="宋体" w:cs="宋体"/>
          <w:sz w:val="24"/>
          <w:szCs w:val="24"/>
        </w:rPr>
        <w:t>开户行：</w:t>
      </w:r>
      <w:r>
        <w:rPr>
          <w:rFonts w:hint="eastAsia" w:ascii="宋体" w:hAnsi="宋体" w:cs="宋体"/>
          <w:sz w:val="24"/>
          <w:szCs w:val="24"/>
          <w:u w:val="single"/>
        </w:rPr>
        <w:t xml:space="preserve">              …                 </w:t>
      </w:r>
      <w:r>
        <w:rPr>
          <w:rFonts w:hint="eastAsia" w:ascii="宋体" w:hAnsi="宋体" w:cs="宋体"/>
          <w:sz w:val="24"/>
          <w:szCs w:val="24"/>
        </w:rPr>
        <w:t>；</w:t>
      </w:r>
    </w:p>
    <w:p>
      <w:pPr>
        <w:spacing w:line="500" w:lineRule="exact"/>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8</w:t>
      </w:r>
      <w:r>
        <w:rPr>
          <w:rFonts w:hint="eastAsia" w:ascii="宋体" w:hAnsi="宋体" w:cs="宋体"/>
          <w:sz w:val="24"/>
          <w:szCs w:val="24"/>
        </w:rPr>
        <w:t>乙方在收款前需提交等额增值税专用发票给甲方。增值税专用发票信息：</w:t>
      </w:r>
    </w:p>
    <w:p>
      <w:pPr>
        <w:spacing w:line="500" w:lineRule="exact"/>
        <w:ind w:firstLine="960" w:firstLineChars="400"/>
        <w:rPr>
          <w:rFonts w:ascii="宋体" w:hAnsi="宋体" w:cs="宋体"/>
          <w:sz w:val="24"/>
          <w:szCs w:val="24"/>
        </w:rPr>
      </w:pPr>
      <w:r>
        <w:rPr>
          <w:rFonts w:hint="eastAsia" w:ascii="宋体" w:hAnsi="宋体" w:cs="宋体"/>
          <w:sz w:val="24"/>
          <w:szCs w:val="24"/>
        </w:rPr>
        <w:t>名称：广州市净水有限公司</w:t>
      </w:r>
    </w:p>
    <w:p>
      <w:pPr>
        <w:spacing w:line="500" w:lineRule="exact"/>
        <w:ind w:firstLine="960" w:firstLineChars="400"/>
        <w:rPr>
          <w:rFonts w:hint="eastAsia" w:ascii="宋体" w:hAnsi="宋体" w:cs="宋体"/>
          <w:sz w:val="24"/>
          <w:szCs w:val="24"/>
          <w:u w:val="single"/>
        </w:rPr>
      </w:pPr>
      <w:r>
        <w:rPr>
          <w:rFonts w:hint="eastAsia" w:ascii="宋体" w:hAnsi="宋体" w:cs="宋体"/>
          <w:sz w:val="24"/>
          <w:szCs w:val="24"/>
        </w:rPr>
        <w:t>税号：</w:t>
      </w:r>
      <w:r>
        <w:rPr>
          <w:rFonts w:hint="eastAsia" w:ascii="宋体" w:hAnsi="宋体" w:cs="宋体"/>
          <w:sz w:val="24"/>
          <w:szCs w:val="24"/>
          <w:u w:val="single"/>
        </w:rPr>
        <w:t xml:space="preserve">91440101755584729Q        </w:t>
      </w:r>
    </w:p>
    <w:p>
      <w:pPr>
        <w:spacing w:line="500" w:lineRule="exact"/>
        <w:ind w:firstLine="960" w:firstLineChars="4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lang w:val="en-US" w:eastAsia="zh-CN"/>
        </w:rPr>
        <w:t>广州市天河区临江大道501号</w:t>
      </w:r>
      <w:r>
        <w:rPr>
          <w:rFonts w:hint="eastAsia" w:ascii="宋体" w:hAnsi="宋体" w:cs="宋体"/>
          <w:sz w:val="24"/>
          <w:szCs w:val="24"/>
        </w:rPr>
        <w:t xml:space="preserve">                           </w:t>
      </w:r>
    </w:p>
    <w:p>
      <w:pPr>
        <w:spacing w:line="500" w:lineRule="exact"/>
        <w:ind w:firstLine="480" w:firstLineChars="200"/>
        <w:outlineLvl w:val="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9</w:t>
      </w:r>
      <w:r>
        <w:rPr>
          <w:rFonts w:hint="eastAsia" w:ascii="宋体" w:hAnsi="宋体" w:cs="宋体"/>
          <w:sz w:val="24"/>
          <w:szCs w:val="24"/>
        </w:rPr>
        <w:t>履约担保：</w:t>
      </w:r>
      <w:r>
        <w:rPr>
          <w:rFonts w:hint="eastAsia" w:ascii="宋体" w:hAnsi="宋体" w:cs="宋体"/>
          <w:sz w:val="24"/>
          <w:szCs w:val="24"/>
          <w:highlight w:val="none"/>
        </w:rPr>
        <w:sym w:font="Wingdings 2" w:char="0052"/>
      </w:r>
      <w:r>
        <w:rPr>
          <w:rFonts w:hint="eastAsia" w:ascii="宋体" w:hAnsi="宋体" w:cs="宋体"/>
          <w:bCs w:val="0"/>
          <w:sz w:val="24"/>
          <w:szCs w:val="24"/>
        </w:rPr>
        <w:t xml:space="preserve">无；     </w:t>
      </w:r>
      <w:r>
        <w:rPr>
          <w:rFonts w:hint="eastAsia" w:ascii="宋体" w:hAnsi="宋体" w:cs="宋体"/>
          <w:sz w:val="24"/>
          <w:szCs w:val="24"/>
        </w:rPr>
        <w:t>□有，本合同签订后</w:t>
      </w:r>
      <w:r>
        <w:rPr>
          <w:rFonts w:hint="eastAsia" w:ascii="宋体" w:hAnsi="宋体" w:cs="宋体"/>
          <w:sz w:val="24"/>
          <w:szCs w:val="24"/>
          <w:u w:val="single"/>
        </w:rPr>
        <w:t>10</w:t>
      </w:r>
      <w:r>
        <w:rPr>
          <w:rFonts w:hint="eastAsia" w:ascii="宋体" w:hAnsi="宋体" w:cs="宋体"/>
          <w:sz w:val="24"/>
          <w:szCs w:val="24"/>
        </w:rPr>
        <w:t>日内</w:t>
      </w:r>
      <w:r>
        <w:rPr>
          <w:rFonts w:hint="eastAsia" w:ascii="宋体" w:hAnsi="宋体" w:cs="宋体"/>
          <w:sz w:val="24"/>
          <w:szCs w:val="24"/>
          <w:u w:val="single"/>
        </w:rPr>
        <w:t>以合同暂定总价的10%作为履约保证金，</w:t>
      </w:r>
      <w:r>
        <w:rPr>
          <w:rFonts w:hint="eastAsia" w:ascii="宋体" w:hAnsi="宋体" w:cs="宋体"/>
          <w:sz w:val="24"/>
          <w:szCs w:val="24"/>
        </w:rPr>
        <w:t>金额：</w:t>
      </w:r>
      <w:r>
        <w:rPr>
          <w:rFonts w:hint="eastAsia" w:ascii="宋体" w:hAnsi="宋体" w:cs="宋体"/>
          <w:sz w:val="24"/>
          <w:szCs w:val="24"/>
          <w:u w:val="single"/>
        </w:rPr>
        <w:t>…（大写人民币：…），</w:t>
      </w:r>
      <w:r>
        <w:rPr>
          <w:rFonts w:hint="eastAsia" w:ascii="宋体" w:hAnsi="宋体" w:cs="宋体"/>
          <w:sz w:val="24"/>
          <w:szCs w:val="24"/>
        </w:rPr>
        <w:t>未按时提供的，甲方有权解除合同并要求乙方支付</w:t>
      </w:r>
      <w:r>
        <w:rPr>
          <w:rFonts w:hint="eastAsia" w:ascii="宋体" w:hAnsi="宋体" w:cs="宋体"/>
          <w:sz w:val="24"/>
          <w:szCs w:val="24"/>
          <w:u w:val="single"/>
        </w:rPr>
        <w:t>合同暂定总价20%</w:t>
      </w:r>
      <w:r>
        <w:rPr>
          <w:rFonts w:hint="eastAsia" w:ascii="宋体" w:hAnsi="宋体" w:cs="宋体"/>
          <w:sz w:val="24"/>
          <w:szCs w:val="24"/>
        </w:rPr>
        <w:t>作为违约金。</w:t>
      </w:r>
    </w:p>
    <w:p>
      <w:pPr>
        <w:pStyle w:val="21"/>
        <w:spacing w:before="156" w:beforeAutospacing="0" w:after="156" w:afterAutospacing="0" w:line="500" w:lineRule="exact"/>
        <w:ind w:firstLine="480" w:firstLineChars="200"/>
        <w:rPr>
          <w:rFonts w:cs="宋体"/>
        </w:rPr>
      </w:pPr>
      <w:r>
        <w:rPr>
          <w:rFonts w:hint="eastAsia" w:cs="宋体"/>
          <w:color w:val="auto"/>
        </w:rPr>
        <w:t>5.</w:t>
      </w:r>
      <w:r>
        <w:rPr>
          <w:rFonts w:hint="eastAsia" w:cs="宋体"/>
          <w:color w:val="auto"/>
          <w:lang w:val="en-US" w:eastAsia="zh-CN"/>
        </w:rPr>
        <w:t>9</w:t>
      </w:r>
      <w:r>
        <w:rPr>
          <w:rFonts w:hint="eastAsia" w:cs="宋体"/>
          <w:color w:val="auto"/>
        </w:rPr>
        <w:t>.1</w:t>
      </w:r>
      <w:r>
        <w:rPr>
          <w:rFonts w:hint="eastAsia" w:cs="宋体"/>
        </w:rPr>
        <w:t>履约担保按以下任一种形式提供：</w:t>
      </w:r>
    </w:p>
    <w:p>
      <w:pPr>
        <w:pStyle w:val="21"/>
        <w:spacing w:before="156" w:beforeAutospacing="0" w:after="156" w:afterAutospacing="0" w:line="500" w:lineRule="exact"/>
        <w:ind w:firstLine="480"/>
        <w:rPr>
          <w:rFonts w:cs="宋体"/>
        </w:rPr>
      </w:pPr>
      <w:r>
        <w:rPr>
          <w:rFonts w:hint="eastAsia" w:cs="宋体"/>
        </w:rPr>
        <w:t>（1）符合甲方要求（详见附件7保函格式）的银行独立保函，</w:t>
      </w:r>
    </w:p>
    <w:p>
      <w:pPr>
        <w:pStyle w:val="21"/>
        <w:spacing w:before="156" w:beforeAutospacing="0" w:after="156" w:afterAutospacing="0" w:line="500" w:lineRule="exact"/>
        <w:ind w:firstLine="480"/>
        <w:rPr>
          <w:rFonts w:cs="宋体"/>
        </w:rPr>
      </w:pPr>
      <w:r>
        <w:rPr>
          <w:rFonts w:hint="eastAsia" w:cs="宋体"/>
        </w:rPr>
        <w:t>（2）现金转账至甲方以下指定账户：</w:t>
      </w:r>
    </w:p>
    <w:p>
      <w:pPr>
        <w:tabs>
          <w:tab w:val="left" w:pos="1995"/>
        </w:tabs>
        <w:spacing w:line="500" w:lineRule="exact"/>
        <w:ind w:firstLine="480" w:firstLineChars="200"/>
        <w:rPr>
          <w:rFonts w:hint="eastAsia" w:ascii="宋体" w:hAnsi="宋体" w:eastAsia="宋体" w:cs="宋体"/>
          <w:bCs/>
          <w:sz w:val="24"/>
          <w:szCs w:val="24"/>
          <w:lang w:eastAsia="zh-CN"/>
        </w:rPr>
      </w:pPr>
      <w:r>
        <w:rPr>
          <w:rFonts w:hint="eastAsia" w:ascii="宋体" w:hAnsi="宋体" w:cs="宋体"/>
          <w:bCs/>
          <w:sz w:val="24"/>
          <w:szCs w:val="24"/>
        </w:rPr>
        <w:t>户名：</w:t>
      </w:r>
      <w:r>
        <w:rPr>
          <w:rFonts w:hint="eastAsia" w:ascii="宋体" w:hAnsi="宋体" w:cs="宋体"/>
          <w:bCs/>
          <w:sz w:val="24"/>
          <w:szCs w:val="24"/>
          <w:lang w:val="en-US" w:eastAsia="zh-CN"/>
        </w:rPr>
        <w:t xml:space="preserve"> </w:t>
      </w:r>
    </w:p>
    <w:p>
      <w:pPr>
        <w:tabs>
          <w:tab w:val="left" w:pos="1995"/>
        </w:tabs>
        <w:spacing w:line="500" w:lineRule="exact"/>
        <w:ind w:firstLine="480" w:firstLineChars="200"/>
        <w:rPr>
          <w:rFonts w:hint="eastAsia" w:ascii="宋体" w:hAnsi="宋体" w:eastAsia="宋体" w:cs="宋体"/>
          <w:bCs/>
          <w:sz w:val="24"/>
          <w:szCs w:val="24"/>
          <w:lang w:eastAsia="zh-CN"/>
        </w:rPr>
      </w:pPr>
      <w:r>
        <w:rPr>
          <w:rFonts w:hint="eastAsia" w:ascii="宋体" w:hAnsi="宋体" w:cs="宋体"/>
          <w:bCs/>
          <w:sz w:val="24"/>
          <w:szCs w:val="24"/>
        </w:rPr>
        <w:t>账号：</w:t>
      </w:r>
      <w:r>
        <w:rPr>
          <w:rFonts w:hint="eastAsia" w:ascii="宋体" w:hAnsi="宋体" w:cs="宋体"/>
          <w:bCs/>
          <w:sz w:val="24"/>
          <w:szCs w:val="24"/>
          <w:lang w:val="en-US" w:eastAsia="zh-CN"/>
        </w:rPr>
        <w:t xml:space="preserve"> </w:t>
      </w:r>
    </w:p>
    <w:p>
      <w:pPr>
        <w:tabs>
          <w:tab w:val="left" w:pos="1995"/>
        </w:tabs>
        <w:spacing w:line="500" w:lineRule="exact"/>
        <w:ind w:firstLine="480" w:firstLineChars="200"/>
        <w:rPr>
          <w:rFonts w:hint="eastAsia" w:ascii="宋体" w:hAnsi="宋体" w:eastAsia="宋体" w:cs="宋体"/>
          <w:bCs/>
          <w:sz w:val="24"/>
          <w:szCs w:val="24"/>
          <w:lang w:val="en-US" w:eastAsia="zh-CN"/>
        </w:rPr>
      </w:pPr>
      <w:r>
        <w:rPr>
          <w:rFonts w:hint="eastAsia" w:ascii="宋体" w:hAnsi="宋体" w:cs="宋体"/>
          <w:bCs/>
          <w:sz w:val="24"/>
          <w:szCs w:val="24"/>
        </w:rPr>
        <w:t>开户行：</w:t>
      </w:r>
      <w:r>
        <w:rPr>
          <w:rFonts w:hint="eastAsia" w:ascii="宋体" w:hAnsi="宋体" w:cs="宋体"/>
          <w:bCs/>
          <w:sz w:val="24"/>
          <w:szCs w:val="24"/>
          <w:lang w:val="en-US" w:eastAsia="zh-CN"/>
        </w:rPr>
        <w:t xml:space="preserve"> </w:t>
      </w:r>
    </w:p>
    <w:p>
      <w:pPr>
        <w:spacing w:line="500" w:lineRule="exact"/>
        <w:ind w:firstLine="480" w:firstLineChars="200"/>
        <w:outlineLvl w:val="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9</w:t>
      </w:r>
      <w:r>
        <w:rPr>
          <w:rFonts w:hint="eastAsia" w:ascii="宋体" w:hAnsi="宋体" w:cs="宋体"/>
          <w:sz w:val="24"/>
          <w:szCs w:val="24"/>
        </w:rPr>
        <w:t>.2履约担保的担保期限和返还</w:t>
      </w:r>
    </w:p>
    <w:p>
      <w:pPr>
        <w:spacing w:line="500" w:lineRule="exact"/>
        <w:ind w:firstLine="480"/>
        <w:outlineLvl w:val="0"/>
        <w:rPr>
          <w:rFonts w:ascii="宋体" w:hAnsi="宋体" w:cs="宋体"/>
          <w:sz w:val="24"/>
          <w:szCs w:val="24"/>
        </w:rPr>
      </w:pPr>
      <w:r>
        <w:rPr>
          <w:rFonts w:hint="eastAsia" w:ascii="宋体" w:hAnsi="宋体" w:cs="宋体"/>
          <w:sz w:val="24"/>
          <w:szCs w:val="24"/>
        </w:rPr>
        <w:t xml:space="preserve"> ⑴ 履约银行保函（或现金履约保证金）的担保期限：从提供履约担保（或转账成功）之日起至合同履行完成。</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 ⑵ 履约银行保函在合同履行完成后，由乙方提出申请，甲方在28日内返还，不支付利息：</w:t>
      </w:r>
    </w:p>
    <w:p>
      <w:pPr>
        <w:spacing w:line="500" w:lineRule="exact"/>
        <w:ind w:firstLine="600" w:firstLineChars="250"/>
        <w:outlineLvl w:val="0"/>
        <w:rPr>
          <w:rFonts w:hint="eastAsia" w:ascii="宋体" w:hAnsi="宋体" w:cs="宋体"/>
          <w:sz w:val="24"/>
          <w:szCs w:val="24"/>
        </w:rPr>
      </w:pPr>
      <w:r>
        <w:rPr>
          <w:rFonts w:hint="eastAsia" w:ascii="宋体" w:hAnsi="宋体" w:cs="宋体"/>
          <w:sz w:val="24"/>
          <w:szCs w:val="24"/>
        </w:rPr>
        <w:t>⑶ 延长担保期限。乙方以履约银行保函形式提交履约保证金的，在银行保函到期前，乙方应提前</w:t>
      </w:r>
      <w:r>
        <w:rPr>
          <w:rFonts w:hint="eastAsia" w:ascii="宋体" w:hAnsi="宋体" w:cs="宋体"/>
          <w:sz w:val="24"/>
          <w:szCs w:val="24"/>
          <w:u w:val="single"/>
        </w:rPr>
        <w:t xml:space="preserve"> 7 </w:t>
      </w:r>
      <w:r>
        <w:rPr>
          <w:rFonts w:hint="eastAsia" w:ascii="宋体" w:hAnsi="宋体" w:cs="宋体"/>
          <w:sz w:val="24"/>
          <w:szCs w:val="24"/>
        </w:rPr>
        <w:t>日向甲方提交新的保函以替换即将到期的保函。如乙方未及时提交的，甲方有权直接要求担保银行支付其担保的全部金额并解除合同。</w:t>
      </w:r>
    </w:p>
    <w:p>
      <w:pPr>
        <w:spacing w:line="500" w:lineRule="exact"/>
        <w:ind w:firstLine="600" w:firstLineChars="250"/>
        <w:outlineLvl w:val="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现金履约保证金的退还：合同履行完成后，由乙方提出申请，甲方在28日内将剩余保证金（无息）返还。</w:t>
      </w:r>
    </w:p>
    <w:p>
      <w:pPr>
        <w:spacing w:line="500" w:lineRule="exact"/>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9</w:t>
      </w:r>
      <w:r>
        <w:rPr>
          <w:rFonts w:hint="eastAsia" w:ascii="宋体" w:hAnsi="宋体" w:cs="宋体"/>
          <w:sz w:val="24"/>
          <w:szCs w:val="24"/>
        </w:rPr>
        <w:t>.3甲方按本合同规定提取履约担保金额后，乙方应在收到甲方通知后</w:t>
      </w:r>
      <w:r>
        <w:rPr>
          <w:rFonts w:hint="eastAsia" w:ascii="宋体" w:hAnsi="宋体" w:cs="宋体"/>
          <w:sz w:val="24"/>
          <w:szCs w:val="24"/>
          <w:u w:val="single"/>
        </w:rPr>
        <w:t>7</w:t>
      </w:r>
      <w:r>
        <w:rPr>
          <w:rFonts w:hint="eastAsia" w:ascii="宋体" w:hAnsi="宋体" w:cs="宋体"/>
          <w:sz w:val="24"/>
          <w:szCs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宋体" w:hAnsi="宋体" w:cs="宋体"/>
          <w:sz w:val="24"/>
          <w:szCs w:val="24"/>
          <w:u w:val="single"/>
        </w:rPr>
      </w:pPr>
      <w:r>
        <w:rPr>
          <w:rFonts w:hint="eastAsia" w:ascii="宋体" w:hAnsi="宋体" w:cs="宋体"/>
          <w:sz w:val="24"/>
          <w:szCs w:val="24"/>
        </w:rPr>
        <w:t>5.</w:t>
      </w:r>
      <w:r>
        <w:rPr>
          <w:rFonts w:hint="eastAsia" w:ascii="宋体" w:hAnsi="宋体" w:cs="宋体"/>
          <w:sz w:val="24"/>
          <w:szCs w:val="24"/>
          <w:lang w:val="en-US" w:eastAsia="zh-CN"/>
        </w:rPr>
        <w:t>10</w:t>
      </w:r>
      <w:r>
        <w:rPr>
          <w:rFonts w:hint="eastAsia" w:ascii="宋体" w:hAnsi="宋体" w:cs="宋体"/>
          <w:sz w:val="24"/>
          <w:szCs w:val="24"/>
        </w:rPr>
        <w:t xml:space="preserve">付款方式： </w:t>
      </w:r>
      <w:r>
        <w:rPr>
          <w:rFonts w:hint="eastAsia" w:ascii="宋体" w:hAnsi="宋体" w:cs="宋体"/>
          <w:sz w:val="24"/>
          <w:szCs w:val="24"/>
        </w:rPr>
        <w:sym w:font="Wingdings" w:char="00FE"/>
      </w:r>
      <w:r>
        <w:rPr>
          <w:rFonts w:hint="eastAsia" w:ascii="宋体" w:hAnsi="宋体" w:cs="宋体"/>
          <w:sz w:val="24"/>
          <w:szCs w:val="24"/>
        </w:rPr>
        <w:t xml:space="preserve">网银支付；  </w:t>
      </w:r>
      <w:r>
        <w:rPr>
          <w:rFonts w:hint="eastAsia" w:ascii="宋体" w:hAnsi="宋体" w:cs="宋体"/>
          <w:sz w:val="24"/>
          <w:szCs w:val="24"/>
        </w:rPr>
        <w:sym w:font="Wingdings" w:char="00A8"/>
      </w:r>
      <w:r>
        <w:rPr>
          <w:rFonts w:hint="eastAsia" w:ascii="宋体" w:hAnsi="宋体" w:cs="宋体"/>
          <w:sz w:val="24"/>
          <w:szCs w:val="24"/>
        </w:rPr>
        <w:t xml:space="preserve">支票；   </w:t>
      </w:r>
      <w:r>
        <w:rPr>
          <w:rFonts w:hint="eastAsia" w:ascii="宋体" w:hAnsi="宋体" w:cs="宋体"/>
          <w:sz w:val="24"/>
          <w:szCs w:val="24"/>
        </w:rPr>
        <w:sym w:font="Wingdings" w:char="00A8"/>
      </w:r>
      <w:r>
        <w:rPr>
          <w:rFonts w:hint="eastAsia" w:ascii="宋体" w:hAnsi="宋体" w:cs="宋体"/>
          <w:sz w:val="24"/>
          <w:szCs w:val="24"/>
        </w:rPr>
        <w:t>其他：</w:t>
      </w:r>
      <w:r>
        <w:rPr>
          <w:rFonts w:hint="eastAsia" w:ascii="宋体" w:hAnsi="宋体" w:cs="宋体"/>
          <w:sz w:val="24"/>
          <w:szCs w:val="24"/>
          <w:u w:val="single"/>
        </w:rPr>
        <w:t xml:space="preserve"> … </w:t>
      </w:r>
    </w:p>
    <w:p>
      <w:pPr>
        <w:tabs>
          <w:tab w:val="left" w:pos="851"/>
        </w:tabs>
        <w:adjustRightInd w:val="0"/>
        <w:snapToGrid w:val="0"/>
        <w:spacing w:line="500" w:lineRule="exact"/>
        <w:ind w:firstLine="480" w:firstLineChars="200"/>
        <w:jc w:val="left"/>
        <w:outlineLvl w:val="1"/>
        <w:rPr>
          <w:rFonts w:ascii="宋体" w:hAnsi="宋体" w:cs="宋体"/>
          <w:bCs/>
          <w:sz w:val="24"/>
          <w:szCs w:val="24"/>
          <w:bdr w:val="single" w:color="auto" w:sz="4" w:space="0"/>
        </w:rPr>
      </w:pPr>
      <w:r>
        <w:rPr>
          <w:rFonts w:hint="eastAsia" w:ascii="宋体" w:hAnsi="宋体" w:cs="宋体"/>
          <w:sz w:val="24"/>
          <w:szCs w:val="24"/>
        </w:rPr>
        <w:t>（建议采用网银支付、支票两种形式中之一）</w:t>
      </w:r>
    </w:p>
    <w:p>
      <w:pPr>
        <w:spacing w:line="500" w:lineRule="exact"/>
        <w:ind w:firstLine="492"/>
        <w:rPr>
          <w:rFonts w:ascii="宋体" w:hAnsi="宋体" w:cs="宋体"/>
          <w:b/>
          <w:sz w:val="24"/>
          <w:szCs w:val="24"/>
        </w:rPr>
      </w:pPr>
      <w:r>
        <w:rPr>
          <w:rFonts w:hint="eastAsia" w:ascii="宋体" w:hAnsi="宋体" w:cs="宋体"/>
          <w:b/>
          <w:sz w:val="24"/>
          <w:szCs w:val="24"/>
        </w:rPr>
        <w:t>六、验收标准及双方责任：</w:t>
      </w:r>
    </w:p>
    <w:p>
      <w:pPr>
        <w:tabs>
          <w:tab w:val="left" w:pos="2670"/>
        </w:tabs>
        <w:spacing w:line="500" w:lineRule="exact"/>
        <w:ind w:firstLine="480" w:firstLineChars="200"/>
        <w:rPr>
          <w:rFonts w:ascii="宋体" w:hAnsi="宋体" w:cs="宋体"/>
          <w:kern w:val="0"/>
          <w:sz w:val="24"/>
          <w:szCs w:val="24"/>
        </w:rPr>
      </w:pPr>
      <w:r>
        <w:rPr>
          <w:rFonts w:hint="eastAsia" w:ascii="宋体" w:hAnsi="宋体" w:cs="宋体"/>
          <w:sz w:val="24"/>
          <w:szCs w:val="24"/>
        </w:rPr>
        <w:t>6.1.质量及验收标准及项目相关过程资料及成果、培训、实施、维修、维护：见《技术需求书》。</w:t>
      </w:r>
    </w:p>
    <w:p>
      <w:pPr>
        <w:spacing w:line="500" w:lineRule="exact"/>
        <w:ind w:firstLine="480" w:firstLineChars="200"/>
        <w:rPr>
          <w:rFonts w:ascii="宋体" w:hAnsi="宋体" w:cs="宋体"/>
          <w:sz w:val="24"/>
          <w:szCs w:val="24"/>
          <w:u w:val="single"/>
        </w:rPr>
      </w:pPr>
      <w:r>
        <w:rPr>
          <w:rFonts w:hint="eastAsia" w:ascii="宋体" w:hAnsi="宋体" w:cs="宋体"/>
          <w:sz w:val="24"/>
          <w:szCs w:val="24"/>
        </w:rPr>
        <w:t>6.2项目验收合格后，乙方提供</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运维服务/售后服务/质量保修</w:t>
      </w:r>
      <w:r>
        <w:rPr>
          <w:rFonts w:hint="eastAsia" w:ascii="宋体" w:hAnsi="宋体" w:cs="宋体"/>
          <w:sz w:val="24"/>
          <w:szCs w:val="24"/>
        </w:rPr>
        <w:t>，服务内容如下：</w:t>
      </w:r>
      <w:r>
        <w:rPr>
          <w:rFonts w:hint="eastAsia" w:ascii="宋体" w:hAnsi="宋体" w:eastAsia="宋体" w:cs="宋体"/>
          <w:sz w:val="24"/>
          <w:szCs w:val="24"/>
          <w:highlight w:val="none"/>
          <w:u w:val="single"/>
        </w:rPr>
        <w:t>见《技术需求书》</w:t>
      </w:r>
      <w:r>
        <w:rPr>
          <w:rFonts w:hint="eastAsia" w:ascii="宋体" w:hAnsi="宋体" w:cs="宋体"/>
          <w:sz w:val="24"/>
          <w:szCs w:val="24"/>
          <w:u w:val="single"/>
        </w:rPr>
        <w:t xml:space="preserve">。如系统发现故障时，乙方在收到通知 </w:t>
      </w:r>
      <w:r>
        <w:rPr>
          <w:rFonts w:hint="eastAsia" w:ascii="宋体" w:hAnsi="宋体" w:cs="宋体"/>
          <w:sz w:val="24"/>
          <w:szCs w:val="24"/>
          <w:u w:val="single"/>
          <w:lang w:val="en-US" w:eastAsia="zh-CN"/>
        </w:rPr>
        <w:t>2</w:t>
      </w:r>
      <w:r>
        <w:rPr>
          <w:rFonts w:hint="eastAsia" w:ascii="宋体" w:hAnsi="宋体" w:cs="宋体"/>
          <w:sz w:val="24"/>
          <w:szCs w:val="24"/>
          <w:u w:val="single"/>
        </w:rPr>
        <w:t>小时内提供维护，并排除故障。</w:t>
      </w:r>
      <w:r>
        <w:rPr>
          <w:rFonts w:hint="eastAsia" w:ascii="宋体" w:hAnsi="宋体" w:cs="宋体"/>
          <w:sz w:val="24"/>
          <w:szCs w:val="24"/>
          <w:highlight w:val="none"/>
          <w:u w:val="single"/>
        </w:rPr>
        <w:t>如现场无法解决的，应同步出具应急方案，并配合甲方启动应急方案，确保甲方信息系统正常运行。</w:t>
      </w:r>
    </w:p>
    <w:p>
      <w:pPr>
        <w:spacing w:line="500" w:lineRule="exact"/>
        <w:ind w:firstLine="480" w:firstLineChars="200"/>
        <w:rPr>
          <w:rFonts w:ascii="宋体" w:hAnsi="宋体" w:cs="宋体"/>
          <w:sz w:val="24"/>
          <w:szCs w:val="24"/>
        </w:rPr>
      </w:pPr>
      <w:r>
        <w:rPr>
          <w:rFonts w:hint="eastAsia" w:ascii="宋体" w:hAnsi="宋体" w:cs="宋体"/>
          <w:sz w:val="24"/>
          <w:szCs w:val="24"/>
        </w:rPr>
        <w:t>6.3如项目系统软件升级，乙方应无偿提供升级版本和相应的支持服务。系统软件升级后，乙方应提供软件的培训服务。</w:t>
      </w:r>
    </w:p>
    <w:p>
      <w:pPr>
        <w:pStyle w:val="64"/>
        <w:spacing w:line="500" w:lineRule="exact"/>
        <w:ind w:firstLine="480"/>
        <w:rPr>
          <w:rFonts w:ascii="宋体" w:hAnsi="宋体" w:cs="宋体"/>
          <w:sz w:val="24"/>
          <w:szCs w:val="24"/>
        </w:rPr>
      </w:pPr>
      <w:r>
        <w:rPr>
          <w:rFonts w:hint="eastAsia" w:ascii="宋体" w:hAnsi="宋体" w:cs="宋体"/>
          <w:sz w:val="24"/>
          <w:szCs w:val="24"/>
        </w:rPr>
        <w:t>6.4乙方不得传播公司内部网络、服务器、应用系统等有关资料。</w:t>
      </w:r>
    </w:p>
    <w:p>
      <w:pPr>
        <w:spacing w:line="500" w:lineRule="exact"/>
        <w:ind w:firstLine="480" w:firstLineChars="200"/>
        <w:rPr>
          <w:rFonts w:ascii="宋体" w:hAnsi="宋体" w:cs="宋体"/>
          <w:sz w:val="24"/>
          <w:szCs w:val="24"/>
        </w:rPr>
      </w:pPr>
      <w:r>
        <w:rPr>
          <w:rFonts w:hint="eastAsia" w:ascii="宋体" w:hAnsi="宋体" w:cs="宋体"/>
          <w:sz w:val="24"/>
          <w:szCs w:val="24"/>
        </w:rPr>
        <w:t>6.5乙方履行合同时，应严格遵守国家法律法规和甲方相关的各项规章制度，服从甲方管理指挥。乙方不按规范作业或者乙方原因造成的</w:t>
      </w:r>
      <w:r>
        <w:rPr>
          <w:rFonts w:hint="eastAsia" w:ascii="宋体" w:hAnsi="宋体" w:eastAsia="宋体"/>
          <w:sz w:val="24"/>
          <w:szCs w:val="24"/>
        </w:rPr>
        <w:t>财产损失、</w:t>
      </w:r>
      <w:r>
        <w:rPr>
          <w:rFonts w:hint="eastAsia" w:ascii="宋体" w:hAnsi="宋体" w:cs="宋体"/>
          <w:sz w:val="24"/>
          <w:szCs w:val="24"/>
        </w:rPr>
        <w:t>人员伤亡，由乙方自行承担责任。</w:t>
      </w:r>
    </w:p>
    <w:p>
      <w:pPr>
        <w:spacing w:line="500" w:lineRule="exact"/>
        <w:ind w:firstLine="480" w:firstLineChars="200"/>
        <w:rPr>
          <w:rFonts w:ascii="宋体" w:hAnsi="宋体" w:cs="宋体"/>
          <w:sz w:val="24"/>
          <w:szCs w:val="24"/>
        </w:rPr>
      </w:pPr>
      <w:r>
        <w:rPr>
          <w:rFonts w:hint="eastAsia" w:ascii="宋体" w:hAnsi="宋体" w:cs="宋体"/>
          <w:sz w:val="24"/>
          <w:szCs w:val="24"/>
        </w:rPr>
        <w:t>6.6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6.7乙方严禁对甲方机房物理空间结构、计算机设备、消防设施、文档资料等进行拍照或摄像，严禁将涉密的各种资料或介质私自携带出去。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6.8乙方严禁擅自安装、拆卸、调整、挪动任何设备。 </w:t>
      </w:r>
    </w:p>
    <w:p>
      <w:pPr>
        <w:spacing w:line="500" w:lineRule="exact"/>
        <w:ind w:firstLine="480" w:firstLineChars="200"/>
        <w:rPr>
          <w:rFonts w:ascii="宋体" w:hAnsi="宋体" w:cs="宋体"/>
          <w:sz w:val="24"/>
          <w:szCs w:val="24"/>
        </w:rPr>
      </w:pPr>
      <w:r>
        <w:rPr>
          <w:rFonts w:hint="eastAsia" w:ascii="宋体" w:hAnsi="宋体" w:cs="宋体"/>
          <w:sz w:val="24"/>
          <w:szCs w:val="24"/>
        </w:rPr>
        <w:t>6.9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500" w:lineRule="exact"/>
        <w:ind w:firstLine="560"/>
        <w:textAlignment w:val="baseline"/>
        <w:rPr>
          <w:rFonts w:ascii="宋体" w:hAnsi="宋体" w:cs="宋体"/>
          <w:sz w:val="24"/>
          <w:szCs w:val="24"/>
        </w:rPr>
      </w:pPr>
      <w:r>
        <w:rPr>
          <w:rFonts w:hint="eastAsia" w:ascii="宋体" w:hAnsi="宋体" w:cs="宋体"/>
          <w:sz w:val="24"/>
          <w:szCs w:val="24"/>
        </w:rPr>
        <w:t>6.10甲方需驻场服务时，乙方应派人提供驻场服务，且驻场人员不得少于</w:t>
      </w:r>
      <w:r>
        <w:rPr>
          <w:rFonts w:hint="eastAsia" w:ascii="宋体" w:hAnsi="宋体" w:cs="宋体"/>
          <w:sz w:val="24"/>
          <w:szCs w:val="24"/>
          <w:u w:val="single"/>
        </w:rPr>
        <w:t>…</w:t>
      </w:r>
      <w:r>
        <w:rPr>
          <w:rFonts w:hint="eastAsia" w:ascii="宋体" w:hAnsi="宋体" w:cs="宋体"/>
          <w:sz w:val="24"/>
          <w:szCs w:val="24"/>
        </w:rPr>
        <w:t>名。（如需）</w:t>
      </w:r>
    </w:p>
    <w:p>
      <w:pPr>
        <w:adjustRightInd w:val="0"/>
        <w:spacing w:line="500" w:lineRule="exact"/>
        <w:ind w:firstLine="560"/>
        <w:textAlignment w:val="baseline"/>
        <w:rPr>
          <w:rFonts w:ascii="宋体" w:hAnsi="宋体" w:cs="宋体"/>
          <w:sz w:val="24"/>
          <w:szCs w:val="24"/>
        </w:rPr>
      </w:pPr>
      <w:r>
        <w:rPr>
          <w:rFonts w:hint="eastAsia" w:ascii="宋体" w:hAnsi="宋体" w:cs="宋体"/>
          <w:sz w:val="24"/>
          <w:szCs w:val="24"/>
        </w:rPr>
        <w:t>6.11乙方应及时做好软件、数据备份，防止数据丢失。</w:t>
      </w:r>
    </w:p>
    <w:p>
      <w:pPr>
        <w:adjustRightInd w:val="0"/>
        <w:spacing w:line="500" w:lineRule="exact"/>
        <w:ind w:firstLine="560"/>
        <w:textAlignment w:val="baseline"/>
        <w:rPr>
          <w:rFonts w:ascii="宋体" w:hAnsi="宋体" w:cs="宋体"/>
          <w:sz w:val="24"/>
          <w:szCs w:val="24"/>
        </w:rPr>
      </w:pPr>
      <w:r>
        <w:rPr>
          <w:rFonts w:hint="eastAsia" w:ascii="宋体" w:hAnsi="宋体" w:cs="宋体"/>
          <w:sz w:val="24"/>
          <w:szCs w:val="24"/>
        </w:rPr>
        <w:t>6.12乙方应按甲方要求提供专项培训。</w:t>
      </w:r>
    </w:p>
    <w:p>
      <w:pPr>
        <w:spacing w:line="500" w:lineRule="exact"/>
        <w:ind w:firstLine="241" w:firstLineChars="100"/>
        <w:rPr>
          <w:rFonts w:ascii="宋体" w:hAnsi="宋体" w:cs="宋体"/>
          <w:b/>
          <w:kern w:val="0"/>
          <w:sz w:val="24"/>
          <w:szCs w:val="24"/>
        </w:rPr>
      </w:pPr>
      <w:r>
        <w:rPr>
          <w:rFonts w:hint="eastAsia" w:ascii="宋体" w:hAnsi="宋体" w:cs="宋体"/>
          <w:b/>
          <w:kern w:val="0"/>
          <w:sz w:val="24"/>
          <w:szCs w:val="24"/>
        </w:rPr>
        <w:t>七、知识产权</w:t>
      </w:r>
    </w:p>
    <w:p>
      <w:pPr>
        <w:widowControl/>
        <w:spacing w:line="500" w:lineRule="exact"/>
        <w:ind w:firstLine="424" w:firstLineChars="177"/>
        <w:jc w:val="left"/>
        <w:rPr>
          <w:rFonts w:ascii="宋体" w:hAnsi="宋体" w:cs="宋体"/>
          <w:kern w:val="0"/>
          <w:sz w:val="24"/>
          <w:szCs w:val="24"/>
        </w:rPr>
      </w:pPr>
      <w:r>
        <w:rPr>
          <w:rFonts w:hint="eastAsia" w:ascii="宋体" w:hAnsi="宋体" w:cs="宋体"/>
          <w:kern w:val="0"/>
          <w:sz w:val="24"/>
          <w:szCs w:val="24"/>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500" w:lineRule="exact"/>
        <w:ind w:firstLine="424" w:firstLineChars="177"/>
        <w:rPr>
          <w:rFonts w:ascii="宋体" w:hAnsi="宋体" w:cs="宋体"/>
          <w:kern w:val="0"/>
          <w:sz w:val="24"/>
          <w:szCs w:val="24"/>
        </w:rPr>
      </w:pPr>
      <w:r>
        <w:rPr>
          <w:rFonts w:hint="eastAsia" w:ascii="宋体" w:hAnsi="宋体" w:cs="宋体"/>
          <w:kern w:val="0"/>
          <w:sz w:val="24"/>
          <w:szCs w:val="24"/>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w:t>
      </w:r>
      <w:r>
        <w:rPr>
          <w:rFonts w:hint="eastAsia" w:ascii="宋体" w:hAnsi="宋体" w:cs="宋体"/>
          <w:kern w:val="0"/>
          <w:sz w:val="24"/>
          <w:szCs w:val="24"/>
          <w:lang w:val="en-US" w:eastAsia="zh-CN"/>
        </w:rPr>
        <w:t>申辩</w:t>
      </w:r>
      <w:r>
        <w:rPr>
          <w:rFonts w:hint="eastAsia" w:ascii="宋体" w:hAnsi="宋体" w:cs="宋体"/>
          <w:kern w:val="0"/>
          <w:sz w:val="24"/>
          <w:szCs w:val="24"/>
        </w:rPr>
        <w:t>并保证甲方不受损害。</w:t>
      </w:r>
    </w:p>
    <w:p>
      <w:pPr>
        <w:spacing w:line="500" w:lineRule="exact"/>
        <w:ind w:firstLine="424" w:firstLineChars="177"/>
        <w:rPr>
          <w:rFonts w:ascii="宋体" w:hAnsi="宋体" w:cs="宋体"/>
          <w:kern w:val="0"/>
          <w:sz w:val="24"/>
          <w:szCs w:val="24"/>
        </w:rPr>
      </w:pPr>
      <w:r>
        <w:rPr>
          <w:rFonts w:hint="eastAsia" w:ascii="宋体" w:hAnsi="宋体" w:cs="宋体"/>
          <w:kern w:val="0"/>
          <w:sz w:val="24"/>
          <w:szCs w:val="24"/>
        </w:rPr>
        <w:t>7.3未经甲方书面许可或授权，乙方不得使用甲方的商标、商号和标志（合称“标识”）。</w:t>
      </w:r>
    </w:p>
    <w:p>
      <w:pPr>
        <w:spacing w:line="500" w:lineRule="exact"/>
        <w:ind w:firstLine="424" w:firstLineChars="177"/>
        <w:rPr>
          <w:rFonts w:ascii="宋体" w:hAnsi="宋体" w:cs="宋体"/>
          <w:bCs/>
          <w:kern w:val="0"/>
          <w:sz w:val="24"/>
          <w:szCs w:val="24"/>
        </w:rPr>
      </w:pPr>
      <w:r>
        <w:rPr>
          <w:rFonts w:hint="eastAsia" w:ascii="宋体" w:hAnsi="宋体" w:cs="宋体"/>
          <w:kern w:val="0"/>
          <w:sz w:val="24"/>
          <w:szCs w:val="24"/>
        </w:rPr>
        <w:t>7.4乙方应向甲方提供所有必要的协助，以帮助甲方保护其对成果产品以及成果产品中使用的标识享有的权利和利益以及就上述权利或利益进行</w:t>
      </w:r>
      <w:r>
        <w:rPr>
          <w:rFonts w:hint="eastAsia" w:ascii="宋体" w:hAnsi="宋体" w:cs="宋体"/>
          <w:kern w:val="0"/>
          <w:sz w:val="24"/>
          <w:szCs w:val="24"/>
          <w:lang w:val="en-US" w:eastAsia="zh-CN"/>
        </w:rPr>
        <w:t>申辩</w:t>
      </w:r>
      <w:r>
        <w:rPr>
          <w:rFonts w:hint="eastAsia" w:ascii="宋体" w:hAnsi="宋体" w:cs="宋体"/>
          <w:kern w:val="0"/>
          <w:sz w:val="24"/>
          <w:szCs w:val="24"/>
        </w:rPr>
        <w:t>。</w:t>
      </w:r>
    </w:p>
    <w:p>
      <w:pPr>
        <w:spacing w:line="500" w:lineRule="exact"/>
        <w:rPr>
          <w:rFonts w:ascii="宋体" w:hAnsi="宋体" w:cs="宋体"/>
          <w:b/>
          <w:sz w:val="24"/>
          <w:szCs w:val="24"/>
        </w:rPr>
      </w:pPr>
      <w:r>
        <w:rPr>
          <w:rFonts w:hint="eastAsia" w:ascii="宋体" w:hAnsi="宋体" w:cs="宋体"/>
          <w:b/>
          <w:sz w:val="24"/>
          <w:szCs w:val="24"/>
        </w:rPr>
        <w:t>　　八、权利与义务 ：</w:t>
      </w:r>
    </w:p>
    <w:p>
      <w:pPr>
        <w:spacing w:line="500" w:lineRule="exact"/>
        <w:rPr>
          <w:rFonts w:ascii="宋体" w:hAnsi="宋体" w:cs="宋体"/>
          <w:sz w:val="24"/>
          <w:szCs w:val="24"/>
        </w:rPr>
      </w:pPr>
      <w:r>
        <w:rPr>
          <w:rFonts w:hint="eastAsia" w:ascii="宋体" w:hAnsi="宋体" w:cs="宋体"/>
          <w:sz w:val="24"/>
          <w:szCs w:val="24"/>
        </w:rPr>
        <w:t>　　除本合同其他条款约定的权利、义务外，双方约定如下：</w:t>
      </w:r>
    </w:p>
    <w:p>
      <w:pPr>
        <w:spacing w:line="500" w:lineRule="exact"/>
        <w:rPr>
          <w:rFonts w:ascii="宋体" w:hAnsi="宋体" w:cs="宋体"/>
          <w:b/>
          <w:sz w:val="24"/>
          <w:szCs w:val="24"/>
        </w:rPr>
      </w:pPr>
      <w:r>
        <w:rPr>
          <w:rFonts w:hint="eastAsia" w:ascii="宋体" w:hAnsi="宋体" w:cs="宋体"/>
          <w:b/>
          <w:sz w:val="24"/>
          <w:szCs w:val="24"/>
        </w:rPr>
        <w:t>　　8.1甲方的权利与义务：</w:t>
      </w:r>
    </w:p>
    <w:p>
      <w:pPr>
        <w:spacing w:line="500" w:lineRule="exact"/>
        <w:ind w:firstLine="480" w:firstLineChars="200"/>
        <w:rPr>
          <w:rFonts w:ascii="宋体" w:hAnsi="宋体" w:cs="宋体"/>
          <w:sz w:val="24"/>
          <w:szCs w:val="24"/>
        </w:rPr>
      </w:pPr>
      <w:r>
        <w:rPr>
          <w:rFonts w:hint="eastAsia" w:ascii="宋体" w:hAnsi="宋体" w:cs="宋体"/>
          <w:sz w:val="24"/>
          <w:szCs w:val="24"/>
        </w:rPr>
        <w:t>8.1.1有权督促乙方按期开展工作。</w:t>
      </w:r>
    </w:p>
    <w:p>
      <w:pPr>
        <w:spacing w:line="500" w:lineRule="exact"/>
        <w:ind w:firstLine="480" w:firstLineChars="200"/>
        <w:rPr>
          <w:rFonts w:ascii="宋体" w:hAnsi="宋体" w:cs="宋体"/>
          <w:sz w:val="24"/>
          <w:szCs w:val="24"/>
        </w:rPr>
      </w:pPr>
      <w:r>
        <w:rPr>
          <w:rFonts w:hint="eastAsia" w:ascii="宋体" w:hAnsi="宋体" w:cs="宋体"/>
          <w:sz w:val="24"/>
          <w:szCs w:val="24"/>
        </w:rPr>
        <w:t>8.1.2有权根据需要调整工作内容和工作计划。</w:t>
      </w:r>
    </w:p>
    <w:p>
      <w:pPr>
        <w:spacing w:line="500" w:lineRule="exact"/>
        <w:ind w:firstLine="480" w:firstLineChars="200"/>
        <w:rPr>
          <w:rFonts w:ascii="宋体" w:hAnsi="宋体" w:cs="宋体"/>
          <w:sz w:val="24"/>
          <w:szCs w:val="24"/>
        </w:rPr>
      </w:pPr>
      <w:r>
        <w:rPr>
          <w:rFonts w:hint="eastAsia" w:ascii="宋体" w:hAnsi="宋体" w:cs="宋体"/>
          <w:sz w:val="24"/>
          <w:szCs w:val="24"/>
        </w:rPr>
        <w:t>8.1.3对乙方的服务进行监督检查，对乙方不符合技术要求的工作，甲方有权要求乙方进行返工，乙方承担返工费用。</w:t>
      </w:r>
    </w:p>
    <w:p>
      <w:pPr>
        <w:spacing w:line="500" w:lineRule="exact"/>
        <w:ind w:firstLine="480" w:firstLineChars="200"/>
        <w:rPr>
          <w:rFonts w:ascii="宋体" w:hAnsi="宋体" w:cs="宋体"/>
          <w:sz w:val="24"/>
          <w:szCs w:val="24"/>
        </w:rPr>
      </w:pPr>
      <w:r>
        <w:rPr>
          <w:rFonts w:hint="eastAsia" w:ascii="宋体" w:hAnsi="宋体" w:cs="宋体"/>
          <w:sz w:val="24"/>
          <w:szCs w:val="24"/>
        </w:rPr>
        <w:t>8.1.4如乙方团队人员不符合合同工作</w:t>
      </w:r>
      <w:r>
        <w:rPr>
          <w:rFonts w:hint="eastAsia" w:ascii="宋体" w:hAnsi="宋体" w:cs="宋体"/>
          <w:sz w:val="24"/>
          <w:szCs w:val="24"/>
          <w:lang w:val="en-US" w:eastAsia="zh-CN"/>
        </w:rPr>
        <w:t>要求</w:t>
      </w:r>
      <w:r>
        <w:rPr>
          <w:rFonts w:hint="eastAsia" w:ascii="宋体" w:hAnsi="宋体" w:cs="宋体"/>
          <w:sz w:val="24"/>
          <w:szCs w:val="24"/>
        </w:rPr>
        <w:t>，甲方有权要求更换，乙方在收到更换通知的3日内完成人员更换。</w:t>
      </w:r>
    </w:p>
    <w:p>
      <w:pPr>
        <w:spacing w:line="500" w:lineRule="exact"/>
        <w:ind w:firstLine="555"/>
        <w:rPr>
          <w:rFonts w:ascii="宋体" w:hAnsi="宋体" w:cs="宋体"/>
          <w:sz w:val="24"/>
          <w:szCs w:val="24"/>
        </w:rPr>
      </w:pPr>
      <w:r>
        <w:rPr>
          <w:rFonts w:hint="eastAsia" w:ascii="宋体" w:hAnsi="宋体" w:cs="宋体"/>
          <w:sz w:val="24"/>
          <w:szCs w:val="24"/>
        </w:rPr>
        <w:t>8.1.5合同生效后，由于不可抗力或客观原因导致合同提前终止的，甲方按实际完成工作量支付相关费用，不承担任何责任。</w:t>
      </w:r>
    </w:p>
    <w:p>
      <w:pPr>
        <w:spacing w:line="500" w:lineRule="exact"/>
        <w:rPr>
          <w:rFonts w:ascii="宋体" w:hAnsi="宋体" w:cs="宋体"/>
          <w:bCs/>
          <w:kern w:val="0"/>
          <w:sz w:val="24"/>
          <w:szCs w:val="24"/>
        </w:rPr>
      </w:pPr>
      <w:r>
        <w:rPr>
          <w:rFonts w:hint="eastAsia" w:ascii="宋体" w:hAnsi="宋体" w:cs="宋体"/>
          <w:sz w:val="24"/>
          <w:szCs w:val="24"/>
        </w:rPr>
        <w:t>　　8.1.6</w:t>
      </w:r>
      <w:r>
        <w:rPr>
          <w:rFonts w:hint="eastAsia" w:ascii="宋体" w:hAnsi="宋体" w:cs="宋体"/>
          <w:bCs/>
          <w:kern w:val="0"/>
          <w:sz w:val="24"/>
          <w:szCs w:val="24"/>
        </w:rPr>
        <w:t xml:space="preserve"> 甲方配合乙方开展项目前期调研工作，并根据项目需求向乙方提供相应的工作协助。</w:t>
      </w:r>
    </w:p>
    <w:p>
      <w:pPr>
        <w:spacing w:line="500" w:lineRule="exact"/>
        <w:ind w:firstLine="600" w:firstLineChars="250"/>
        <w:rPr>
          <w:rFonts w:ascii="宋体" w:hAnsi="宋体" w:cs="宋体"/>
          <w:bCs/>
          <w:kern w:val="0"/>
          <w:sz w:val="24"/>
          <w:szCs w:val="24"/>
        </w:rPr>
      </w:pPr>
      <w:r>
        <w:rPr>
          <w:rFonts w:hint="eastAsia" w:ascii="宋体" w:hAnsi="宋体" w:cs="宋体"/>
          <w:bCs/>
          <w:kern w:val="0"/>
          <w:sz w:val="24"/>
          <w:szCs w:val="24"/>
        </w:rPr>
        <w:t>8.1.7甲方向乙方提供本项目工作所必需的资料及文件等。</w:t>
      </w:r>
    </w:p>
    <w:p>
      <w:pPr>
        <w:spacing w:line="500" w:lineRule="exact"/>
        <w:rPr>
          <w:rFonts w:ascii="宋体" w:hAnsi="宋体" w:cs="宋体"/>
          <w:b/>
          <w:sz w:val="24"/>
          <w:szCs w:val="24"/>
        </w:rPr>
      </w:pPr>
      <w:r>
        <w:rPr>
          <w:rFonts w:hint="eastAsia" w:ascii="宋体" w:hAnsi="宋体" w:cs="宋体"/>
          <w:b/>
          <w:sz w:val="24"/>
          <w:szCs w:val="24"/>
        </w:rPr>
        <w:t>　　8.2乙方的权利与义务：</w:t>
      </w:r>
    </w:p>
    <w:p>
      <w:pPr>
        <w:spacing w:line="500" w:lineRule="exact"/>
        <w:rPr>
          <w:rFonts w:ascii="宋体" w:hAnsi="宋体" w:cs="宋体"/>
          <w:sz w:val="24"/>
          <w:szCs w:val="24"/>
        </w:rPr>
      </w:pPr>
      <w:r>
        <w:rPr>
          <w:rFonts w:hint="eastAsia" w:ascii="宋体" w:hAnsi="宋体" w:cs="宋体"/>
          <w:sz w:val="24"/>
          <w:szCs w:val="24"/>
        </w:rPr>
        <w:t>　　8.1.1 有权要求甲方提供项目所必需的前期资料。</w:t>
      </w:r>
    </w:p>
    <w:p>
      <w:pPr>
        <w:spacing w:line="500" w:lineRule="exact"/>
        <w:rPr>
          <w:rFonts w:ascii="宋体" w:hAnsi="宋体" w:cs="宋体"/>
          <w:sz w:val="24"/>
          <w:szCs w:val="24"/>
        </w:rPr>
      </w:pPr>
      <w:r>
        <w:rPr>
          <w:rFonts w:hint="eastAsia" w:ascii="宋体" w:hAnsi="宋体" w:cs="宋体"/>
          <w:sz w:val="24"/>
          <w:szCs w:val="24"/>
        </w:rPr>
        <w:t>　　8.1.2发现甲方提供的上述资料或工作条件不符合合同约定时，须在接到上述资料或开始工作的</w:t>
      </w:r>
      <w:r>
        <w:rPr>
          <w:rFonts w:hint="eastAsia" w:ascii="宋体" w:hAnsi="宋体" w:cs="宋体"/>
          <w:sz w:val="24"/>
          <w:szCs w:val="24"/>
          <w:u w:val="single"/>
        </w:rPr>
        <w:t>3</w:t>
      </w:r>
      <w:r>
        <w:rPr>
          <w:rFonts w:hint="eastAsia" w:ascii="宋体" w:hAnsi="宋体" w:cs="宋体"/>
          <w:sz w:val="24"/>
          <w:szCs w:val="24"/>
        </w:rPr>
        <w:t>日内，通知甲方改进或者更换。超过上述期限不提出改进或更换要求的，视为甲方提供的资料和工作条件已符合合同约定。</w:t>
      </w:r>
    </w:p>
    <w:p>
      <w:pPr>
        <w:spacing w:line="500" w:lineRule="exact"/>
        <w:ind w:firstLine="480" w:firstLineChars="200"/>
        <w:rPr>
          <w:rFonts w:ascii="宋体" w:hAnsi="宋体" w:cs="宋体"/>
          <w:bCs/>
          <w:kern w:val="0"/>
          <w:sz w:val="24"/>
          <w:szCs w:val="24"/>
        </w:rPr>
      </w:pPr>
      <w:r>
        <w:rPr>
          <w:rFonts w:hint="eastAsia" w:ascii="宋体" w:hAnsi="宋体" w:cs="宋体"/>
          <w:sz w:val="24"/>
          <w:szCs w:val="24"/>
        </w:rPr>
        <w:t>8.1.3</w:t>
      </w:r>
      <w:r>
        <w:rPr>
          <w:rFonts w:hint="eastAsia" w:ascii="宋体" w:hAnsi="宋体" w:cs="宋体"/>
          <w:bCs/>
          <w:kern w:val="0"/>
          <w:sz w:val="24"/>
          <w:szCs w:val="24"/>
        </w:rPr>
        <w:t>乙方在合同签订后</w:t>
      </w:r>
      <w:r>
        <w:rPr>
          <w:rFonts w:hint="eastAsia" w:ascii="宋体" w:hAnsi="宋体" w:cs="宋体"/>
          <w:bCs/>
          <w:kern w:val="0"/>
          <w:sz w:val="24"/>
          <w:szCs w:val="24"/>
          <w:u w:val="single"/>
        </w:rPr>
        <w:t>3日</w:t>
      </w:r>
      <w:r>
        <w:rPr>
          <w:rFonts w:hint="eastAsia" w:ascii="宋体" w:hAnsi="宋体" w:cs="宋体"/>
          <w:bCs/>
          <w:kern w:val="0"/>
          <w:sz w:val="24"/>
          <w:szCs w:val="24"/>
        </w:rPr>
        <w:t>内书面向甲方提交项目计划书、组织人员架构表，负责合同实施期间的联络人员名单及联系方式。项目计划书</w:t>
      </w:r>
      <w:r>
        <w:rPr>
          <w:rFonts w:hint="eastAsia" w:ascii="宋体" w:hAnsi="宋体" w:cs="宋体"/>
          <w:bCs/>
          <w:kern w:val="0"/>
          <w:sz w:val="24"/>
          <w:szCs w:val="24"/>
          <w:u w:val="single"/>
        </w:rPr>
        <w:t>（计划书需包含以下方案：施工安全计划（如有）、工期计划、培训计划、质保维护计划等 ）</w:t>
      </w:r>
      <w:r>
        <w:rPr>
          <w:rFonts w:hint="eastAsia" w:ascii="宋体" w:hAnsi="宋体" w:cs="宋体"/>
          <w:bCs/>
          <w:kern w:val="0"/>
          <w:sz w:val="24"/>
          <w:szCs w:val="24"/>
        </w:rPr>
        <w:t>经甲方同意后实施。</w:t>
      </w:r>
    </w:p>
    <w:p>
      <w:pPr>
        <w:spacing w:line="500" w:lineRule="exact"/>
        <w:ind w:firstLine="480" w:firstLineChars="200"/>
        <w:rPr>
          <w:rFonts w:ascii="宋体" w:hAnsi="宋体" w:cs="宋体"/>
          <w:bCs/>
          <w:kern w:val="0"/>
          <w:sz w:val="24"/>
          <w:szCs w:val="24"/>
        </w:rPr>
      </w:pPr>
      <w:r>
        <w:rPr>
          <w:rFonts w:hint="eastAsia" w:ascii="宋体" w:hAnsi="宋体" w:cs="宋体"/>
          <w:sz w:val="24"/>
          <w:szCs w:val="24"/>
        </w:rPr>
        <w:t>8.1.4</w:t>
      </w:r>
      <w:r>
        <w:rPr>
          <w:rFonts w:hint="eastAsia" w:ascii="宋体" w:hAnsi="宋体" w:cs="宋体"/>
          <w:bCs/>
          <w:kern w:val="0"/>
          <w:sz w:val="24"/>
          <w:szCs w:val="24"/>
        </w:rPr>
        <w:t>乙方应按甲方确认的项目计划书开展服务，按合同规定的进度要求提交质量合格的系统开发及服务，确保项目符合《技术</w:t>
      </w:r>
      <w:r>
        <w:rPr>
          <w:rFonts w:hint="eastAsia" w:ascii="宋体" w:hAnsi="宋体" w:cs="宋体"/>
          <w:bCs/>
          <w:kern w:val="0"/>
          <w:sz w:val="24"/>
          <w:szCs w:val="24"/>
          <w:lang w:val="en-US" w:eastAsia="zh-CN"/>
        </w:rPr>
        <w:t>需求书</w:t>
      </w:r>
      <w:r>
        <w:rPr>
          <w:rFonts w:hint="eastAsia" w:ascii="宋体" w:hAnsi="宋体" w:cs="宋体"/>
          <w:bCs/>
          <w:kern w:val="0"/>
          <w:sz w:val="24"/>
          <w:szCs w:val="24"/>
        </w:rPr>
        <w:t>》的要求。</w:t>
      </w:r>
    </w:p>
    <w:p>
      <w:pPr>
        <w:spacing w:line="500" w:lineRule="exact"/>
        <w:ind w:firstLine="480" w:firstLineChars="200"/>
        <w:rPr>
          <w:rFonts w:ascii="宋体" w:hAnsi="宋体" w:cs="宋体"/>
          <w:bCs/>
          <w:kern w:val="0"/>
          <w:sz w:val="24"/>
          <w:szCs w:val="24"/>
        </w:rPr>
      </w:pPr>
      <w:r>
        <w:rPr>
          <w:rFonts w:hint="eastAsia" w:ascii="宋体" w:hAnsi="宋体" w:cs="宋体"/>
          <w:sz w:val="24"/>
          <w:szCs w:val="24"/>
        </w:rPr>
        <w:t>8.1.5</w:t>
      </w:r>
      <w:r>
        <w:rPr>
          <w:rFonts w:hint="eastAsia" w:ascii="宋体" w:hAnsi="宋体" w:cs="宋体"/>
          <w:bCs/>
          <w:kern w:val="0"/>
          <w:sz w:val="24"/>
          <w:szCs w:val="24"/>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kern w:val="0"/>
          <w:sz w:val="24"/>
          <w:szCs w:val="24"/>
          <w:u w:val="single"/>
        </w:rPr>
        <w:t>每人次扣合同暂定总价5%</w:t>
      </w:r>
      <w:r>
        <w:rPr>
          <w:rFonts w:hint="eastAsia" w:ascii="宋体" w:hAnsi="宋体" w:cs="宋体"/>
          <w:bCs/>
          <w:kern w:val="0"/>
          <w:sz w:val="24"/>
          <w:szCs w:val="24"/>
        </w:rPr>
        <w:t>作为违约金。</w:t>
      </w:r>
    </w:p>
    <w:p>
      <w:pPr>
        <w:spacing w:line="500" w:lineRule="exact"/>
        <w:ind w:firstLine="480" w:firstLineChars="200"/>
        <w:rPr>
          <w:rFonts w:ascii="宋体" w:hAnsi="宋体" w:cs="宋体"/>
          <w:bCs/>
          <w:kern w:val="0"/>
          <w:sz w:val="24"/>
          <w:szCs w:val="24"/>
        </w:rPr>
      </w:pPr>
      <w:r>
        <w:rPr>
          <w:rFonts w:hint="eastAsia" w:ascii="宋体" w:hAnsi="宋体" w:cs="宋体"/>
          <w:sz w:val="24"/>
          <w:szCs w:val="24"/>
        </w:rPr>
        <w:t>8.1.6</w:t>
      </w:r>
      <w:r>
        <w:rPr>
          <w:rFonts w:hint="eastAsia" w:ascii="宋体" w:hAnsi="宋体" w:cs="宋体"/>
          <w:bCs/>
          <w:kern w:val="0"/>
          <w:sz w:val="24"/>
          <w:szCs w:val="24"/>
        </w:rPr>
        <w:t>乙方为完成系统开发及服务事项而向甲方收取的重要证件、文件、资料时，应向甲方开具规范的收件清单，并妥善保管；项目</w:t>
      </w:r>
      <w:r>
        <w:rPr>
          <w:rFonts w:hint="eastAsia" w:ascii="宋体" w:hAnsi="宋体" w:cs="宋体"/>
          <w:bCs/>
          <w:kern w:val="0"/>
          <w:sz w:val="24"/>
          <w:szCs w:val="24"/>
          <w:lang w:val="en-US" w:eastAsia="zh-CN"/>
        </w:rPr>
        <w:t>竣工</w:t>
      </w:r>
      <w:r>
        <w:rPr>
          <w:rFonts w:hint="eastAsia" w:ascii="宋体" w:hAnsi="宋体" w:cs="宋体"/>
          <w:bCs/>
          <w:kern w:val="0"/>
          <w:sz w:val="24"/>
          <w:szCs w:val="24"/>
        </w:rPr>
        <w:t>验收合格后，乙方应在</w:t>
      </w:r>
      <w:r>
        <w:rPr>
          <w:rFonts w:hint="eastAsia" w:ascii="宋体" w:hAnsi="宋体" w:cs="宋体"/>
          <w:bCs/>
          <w:kern w:val="0"/>
          <w:sz w:val="24"/>
          <w:szCs w:val="24"/>
          <w:lang w:val="en-US" w:eastAsia="zh-CN"/>
        </w:rPr>
        <w:t>10</w:t>
      </w:r>
      <w:r>
        <w:rPr>
          <w:rFonts w:hint="eastAsia" w:ascii="宋体" w:hAnsi="宋体" w:cs="宋体"/>
          <w:bCs/>
          <w:kern w:val="0"/>
          <w:sz w:val="24"/>
          <w:szCs w:val="24"/>
        </w:rPr>
        <w:t xml:space="preserve">日内将上述证件、文件、资料退还甲方。 </w:t>
      </w:r>
    </w:p>
    <w:p>
      <w:pPr>
        <w:spacing w:line="500" w:lineRule="exact"/>
        <w:ind w:firstLine="480" w:firstLineChars="200"/>
        <w:rPr>
          <w:rFonts w:ascii="宋体" w:hAnsi="宋体" w:cs="宋体"/>
          <w:sz w:val="24"/>
          <w:szCs w:val="24"/>
        </w:rPr>
      </w:pPr>
      <w:r>
        <w:rPr>
          <w:rFonts w:hint="eastAsia" w:ascii="宋体" w:hAnsi="宋体" w:cs="宋体"/>
          <w:sz w:val="24"/>
          <w:szCs w:val="24"/>
        </w:rPr>
        <w:t>8.1.7</w:t>
      </w:r>
      <w:r>
        <w:rPr>
          <w:rFonts w:hint="eastAsia" w:ascii="宋体" w:hAnsi="宋体" w:cs="宋体"/>
          <w:bCs/>
          <w:kern w:val="0"/>
          <w:sz w:val="24"/>
          <w:szCs w:val="24"/>
        </w:rPr>
        <w:t>乙方对项目中涉及的甲方商业秘密应予以保护，禁止向任何第三方公开，否则应向甲方承担相应赔偿责任。</w:t>
      </w:r>
    </w:p>
    <w:p>
      <w:pPr>
        <w:spacing w:line="500" w:lineRule="exact"/>
        <w:rPr>
          <w:rFonts w:ascii="宋体" w:hAnsi="宋体" w:cs="宋体"/>
          <w:b/>
          <w:sz w:val="24"/>
          <w:szCs w:val="24"/>
        </w:rPr>
      </w:pPr>
      <w:r>
        <w:rPr>
          <w:rFonts w:hint="eastAsia" w:ascii="宋体" w:hAnsi="宋体" w:cs="宋体"/>
          <w:b/>
          <w:sz w:val="24"/>
          <w:szCs w:val="24"/>
        </w:rPr>
        <w:t>　九、违约责任</w:t>
      </w:r>
    </w:p>
    <w:p>
      <w:pPr>
        <w:spacing w:line="500" w:lineRule="exact"/>
        <w:ind w:firstLine="560"/>
        <w:rPr>
          <w:rFonts w:ascii="宋体" w:hAnsi="宋体" w:cs="宋体"/>
          <w:bCs/>
          <w:sz w:val="24"/>
          <w:szCs w:val="24"/>
        </w:rPr>
      </w:pPr>
      <w:r>
        <w:rPr>
          <w:rFonts w:hint="eastAsia" w:ascii="宋体" w:hAnsi="宋体" w:cs="宋体"/>
          <w:sz w:val="24"/>
          <w:szCs w:val="24"/>
        </w:rPr>
        <w:t>9.1</w:t>
      </w:r>
      <w:r>
        <w:rPr>
          <w:rFonts w:hint="eastAsia" w:ascii="宋体" w:hAnsi="宋体" w:cs="宋体"/>
          <w:bCs/>
          <w:sz w:val="24"/>
          <w:szCs w:val="24"/>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sz w:val="24"/>
          <w:szCs w:val="24"/>
          <w:u w:val="single"/>
        </w:rPr>
        <w:t>1万元</w:t>
      </w:r>
      <w:r>
        <w:rPr>
          <w:rFonts w:hint="eastAsia" w:ascii="宋体" w:hAnsi="宋体" w:cs="宋体"/>
          <w:bCs/>
          <w:sz w:val="24"/>
          <w:szCs w:val="24"/>
        </w:rPr>
        <w:t>，超过</w:t>
      </w:r>
      <w:r>
        <w:rPr>
          <w:rFonts w:hint="eastAsia" w:ascii="宋体" w:hAnsi="宋体" w:cs="宋体"/>
          <w:bCs/>
          <w:sz w:val="24"/>
          <w:szCs w:val="24"/>
          <w:lang w:val="en-US" w:eastAsia="zh-CN"/>
        </w:rPr>
        <w:t>20</w:t>
      </w:r>
      <w:r>
        <w:rPr>
          <w:rFonts w:hint="eastAsia" w:ascii="宋体" w:hAnsi="宋体" w:cs="宋体"/>
          <w:bCs/>
          <w:sz w:val="24"/>
          <w:szCs w:val="24"/>
        </w:rPr>
        <w:t>日，甲方有权解除合同并要求乙方支付</w:t>
      </w:r>
      <w:r>
        <w:rPr>
          <w:rFonts w:hint="eastAsia" w:ascii="宋体" w:hAnsi="宋体" w:cs="宋体"/>
          <w:bCs/>
          <w:sz w:val="24"/>
          <w:szCs w:val="24"/>
          <w:u w:val="single"/>
        </w:rPr>
        <w:t>合同暂定总价的20%</w:t>
      </w:r>
      <w:r>
        <w:rPr>
          <w:rFonts w:hint="eastAsia" w:ascii="宋体" w:hAnsi="宋体" w:cs="宋体"/>
          <w:bCs/>
          <w:sz w:val="24"/>
          <w:szCs w:val="24"/>
        </w:rPr>
        <w:t>作为违约金，由此造成的责任及损失由乙方承担。（</w:t>
      </w:r>
      <w:r>
        <w:rPr>
          <w:rFonts w:hint="eastAsia" w:ascii="宋体" w:hAnsi="宋体" w:cs="宋体"/>
          <w:sz w:val="24"/>
          <w:szCs w:val="24"/>
        </w:rPr>
        <w:t>如合同另行约定违约责任，从其约定</w:t>
      </w:r>
      <w:r>
        <w:rPr>
          <w:rFonts w:hint="eastAsia" w:ascii="宋体" w:hAnsi="宋体" w:cs="宋体"/>
          <w:bCs/>
          <w:sz w:val="24"/>
          <w:szCs w:val="24"/>
        </w:rPr>
        <w:t>）。</w:t>
      </w:r>
    </w:p>
    <w:p>
      <w:pPr>
        <w:spacing w:line="500" w:lineRule="exact"/>
        <w:ind w:firstLine="480" w:firstLineChars="200"/>
        <w:rPr>
          <w:rFonts w:ascii="宋体" w:hAnsi="宋体" w:cs="宋体"/>
          <w:sz w:val="24"/>
          <w:szCs w:val="24"/>
        </w:rPr>
      </w:pPr>
      <w:r>
        <w:rPr>
          <w:rFonts w:hint="eastAsia" w:ascii="宋体" w:hAnsi="宋体" w:cs="宋体"/>
          <w:sz w:val="24"/>
          <w:szCs w:val="24"/>
        </w:rPr>
        <w:t>9.2由于乙方原因造成甲方设备及其他硬件损坏，乙方按照损坏设备的原价赔偿并负责恢复设备使用。</w:t>
      </w:r>
    </w:p>
    <w:p>
      <w:pPr>
        <w:spacing w:line="500" w:lineRule="exact"/>
        <w:ind w:firstLine="480" w:firstLineChars="200"/>
        <w:rPr>
          <w:rFonts w:ascii="宋体" w:hAnsi="宋体" w:cs="宋体"/>
          <w:sz w:val="24"/>
          <w:szCs w:val="24"/>
        </w:rPr>
      </w:pPr>
      <w:r>
        <w:rPr>
          <w:rFonts w:hint="eastAsia" w:ascii="宋体" w:hAnsi="宋体" w:cs="宋体"/>
          <w:sz w:val="24"/>
          <w:szCs w:val="24"/>
        </w:rPr>
        <w:t>9.3乙方未能及时处理故障，每延误故障处理1日，甲方有权要求乙方支付</w:t>
      </w:r>
      <w:r>
        <w:rPr>
          <w:rFonts w:hint="eastAsia" w:ascii="宋体" w:hAnsi="宋体" w:cs="宋体"/>
          <w:sz w:val="24"/>
          <w:szCs w:val="24"/>
          <w:u w:val="single"/>
        </w:rPr>
        <w:t>合同暂定总价的 10 ‰日</w:t>
      </w:r>
      <w:r>
        <w:rPr>
          <w:rFonts w:hint="eastAsia" w:ascii="宋体" w:hAnsi="宋体" w:cs="宋体"/>
          <w:sz w:val="24"/>
          <w:szCs w:val="24"/>
        </w:rPr>
        <w:t>作为违约金。</w:t>
      </w:r>
    </w:p>
    <w:p>
      <w:pPr>
        <w:topLinePunct/>
        <w:spacing w:line="500" w:lineRule="exact"/>
        <w:ind w:firstLine="480"/>
        <w:rPr>
          <w:rFonts w:ascii="宋体" w:hAnsi="宋体" w:cs="宋体"/>
          <w:bCs/>
          <w:sz w:val="24"/>
          <w:szCs w:val="24"/>
        </w:rPr>
      </w:pPr>
      <w:r>
        <w:rPr>
          <w:rFonts w:hint="eastAsia" w:ascii="宋体" w:hAnsi="宋体" w:cs="宋体"/>
          <w:sz w:val="24"/>
          <w:szCs w:val="24"/>
        </w:rPr>
        <w:t>9.4乙方无法按合同进度要求完成工作，逾期交付工作成果，</w:t>
      </w:r>
      <w:r>
        <w:rPr>
          <w:rFonts w:hint="eastAsia" w:ascii="宋体" w:hAnsi="宋体" w:cs="宋体"/>
          <w:bCs/>
          <w:sz w:val="24"/>
          <w:szCs w:val="24"/>
        </w:rPr>
        <w:t>每超过1日支付违约金</w:t>
      </w:r>
      <w:r>
        <w:rPr>
          <w:rFonts w:hint="eastAsia" w:ascii="宋体" w:hAnsi="宋体" w:cs="宋体"/>
          <w:bCs/>
          <w:sz w:val="24"/>
          <w:szCs w:val="24"/>
          <w:u w:val="single"/>
        </w:rPr>
        <w:t>合同暂定总价的</w:t>
      </w:r>
      <w:r>
        <w:rPr>
          <w:rFonts w:hint="eastAsia" w:ascii="宋体" w:hAnsi="宋体" w:cs="宋体"/>
          <w:bCs/>
          <w:sz w:val="24"/>
          <w:szCs w:val="24"/>
          <w:u w:val="single"/>
          <w:lang w:val="en-US" w:eastAsia="zh-CN"/>
        </w:rPr>
        <w:t>万分之五</w:t>
      </w:r>
      <w:r>
        <w:rPr>
          <w:rFonts w:hint="eastAsia" w:ascii="宋体" w:hAnsi="宋体" w:cs="宋体"/>
          <w:bCs/>
          <w:sz w:val="24"/>
          <w:szCs w:val="24"/>
        </w:rPr>
        <w:t>，超过</w:t>
      </w:r>
      <w:r>
        <w:rPr>
          <w:rFonts w:hint="eastAsia" w:ascii="宋体" w:hAnsi="宋体" w:cs="宋体"/>
          <w:bCs/>
          <w:sz w:val="24"/>
          <w:szCs w:val="24"/>
          <w:u w:val="single"/>
          <w:lang w:val="en-US" w:eastAsia="zh-CN"/>
        </w:rPr>
        <w:t>20</w:t>
      </w:r>
      <w:r>
        <w:rPr>
          <w:rFonts w:hint="eastAsia" w:ascii="宋体" w:hAnsi="宋体" w:cs="宋体"/>
          <w:bCs/>
          <w:sz w:val="24"/>
          <w:szCs w:val="24"/>
        </w:rPr>
        <w:t>日，甲方有权解除合同并要求乙方支付</w:t>
      </w:r>
      <w:r>
        <w:rPr>
          <w:rFonts w:hint="eastAsia" w:ascii="宋体" w:hAnsi="宋体" w:cs="宋体"/>
          <w:bCs/>
          <w:sz w:val="24"/>
          <w:szCs w:val="24"/>
          <w:u w:val="single"/>
        </w:rPr>
        <w:t>合同暂定总价的20%</w:t>
      </w:r>
      <w:r>
        <w:rPr>
          <w:rFonts w:hint="eastAsia" w:ascii="宋体" w:hAnsi="宋体" w:cs="宋体"/>
          <w:bCs/>
          <w:sz w:val="24"/>
          <w:szCs w:val="24"/>
        </w:rPr>
        <w:t>作为违约金。</w:t>
      </w:r>
    </w:p>
    <w:p>
      <w:pPr>
        <w:topLinePunct/>
        <w:spacing w:line="500" w:lineRule="exact"/>
        <w:ind w:firstLine="480"/>
        <w:rPr>
          <w:rFonts w:ascii="宋体" w:hAnsi="宋体" w:cs="宋体"/>
          <w:sz w:val="24"/>
          <w:szCs w:val="24"/>
        </w:rPr>
      </w:pPr>
      <w:r>
        <w:rPr>
          <w:rFonts w:hint="eastAsia" w:ascii="宋体" w:hAnsi="宋体" w:cs="宋体"/>
          <w:sz w:val="24"/>
          <w:szCs w:val="24"/>
        </w:rPr>
        <w:t>9.5乙方违反本合同保密协议的，甲方有权解除合同，乙方应返还已收的合同款项，并赔偿由此给甲方造成的损失。</w:t>
      </w:r>
    </w:p>
    <w:p>
      <w:pPr>
        <w:spacing w:before="156" w:beforeLines="50" w:after="156" w:afterLines="50" w:line="500" w:lineRule="exact"/>
        <w:ind w:firstLine="482" w:firstLineChars="200"/>
        <w:jc w:val="left"/>
        <w:rPr>
          <w:rFonts w:ascii="宋体" w:hAnsi="宋体" w:cs="宋体"/>
          <w:sz w:val="24"/>
          <w:szCs w:val="24"/>
        </w:rPr>
      </w:pPr>
      <w:bookmarkStart w:id="6" w:name="_Toc107447255"/>
      <w:bookmarkStart w:id="7" w:name="_Toc518993000"/>
      <w:bookmarkStart w:id="8" w:name="_Toc306350467"/>
      <w:bookmarkStart w:id="9" w:name="_Toc19692"/>
      <w:bookmarkStart w:id="10" w:name="_Toc107446862"/>
      <w:bookmarkStart w:id="11" w:name="_Toc520190040"/>
      <w:bookmarkStart w:id="12" w:name="_Toc183666531"/>
      <w:bookmarkStart w:id="13" w:name="_Toc474245226"/>
      <w:r>
        <w:rPr>
          <w:rFonts w:hint="eastAsia" w:ascii="宋体" w:hAnsi="宋体" w:cs="宋体"/>
          <w:b/>
          <w:bCs/>
          <w:sz w:val="24"/>
          <w:szCs w:val="24"/>
        </w:rPr>
        <w:t>十、不可抗力</w:t>
      </w:r>
      <w:bookmarkEnd w:id="6"/>
      <w:bookmarkEnd w:id="7"/>
      <w:bookmarkEnd w:id="8"/>
      <w:bookmarkEnd w:id="9"/>
      <w:bookmarkEnd w:id="10"/>
      <w:bookmarkEnd w:id="11"/>
      <w:bookmarkEnd w:id="12"/>
      <w:bookmarkEnd w:id="13"/>
    </w:p>
    <w:p>
      <w:pPr>
        <w:widowControl/>
        <w:autoSpaceDE w:val="0"/>
        <w:autoSpaceDN w:val="0"/>
        <w:adjustRightInd w:val="0"/>
        <w:spacing w:line="500" w:lineRule="exact"/>
        <w:ind w:firstLine="480" w:firstLineChars="200"/>
        <w:rPr>
          <w:rFonts w:ascii="宋体" w:hAnsi="宋体" w:cs="宋体"/>
          <w:bCs/>
          <w:sz w:val="24"/>
          <w:szCs w:val="24"/>
        </w:rPr>
      </w:pPr>
      <w:bookmarkStart w:id="14" w:name="_Toc12010"/>
      <w:bookmarkStart w:id="15" w:name="_Toc306350468"/>
      <w:bookmarkStart w:id="16" w:name="_Toc183666532"/>
      <w:r>
        <w:rPr>
          <w:rFonts w:hint="eastAsia" w:ascii="宋体" w:hAnsi="宋体" w:cs="宋体"/>
          <w:bCs/>
          <w:sz w:val="24"/>
          <w:szCs w:val="24"/>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szCs w:val="24"/>
        </w:rPr>
      </w:pPr>
      <w:r>
        <w:rPr>
          <w:rFonts w:hint="eastAsia" w:ascii="宋体" w:hAnsi="宋体" w:cs="宋体"/>
          <w:bCs/>
          <w:sz w:val="24"/>
          <w:szCs w:val="24"/>
        </w:rPr>
        <w:t>⑴ 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cs="宋体"/>
          <w:bCs/>
          <w:sz w:val="24"/>
          <w:szCs w:val="24"/>
        </w:rPr>
      </w:pPr>
      <w:r>
        <w:rPr>
          <w:rFonts w:hint="eastAsia" w:ascii="宋体" w:hAnsi="宋体" w:cs="宋体"/>
          <w:bCs/>
          <w:sz w:val="24"/>
          <w:szCs w:val="24"/>
        </w:rPr>
        <w:t>⑵ 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szCs w:val="24"/>
        </w:rPr>
      </w:pPr>
      <w:r>
        <w:rPr>
          <w:rFonts w:hint="eastAsia" w:ascii="宋体" w:hAnsi="宋体" w:cs="宋体"/>
          <w:bCs/>
          <w:sz w:val="24"/>
          <w:szCs w:val="24"/>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szCs w:val="24"/>
        </w:rPr>
      </w:pPr>
      <w:r>
        <w:rPr>
          <w:rFonts w:hint="eastAsia" w:ascii="宋体" w:hAnsi="宋体" w:cs="宋体"/>
          <w:bCs/>
          <w:sz w:val="24"/>
          <w:szCs w:val="24"/>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szCs w:val="24"/>
        </w:rPr>
      </w:pPr>
      <w:r>
        <w:rPr>
          <w:rFonts w:hint="eastAsia" w:ascii="宋体" w:hAnsi="宋体" w:cs="宋体"/>
          <w:bCs/>
          <w:sz w:val="24"/>
          <w:szCs w:val="24"/>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7" w:name="_Toc474245227"/>
      <w:bookmarkStart w:id="18" w:name="_Toc118172294"/>
      <w:bookmarkStart w:id="19" w:name="_Toc107447257"/>
      <w:bookmarkStart w:id="20" w:name="_Toc107446864"/>
      <w:bookmarkStart w:id="21" w:name="_Toc520190041"/>
      <w:bookmarkStart w:id="22" w:name="_Toc518993001"/>
    </w:p>
    <w:p>
      <w:pPr>
        <w:spacing w:before="156" w:beforeLines="50" w:after="156" w:afterLines="50" w:line="500" w:lineRule="exact"/>
        <w:ind w:firstLine="482"/>
        <w:jc w:val="left"/>
        <w:rPr>
          <w:rFonts w:ascii="宋体" w:hAnsi="宋体" w:cs="宋体"/>
          <w:b/>
          <w:bCs/>
          <w:sz w:val="24"/>
          <w:szCs w:val="24"/>
        </w:rPr>
      </w:pPr>
      <w:r>
        <w:rPr>
          <w:rFonts w:hint="eastAsia" w:ascii="宋体" w:hAnsi="宋体" w:cs="宋体"/>
          <w:b/>
          <w:bCs/>
          <w:sz w:val="24"/>
          <w:szCs w:val="24"/>
        </w:rPr>
        <w:t>十一、争议解决</w:t>
      </w:r>
      <w:bookmarkEnd w:id="14"/>
      <w:bookmarkEnd w:id="15"/>
      <w:bookmarkEnd w:id="16"/>
      <w:bookmarkEnd w:id="17"/>
      <w:bookmarkEnd w:id="18"/>
      <w:bookmarkEnd w:id="19"/>
      <w:bookmarkEnd w:id="20"/>
      <w:bookmarkEnd w:id="21"/>
      <w:bookmarkEnd w:id="22"/>
    </w:p>
    <w:p>
      <w:pPr>
        <w:spacing w:line="500" w:lineRule="exact"/>
        <w:ind w:firstLine="482"/>
        <w:rPr>
          <w:rFonts w:ascii="宋体" w:hAnsi="宋体" w:cs="宋体"/>
          <w:bCs/>
          <w:sz w:val="24"/>
          <w:szCs w:val="24"/>
        </w:rPr>
      </w:pPr>
      <w:bookmarkStart w:id="23" w:name="_Toc306350469"/>
      <w:bookmarkStart w:id="24" w:name="_Toc183666533"/>
      <w:r>
        <w:rPr>
          <w:rFonts w:hint="eastAsia" w:ascii="宋体" w:hAnsi="宋体" w:cs="宋体"/>
          <w:bCs/>
          <w:sz w:val="24"/>
          <w:szCs w:val="24"/>
        </w:rPr>
        <w:t>11.1甲乙双方应通过友好协商，解决在执行本合同所发生的或与本合同有关的一切争议。如协商不能解决争议，任何一方均可依法向甲方所在地人民法院提起诉讼。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sz w:val="24"/>
          <w:szCs w:val="24"/>
        </w:rPr>
      </w:pPr>
      <w:r>
        <w:rPr>
          <w:rFonts w:hint="eastAsia" w:ascii="宋体" w:hAnsi="宋体" w:cs="宋体"/>
          <w:bCs/>
          <w:sz w:val="24"/>
          <w:szCs w:val="24"/>
        </w:rPr>
        <w:t>11.2</w:t>
      </w:r>
      <w:r>
        <w:rPr>
          <w:rFonts w:hint="eastAsia" w:ascii="宋体" w:hAnsi="宋体" w:cs="宋体"/>
          <w:sz w:val="24"/>
          <w:szCs w:val="24"/>
        </w:rPr>
        <w:t>在甲方同意的情况下，除有争端之外的合同其它部分在争端解决前应继续执行。</w:t>
      </w:r>
      <w:bookmarkEnd w:id="23"/>
      <w:bookmarkEnd w:id="24"/>
      <w:bookmarkStart w:id="25" w:name="_Toc518993003"/>
      <w:bookmarkStart w:id="26" w:name="_Toc474245229"/>
      <w:bookmarkStart w:id="27" w:name="_Toc520190043"/>
    </w:p>
    <w:p>
      <w:pPr>
        <w:spacing w:line="500" w:lineRule="exact"/>
        <w:ind w:firstLine="482"/>
        <w:jc w:val="left"/>
        <w:rPr>
          <w:rFonts w:ascii="宋体" w:hAnsi="宋体" w:cs="宋体"/>
          <w:b/>
          <w:bCs/>
          <w:sz w:val="24"/>
          <w:szCs w:val="24"/>
        </w:rPr>
      </w:pPr>
      <w:bookmarkStart w:id="28" w:name="_Toc107447264"/>
      <w:bookmarkStart w:id="29" w:name="_Toc107446871"/>
      <w:r>
        <w:rPr>
          <w:rFonts w:hint="eastAsia" w:ascii="宋体" w:hAnsi="宋体" w:cs="宋体"/>
          <w:b/>
          <w:bCs/>
          <w:sz w:val="24"/>
          <w:szCs w:val="24"/>
        </w:rPr>
        <w:t>十二、合同生效及其他</w:t>
      </w:r>
      <w:bookmarkEnd w:id="25"/>
      <w:bookmarkEnd w:id="26"/>
      <w:bookmarkEnd w:id="27"/>
      <w:bookmarkEnd w:id="28"/>
      <w:bookmarkEnd w:id="29"/>
    </w:p>
    <w:p>
      <w:pPr>
        <w:spacing w:line="500" w:lineRule="exact"/>
        <w:ind w:firstLine="480"/>
        <w:rPr>
          <w:rFonts w:ascii="宋体" w:hAnsi="宋体" w:cs="宋体"/>
          <w:sz w:val="24"/>
          <w:szCs w:val="24"/>
        </w:rPr>
      </w:pPr>
      <w:r>
        <w:rPr>
          <w:rFonts w:hint="eastAsia" w:ascii="宋体" w:hAnsi="宋体" w:cs="宋体"/>
          <w:sz w:val="24"/>
          <w:szCs w:val="24"/>
        </w:rPr>
        <w:t>12.1本合同经双方法定代表人或授权代表签</w:t>
      </w:r>
      <w:r>
        <w:rPr>
          <w:rFonts w:hint="eastAsia" w:ascii="宋体" w:hAnsi="宋体" w:cs="宋体"/>
          <w:sz w:val="24"/>
          <w:szCs w:val="24"/>
          <w:lang w:val="en-US" w:eastAsia="zh-CN"/>
        </w:rPr>
        <w:t>名</w:t>
      </w:r>
      <w:r>
        <w:rPr>
          <w:rFonts w:hint="eastAsia" w:ascii="宋体" w:hAnsi="宋体" w:cs="宋体"/>
          <w:sz w:val="24"/>
          <w:szCs w:val="24"/>
        </w:rPr>
        <w:t>并加盖双方公章后生效.</w:t>
      </w:r>
    </w:p>
    <w:p>
      <w:pPr>
        <w:spacing w:line="500" w:lineRule="exact"/>
        <w:ind w:firstLine="480"/>
        <w:rPr>
          <w:rFonts w:ascii="宋体" w:hAnsi="宋体" w:cs="宋体"/>
          <w:sz w:val="24"/>
          <w:szCs w:val="24"/>
        </w:rPr>
      </w:pPr>
      <w:r>
        <w:rPr>
          <w:rFonts w:hint="eastAsia" w:ascii="宋体" w:hAnsi="宋体" w:cs="宋体"/>
          <w:sz w:val="24"/>
          <w:szCs w:val="24"/>
        </w:rPr>
        <w:t>12.2本合同正文一式</w:t>
      </w:r>
      <w:r>
        <w:rPr>
          <w:rFonts w:hint="eastAsia" w:ascii="宋体" w:hAnsi="宋体" w:cs="宋体"/>
          <w:sz w:val="24"/>
          <w:szCs w:val="24"/>
          <w:u w:val="single"/>
        </w:rPr>
        <w:t xml:space="preserve">   … </w:t>
      </w:r>
      <w:r>
        <w:rPr>
          <w:rFonts w:hint="eastAsia" w:ascii="宋体" w:hAnsi="宋体" w:cs="宋体"/>
          <w:sz w:val="24"/>
          <w:szCs w:val="24"/>
        </w:rPr>
        <w:t xml:space="preserve"> 份，其中：甲方</w:t>
      </w:r>
      <w:r>
        <w:rPr>
          <w:rFonts w:hint="eastAsia" w:ascii="宋体" w:hAnsi="宋体" w:cs="宋体"/>
          <w:sz w:val="24"/>
          <w:szCs w:val="24"/>
          <w:u w:val="single"/>
        </w:rPr>
        <w:t xml:space="preserve">    …   </w:t>
      </w:r>
      <w:r>
        <w:rPr>
          <w:rFonts w:hint="eastAsia" w:ascii="宋体" w:hAnsi="宋体" w:cs="宋体"/>
          <w:sz w:val="24"/>
          <w:szCs w:val="24"/>
        </w:rPr>
        <w:t>份，乙方</w:t>
      </w:r>
      <w:r>
        <w:rPr>
          <w:rFonts w:hint="eastAsia" w:ascii="宋体" w:hAnsi="宋体" w:cs="宋体"/>
          <w:sz w:val="24"/>
          <w:szCs w:val="24"/>
          <w:u w:val="single"/>
        </w:rPr>
        <w:t xml:space="preserve">   …   </w:t>
      </w:r>
      <w:r>
        <w:rPr>
          <w:rFonts w:hint="eastAsia" w:ascii="宋体" w:hAnsi="宋体" w:cs="宋体"/>
          <w:sz w:val="24"/>
          <w:szCs w:val="24"/>
        </w:rPr>
        <w:t>份。</w:t>
      </w:r>
    </w:p>
    <w:p>
      <w:pPr>
        <w:spacing w:line="500" w:lineRule="exact"/>
        <w:ind w:firstLine="480"/>
        <w:rPr>
          <w:rFonts w:ascii="宋体" w:hAnsi="宋体" w:cs="宋体"/>
          <w:sz w:val="24"/>
          <w:szCs w:val="24"/>
        </w:rPr>
      </w:pPr>
      <w:r>
        <w:rPr>
          <w:rFonts w:hint="eastAsia" w:ascii="宋体" w:hAnsi="宋体" w:cs="宋体"/>
          <w:sz w:val="24"/>
          <w:szCs w:val="24"/>
        </w:rPr>
        <w:t>12.3补充条款</w:t>
      </w:r>
      <w:r>
        <w:rPr>
          <w:rFonts w:hint="eastAsia" w:ascii="宋体" w:hAnsi="宋体" w:cs="宋体"/>
          <w:sz w:val="24"/>
          <w:szCs w:val="24"/>
          <w:u w:val="single"/>
        </w:rPr>
        <w:t xml:space="preserve">：… </w:t>
      </w:r>
    </w:p>
    <w:p>
      <w:pPr>
        <w:spacing w:line="500" w:lineRule="exact"/>
        <w:ind w:firstLine="480"/>
        <w:rPr>
          <w:rFonts w:hint="eastAsia" w:ascii="宋体" w:hAnsi="宋体" w:cs="宋体"/>
          <w:sz w:val="24"/>
          <w:szCs w:val="24"/>
        </w:rPr>
      </w:pPr>
    </w:p>
    <w:p>
      <w:pPr>
        <w:spacing w:line="500" w:lineRule="exact"/>
        <w:ind w:firstLine="480"/>
        <w:rPr>
          <w:rFonts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szCs w:val="24"/>
        </w:rPr>
      </w:pPr>
      <w:r>
        <w:rPr>
          <w:rFonts w:hint="eastAsia" w:ascii="宋体" w:hAnsi="宋体" w:cs="宋体"/>
          <w:sz w:val="24"/>
          <w:szCs w:val="24"/>
        </w:rPr>
        <w:t>附件</w:t>
      </w:r>
      <w:r>
        <w:rPr>
          <w:rFonts w:hint="eastAsia" w:ascii="宋体" w:hAnsi="宋体" w:cs="宋体"/>
          <w:sz w:val="24"/>
          <w:szCs w:val="24"/>
          <w:lang w:eastAsia="zh-CN"/>
        </w:rPr>
        <w:t>：</w:t>
      </w:r>
      <w:r>
        <w:rPr>
          <w:rFonts w:hint="eastAsia" w:ascii="宋体" w:hAnsi="宋体" w:cs="宋体"/>
          <w:sz w:val="24"/>
          <w:szCs w:val="24"/>
        </w:rPr>
        <w:t>1. 发包通知书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szCs w:val="24"/>
        </w:rPr>
      </w:pPr>
      <w:r>
        <w:rPr>
          <w:rFonts w:hint="eastAsia" w:ascii="宋体" w:hAnsi="宋体" w:cs="宋体"/>
          <w:sz w:val="24"/>
          <w:szCs w:val="24"/>
        </w:rPr>
        <w:t xml:space="preserve">      2. 廉洁协议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rPr>
      </w:pPr>
      <w:r>
        <w:rPr>
          <w:rFonts w:hint="eastAsia" w:ascii="宋体" w:hAnsi="宋体" w:cs="宋体"/>
          <w:sz w:val="24"/>
          <w:szCs w:val="24"/>
        </w:rPr>
        <w:t xml:space="preserve">      3. 保密协议</w:t>
      </w:r>
    </w:p>
    <w:p>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rPr>
          <w:rFonts w:hint="eastAsia" w:ascii="宋体" w:hAnsi="宋体" w:cs="宋体"/>
          <w:sz w:val="24"/>
          <w:szCs w:val="24"/>
        </w:rPr>
      </w:pPr>
      <w:r>
        <w:rPr>
          <w:rFonts w:hint="eastAsia" w:ascii="宋体" w:hAnsi="宋体" w:cs="宋体"/>
          <w:sz w:val="24"/>
          <w:szCs w:val="24"/>
        </w:rPr>
        <w:t>4. 安全管理协议书（如有新版本，按新版本执行）</w:t>
      </w:r>
    </w:p>
    <w:p>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rPr>
          <w:rFonts w:hint="eastAsia" w:ascii="宋体" w:hAnsi="宋体" w:cs="宋体"/>
          <w:sz w:val="24"/>
          <w:szCs w:val="24"/>
          <w:lang w:val="en-US" w:eastAsia="zh-CN"/>
        </w:rPr>
      </w:pPr>
      <w:r>
        <w:rPr>
          <w:rFonts w:hint="eastAsia" w:ascii="宋体" w:hAnsi="宋体" w:cs="宋体"/>
          <w:sz w:val="24"/>
          <w:szCs w:val="24"/>
        </w:rPr>
        <w:t xml:space="preserve">5. </w:t>
      </w:r>
      <w:r>
        <w:rPr>
          <w:rFonts w:hint="eastAsia" w:ascii="宋体" w:hAnsi="宋体" w:cs="宋体"/>
          <w:sz w:val="24"/>
          <w:szCs w:val="24"/>
          <w:lang w:val="en-US" w:eastAsia="zh-CN"/>
        </w:rPr>
        <w:t>技术需求书</w:t>
      </w:r>
    </w:p>
    <w:p>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rPr>
          <w:rFonts w:hint="eastAsia"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 xml:space="preserve"> </w:t>
      </w:r>
      <w:r>
        <w:rPr>
          <w:rFonts w:hint="eastAsia" w:ascii="宋体" w:hAnsi="宋体" w:cs="宋体"/>
          <w:sz w:val="24"/>
          <w:szCs w:val="24"/>
        </w:rPr>
        <w:t>项目投入人员架构表</w:t>
      </w:r>
    </w:p>
    <w:p>
      <w:pPr>
        <w:spacing w:line="500" w:lineRule="exact"/>
        <w:rPr>
          <w:rFonts w:hint="eastAsia" w:ascii="宋体" w:hAnsi="宋体" w:cs="宋体"/>
          <w:sz w:val="24"/>
          <w:szCs w:val="24"/>
        </w:rPr>
      </w:pPr>
    </w:p>
    <w:p>
      <w:pPr>
        <w:spacing w:line="500" w:lineRule="exact"/>
        <w:rPr>
          <w:rFonts w:ascii="宋体" w:hAnsi="宋体" w:eastAsia="宋体" w:cs="宋体"/>
          <w:sz w:val="24"/>
          <w:szCs w:val="24"/>
        </w:rPr>
      </w:pPr>
      <w:r>
        <w:rPr>
          <w:rFonts w:hint="eastAsia" w:ascii="宋体" w:hAnsi="宋体" w:eastAsia="宋体" w:cs="宋体"/>
          <w:sz w:val="24"/>
          <w:szCs w:val="24"/>
        </w:rPr>
        <w:t>甲方：广州市净水有限公司（盖章）     乙方：（盖章）</w:t>
      </w:r>
    </w:p>
    <w:p>
      <w:pPr>
        <w:spacing w:line="500" w:lineRule="exact"/>
        <w:rPr>
          <w:rFonts w:ascii="宋体" w:hAnsi="宋体" w:eastAsia="宋体" w:cs="宋体"/>
          <w:sz w:val="24"/>
          <w:szCs w:val="24"/>
        </w:rPr>
      </w:pPr>
      <w:r>
        <w:rPr>
          <w:rFonts w:hint="eastAsia" w:ascii="宋体" w:hAnsi="宋体" w:eastAsia="宋体" w:cs="宋体"/>
          <w:sz w:val="24"/>
          <w:szCs w:val="24"/>
        </w:rPr>
        <w:t>法定代表人或                         法定代表人或</w:t>
      </w:r>
    </w:p>
    <w:p>
      <w:pPr>
        <w:spacing w:line="500" w:lineRule="exact"/>
        <w:rPr>
          <w:rFonts w:ascii="宋体" w:hAnsi="宋体" w:eastAsia="宋体" w:cs="宋体"/>
          <w:sz w:val="24"/>
          <w:szCs w:val="24"/>
        </w:rPr>
      </w:pPr>
      <w:r>
        <w:rPr>
          <w:rFonts w:hint="eastAsia" w:ascii="宋体" w:hAnsi="宋体" w:eastAsia="宋体" w:cs="宋体"/>
          <w:sz w:val="24"/>
          <w:szCs w:val="24"/>
        </w:rPr>
        <w:t>授权代理人：                         授权代理人：</w:t>
      </w:r>
    </w:p>
    <w:p>
      <w:pPr>
        <w:spacing w:line="500" w:lineRule="exact"/>
        <w:rPr>
          <w:rFonts w:ascii="宋体" w:hAnsi="宋体" w:eastAsia="宋体" w:cs="宋体"/>
          <w:sz w:val="24"/>
          <w:szCs w:val="24"/>
        </w:rPr>
      </w:pPr>
      <w:r>
        <w:rPr>
          <w:rFonts w:hint="eastAsia" w:ascii="宋体" w:hAnsi="宋体" w:eastAsia="宋体" w:cs="宋体"/>
          <w:sz w:val="24"/>
          <w:szCs w:val="24"/>
        </w:rPr>
        <w:t>地址：                               地址：</w:t>
      </w:r>
    </w:p>
    <w:p>
      <w:pPr>
        <w:spacing w:line="500" w:lineRule="exact"/>
        <w:rPr>
          <w:rFonts w:ascii="宋体" w:hAnsi="宋体" w:eastAsia="宋体" w:cs="宋体"/>
          <w:sz w:val="24"/>
          <w:szCs w:val="24"/>
        </w:rPr>
      </w:pPr>
      <w:r>
        <w:rPr>
          <w:rFonts w:hint="eastAsia" w:ascii="宋体" w:hAnsi="宋体" w:eastAsia="宋体" w:cs="宋体"/>
          <w:sz w:val="24"/>
          <w:szCs w:val="24"/>
        </w:rPr>
        <w:t>经办人：                             经办人：</w:t>
      </w:r>
    </w:p>
    <w:p>
      <w:pPr>
        <w:spacing w:line="500" w:lineRule="exact"/>
        <w:rPr>
          <w:rFonts w:ascii="宋体" w:hAnsi="宋体" w:eastAsia="宋体" w:cs="宋体"/>
          <w:sz w:val="24"/>
          <w:szCs w:val="24"/>
        </w:rPr>
      </w:pPr>
      <w:r>
        <w:rPr>
          <w:rFonts w:hint="eastAsia" w:ascii="宋体" w:hAnsi="宋体" w:eastAsia="宋体" w:cs="宋体"/>
          <w:sz w:val="24"/>
          <w:szCs w:val="24"/>
        </w:rPr>
        <w:t>联系电话：                           联系电话：</w:t>
      </w:r>
    </w:p>
    <w:p>
      <w:pPr>
        <w:spacing w:line="500" w:lineRule="exact"/>
        <w:ind w:left="6360" w:hanging="6360" w:hangingChars="2650"/>
        <w:rPr>
          <w:rFonts w:ascii="宋体" w:hAnsi="宋体" w:eastAsia="宋体" w:cs="宋体"/>
          <w:sz w:val="24"/>
          <w:szCs w:val="24"/>
        </w:rPr>
      </w:pPr>
      <w:r>
        <w:rPr>
          <w:rFonts w:hint="eastAsia" w:ascii="宋体" w:hAnsi="宋体" w:eastAsia="宋体" w:cs="宋体"/>
          <w:sz w:val="24"/>
          <w:szCs w:val="24"/>
        </w:rPr>
        <w:t>传真：                               传真：</w:t>
      </w:r>
    </w:p>
    <w:p>
      <w:pPr>
        <w:spacing w:line="500" w:lineRule="exact"/>
        <w:ind w:left="6360" w:hanging="6360" w:hangingChars="2650"/>
        <w:rPr>
          <w:rFonts w:ascii="宋体" w:hAnsi="宋体" w:eastAsia="宋体" w:cs="宋体"/>
          <w:sz w:val="24"/>
          <w:szCs w:val="24"/>
        </w:rPr>
      </w:pPr>
      <w:r>
        <w:rPr>
          <w:rFonts w:hint="eastAsia" w:ascii="宋体" w:hAnsi="宋体" w:eastAsia="宋体" w:cs="宋体"/>
          <w:sz w:val="24"/>
          <w:szCs w:val="24"/>
        </w:rPr>
        <w:t xml:space="preserve">签署日期：    年    月    日         签署日期：    年    月    日  </w:t>
      </w:r>
    </w:p>
    <w:p>
      <w:pPr>
        <w:spacing w:line="300" w:lineRule="auto"/>
        <w:rPr>
          <w:rFonts w:ascii="仿宋_GB2312" w:eastAsia="仿宋_GB2312"/>
          <w:w w:val="90"/>
          <w:kern w:val="10"/>
          <w:sz w:val="24"/>
        </w:rPr>
      </w:pPr>
      <w:r>
        <w:rPr>
          <w:rFonts w:hint="eastAsia" w:ascii="仿宋_GB2312" w:eastAsia="仿宋_GB2312"/>
          <w:w w:val="90"/>
          <w:kern w:val="10"/>
          <w:sz w:val="24"/>
        </w:rPr>
        <w:t xml:space="preserve">                                      </w:t>
      </w:r>
    </w:p>
    <w:p>
      <w:pPr>
        <w:rPr>
          <w:rFonts w:ascii="仿宋_GB2312" w:eastAsia="仿宋_GB2312"/>
          <w:sz w:val="28"/>
          <w:szCs w:val="28"/>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ascii="宋体" w:hAnsi="宋体" w:cs="宋体"/>
          <w:szCs w:val="21"/>
        </w:rPr>
      </w:pPr>
    </w:p>
    <w:p>
      <w:pPr>
        <w:rPr>
          <w:rFonts w:hint="eastAsia" w:ascii="宋体" w:hAnsi="宋体" w:cs="宋体"/>
          <w:szCs w:val="21"/>
        </w:rPr>
      </w:pPr>
      <w:r>
        <w:rPr>
          <w:rFonts w:hint="eastAsia" w:ascii="宋体" w:hAnsi="宋体" w:cs="宋体"/>
          <w:szCs w:val="21"/>
        </w:rPr>
        <w:br w:type="page"/>
      </w:r>
    </w:p>
    <w:p>
      <w:pPr>
        <w:widowControl/>
        <w:jc w:val="left"/>
        <w:rPr>
          <w:rFonts w:ascii="宋体" w:hAnsi="宋体" w:cs="宋体"/>
          <w:szCs w:val="21"/>
        </w:rPr>
      </w:pPr>
      <w:r>
        <w:rPr>
          <w:rFonts w:hint="eastAsia" w:ascii="宋体" w:hAnsi="宋体" w:cs="宋体"/>
          <w:szCs w:val="21"/>
        </w:rPr>
        <w:t>附件2</w:t>
      </w:r>
    </w:p>
    <w:p>
      <w:pPr>
        <w:spacing w:line="360" w:lineRule="auto"/>
        <w:jc w:val="right"/>
        <w:rPr>
          <w:rFonts w:ascii="宋体" w:hAnsi="宋体" w:cs="宋体"/>
          <w:b/>
          <w:szCs w:val="21"/>
        </w:rPr>
      </w:pPr>
      <w:r>
        <w:rPr>
          <w:rFonts w:hint="eastAsia" w:ascii="宋体" w:hAnsi="宋体" w:cs="宋体"/>
          <w:b/>
          <w:szCs w:val="21"/>
        </w:rPr>
        <w:t xml:space="preserve">                </w:t>
      </w:r>
    </w:p>
    <w:p>
      <w:pPr>
        <w:spacing w:line="360" w:lineRule="auto"/>
        <w:jc w:val="center"/>
        <w:rPr>
          <w:rFonts w:ascii="宋体" w:hAnsi="宋体" w:cs="宋体"/>
          <w:b/>
          <w:szCs w:val="21"/>
        </w:rPr>
      </w:pPr>
      <w:r>
        <w:rPr>
          <w:rFonts w:hint="eastAsia" w:ascii="宋体" w:hAnsi="宋体" w:cs="宋体"/>
          <w:b/>
          <w:szCs w:val="21"/>
        </w:rPr>
        <w:t>廉洁协议</w:t>
      </w:r>
    </w:p>
    <w:p>
      <w:pPr>
        <w:spacing w:line="360" w:lineRule="auto"/>
        <w:ind w:firstLine="472" w:firstLineChars="225"/>
        <w:rPr>
          <w:rFonts w:ascii="宋体" w:hAnsi="宋体" w:cs="宋体"/>
          <w:szCs w:val="21"/>
        </w:rPr>
      </w:pPr>
      <w:r>
        <w:rPr>
          <w:rFonts w:hint="eastAsia" w:ascii="宋体" w:hAnsi="宋体" w:cs="宋体"/>
          <w:szCs w:val="21"/>
        </w:rPr>
        <w:t>为促进双方诚信经营、廉洁从业，防范商业贿赂，保护国家、集体和当事人的合法权益，根据国家有关法律法规和广东省、广州市廉政建设的规定，</w:t>
      </w:r>
      <w:r>
        <w:rPr>
          <w:rFonts w:hint="eastAsia" w:ascii="宋体" w:hAnsi="宋体" w:cs="宋体"/>
          <w:szCs w:val="21"/>
          <w:u w:val="single"/>
        </w:rPr>
        <w:t>广州市净水有限公司</w:t>
      </w:r>
      <w:r>
        <w:rPr>
          <w:rFonts w:hint="eastAsia" w:ascii="宋体" w:hAnsi="宋体" w:cs="宋体"/>
          <w:szCs w:val="21"/>
        </w:rPr>
        <w:t>(以下称甲方)与(以下称乙方)，特此订立本协议共同遵照执行。</w:t>
      </w:r>
    </w:p>
    <w:p>
      <w:pPr>
        <w:spacing w:line="360" w:lineRule="auto"/>
        <w:ind w:firstLine="422" w:firstLineChars="200"/>
        <w:rPr>
          <w:rFonts w:ascii="宋体" w:hAnsi="宋体" w:cs="宋体"/>
          <w:szCs w:val="21"/>
        </w:rPr>
      </w:pPr>
      <w:r>
        <w:rPr>
          <w:rFonts w:hint="eastAsia" w:ascii="宋体" w:hAnsi="宋体" w:cs="宋体"/>
          <w:b/>
          <w:bCs/>
          <w:szCs w:val="21"/>
        </w:rPr>
        <w:t>第一条甲乙双方的权利和义务</w:t>
      </w:r>
    </w:p>
    <w:p>
      <w:pPr>
        <w:spacing w:line="360" w:lineRule="auto"/>
        <w:ind w:firstLine="315" w:firstLineChars="150"/>
        <w:rPr>
          <w:rFonts w:ascii="宋体" w:hAnsi="宋体" w:cs="宋体"/>
          <w:szCs w:val="21"/>
        </w:rPr>
      </w:pPr>
      <w:r>
        <w:rPr>
          <w:rFonts w:hint="eastAsia" w:ascii="宋体" w:hAnsi="宋体" w:cs="宋体"/>
          <w:szCs w:val="21"/>
        </w:rPr>
        <w:t>（一）甲乙双方严格遵守国家关于市场准入、项目招标投标、市场经营活动等有关法律、法规相关政策及廉政建设的各项规定。</w:t>
      </w:r>
    </w:p>
    <w:p>
      <w:pPr>
        <w:spacing w:line="360" w:lineRule="auto"/>
        <w:ind w:firstLine="315" w:firstLineChars="150"/>
        <w:rPr>
          <w:rFonts w:ascii="宋体" w:hAnsi="宋体" w:cs="宋体"/>
          <w:szCs w:val="21"/>
        </w:rPr>
      </w:pPr>
      <w:r>
        <w:rPr>
          <w:rFonts w:hint="eastAsia" w:ascii="宋体" w:hAnsi="宋体" w:cs="宋体"/>
          <w:szCs w:val="21"/>
        </w:rPr>
        <w:t>（二）严格执行</w:t>
      </w:r>
      <w:r>
        <w:rPr>
          <w:rFonts w:hint="eastAsia" w:ascii="宋体" w:hAnsi="宋体" w:cs="宋体"/>
          <w:szCs w:val="21"/>
          <w:u w:val="single"/>
          <w:lang w:val="en-US" w:eastAsia="zh-CN"/>
        </w:rPr>
        <w:t>沥滘三期多媒体互动展示</w:t>
      </w:r>
      <w:r>
        <w:rPr>
          <w:rFonts w:hint="eastAsia" w:ascii="宋体" w:hAnsi="宋体" w:cs="宋体"/>
          <w:szCs w:val="21"/>
          <w:u w:val="single"/>
        </w:rPr>
        <w:t>项目</w:t>
      </w:r>
      <w:r>
        <w:rPr>
          <w:rFonts w:hint="eastAsia" w:ascii="宋体" w:hAnsi="宋体" w:cs="宋体"/>
          <w:szCs w:val="21"/>
        </w:rPr>
        <w:t>合同（以下简称：主合同），自觉履行合同约定的相关义务。</w:t>
      </w:r>
    </w:p>
    <w:p>
      <w:pPr>
        <w:spacing w:line="360" w:lineRule="auto"/>
        <w:ind w:firstLine="315" w:firstLineChars="150"/>
        <w:rPr>
          <w:rFonts w:ascii="宋体" w:hAnsi="宋体" w:cs="宋体"/>
          <w:szCs w:val="21"/>
        </w:rPr>
      </w:pPr>
      <w:r>
        <w:rPr>
          <w:rFonts w:hint="eastAsia" w:ascii="宋体" w:hAnsi="宋体" w:cs="宋体"/>
          <w:szCs w:val="21"/>
        </w:rPr>
        <w:t>（三）在业务活动中坚持公开、公正、诚信、透明的原则，不得损害国家、集体利益。</w:t>
      </w:r>
    </w:p>
    <w:p>
      <w:pPr>
        <w:spacing w:line="360" w:lineRule="auto"/>
        <w:ind w:firstLine="315" w:firstLineChars="150"/>
        <w:rPr>
          <w:rFonts w:ascii="宋体" w:hAnsi="宋体" w:cs="宋体"/>
          <w:szCs w:val="21"/>
        </w:rPr>
      </w:pPr>
      <w:r>
        <w:rPr>
          <w:rFonts w:hint="eastAsia" w:ascii="宋体" w:hAnsi="宋体" w:cs="宋体"/>
          <w:szCs w:val="21"/>
        </w:rPr>
        <w:t>（四）建立健全廉洁从业制度，开展廉洁教育，公布举报电话，监督并认真查处不廉洁及违法违纪行为。</w:t>
      </w:r>
    </w:p>
    <w:p>
      <w:pPr>
        <w:spacing w:line="360" w:lineRule="auto"/>
        <w:ind w:firstLine="315" w:firstLineChars="150"/>
        <w:rPr>
          <w:rFonts w:ascii="宋体" w:hAnsi="宋体" w:cs="宋体"/>
          <w:szCs w:val="21"/>
        </w:rPr>
      </w:pPr>
      <w:r>
        <w:rPr>
          <w:rFonts w:hint="eastAsia" w:ascii="宋体" w:hAnsi="宋体" w:cs="宋体"/>
          <w:szCs w:val="21"/>
        </w:rPr>
        <w:t>（五）发现对方在业务活动中有不廉洁行为，应及时提醒对方纠正。情节严重的，应向其上级有关部门举报，建议给予处理，并有权要求告知处理结果。</w:t>
      </w:r>
    </w:p>
    <w:p>
      <w:pPr>
        <w:spacing w:line="360" w:lineRule="auto"/>
        <w:ind w:firstLine="422" w:firstLineChars="200"/>
        <w:rPr>
          <w:rFonts w:ascii="宋体" w:hAnsi="宋体" w:cs="宋体"/>
          <w:szCs w:val="21"/>
        </w:rPr>
      </w:pPr>
      <w:r>
        <w:rPr>
          <w:rFonts w:hint="eastAsia" w:ascii="宋体" w:hAnsi="宋体" w:cs="宋体"/>
          <w:b/>
          <w:bCs/>
          <w:szCs w:val="21"/>
        </w:rPr>
        <w:t>第二条甲方的义务</w:t>
      </w:r>
    </w:p>
    <w:p>
      <w:pPr>
        <w:spacing w:line="360" w:lineRule="auto"/>
        <w:ind w:firstLine="420" w:firstLineChars="200"/>
        <w:rPr>
          <w:rFonts w:ascii="宋体" w:hAnsi="宋体" w:cs="宋体"/>
          <w:szCs w:val="21"/>
        </w:rPr>
      </w:pPr>
      <w:r>
        <w:rPr>
          <w:rFonts w:hint="eastAsia" w:ascii="宋体" w:hAnsi="宋体" w:cs="宋体"/>
          <w:szCs w:val="21"/>
        </w:rPr>
        <w:t>（一）甲方及其工作人员不得索要或接受乙方的礼金、有价证券和贵重物品，不得在乙方报销任何应由甲方或个人支付的费用等。</w:t>
      </w:r>
    </w:p>
    <w:p>
      <w:pPr>
        <w:spacing w:line="360" w:lineRule="auto"/>
        <w:ind w:firstLine="420" w:firstLineChars="200"/>
        <w:rPr>
          <w:rFonts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20" w:firstLineChars="200"/>
        <w:rPr>
          <w:rFonts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pPr>
        <w:spacing w:line="360" w:lineRule="auto"/>
        <w:ind w:left="15" w:leftChars="7" w:firstLine="420" w:firstLineChars="200"/>
        <w:rPr>
          <w:rFonts w:ascii="宋体" w:hAnsi="宋体" w:cs="宋体"/>
          <w:szCs w:val="21"/>
        </w:rPr>
      </w:pPr>
      <w:r>
        <w:rPr>
          <w:rFonts w:hint="eastAsia" w:ascii="宋体" w:hAnsi="宋体" w:cs="宋体"/>
          <w:szCs w:val="21"/>
        </w:rPr>
        <w:t>（四）甲方工作人员不得在乙方或与乙方有股权关联的企业兼职，不得向乙方介绍家属或者亲友从事与甲方业务有关的经济活动。</w:t>
      </w:r>
    </w:p>
    <w:p>
      <w:pPr>
        <w:spacing w:line="360" w:lineRule="auto"/>
        <w:ind w:left="15" w:leftChars="7" w:firstLine="420" w:firstLineChars="200"/>
        <w:rPr>
          <w:rFonts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20" w:firstLineChars="200"/>
        <w:rPr>
          <w:rFonts w:ascii="宋体" w:hAnsi="宋体" w:cs="宋体"/>
          <w:szCs w:val="21"/>
        </w:rPr>
      </w:pPr>
      <w:r>
        <w:rPr>
          <w:rFonts w:hint="eastAsia" w:ascii="宋体" w:hAnsi="宋体" w:cs="宋体"/>
          <w:szCs w:val="21"/>
        </w:rPr>
        <w:t>（六）甲方工作人员不得利用职务之便收受乙方以回扣、手续费、加班费、咨询费、劳务费、协调费、辛苦费等各种名义给予或赠送的钱物。</w:t>
      </w:r>
    </w:p>
    <w:p>
      <w:pPr>
        <w:spacing w:line="360" w:lineRule="auto"/>
        <w:ind w:left="15" w:leftChars="7" w:firstLine="420" w:firstLineChars="200"/>
        <w:rPr>
          <w:rFonts w:ascii="宋体" w:hAnsi="宋体" w:cs="宋体"/>
          <w:szCs w:val="21"/>
        </w:rPr>
      </w:pPr>
      <w:r>
        <w:rPr>
          <w:rFonts w:hint="eastAsia" w:ascii="宋体" w:hAnsi="宋体" w:cs="宋体"/>
          <w:szCs w:val="21"/>
        </w:rPr>
        <w:t>（七）甲方工作人员不得接受乙方给予或赠送的干股或红利。</w:t>
      </w:r>
    </w:p>
    <w:p>
      <w:pPr>
        <w:spacing w:line="360" w:lineRule="auto"/>
        <w:ind w:firstLine="422" w:firstLineChars="200"/>
        <w:rPr>
          <w:rFonts w:ascii="宋体" w:hAnsi="宋体" w:cs="宋体"/>
          <w:szCs w:val="21"/>
        </w:rPr>
      </w:pPr>
      <w:r>
        <w:rPr>
          <w:rFonts w:hint="eastAsia" w:ascii="宋体" w:hAnsi="宋体" w:cs="宋体"/>
          <w:b/>
          <w:bCs/>
          <w:szCs w:val="21"/>
        </w:rPr>
        <w:t>第三条乙方的义务</w:t>
      </w:r>
    </w:p>
    <w:p>
      <w:pPr>
        <w:spacing w:line="360" w:lineRule="auto"/>
        <w:ind w:firstLine="420" w:firstLineChars="200"/>
        <w:rPr>
          <w:rFonts w:ascii="宋体" w:hAnsi="宋体" w:cs="宋体"/>
          <w:szCs w:val="21"/>
        </w:rPr>
      </w:pPr>
      <w:r>
        <w:rPr>
          <w:rFonts w:hint="eastAsia" w:ascii="宋体" w:hAnsi="宋体" w:cs="宋体"/>
          <w:szCs w:val="21"/>
        </w:rPr>
        <w:t>（一）乙方不得以任何理由向甲方及其工作人员行贿或馈赠礼金、有价证券、贵重礼品。</w:t>
      </w:r>
    </w:p>
    <w:p>
      <w:pPr>
        <w:spacing w:line="360" w:lineRule="auto"/>
        <w:ind w:firstLine="420" w:firstLineChars="200"/>
        <w:rPr>
          <w:rFonts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360" w:lineRule="auto"/>
        <w:ind w:left="25" w:leftChars="12" w:firstLine="420" w:firstLineChars="200"/>
        <w:rPr>
          <w:rFonts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pPr>
        <w:pStyle w:val="15"/>
        <w:rPr>
          <w:rFonts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pPr>
        <w:spacing w:line="360" w:lineRule="auto"/>
        <w:ind w:firstLine="420" w:firstLineChars="200"/>
        <w:rPr>
          <w:rFonts w:ascii="宋体" w:hAnsi="宋体" w:cs="宋体"/>
          <w:szCs w:val="21"/>
        </w:rPr>
      </w:pPr>
      <w:r>
        <w:rPr>
          <w:rFonts w:hint="eastAsia" w:ascii="宋体" w:hAnsi="宋体" w:cs="宋体"/>
          <w:szCs w:val="21"/>
        </w:rPr>
        <w:t>（五）乙方不得擅自与甲方工作人员就合同中的质量、数量、价格、工程量、验收等条款进行私下商谈或者达成默契。</w:t>
      </w:r>
    </w:p>
    <w:p>
      <w:pPr>
        <w:spacing w:line="360" w:lineRule="auto"/>
        <w:ind w:firstLine="420" w:firstLineChars="200"/>
        <w:rPr>
          <w:rFonts w:ascii="宋体" w:hAnsi="宋体" w:cs="宋体"/>
          <w:szCs w:val="21"/>
        </w:rPr>
      </w:pPr>
      <w:r>
        <w:rPr>
          <w:rFonts w:hint="eastAsia" w:ascii="宋体" w:hAnsi="宋体" w:cs="宋体"/>
          <w:szCs w:val="21"/>
        </w:rPr>
        <w:t>（六）乙方不得以回扣、手续费、加班费、咨询费、劳务费、协调费、辛苦费等各种名义向甲方工作人员给予或赠送钱物。</w:t>
      </w:r>
    </w:p>
    <w:p>
      <w:pPr>
        <w:spacing w:line="360" w:lineRule="auto"/>
        <w:ind w:firstLine="420" w:firstLineChars="200"/>
        <w:rPr>
          <w:rFonts w:ascii="宋体" w:hAnsi="宋体" w:cs="宋体"/>
          <w:szCs w:val="21"/>
        </w:rPr>
      </w:pPr>
      <w:r>
        <w:rPr>
          <w:rFonts w:hint="eastAsia" w:ascii="宋体" w:hAnsi="宋体" w:cs="宋体"/>
          <w:szCs w:val="21"/>
        </w:rPr>
        <w:t>（七）乙方不得向甲方工作人员提供干股或红利。</w:t>
      </w:r>
    </w:p>
    <w:p>
      <w:pPr>
        <w:spacing w:line="360" w:lineRule="auto"/>
        <w:ind w:firstLine="422" w:firstLineChars="200"/>
        <w:rPr>
          <w:rFonts w:ascii="宋体" w:hAnsi="宋体" w:cs="宋体"/>
          <w:szCs w:val="21"/>
        </w:rPr>
      </w:pPr>
      <w:r>
        <w:rPr>
          <w:rFonts w:hint="eastAsia" w:ascii="宋体" w:hAnsi="宋体" w:cs="宋体"/>
          <w:b/>
          <w:bCs/>
          <w:szCs w:val="21"/>
        </w:rPr>
        <w:t>第四条违约责任</w:t>
      </w:r>
    </w:p>
    <w:p>
      <w:pPr>
        <w:spacing w:line="360" w:lineRule="auto"/>
        <w:ind w:firstLine="420" w:firstLineChars="200"/>
        <w:rPr>
          <w:rFonts w:ascii="宋体" w:hAnsi="宋体" w:cs="宋体"/>
          <w:szCs w:val="21"/>
        </w:rPr>
      </w:pPr>
      <w:r>
        <w:rPr>
          <w:rFonts w:hint="eastAsia" w:ascii="宋体" w:hAnsi="宋体" w:cs="宋体"/>
          <w:szCs w:val="21"/>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20" w:firstLineChars="200"/>
        <w:rPr>
          <w:rFonts w:ascii="宋体" w:hAnsi="宋体" w:cs="宋体"/>
          <w:szCs w:val="21"/>
        </w:rPr>
      </w:pPr>
      <w:r>
        <w:rPr>
          <w:rFonts w:hint="eastAsia" w:ascii="宋体" w:hAnsi="宋体" w:cs="宋体"/>
          <w:szCs w:val="21"/>
        </w:rPr>
        <w:t>甲方举报投诉联系部门：广州市净水有限公司</w:t>
      </w:r>
      <w:r>
        <w:rPr>
          <w:rFonts w:hint="eastAsia" w:ascii="宋体" w:hAnsi="宋体" w:cs="宋体"/>
          <w:szCs w:val="21"/>
          <w:u w:val="single"/>
        </w:rPr>
        <w:t>纪检室</w:t>
      </w:r>
      <w:r>
        <w:rPr>
          <w:rFonts w:hint="eastAsia" w:ascii="宋体" w:hAnsi="宋体" w:cs="宋体"/>
          <w:szCs w:val="21"/>
        </w:rPr>
        <w:t>，联系电话：</w:t>
      </w:r>
      <w:r>
        <w:rPr>
          <w:rFonts w:hint="eastAsia" w:ascii="宋体" w:hAnsi="宋体" w:cs="宋体"/>
          <w:szCs w:val="21"/>
          <w:u w:val="single"/>
        </w:rPr>
        <w:t xml:space="preserve"> 020-38890265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（二）乙方及其工作人员违反本协议第一、三条。根据具体情节和造成的后果，甲方有权对乙方采取以下一种或多种处理办法：</w:t>
      </w:r>
    </w:p>
    <w:p>
      <w:pPr>
        <w:spacing w:line="360" w:lineRule="auto"/>
        <w:ind w:firstLine="420" w:firstLineChars="200"/>
        <w:rPr>
          <w:rFonts w:ascii="宋体" w:hAnsi="宋体" w:cs="宋体"/>
          <w:szCs w:val="21"/>
        </w:rPr>
      </w:pPr>
      <w:r>
        <w:rPr>
          <w:rFonts w:hint="eastAsia" w:ascii="宋体" w:hAnsi="宋体" w:cs="宋体"/>
          <w:szCs w:val="21"/>
        </w:rPr>
        <w:t>1、扣除乙方全部履约保证金；</w:t>
      </w:r>
    </w:p>
    <w:p>
      <w:pPr>
        <w:spacing w:line="360" w:lineRule="auto"/>
        <w:ind w:firstLine="420" w:firstLineChars="200"/>
        <w:rPr>
          <w:rFonts w:ascii="宋体" w:hAnsi="宋体" w:cs="宋体"/>
          <w:szCs w:val="21"/>
        </w:rPr>
      </w:pPr>
      <w:r>
        <w:rPr>
          <w:rFonts w:hint="eastAsia" w:ascii="宋体" w:hAnsi="宋体" w:cs="宋体"/>
          <w:szCs w:val="21"/>
        </w:rPr>
        <w:t>2、解除主合同；</w:t>
      </w:r>
    </w:p>
    <w:p>
      <w:pPr>
        <w:spacing w:line="360" w:lineRule="auto"/>
        <w:ind w:firstLine="420" w:firstLineChars="200"/>
        <w:rPr>
          <w:rFonts w:ascii="宋体" w:hAnsi="宋体" w:cs="宋体"/>
          <w:szCs w:val="21"/>
        </w:rPr>
      </w:pPr>
      <w:r>
        <w:rPr>
          <w:rFonts w:hint="eastAsia" w:ascii="宋体" w:hAnsi="宋体" w:cs="宋体"/>
          <w:szCs w:val="21"/>
        </w:rPr>
        <w:t>3、追究乙方合同其他违约责任；</w:t>
      </w:r>
    </w:p>
    <w:p>
      <w:pPr>
        <w:spacing w:line="360" w:lineRule="auto"/>
        <w:ind w:firstLine="420" w:firstLineChars="200"/>
        <w:rPr>
          <w:rFonts w:ascii="宋体" w:hAnsi="宋体" w:cs="宋体"/>
          <w:szCs w:val="21"/>
        </w:rPr>
      </w:pPr>
      <w:r>
        <w:rPr>
          <w:rFonts w:hint="eastAsia" w:ascii="宋体" w:hAnsi="宋体" w:cs="宋体"/>
          <w:szCs w:val="21"/>
        </w:rPr>
        <w:t>4、根据甲方及其上级单位、主管部门的有关规定，对乙方违反廉洁协议的行为限制其参与招投标活动的资格。</w:t>
      </w:r>
    </w:p>
    <w:p>
      <w:pPr>
        <w:spacing w:line="360" w:lineRule="auto"/>
        <w:ind w:firstLine="420" w:firstLineChars="200"/>
        <w:rPr>
          <w:rFonts w:ascii="宋体" w:hAnsi="宋体" w:cs="宋体"/>
          <w:szCs w:val="21"/>
        </w:rPr>
      </w:pPr>
      <w:r>
        <w:rPr>
          <w:rFonts w:hint="eastAsia" w:ascii="宋体" w:hAnsi="宋体" w:cs="宋体"/>
          <w:szCs w:val="21"/>
        </w:rPr>
        <w:t>乙方无条件接受甲方处理意见并承担给甲方造成的损失，全额返还用不正当手段获取的非法所得，并承担相应的法律责任。</w:t>
      </w:r>
    </w:p>
    <w:p>
      <w:pPr>
        <w:rPr>
          <w:rFonts w:ascii="宋体" w:hAnsi="宋体" w:cs="宋体"/>
          <w:kern w:val="0"/>
          <w:szCs w:val="21"/>
        </w:rPr>
      </w:pPr>
      <w:r>
        <w:rPr>
          <w:rFonts w:hint="eastAsia" w:ascii="宋体" w:hAnsi="宋体" w:cs="宋体"/>
          <w:b/>
          <w:bCs/>
          <w:szCs w:val="21"/>
        </w:rPr>
        <w:t xml:space="preserve">第五条 </w:t>
      </w:r>
      <w:r>
        <w:rPr>
          <w:rFonts w:hint="eastAsia" w:ascii="宋体" w:hAnsi="宋体" w:cs="宋体"/>
          <w:kern w:val="0"/>
          <w:szCs w:val="21"/>
        </w:rPr>
        <w:t xml:space="preserve">本协议执行情况，接受有管辖权的纪检、监察部门的监督，双方应予以配合检查调查。 </w:t>
      </w:r>
    </w:p>
    <w:p>
      <w:pPr>
        <w:spacing w:line="360" w:lineRule="auto"/>
        <w:ind w:firstLine="422" w:firstLineChars="200"/>
        <w:rPr>
          <w:rFonts w:ascii="宋体" w:hAnsi="宋体" w:cs="宋体"/>
          <w:szCs w:val="21"/>
        </w:rPr>
      </w:pPr>
      <w:r>
        <w:rPr>
          <w:rFonts w:hint="eastAsia" w:ascii="宋体" w:hAnsi="宋体" w:cs="宋体"/>
          <w:b/>
          <w:szCs w:val="21"/>
        </w:rPr>
        <w:t>第六条</w:t>
      </w:r>
      <w:r>
        <w:rPr>
          <w:rFonts w:hint="eastAsia" w:ascii="宋体" w:hAnsi="宋体" w:cs="宋体"/>
          <w:szCs w:val="21"/>
        </w:rPr>
        <w:t>本协议作为</w:t>
      </w:r>
      <w:r>
        <w:rPr>
          <w:rFonts w:hint="eastAsia" w:ascii="宋体" w:hAnsi="宋体" w:cs="宋体"/>
          <w:szCs w:val="21"/>
          <w:u w:val="single"/>
          <w:lang w:val="en-US" w:eastAsia="zh-CN"/>
        </w:rPr>
        <w:t>沥滘三期多媒体互动展示</w:t>
      </w:r>
      <w:r>
        <w:rPr>
          <w:rFonts w:hint="eastAsia" w:ascii="宋体" w:hAnsi="宋体" w:cs="宋体"/>
          <w:szCs w:val="21"/>
          <w:u w:val="single"/>
        </w:rPr>
        <w:t>项目合同</w:t>
      </w:r>
      <w:r>
        <w:rPr>
          <w:rFonts w:hint="eastAsia" w:ascii="宋体" w:hAnsi="宋体" w:cs="宋体"/>
          <w:szCs w:val="21"/>
          <w:u w:val="single"/>
          <w:lang w:eastAsia="zh-CN"/>
        </w:rPr>
        <w:t>（</w:t>
      </w:r>
      <w:r>
        <w:rPr>
          <w:rFonts w:hint="eastAsia" w:ascii="宋体" w:hAnsi="宋体" w:cs="宋体"/>
          <w:szCs w:val="21"/>
          <w:u w:val="single"/>
        </w:rPr>
        <w:t>穗净水合[     ]    号</w:t>
      </w:r>
      <w:r>
        <w:rPr>
          <w:rFonts w:hint="eastAsia" w:ascii="宋体" w:hAnsi="宋体" w:cs="宋体"/>
          <w:szCs w:val="21"/>
          <w:u w:val="single"/>
          <w:lang w:eastAsia="zh-CN"/>
        </w:rPr>
        <w:t>）</w:t>
      </w:r>
      <w:r>
        <w:rPr>
          <w:rFonts w:hint="eastAsia" w:ascii="宋体" w:hAnsi="宋体" w:cs="宋体"/>
          <w:szCs w:val="21"/>
        </w:rPr>
        <w:t>的</w:t>
      </w:r>
      <w:r>
        <w:rPr>
          <w:rFonts w:hint="eastAsia" w:ascii="宋体" w:hAnsi="宋体" w:cs="宋体"/>
          <w:szCs w:val="21"/>
          <w:lang w:val="en-US" w:eastAsia="zh-CN"/>
        </w:rPr>
        <w:t>合同</w:t>
      </w:r>
      <w:r>
        <w:rPr>
          <w:rFonts w:hint="eastAsia" w:ascii="宋体" w:hAnsi="宋体" w:cs="宋体"/>
          <w:szCs w:val="21"/>
        </w:rPr>
        <w:t>附件，并具有同等的法律效力，本协议自双方签字盖章之日起生效，与主合同同时终止。</w:t>
      </w:r>
    </w:p>
    <w:p>
      <w:pPr>
        <w:spacing w:line="360" w:lineRule="auto"/>
        <w:ind w:firstLine="422" w:firstLineChars="200"/>
        <w:rPr>
          <w:rFonts w:ascii="宋体" w:hAnsi="宋体" w:cs="宋体"/>
          <w:szCs w:val="21"/>
        </w:rPr>
      </w:pPr>
      <w:r>
        <w:rPr>
          <w:rFonts w:hint="eastAsia" w:ascii="宋体" w:hAnsi="宋体" w:cs="宋体"/>
          <w:b/>
          <w:szCs w:val="21"/>
        </w:rPr>
        <w:t>第七条</w:t>
      </w:r>
      <w:r>
        <w:rPr>
          <w:rFonts w:hint="eastAsia" w:ascii="宋体" w:hAnsi="宋体" w:cs="宋体"/>
          <w:szCs w:val="21"/>
        </w:rPr>
        <w:t>本协议一式</w:t>
      </w:r>
      <w:r>
        <w:rPr>
          <w:rFonts w:hint="eastAsia" w:ascii="宋体" w:hAnsi="宋体" w:cs="宋体"/>
          <w:szCs w:val="21"/>
          <w:u w:val="single"/>
        </w:rPr>
        <w:t xml:space="preserve"> …  </w:t>
      </w:r>
      <w:r>
        <w:rPr>
          <w:rFonts w:hint="eastAsia" w:ascii="宋体" w:hAnsi="宋体" w:cs="宋体"/>
          <w:szCs w:val="21"/>
        </w:rPr>
        <w:t>份，甲方</w:t>
      </w:r>
      <w:r>
        <w:rPr>
          <w:rFonts w:hint="eastAsia" w:ascii="宋体" w:hAnsi="宋体" w:cs="宋体"/>
          <w:szCs w:val="21"/>
          <w:u w:val="single"/>
        </w:rPr>
        <w:t xml:space="preserve"> … </w:t>
      </w:r>
      <w:r>
        <w:rPr>
          <w:rFonts w:hint="eastAsia" w:ascii="宋体" w:hAnsi="宋体" w:cs="宋体"/>
          <w:szCs w:val="21"/>
        </w:rPr>
        <w:t>份，乙方</w:t>
      </w:r>
      <w:r>
        <w:rPr>
          <w:rFonts w:hint="eastAsia" w:ascii="宋体" w:hAnsi="宋体" w:cs="宋体"/>
          <w:szCs w:val="21"/>
          <w:u w:val="single"/>
        </w:rPr>
        <w:t>…</w:t>
      </w:r>
      <w:r>
        <w:rPr>
          <w:rFonts w:hint="eastAsia" w:ascii="宋体" w:hAnsi="宋体" w:cs="宋体"/>
          <w:szCs w:val="21"/>
        </w:rPr>
        <w:t>份。</w:t>
      </w:r>
    </w:p>
    <w:p>
      <w:pPr>
        <w:spacing w:line="360" w:lineRule="auto"/>
        <w:ind w:firstLine="420" w:firstLineChars="200"/>
        <w:rPr>
          <w:rFonts w:ascii="宋体" w:hAnsi="宋体" w:cs="宋体"/>
          <w:szCs w:val="21"/>
        </w:rPr>
      </w:pPr>
    </w:p>
    <w:p>
      <w:pPr>
        <w:spacing w:line="360" w:lineRule="auto"/>
        <w:rPr>
          <w:rFonts w:ascii="宋体" w:hAnsi="宋体" w:cs="宋体"/>
          <w:szCs w:val="21"/>
        </w:rPr>
      </w:pPr>
      <w:r>
        <w:rPr>
          <w:rFonts w:hint="eastAsia" w:ascii="宋体" w:hAnsi="宋体" w:cs="宋体"/>
          <w:szCs w:val="21"/>
        </w:rPr>
        <w:br w:type="textWrapping"/>
      </w:r>
      <w:r>
        <w:rPr>
          <w:rFonts w:hint="eastAsia" w:ascii="宋体" w:hAnsi="宋体" w:cs="宋体"/>
          <w:szCs w:val="21"/>
        </w:rPr>
        <w:t>甲方（盖章）：                     乙方（盖章）：</w:t>
      </w:r>
    </w:p>
    <w:p>
      <w:pPr>
        <w:pStyle w:val="45"/>
        <w:tabs>
          <w:tab w:val="left" w:pos="5100"/>
        </w:tabs>
        <w:spacing w:line="360" w:lineRule="auto"/>
        <w:ind w:left="7200" w:firstLine="0" w:firstLineChars="0"/>
        <w:jc w:val="left"/>
        <w:rPr>
          <w:rFonts w:ascii="宋体" w:hAnsi="宋体" w:cs="宋体"/>
          <w:szCs w:val="21"/>
        </w:rPr>
      </w:pPr>
    </w:p>
    <w:p>
      <w:pPr>
        <w:tabs>
          <w:tab w:val="left" w:pos="5100"/>
        </w:tabs>
        <w:spacing w:line="360" w:lineRule="auto"/>
        <w:ind w:left="6300" w:hanging="6300" w:hangingChars="3000"/>
        <w:rPr>
          <w:rFonts w:ascii="宋体" w:hAnsi="宋体" w:cs="宋体"/>
          <w:szCs w:val="21"/>
        </w:rPr>
      </w:pPr>
      <w:r>
        <w:rPr>
          <w:rFonts w:hint="eastAsia" w:ascii="宋体" w:hAnsi="宋体" w:cs="宋体"/>
          <w:szCs w:val="21"/>
        </w:rPr>
        <w:t>签约代表：                         签约代表：</w:t>
      </w:r>
    </w:p>
    <w:p>
      <w:pPr>
        <w:tabs>
          <w:tab w:val="left" w:pos="4170"/>
        </w:tabs>
        <w:spacing w:line="360" w:lineRule="auto"/>
        <w:rPr>
          <w:rFonts w:ascii="宋体" w:hAnsi="宋体" w:cs="宋体"/>
          <w:szCs w:val="21"/>
        </w:rPr>
      </w:pPr>
      <w:r>
        <w:rPr>
          <w:rFonts w:hint="eastAsia" w:ascii="宋体" w:hAnsi="宋体" w:cs="宋体"/>
          <w:szCs w:val="21"/>
        </w:rPr>
        <w:t>日期:    年  月  日</w:t>
      </w:r>
      <w:r>
        <w:rPr>
          <w:rFonts w:hint="eastAsia" w:ascii="宋体" w:hAnsi="宋体" w:cs="宋体"/>
          <w:szCs w:val="21"/>
        </w:rPr>
        <w:tab/>
      </w:r>
      <w:r>
        <w:rPr>
          <w:rFonts w:hint="eastAsia" w:ascii="宋体" w:hAnsi="宋体" w:cs="宋体"/>
          <w:szCs w:val="21"/>
        </w:rPr>
        <w:t>日期：  年  月  日</w:t>
      </w:r>
    </w:p>
    <w:p>
      <w:pPr>
        <w:rPr>
          <w:rFonts w:hint="eastAsia" w:ascii="宋体" w:hAnsi="宋体" w:cs="宋体"/>
          <w:szCs w:val="21"/>
        </w:rPr>
      </w:pPr>
      <w:r>
        <w:rPr>
          <w:rFonts w:hint="eastAsia" w:ascii="宋体" w:hAnsi="宋体" w:cs="宋体"/>
          <w:szCs w:val="21"/>
        </w:rPr>
        <w:br w:type="page"/>
      </w:r>
    </w:p>
    <w:p>
      <w:pPr>
        <w:spacing w:line="540" w:lineRule="exact"/>
        <w:rPr>
          <w:rFonts w:ascii="宋体" w:hAnsi="宋体" w:cs="宋体"/>
          <w:szCs w:val="21"/>
        </w:rPr>
      </w:pPr>
      <w:r>
        <w:rPr>
          <w:rFonts w:hint="eastAsia" w:ascii="宋体" w:hAnsi="宋体" w:cs="宋体"/>
          <w:szCs w:val="21"/>
        </w:rPr>
        <w:t>附件3</w:t>
      </w:r>
    </w:p>
    <w:p>
      <w:pPr>
        <w:spacing w:line="560" w:lineRule="exact"/>
        <w:jc w:val="center"/>
        <w:rPr>
          <w:rFonts w:ascii="宋体" w:hAnsi="宋体" w:cs="宋体"/>
          <w:b/>
          <w:szCs w:val="21"/>
        </w:rPr>
      </w:pPr>
      <w:r>
        <w:rPr>
          <w:rFonts w:hint="eastAsia" w:ascii="宋体" w:hAnsi="宋体" w:cs="宋体"/>
          <w:b/>
          <w:szCs w:val="21"/>
          <w:u w:val="single"/>
          <w:lang w:eastAsia="zh-CN"/>
        </w:rPr>
        <w:t>沥滘三期多媒体互动展示</w:t>
      </w:r>
      <w:r>
        <w:rPr>
          <w:rFonts w:hint="eastAsia" w:ascii="宋体" w:hAnsi="宋体" w:cs="宋体"/>
          <w:b/>
          <w:szCs w:val="21"/>
          <w:u w:val="single"/>
        </w:rPr>
        <w:t xml:space="preserve">项目 </w:t>
      </w:r>
      <w:r>
        <w:rPr>
          <w:rFonts w:hint="eastAsia" w:ascii="宋体" w:hAnsi="宋体" w:cs="宋体"/>
          <w:b/>
          <w:szCs w:val="21"/>
        </w:rPr>
        <w:t>保密协议</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甲方：广州市净水有限公司</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甲乙双方就</w:t>
      </w:r>
      <w:r>
        <w:rPr>
          <w:rFonts w:hint="eastAsia" w:ascii="宋体" w:hAnsi="宋体" w:cs="宋体"/>
          <w:szCs w:val="21"/>
          <w:u w:val="single"/>
        </w:rPr>
        <w:t xml:space="preserve">  </w:t>
      </w:r>
      <w:r>
        <w:rPr>
          <w:rFonts w:hint="eastAsia" w:ascii="宋体" w:hAnsi="宋体" w:cs="宋体"/>
          <w:szCs w:val="21"/>
          <w:u w:val="single"/>
          <w:lang w:eastAsia="zh-CN"/>
        </w:rPr>
        <w:t>沥滘三期多媒体互动展示</w:t>
      </w:r>
      <w:r>
        <w:rPr>
          <w:rFonts w:hint="eastAsia" w:ascii="宋体" w:hAnsi="宋体" w:cs="宋体"/>
          <w:szCs w:val="21"/>
          <w:u w:val="single"/>
        </w:rPr>
        <w:t xml:space="preserve">项目 </w:t>
      </w:r>
      <w:r>
        <w:rPr>
          <w:rFonts w:hint="eastAsia" w:ascii="宋体" w:hAnsi="宋体" w:cs="宋体"/>
          <w:szCs w:val="21"/>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45"/>
        <w:kinsoku w:val="0"/>
        <w:overflowPunct w:val="0"/>
        <w:autoSpaceDE w:val="0"/>
        <w:autoSpaceDN w:val="0"/>
        <w:spacing w:line="440" w:lineRule="exact"/>
        <w:ind w:left="420" w:firstLine="0" w:firstLineChars="0"/>
        <w:jc w:val="left"/>
        <w:textAlignment w:val="baseline"/>
        <w:rPr>
          <w:rFonts w:ascii="宋体" w:hAnsi="宋体" w:cs="宋体"/>
          <w:szCs w:val="21"/>
        </w:rPr>
      </w:pPr>
      <w:r>
        <w:rPr>
          <w:rFonts w:hint="eastAsia" w:ascii="宋体" w:hAnsi="宋体" w:cs="宋体"/>
          <w:szCs w:val="21"/>
        </w:rPr>
        <w:t>二、保密义务</w:t>
      </w:r>
    </w:p>
    <w:p>
      <w:pPr>
        <w:pStyle w:val="45"/>
        <w:kinsoku w:val="0"/>
        <w:overflowPunct w:val="0"/>
        <w:autoSpaceDE w:val="0"/>
        <w:autoSpaceDN w:val="0"/>
        <w:spacing w:line="440" w:lineRule="exact"/>
        <w:ind w:left="420" w:firstLine="105" w:firstLineChars="50"/>
        <w:jc w:val="left"/>
        <w:textAlignment w:val="baseline"/>
        <w:rPr>
          <w:rFonts w:ascii="宋体" w:hAnsi="宋体" w:cs="宋体"/>
          <w:szCs w:val="21"/>
        </w:rPr>
      </w:pPr>
      <w:r>
        <w:rPr>
          <w:rFonts w:hint="eastAsia" w:ascii="宋体" w:hAnsi="宋体" w:cs="宋体"/>
          <w:szCs w:val="21"/>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管，不得遗失、转借、复印。</w:t>
      </w:r>
    </w:p>
    <w:p>
      <w:pPr>
        <w:pStyle w:val="45"/>
        <w:kinsoku w:val="0"/>
        <w:overflowPunct w:val="0"/>
        <w:autoSpaceDE w:val="0"/>
        <w:autoSpaceDN w:val="0"/>
        <w:spacing w:line="440" w:lineRule="exact"/>
        <w:ind w:left="420" w:firstLine="105" w:firstLineChars="50"/>
        <w:jc w:val="left"/>
        <w:textAlignment w:val="baseline"/>
        <w:rPr>
          <w:rFonts w:ascii="宋体" w:hAnsi="宋体" w:cs="宋体"/>
          <w:szCs w:val="21"/>
        </w:rPr>
      </w:pPr>
      <w:r>
        <w:rPr>
          <w:rFonts w:hint="eastAsia" w:ascii="宋体" w:hAnsi="宋体" w:cs="宋体"/>
          <w:szCs w:val="21"/>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szCs w:val="21"/>
        </w:rPr>
      </w:pPr>
      <w:r>
        <w:rPr>
          <w:rFonts w:hint="eastAsia" w:ascii="宋体" w:hAnsi="宋体" w:cs="宋体"/>
          <w:szCs w:val="21"/>
        </w:rPr>
        <w:t>三、本协议作为</w:t>
      </w:r>
      <w:r>
        <w:rPr>
          <w:rFonts w:hint="eastAsia" w:ascii="宋体" w:hAnsi="宋体" w:cs="宋体"/>
          <w:szCs w:val="21"/>
          <w:u w:val="single"/>
          <w:lang w:eastAsia="zh-CN"/>
        </w:rPr>
        <w:t>沥滘三期多媒体互动展示</w:t>
      </w:r>
      <w:r>
        <w:rPr>
          <w:rFonts w:hint="eastAsia" w:ascii="宋体" w:hAnsi="宋体" w:cs="宋体"/>
          <w:szCs w:val="21"/>
          <w:u w:val="single"/>
        </w:rPr>
        <w:t>项目合同</w:t>
      </w:r>
      <w:r>
        <w:rPr>
          <w:rFonts w:hint="eastAsia" w:ascii="宋体" w:hAnsi="宋体" w:cs="宋体"/>
          <w:szCs w:val="21"/>
          <w:u w:val="single"/>
          <w:lang w:eastAsia="zh-CN"/>
        </w:rPr>
        <w:t>（</w:t>
      </w:r>
      <w:r>
        <w:rPr>
          <w:rFonts w:hint="eastAsia" w:ascii="宋体" w:hAnsi="宋体" w:cs="宋体"/>
          <w:szCs w:val="21"/>
          <w:u w:val="single"/>
        </w:rPr>
        <w:t>穗净水合[     ]    号</w:t>
      </w:r>
      <w:r>
        <w:rPr>
          <w:rFonts w:hint="eastAsia" w:ascii="宋体" w:hAnsi="宋体" w:cs="宋体"/>
          <w:szCs w:val="21"/>
          <w:u w:val="single"/>
          <w:lang w:eastAsia="zh-CN"/>
        </w:rPr>
        <w:t>）</w:t>
      </w:r>
      <w:r>
        <w:rPr>
          <w:rFonts w:hint="eastAsia" w:ascii="宋体" w:hAnsi="宋体" w:cs="宋体"/>
          <w:szCs w:val="21"/>
        </w:rPr>
        <w:t>的</w:t>
      </w:r>
      <w:r>
        <w:rPr>
          <w:rFonts w:hint="eastAsia" w:ascii="宋体" w:hAnsi="宋体" w:cs="宋体"/>
          <w:szCs w:val="21"/>
          <w:lang w:val="en-US" w:eastAsia="zh-CN"/>
        </w:rPr>
        <w:t>合同</w:t>
      </w:r>
      <w:r>
        <w:rPr>
          <w:rFonts w:hint="eastAsia" w:ascii="宋体" w:hAnsi="宋体" w:cs="宋体"/>
          <w:szCs w:val="21"/>
        </w:rPr>
        <w:t>附件，并具有同等的法律效力，本协议自双方签字盖章之日起生效，与主合同同时终止。</w:t>
      </w:r>
    </w:p>
    <w:p>
      <w:pPr>
        <w:spacing w:line="440" w:lineRule="exact"/>
        <w:ind w:firstLine="420" w:firstLineChars="200"/>
        <w:rPr>
          <w:rFonts w:ascii="宋体" w:hAnsi="宋体" w:cs="宋体"/>
          <w:szCs w:val="21"/>
        </w:rPr>
      </w:pPr>
      <w:r>
        <w:rPr>
          <w:rFonts w:hint="eastAsia" w:ascii="宋体" w:hAnsi="宋体" w:cs="宋体"/>
          <w:szCs w:val="21"/>
        </w:rPr>
        <w:t>四、本协议一式</w:t>
      </w:r>
      <w:r>
        <w:rPr>
          <w:rFonts w:hint="eastAsia" w:ascii="宋体" w:hAnsi="宋体" w:cs="宋体"/>
          <w:szCs w:val="21"/>
          <w:u w:val="single"/>
        </w:rPr>
        <w:t xml:space="preserve">… </w:t>
      </w:r>
      <w:r>
        <w:rPr>
          <w:rFonts w:hint="eastAsia" w:ascii="宋体" w:hAnsi="宋体" w:cs="宋体"/>
          <w:szCs w:val="21"/>
        </w:rPr>
        <w:t>份，甲方执</w:t>
      </w:r>
      <w:r>
        <w:rPr>
          <w:rFonts w:hint="eastAsia" w:ascii="宋体" w:hAnsi="宋体" w:cs="宋体"/>
          <w:szCs w:val="21"/>
          <w:u w:val="single"/>
        </w:rPr>
        <w:t xml:space="preserve"> … </w:t>
      </w:r>
      <w:r>
        <w:rPr>
          <w:rFonts w:hint="eastAsia" w:ascii="宋体" w:hAnsi="宋体" w:cs="宋体"/>
          <w:szCs w:val="21"/>
        </w:rPr>
        <w:t>份，乙方执</w:t>
      </w:r>
      <w:r>
        <w:rPr>
          <w:rFonts w:hint="eastAsia" w:ascii="宋体" w:hAnsi="宋体" w:cs="宋体"/>
          <w:szCs w:val="21"/>
          <w:u w:val="single"/>
        </w:rPr>
        <w:t xml:space="preserve"> … </w:t>
      </w:r>
      <w:r>
        <w:rPr>
          <w:rFonts w:hint="eastAsia" w:ascii="宋体" w:hAnsi="宋体" w:cs="宋体"/>
          <w:szCs w:val="21"/>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r>
        <w:rPr>
          <w:rFonts w:hint="eastAsia" w:ascii="宋体" w:hAnsi="宋体" w:cs="宋体"/>
          <w:szCs w:val="21"/>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 xml:space="preserve">日期：                       日期：  </w:t>
      </w:r>
    </w:p>
    <w:p>
      <w:pPr>
        <w:spacing w:line="540" w:lineRule="exact"/>
        <w:rPr>
          <w:rFonts w:ascii="宋体" w:hAnsi="宋体" w:cs="宋体"/>
          <w:szCs w:val="21"/>
        </w:rPr>
      </w:pPr>
    </w:p>
    <w:p>
      <w:pPr>
        <w:spacing w:line="540" w:lineRule="exact"/>
        <w:rPr>
          <w:rFonts w:ascii="宋体" w:hAnsi="宋体" w:cs="宋体"/>
          <w:szCs w:val="21"/>
        </w:rPr>
      </w:pPr>
    </w:p>
    <w:p>
      <w:pPr>
        <w:rPr>
          <w:rFonts w:hint="eastAsia" w:ascii="宋体" w:hAnsi="宋体" w:cs="宋体"/>
          <w:szCs w:val="21"/>
        </w:rPr>
      </w:pPr>
      <w:r>
        <w:rPr>
          <w:rFonts w:hint="eastAsia" w:ascii="宋体" w:hAnsi="宋体" w:cs="宋体"/>
          <w:szCs w:val="21"/>
        </w:rPr>
        <w:br w:type="page"/>
      </w:r>
    </w:p>
    <w:p>
      <w:pPr>
        <w:spacing w:line="560" w:lineRule="exact"/>
        <w:ind w:firstLine="105" w:firstLineChars="50"/>
        <w:rPr>
          <w:rFonts w:ascii="宋体" w:hAnsi="宋体" w:cs="宋体"/>
          <w:b/>
          <w:szCs w:val="21"/>
        </w:rPr>
      </w:pPr>
      <w:r>
        <w:rPr>
          <w:rFonts w:hint="eastAsia" w:ascii="宋体" w:hAnsi="宋体" w:cs="宋体"/>
          <w:szCs w:val="21"/>
        </w:rPr>
        <w:t>附件4</w:t>
      </w:r>
      <w:r>
        <w:rPr>
          <w:rFonts w:hint="eastAsia" w:ascii="宋体" w:hAnsi="宋体" w:cs="宋体"/>
          <w:b/>
          <w:szCs w:val="21"/>
        </w:rPr>
        <w:t>安全管理协议书</w:t>
      </w:r>
    </w:p>
    <w:p>
      <w:pPr>
        <w:spacing w:line="440" w:lineRule="exact"/>
        <w:jc w:val="center"/>
        <w:rPr>
          <w:rFonts w:ascii="宋体" w:hAnsi="宋体" w:cs="宋体"/>
          <w:b/>
          <w:bCs/>
          <w:szCs w:val="21"/>
        </w:rPr>
      </w:pPr>
    </w:p>
    <w:p>
      <w:pPr>
        <w:spacing w:line="440" w:lineRule="exact"/>
        <w:jc w:val="center"/>
        <w:rPr>
          <w:rFonts w:ascii="宋体" w:hAnsi="宋体" w:cs="宋体"/>
          <w:b/>
          <w:bCs/>
          <w:szCs w:val="21"/>
        </w:rPr>
      </w:pPr>
      <w:r>
        <w:rPr>
          <w:rFonts w:hint="eastAsia" w:ascii="宋体" w:hAnsi="宋体" w:cs="宋体"/>
          <w:b/>
          <w:bCs/>
          <w:szCs w:val="21"/>
        </w:rPr>
        <w:t>安全管理协议书</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发包人：</w:t>
      </w:r>
      <w:r>
        <w:rPr>
          <w:rFonts w:hint="eastAsia" w:ascii="宋体" w:hAnsi="宋体" w:cs="宋体"/>
          <w:szCs w:val="21"/>
          <w:u w:val="single"/>
        </w:rPr>
        <w:t>广州市净水有限公司</w:t>
      </w:r>
    </w:p>
    <w:p>
      <w:pPr>
        <w:adjustRightInd w:val="0"/>
        <w:snapToGrid w:val="0"/>
        <w:spacing w:line="440" w:lineRule="exact"/>
        <w:ind w:firstLine="420" w:firstLineChars="200"/>
        <w:jc w:val="left"/>
        <w:rPr>
          <w:rStyle w:val="29"/>
          <w:rFonts w:ascii="宋体" w:hAnsi="宋体" w:cs="宋体"/>
          <w:b w:val="0"/>
          <w:sz w:val="21"/>
          <w:szCs w:val="21"/>
          <w:u w:val="single"/>
        </w:rPr>
      </w:pPr>
      <w:r>
        <w:rPr>
          <w:rFonts w:hint="eastAsia" w:ascii="宋体" w:hAnsi="宋体" w:cs="宋体"/>
          <w:szCs w:val="21"/>
        </w:rPr>
        <w:t>承包人</w:t>
      </w:r>
      <w:bookmarkStart w:id="30" w:name="_Toc21391"/>
      <w:r>
        <w:rPr>
          <w:rFonts w:hint="eastAsia" w:ascii="宋体" w:hAnsi="宋体" w:cs="宋体"/>
          <w:szCs w:val="21"/>
        </w:rPr>
        <w:t xml:space="preserve">: </w:t>
      </w:r>
    </w:p>
    <w:bookmarkEnd w:id="30"/>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根据《中华人民共和国安全生产法》《中华人民共和国建筑法》《建设工程安全生产管理条例》《生产安全事故报告和调查处理条例》《中华人民共和国职业病防治法》《工作场所职业卫生管理规定》</w:t>
      </w:r>
      <w:bookmarkStart w:id="31" w:name="_GoBack"/>
      <w:bookmarkEnd w:id="31"/>
      <w:r>
        <w:rPr>
          <w:rFonts w:hint="eastAsia" w:ascii="宋体" w:hAnsi="宋体" w:cs="宋体"/>
          <w:szCs w:val="21"/>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szCs w:val="21"/>
        </w:rPr>
      </w:pPr>
      <w:r>
        <w:rPr>
          <w:rFonts w:hint="eastAsia" w:ascii="宋体" w:hAnsi="宋体" w:cs="宋体"/>
          <w:b/>
          <w:szCs w:val="21"/>
        </w:rPr>
        <w:t>一、本协议与主合同的关系</w:t>
      </w:r>
    </w:p>
    <w:p>
      <w:pPr>
        <w:adjustRightInd w:val="0"/>
        <w:snapToGrid w:val="0"/>
        <w:spacing w:line="440" w:lineRule="exact"/>
        <w:ind w:left="105" w:firstLine="420" w:firstLineChars="200"/>
        <w:jc w:val="left"/>
        <w:rPr>
          <w:rFonts w:ascii="宋体" w:hAnsi="宋体" w:cs="宋体"/>
          <w:szCs w:val="21"/>
        </w:rPr>
      </w:pPr>
      <w:r>
        <w:rPr>
          <w:rFonts w:hint="eastAsia" w:ascii="宋体" w:hAnsi="宋体" w:cs="宋体"/>
          <w:szCs w:val="21"/>
        </w:rPr>
        <w:t>本协议作为</w:t>
      </w:r>
      <w:r>
        <w:rPr>
          <w:rFonts w:hint="eastAsia" w:ascii="宋体" w:hAnsi="宋体" w:cs="宋体"/>
          <w:szCs w:val="21"/>
          <w:u w:val="single"/>
          <w:lang w:eastAsia="zh-CN"/>
        </w:rPr>
        <w:t>沥滘三期多媒体互动展示</w:t>
      </w:r>
      <w:r>
        <w:rPr>
          <w:rFonts w:hint="eastAsia" w:ascii="宋体" w:hAnsi="宋体" w:cs="宋体"/>
          <w:szCs w:val="21"/>
          <w:u w:val="single"/>
        </w:rPr>
        <w:t>项目合同</w:t>
      </w:r>
      <w:r>
        <w:rPr>
          <w:rFonts w:hint="eastAsia" w:ascii="宋体" w:hAnsi="宋体" w:cs="宋体"/>
          <w:szCs w:val="21"/>
          <w:u w:val="single"/>
          <w:lang w:eastAsia="zh-CN"/>
        </w:rPr>
        <w:t>（</w:t>
      </w:r>
      <w:r>
        <w:rPr>
          <w:rFonts w:hint="eastAsia" w:ascii="宋体" w:hAnsi="宋体" w:cs="宋体"/>
          <w:szCs w:val="21"/>
          <w:u w:val="single"/>
        </w:rPr>
        <w:t>穗净水合[     ]    号</w:t>
      </w:r>
      <w:r>
        <w:rPr>
          <w:rFonts w:hint="eastAsia" w:ascii="宋体" w:hAnsi="宋体" w:cs="宋体"/>
          <w:szCs w:val="21"/>
          <w:u w:val="single"/>
          <w:lang w:eastAsia="zh-CN"/>
        </w:rPr>
        <w:t>）</w:t>
      </w:r>
      <w:r>
        <w:rPr>
          <w:rFonts w:hint="eastAsia" w:ascii="宋体" w:hAnsi="宋体" w:cs="宋体"/>
          <w:szCs w:val="21"/>
        </w:rPr>
        <w:t>的组成部分，与主合同具有同等法律。</w:t>
      </w:r>
    </w:p>
    <w:p>
      <w:pPr>
        <w:adjustRightInd w:val="0"/>
        <w:snapToGrid w:val="0"/>
        <w:spacing w:line="440" w:lineRule="exact"/>
        <w:jc w:val="left"/>
        <w:rPr>
          <w:rFonts w:ascii="宋体" w:hAnsi="宋体" w:cs="宋体"/>
          <w:b/>
          <w:szCs w:val="21"/>
        </w:rPr>
      </w:pPr>
      <w:r>
        <w:rPr>
          <w:rFonts w:hint="eastAsia" w:ascii="宋体" w:hAnsi="宋体" w:cs="宋体"/>
          <w:b/>
          <w:szCs w:val="21"/>
        </w:rPr>
        <w:t xml:space="preserve"> 二、发包人、承包人双方的责任、权利和义务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（一）发包人的责任、权利和义务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szCs w:val="21"/>
        </w:rPr>
      </w:pPr>
      <w:r>
        <w:rPr>
          <w:rFonts w:hint="eastAsia" w:ascii="宋体" w:hAnsi="宋体" w:cs="宋体"/>
          <w:szCs w:val="21"/>
        </w:rPr>
        <w:t>2.审查承包人安全资质以及承包内容所要求具备的资质条件。</w:t>
      </w:r>
    </w:p>
    <w:p>
      <w:pPr>
        <w:adjustRightInd w:val="0"/>
        <w:snapToGrid w:val="0"/>
        <w:spacing w:line="440" w:lineRule="exact"/>
        <w:jc w:val="left"/>
        <w:rPr>
          <w:rFonts w:ascii="宋体" w:hAnsi="宋体" w:cs="宋体"/>
          <w:szCs w:val="21"/>
        </w:rPr>
      </w:pPr>
      <w:r>
        <w:rPr>
          <w:rFonts w:hint="eastAsia" w:ascii="宋体" w:hAnsi="宋体" w:cs="宋体"/>
          <w:szCs w:val="21"/>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szCs w:val="21"/>
        </w:rPr>
      </w:pPr>
      <w:r>
        <w:rPr>
          <w:rFonts w:hint="eastAsia" w:ascii="宋体" w:hAnsi="宋体" w:cs="宋体"/>
          <w:szCs w:val="21"/>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szCs w:val="21"/>
        </w:rPr>
      </w:pPr>
      <w:r>
        <w:rPr>
          <w:rFonts w:hint="eastAsia" w:ascii="宋体" w:hAnsi="宋体" w:cs="宋体"/>
          <w:szCs w:val="21"/>
        </w:rPr>
        <w:t>（二）承包人的责任、权利和义务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szCs w:val="21"/>
        </w:rPr>
      </w:pPr>
      <w:r>
        <w:rPr>
          <w:rFonts w:hint="eastAsia" w:ascii="宋体" w:hAnsi="宋体" w:cs="宋体"/>
          <w:szCs w:val="21"/>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szCs w:val="21"/>
        </w:rPr>
      </w:pPr>
      <w:r>
        <w:rPr>
          <w:rFonts w:hint="eastAsia" w:ascii="宋体" w:hAnsi="宋体" w:cs="宋体"/>
          <w:szCs w:val="21"/>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szCs w:val="21"/>
        </w:rPr>
      </w:pPr>
      <w:r>
        <w:rPr>
          <w:rFonts w:hint="eastAsia" w:ascii="宋体" w:hAnsi="宋体" w:cs="宋体"/>
          <w:szCs w:val="21"/>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szCs w:val="21"/>
        </w:rPr>
      </w:pPr>
      <w:r>
        <w:rPr>
          <w:rFonts w:hint="eastAsia" w:ascii="宋体" w:hAnsi="宋体" w:cs="宋体"/>
          <w:szCs w:val="21"/>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szCs w:val="21"/>
        </w:rPr>
      </w:pPr>
      <w:r>
        <w:rPr>
          <w:rFonts w:hint="eastAsia" w:ascii="宋体" w:hAnsi="宋体" w:cs="宋体"/>
          <w:szCs w:val="21"/>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szCs w:val="21"/>
        </w:rPr>
      </w:pPr>
      <w:r>
        <w:rPr>
          <w:rFonts w:hint="eastAsia" w:ascii="宋体" w:hAnsi="宋体" w:cs="宋体"/>
          <w:b/>
          <w:szCs w:val="21"/>
        </w:rPr>
        <w:t xml:space="preserve">三、协议内容                                                </w:t>
      </w:r>
    </w:p>
    <w:p>
      <w:pPr>
        <w:adjustRightInd w:val="0"/>
        <w:snapToGrid w:val="0"/>
        <w:spacing w:line="440" w:lineRule="exact"/>
        <w:jc w:val="left"/>
        <w:rPr>
          <w:rFonts w:ascii="宋体" w:hAnsi="宋体" w:cs="宋体"/>
          <w:szCs w:val="21"/>
        </w:rPr>
      </w:pPr>
      <w:r>
        <w:rPr>
          <w:rFonts w:hint="eastAsia" w:ascii="宋体" w:hAnsi="宋体" w:cs="宋体"/>
          <w:szCs w:val="21"/>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szCs w:val="21"/>
        </w:rPr>
      </w:pPr>
      <w:r>
        <w:rPr>
          <w:rFonts w:hint="eastAsia" w:ascii="宋体" w:hAnsi="宋体" w:cs="宋体"/>
          <w:szCs w:val="21"/>
        </w:rPr>
        <w:t>2.承包人须严格按照发包人制定的《标准化手册》的要求落实各项安全生产管理工作。</w:t>
      </w:r>
    </w:p>
    <w:p>
      <w:pPr>
        <w:adjustRightInd w:val="0"/>
        <w:snapToGrid w:val="0"/>
        <w:spacing w:line="440" w:lineRule="exact"/>
        <w:jc w:val="left"/>
        <w:rPr>
          <w:rFonts w:ascii="宋体" w:hAnsi="宋体" w:cs="宋体"/>
          <w:szCs w:val="21"/>
        </w:rPr>
      </w:pPr>
      <w:r>
        <w:rPr>
          <w:rFonts w:hint="eastAsia" w:ascii="宋体" w:hAnsi="宋体" w:cs="宋体"/>
          <w:szCs w:val="21"/>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szCs w:val="21"/>
        </w:rPr>
      </w:pPr>
      <w:r>
        <w:rPr>
          <w:rFonts w:hint="eastAsia" w:ascii="宋体" w:hAnsi="宋体" w:cs="宋体"/>
          <w:szCs w:val="21"/>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szCs w:val="21"/>
        </w:rPr>
      </w:pPr>
      <w:r>
        <w:rPr>
          <w:rFonts w:hint="eastAsia" w:ascii="宋体" w:hAnsi="宋体" w:cs="宋体"/>
          <w:b/>
          <w:szCs w:val="21"/>
        </w:rPr>
        <w:t>四、事故责任</w:t>
      </w:r>
    </w:p>
    <w:p>
      <w:pPr>
        <w:adjustRightInd w:val="0"/>
        <w:snapToGrid w:val="0"/>
        <w:spacing w:line="440" w:lineRule="exact"/>
        <w:jc w:val="left"/>
        <w:rPr>
          <w:rFonts w:ascii="宋体" w:hAnsi="宋体" w:cs="宋体"/>
          <w:szCs w:val="21"/>
        </w:rPr>
      </w:pPr>
      <w:r>
        <w:rPr>
          <w:rFonts w:hint="eastAsia" w:ascii="宋体" w:hAnsi="宋体" w:cs="宋体"/>
          <w:szCs w:val="21"/>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2.承包人人员在非承包区域遭受意外伤害的，承包人负全部责任。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szCs w:val="21"/>
        </w:rPr>
      </w:pPr>
      <w:r>
        <w:rPr>
          <w:rFonts w:hint="eastAsia" w:ascii="宋体" w:hAnsi="宋体" w:cs="宋体"/>
          <w:szCs w:val="21"/>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szCs w:val="21"/>
        </w:rPr>
      </w:pPr>
      <w:r>
        <w:rPr>
          <w:rFonts w:hint="eastAsia" w:ascii="宋体" w:hAnsi="宋体" w:cs="宋体"/>
          <w:szCs w:val="21"/>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szCs w:val="21"/>
        </w:rPr>
      </w:pPr>
      <w:r>
        <w:rPr>
          <w:rFonts w:hint="eastAsia" w:ascii="宋体" w:hAnsi="宋体" w:cs="宋体"/>
          <w:szCs w:val="21"/>
        </w:rPr>
        <w:t>7.本协议未尽事宜，依据有关法规。规章处理，法规、规章没有明确规定的，经双方协商处理解决。</w:t>
      </w:r>
    </w:p>
    <w:p>
      <w:pPr>
        <w:adjustRightInd w:val="0"/>
        <w:snapToGrid w:val="0"/>
        <w:spacing w:line="440" w:lineRule="exact"/>
        <w:jc w:val="left"/>
        <w:rPr>
          <w:rFonts w:ascii="宋体" w:hAnsi="宋体" w:cs="宋体"/>
          <w:szCs w:val="21"/>
        </w:rPr>
      </w:pPr>
    </w:p>
    <w:p>
      <w:pPr>
        <w:pStyle w:val="59"/>
        <w:spacing w:line="440" w:lineRule="exact"/>
        <w:rPr>
          <w:rFonts w:ascii="宋体" w:hAnsi="宋体" w:cs="宋体"/>
          <w:szCs w:val="21"/>
        </w:rPr>
      </w:pPr>
      <w:r>
        <w:rPr>
          <w:rFonts w:hint="eastAsia" w:ascii="宋体" w:hAnsi="宋体" w:cs="宋体"/>
          <w:b/>
          <w:szCs w:val="21"/>
        </w:rPr>
        <w:t>五、补充条款：</w:t>
      </w:r>
      <w:r>
        <w:rPr>
          <w:rFonts w:hint="eastAsia" w:ascii="宋体" w:hAnsi="宋体" w:cs="宋体"/>
          <w:szCs w:val="21"/>
          <w:u w:val="single"/>
        </w:rPr>
        <w:t xml:space="preserve">         /       </w:t>
      </w:r>
      <w:r>
        <w:rPr>
          <w:rFonts w:hint="eastAsia" w:ascii="宋体" w:hAnsi="宋体" w:cs="宋体"/>
          <w:szCs w:val="21"/>
        </w:rPr>
        <w:t>。</w:t>
      </w:r>
    </w:p>
    <w:p>
      <w:pPr>
        <w:adjustRightInd w:val="0"/>
        <w:snapToGrid w:val="0"/>
        <w:spacing w:line="440" w:lineRule="exact"/>
        <w:jc w:val="left"/>
        <w:rPr>
          <w:rFonts w:ascii="宋体" w:hAnsi="宋体" w:cs="宋体"/>
          <w:b/>
          <w:szCs w:val="21"/>
        </w:rPr>
      </w:pPr>
      <w:r>
        <w:rPr>
          <w:rFonts w:hint="eastAsia" w:ascii="宋体" w:hAnsi="宋体" w:cs="宋体"/>
          <w:b/>
          <w:szCs w:val="21"/>
        </w:rPr>
        <w:t>六、附则</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本协议与主合同同时签订、同时终止、同时生效，具有相同的法律效力，自发包人、承包人双方签字、盖章生效，发包人、承包人双方各</w:t>
      </w:r>
      <w:r>
        <w:rPr>
          <w:rFonts w:hint="eastAsia" w:ascii="宋体" w:hAnsi="宋体" w:cs="宋体"/>
          <w:szCs w:val="21"/>
          <w:u w:val="single"/>
        </w:rPr>
        <w:t xml:space="preserve"> …</w:t>
      </w:r>
      <w:r>
        <w:rPr>
          <w:rFonts w:hint="eastAsia" w:ascii="宋体" w:hAnsi="宋体" w:cs="宋体"/>
          <w:szCs w:val="21"/>
        </w:rPr>
        <w:t>份。</w:t>
      </w:r>
    </w:p>
    <w:p>
      <w:pPr>
        <w:adjustRightInd w:val="0"/>
        <w:snapToGrid w:val="0"/>
        <w:spacing w:line="440" w:lineRule="exact"/>
        <w:rPr>
          <w:rFonts w:ascii="宋体" w:hAnsi="宋体" w:cs="宋体"/>
          <w:szCs w:val="21"/>
        </w:rPr>
      </w:pPr>
    </w:p>
    <w:p>
      <w:pPr>
        <w:adjustRightInd w:val="0"/>
        <w:snapToGrid w:val="0"/>
        <w:spacing w:line="440" w:lineRule="exact"/>
        <w:ind w:left="1165" w:leftChars="5" w:hanging="1155" w:hangingChars="550"/>
        <w:rPr>
          <w:rFonts w:ascii="宋体" w:hAnsi="宋体" w:cs="宋体"/>
          <w:szCs w:val="21"/>
        </w:rPr>
      </w:pPr>
      <w:r>
        <w:rPr>
          <w:rFonts w:hint="eastAsia" w:ascii="宋体" w:hAnsi="宋体" w:cs="宋体"/>
          <w:szCs w:val="21"/>
        </w:rPr>
        <w:t xml:space="preserve">   发包人代表 （章）：                             承包人代表（章）：                                                           　　              　　　　　　　</w:t>
      </w:r>
    </w:p>
    <w:p>
      <w:pPr>
        <w:adjustRightInd w:val="0"/>
        <w:snapToGrid w:val="0"/>
        <w:spacing w:line="440" w:lineRule="exact"/>
        <w:rPr>
          <w:rFonts w:ascii="宋体" w:hAnsi="宋体" w:cs="宋体"/>
          <w:szCs w:val="21"/>
        </w:rPr>
      </w:pPr>
      <w:r>
        <w:rPr>
          <w:rFonts w:hint="eastAsia" w:ascii="宋体" w:hAnsi="宋体" w:cs="宋体"/>
          <w:szCs w:val="21"/>
        </w:rPr>
        <w:t xml:space="preserve">      年 　月　  日　　　　　                 年   月  　日</w:t>
      </w:r>
    </w:p>
    <w:p>
      <w:p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br w:type="page"/>
      </w:r>
    </w:p>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附件5：</w:t>
      </w:r>
      <w:r>
        <w:rPr>
          <w:rFonts w:hint="eastAsia" w:asciiTheme="minorEastAsia" w:hAnsiTheme="minorEastAsia" w:eastAsiaTheme="minorEastAsia" w:cstheme="minorEastAsia"/>
          <w:b/>
          <w:bCs/>
          <w:szCs w:val="21"/>
          <w:lang w:eastAsia="zh-CN"/>
        </w:rPr>
        <w:t>技术需求</w:t>
      </w:r>
      <w:r>
        <w:rPr>
          <w:rFonts w:hint="eastAsia" w:asciiTheme="minorEastAsia" w:hAnsiTheme="minorEastAsia" w:eastAsiaTheme="minorEastAsia" w:cstheme="minorEastAsia"/>
          <w:b/>
          <w:bCs/>
          <w:szCs w:val="21"/>
          <w:lang w:val="en-US" w:eastAsia="zh-CN"/>
        </w:rPr>
        <w:t>书</w:t>
      </w:r>
    </w:p>
    <w:p>
      <w:pPr>
        <w:jc w:val="center"/>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b/>
          <w:bCs/>
          <w:szCs w:val="21"/>
          <w:lang w:eastAsia="zh-CN"/>
        </w:rPr>
        <w:t>技术需求</w:t>
      </w:r>
      <w:r>
        <w:rPr>
          <w:rFonts w:hint="eastAsia" w:asciiTheme="minorEastAsia" w:hAnsiTheme="minorEastAsia" w:eastAsiaTheme="minorEastAsia" w:cstheme="minorEastAsia"/>
          <w:b/>
          <w:bCs/>
          <w:szCs w:val="21"/>
          <w:lang w:val="en-US" w:eastAsia="zh-CN"/>
        </w:rPr>
        <w:t>书</w:t>
      </w:r>
    </w:p>
    <w:p>
      <w:pPr>
        <w:adjustRightInd w:val="0"/>
        <w:snapToGrid w:val="0"/>
        <w:spacing w:line="440" w:lineRule="exact"/>
        <w:jc w:val="left"/>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一</w:t>
      </w:r>
      <w:r>
        <w:rPr>
          <w:rFonts w:hint="eastAsia" w:ascii="宋体" w:hAnsi="宋体" w:eastAsia="宋体" w:cs="宋体"/>
          <w:szCs w:val="21"/>
          <w:lang w:eastAsia="zh-CN"/>
        </w:rPr>
        <w:t>）</w:t>
      </w:r>
      <w:r>
        <w:rPr>
          <w:rFonts w:hint="eastAsia" w:ascii="宋体" w:hAnsi="宋体" w:eastAsia="宋体" w:cs="宋体"/>
          <w:szCs w:val="21"/>
        </w:rPr>
        <w:t>技术要求：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1.新购设备及配件须完全符合合同设备清单中所提及的软硬件型号规格以及数量的要求。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2.通过本项目采购实施部署安装，多媒体动画内容由厂区相关人员进行确认。</w:t>
      </w:r>
    </w:p>
    <w:p>
      <w:pPr>
        <w:ind w:firstLine="280" w:firstLineChars="100"/>
        <w:rPr>
          <w:rFonts w:ascii="仿宋_GB2312" w:eastAsia="仿宋_GB2312"/>
          <w:sz w:val="28"/>
          <w:szCs w:val="28"/>
        </w:rPr>
      </w:pPr>
      <w:r>
        <w:rPr>
          <w:rFonts w:hint="eastAsia" w:ascii="仿宋_GB2312" w:eastAsia="仿宋_GB2312"/>
          <w:sz w:val="28"/>
          <w:szCs w:val="28"/>
        </w:rPr>
        <w:t>硬件要求：</w:t>
      </w:r>
    </w:p>
    <w:tbl>
      <w:tblPr>
        <w:tblStyle w:val="26"/>
        <w:tblW w:w="4294" w:type="pct"/>
        <w:jc w:val="center"/>
        <w:tblLayout w:type="autofit"/>
        <w:tblCellMar>
          <w:top w:w="0" w:type="dxa"/>
          <w:left w:w="0" w:type="dxa"/>
          <w:bottom w:w="0" w:type="dxa"/>
          <w:right w:w="0" w:type="dxa"/>
        </w:tblCellMar>
      </w:tblPr>
      <w:tblGrid>
        <w:gridCol w:w="2091"/>
        <w:gridCol w:w="6197"/>
      </w:tblGrid>
      <w:tr>
        <w:tblPrEx>
          <w:tblCellMar>
            <w:top w:w="0" w:type="dxa"/>
            <w:left w:w="0" w:type="dxa"/>
            <w:bottom w:w="0" w:type="dxa"/>
            <w:right w:w="0" w:type="dxa"/>
          </w:tblCellMar>
        </w:tblPrEx>
        <w:trPr>
          <w:trHeight w:val="458" w:hRule="atLeast"/>
          <w:jc w:val="center"/>
        </w:trPr>
        <w:tc>
          <w:tcPr>
            <w:tcW w:w="209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类别</w:t>
            </w:r>
            <w:r>
              <w:rPr>
                <w:rFonts w:hint="eastAsia" w:ascii="仿宋_GB2312" w:eastAsia="仿宋_GB2312" w:cs="Arial"/>
                <w:color w:val="000000"/>
                <w:kern w:val="24"/>
                <w:szCs w:val="21"/>
              </w:rPr>
              <w:t xml:space="preserve"> </w:t>
            </w:r>
          </w:p>
        </w:tc>
        <w:tc>
          <w:tcPr>
            <w:tcW w:w="6198"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说明</w:t>
            </w:r>
            <w:r>
              <w:rPr>
                <w:rFonts w:hint="eastAsia" w:ascii="仿宋_GB2312" w:eastAsia="仿宋_GB2312" w:cs="Arial"/>
                <w:color w:val="000000"/>
                <w:kern w:val="24"/>
                <w:szCs w:val="21"/>
              </w:rPr>
              <w:t xml:space="preserve"> </w:t>
            </w:r>
          </w:p>
        </w:tc>
      </w:tr>
      <w:tr>
        <w:tblPrEx>
          <w:tblCellMar>
            <w:top w:w="0" w:type="dxa"/>
            <w:left w:w="0" w:type="dxa"/>
            <w:bottom w:w="0" w:type="dxa"/>
            <w:right w:w="0" w:type="dxa"/>
          </w:tblCellMar>
        </w:tblPrEx>
        <w:trPr>
          <w:trHeight w:val="3369" w:hRule="atLeast"/>
          <w:jc w:val="center"/>
        </w:trPr>
        <w:tc>
          <w:tcPr>
            <w:tcW w:w="209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投影机</w:t>
            </w:r>
          </w:p>
        </w:tc>
        <w:tc>
          <w:tcPr>
            <w:tcW w:w="619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投影技术DLP，0.48 DMD，IP6X防尘等级；30000小时激光光源；亮度≧ 4500流明；标准分辨率：1920*1200；对比度≧2000000:1；梯形校正≧+/-5度（垂直&amp;水平），具有四角梯形校正功能；投射比：0.252：1；内置10W*2音箱；采用最新的ColorBoost 3D色彩技术；支持蓝光HDMI 3D 适配 144Hz 24p</w:t>
            </w:r>
          </w:p>
          <w:p>
            <w:pPr>
              <w:widowControl/>
              <w:spacing w:line="320" w:lineRule="exact"/>
              <w:jc w:val="left"/>
              <w:textAlignment w:val="center"/>
              <w:rPr>
                <w:rFonts w:ascii="仿宋_GB2312" w:eastAsia="仿宋_GB2312" w:cs="Arial"/>
                <w:color w:val="000000"/>
                <w:kern w:val="0"/>
                <w:szCs w:val="21"/>
              </w:rPr>
            </w:pPr>
          </w:p>
        </w:tc>
      </w:tr>
      <w:tr>
        <w:tblPrEx>
          <w:tblCellMar>
            <w:top w:w="0" w:type="dxa"/>
            <w:left w:w="0" w:type="dxa"/>
            <w:bottom w:w="0" w:type="dxa"/>
            <w:right w:w="0" w:type="dxa"/>
          </w:tblCellMar>
        </w:tblPrEx>
        <w:trPr>
          <w:trHeight w:val="454" w:hRule="exact"/>
          <w:jc w:val="center"/>
        </w:trPr>
        <w:tc>
          <w:tcPr>
            <w:tcW w:w="209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主机</w:t>
            </w:r>
          </w:p>
        </w:tc>
        <w:tc>
          <w:tcPr>
            <w:tcW w:w="619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I5/Z390-A/8G/P620显卡/SSD240G/500W</w:t>
            </w:r>
          </w:p>
        </w:tc>
      </w:tr>
      <w:tr>
        <w:tblPrEx>
          <w:tblCellMar>
            <w:top w:w="0" w:type="dxa"/>
            <w:left w:w="0" w:type="dxa"/>
            <w:bottom w:w="0" w:type="dxa"/>
            <w:right w:w="0" w:type="dxa"/>
          </w:tblCellMar>
        </w:tblPrEx>
        <w:trPr>
          <w:trHeight w:val="1657" w:hRule="exact"/>
          <w:jc w:val="center"/>
        </w:trPr>
        <w:tc>
          <w:tcPr>
            <w:tcW w:w="209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雷达</w:t>
            </w:r>
          </w:p>
        </w:tc>
        <w:tc>
          <w:tcPr>
            <w:tcW w:w="619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单台触控范围：700cm*300,支持多台并机工作;角度分辨率：0.33；激光波长：905nm；扫码角度：≤270°；触控类型：最多可达60点；响应速度：≤20ms;防护等级：IP67;以太网端口网线传输，信号传输零衰减，</w:t>
            </w:r>
          </w:p>
        </w:tc>
      </w:tr>
      <w:tr>
        <w:tblPrEx>
          <w:tblCellMar>
            <w:top w:w="0" w:type="dxa"/>
            <w:left w:w="0" w:type="dxa"/>
            <w:bottom w:w="0" w:type="dxa"/>
            <w:right w:w="0" w:type="dxa"/>
          </w:tblCellMar>
        </w:tblPrEx>
        <w:trPr>
          <w:trHeight w:val="2732" w:hRule="exact"/>
          <w:jc w:val="center"/>
        </w:trPr>
        <w:tc>
          <w:tcPr>
            <w:tcW w:w="209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供放</w:t>
            </w:r>
          </w:p>
        </w:tc>
        <w:tc>
          <w:tcPr>
            <w:tcW w:w="6198"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电源需求:AC220V/50-60Hz、额定功率:4×60W、频率响应:100Hz~16kHz ±3dB、失真度:＜0.8%(1KHz，1/3额定输出功率)、输出方式:4~16定阻输出，70V,100V定压输出、输入灵敏度:775mV/0dB平衡、辅助输出:775mV/0dB、非平衡信噪比:90dB</w:t>
            </w:r>
          </w:p>
        </w:tc>
      </w:tr>
      <w:tr>
        <w:tblPrEx>
          <w:tblCellMar>
            <w:top w:w="0" w:type="dxa"/>
            <w:left w:w="0" w:type="dxa"/>
            <w:bottom w:w="0" w:type="dxa"/>
            <w:right w:w="0" w:type="dxa"/>
          </w:tblCellMar>
        </w:tblPrEx>
        <w:trPr>
          <w:trHeight w:val="1436" w:hRule="exact"/>
          <w:jc w:val="center"/>
        </w:trPr>
        <w:tc>
          <w:tcPr>
            <w:tcW w:w="2092"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吸项</w:t>
            </w:r>
          </w:p>
        </w:tc>
        <w:tc>
          <w:tcPr>
            <w:tcW w:w="619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额定功率/ 阻抗 3.8/7.5/15/30W/8Ω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线电压 100V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灵敏度(1m,1W) 89±3dB(1m,1W) </w:t>
            </w:r>
          </w:p>
          <w:p>
            <w:pPr>
              <w:widowControl/>
              <w:spacing w:line="320" w:lineRule="exact"/>
              <w:jc w:val="left"/>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频率响应 100Hz～ 20kHz</w:t>
            </w:r>
          </w:p>
        </w:tc>
      </w:tr>
    </w:tbl>
    <w:p>
      <w:pPr>
        <w:ind w:firstLine="280" w:firstLineChars="100"/>
        <w:rPr>
          <w:rFonts w:ascii="仿宋_GB2312" w:eastAsia="仿宋_GB2312"/>
          <w:sz w:val="28"/>
          <w:szCs w:val="28"/>
        </w:rPr>
      </w:pPr>
      <w:r>
        <w:rPr>
          <w:rFonts w:hint="eastAsia" w:ascii="仿宋_GB2312" w:eastAsia="仿宋_GB2312"/>
          <w:sz w:val="28"/>
          <w:szCs w:val="28"/>
        </w:rPr>
        <w:t>软件要求：</w:t>
      </w:r>
    </w:p>
    <w:tbl>
      <w:tblPr>
        <w:tblStyle w:val="26"/>
        <w:tblW w:w="4216" w:type="pct"/>
        <w:jc w:val="center"/>
        <w:tblLayout w:type="autofit"/>
        <w:tblCellMar>
          <w:top w:w="0" w:type="dxa"/>
          <w:left w:w="0" w:type="dxa"/>
          <w:bottom w:w="0" w:type="dxa"/>
          <w:right w:w="0" w:type="dxa"/>
        </w:tblCellMar>
      </w:tblPr>
      <w:tblGrid>
        <w:gridCol w:w="4037"/>
        <w:gridCol w:w="4101"/>
      </w:tblGrid>
      <w:tr>
        <w:tblPrEx>
          <w:tblCellMar>
            <w:top w:w="0" w:type="dxa"/>
            <w:left w:w="0" w:type="dxa"/>
            <w:bottom w:w="0" w:type="dxa"/>
            <w:right w:w="0" w:type="dxa"/>
          </w:tblCellMar>
        </w:tblPrEx>
        <w:trPr>
          <w:trHeight w:val="454" w:hRule="exact"/>
          <w:jc w:val="center"/>
        </w:trPr>
        <w:tc>
          <w:tcPr>
            <w:tcW w:w="3915"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1" w:firstLineChars="100"/>
              <w:rPr>
                <w:rFonts w:ascii="仿宋_GB2312" w:eastAsia="仿宋_GB2312"/>
                <w:color w:val="000000"/>
                <w:szCs w:val="21"/>
              </w:rPr>
            </w:pPr>
            <w:r>
              <w:rPr>
                <w:rFonts w:hint="eastAsia" w:ascii="仿宋_GB2312" w:eastAsia="仿宋_GB2312"/>
                <w:b/>
                <w:bCs/>
                <w:color w:val="000000"/>
                <w:szCs w:val="21"/>
              </w:rPr>
              <w:t>类别</w:t>
            </w:r>
            <w:r>
              <w:rPr>
                <w:rFonts w:hint="eastAsia" w:ascii="仿宋_GB2312" w:eastAsia="仿宋_GB2312"/>
                <w:color w:val="000000"/>
                <w:szCs w:val="21"/>
              </w:rPr>
              <w:t xml:space="preserve"> </w:t>
            </w:r>
          </w:p>
        </w:tc>
        <w:tc>
          <w:tcPr>
            <w:tcW w:w="3978"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1" w:firstLineChars="100"/>
              <w:rPr>
                <w:rFonts w:ascii="仿宋_GB2312" w:eastAsia="仿宋_GB2312"/>
                <w:color w:val="000000"/>
                <w:szCs w:val="21"/>
              </w:rPr>
            </w:pPr>
            <w:r>
              <w:rPr>
                <w:rFonts w:hint="eastAsia" w:ascii="仿宋_GB2312" w:eastAsia="仿宋_GB2312"/>
                <w:b/>
                <w:bCs/>
                <w:color w:val="000000"/>
                <w:szCs w:val="21"/>
              </w:rPr>
              <w:t xml:space="preserve">说明 </w:t>
            </w:r>
          </w:p>
        </w:tc>
      </w:tr>
      <w:tr>
        <w:tblPrEx>
          <w:tblCellMar>
            <w:top w:w="0" w:type="dxa"/>
            <w:left w:w="0" w:type="dxa"/>
            <w:bottom w:w="0" w:type="dxa"/>
            <w:right w:w="0" w:type="dxa"/>
          </w:tblCellMar>
        </w:tblPrEx>
        <w:trPr>
          <w:trHeight w:val="13634" w:hRule="exact"/>
          <w:jc w:val="center"/>
        </w:trPr>
        <w:tc>
          <w:tcPr>
            <w:tcW w:w="3915"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jc w:val="center"/>
              <w:rPr>
                <w:rFonts w:ascii="仿宋_GB2312" w:eastAsia="仿宋_GB2312"/>
                <w:b/>
                <w:bCs/>
                <w:color w:val="000000"/>
                <w:szCs w:val="21"/>
              </w:rPr>
            </w:pPr>
            <w:r>
              <w:rPr>
                <w:rFonts w:hint="eastAsia" w:ascii="仿宋_GB2312" w:hAnsi="仿宋_GB2312" w:eastAsia="仿宋_GB2312" w:cs="仿宋_GB2312"/>
                <w:color w:val="000000"/>
                <w:kern w:val="0"/>
                <w:szCs w:val="21"/>
                <w:lang w:bidi="ar"/>
              </w:rPr>
              <w:t>雷达后台</w:t>
            </w:r>
          </w:p>
        </w:tc>
        <w:tc>
          <w:tcPr>
            <w:tcW w:w="3978"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1、支持各激光雷达，红外摄像枪，KINECT体感器等各类设备.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2、支持多雷达并接布局，简单容易操作。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3、支持精细识别、毫米级识别度。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4、支持雷达角度调整、感应范围调整、转速调整。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5、支持手动设置屏幕互动范围， 最大支持4组范围。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6、支持中控协议，与第三方可编程中控系统，无缝对接。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7、支持自定义播放列表内容、可以设置互动时间、随机或顺序播放。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8、支持定时关机，启动延时等待操作。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9、支持多点触摸TOUCH（最大支持255触摸点同时响应），鼠标点击、右点击等。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10、支持TUIO数据输出。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11、自动消除雷达背景，无需手动绘制遮罩。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12、支持win7, win8, win10 多点触摸操作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13、支持多种界面语言（简体、英文）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14、支持T形屏、L形屏及拼接屏的单元校准（可以任意定义校准点4点、16点、32点、64点、及用户自定义校准点数和任意拖放屏幕互动区域位置）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15、增加互动内容切换等待窗口，以防止切换时鼠标乱跳触碰到桌面图标。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16、性能提升、支持多个雷达级联、减少地面互动死角。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17、支持无屏校准。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18、支持多窗口素材同时显示及互动，如并列多个flash?或U3D素材窗口显示交互。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19、支持播放列表添加多个不同交互对接方式的素材，如第一个素材为TUIO、第二个为鼠标、第三个为多点触摸，软件系统可根据用户设定自动切换识别输出。</w:t>
            </w:r>
          </w:p>
          <w:p>
            <w:pPr>
              <w:widowControl/>
              <w:spacing w:line="320" w:lineRule="exact"/>
              <w:jc w:val="left"/>
              <w:textAlignment w:val="center"/>
              <w:rPr>
                <w:rFonts w:ascii="仿宋_GB2312" w:eastAsia="仿宋_GB2312"/>
                <w:b/>
                <w:bCs/>
                <w:color w:val="000000"/>
                <w:szCs w:val="21"/>
              </w:rPr>
            </w:pPr>
            <w:r>
              <w:rPr>
                <w:rFonts w:hint="eastAsia" w:ascii="仿宋_GB2312" w:hAnsi="仿宋_GB2312" w:eastAsia="仿宋_GB2312" w:cs="仿宋_GB2312"/>
                <w:color w:val="000000"/>
                <w:kern w:val="0"/>
                <w:szCs w:val="21"/>
                <w:lang w:bidi="ar"/>
              </w:rPr>
              <w:t>20、新增加校准点通过键盘微调，方便用户精准校准坐标点。并能对于多个校准区域，对于校准精度有误差的，进行单独修改调整。</w:t>
            </w:r>
          </w:p>
        </w:tc>
      </w:tr>
      <w:tr>
        <w:tblPrEx>
          <w:tblCellMar>
            <w:top w:w="0" w:type="dxa"/>
            <w:left w:w="0" w:type="dxa"/>
            <w:bottom w:w="0" w:type="dxa"/>
            <w:right w:w="0" w:type="dxa"/>
          </w:tblCellMar>
        </w:tblPrEx>
        <w:trPr>
          <w:trHeight w:val="4415" w:hRule="exact"/>
          <w:jc w:val="center"/>
        </w:trPr>
        <w:tc>
          <w:tcPr>
            <w:tcW w:w="3915"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olor w:val="000000"/>
                <w:szCs w:val="21"/>
              </w:rPr>
            </w:pPr>
          </w:p>
        </w:tc>
        <w:tc>
          <w:tcPr>
            <w:tcW w:w="397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20、新增加校准点通过键盘微调，方便用户精准校准坐标点。并能对于多个校准区域，对于校准精度有误差的，进行单独修改调整。</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21、多台电脑同步播放同一种互动素材画面，同步协调播放，使得效果更一整体。</w:t>
            </w:r>
          </w:p>
          <w:p>
            <w:pPr>
              <w:widowControl/>
              <w:spacing w:line="320" w:lineRule="exact"/>
              <w:jc w:val="left"/>
              <w:textAlignment w:val="center"/>
              <w:rPr>
                <w:rFonts w:ascii="仿宋_GB2312" w:hAnsi="仿宋_GB2312" w:eastAsia="仿宋_GB2312" w:cs="仿宋_GB2312"/>
                <w:color w:val="000000"/>
                <w:kern w:val="0"/>
                <w:szCs w:val="21"/>
                <w:u w:val="single"/>
                <w:lang w:bidi="ar"/>
              </w:rPr>
            </w:pPr>
            <w:r>
              <w:rPr>
                <w:rFonts w:hint="eastAsia" w:ascii="仿宋_GB2312" w:hAnsi="仿宋_GB2312" w:eastAsia="仿宋_GB2312" w:cs="仿宋_GB2312"/>
                <w:color w:val="000000"/>
                <w:kern w:val="0"/>
                <w:szCs w:val="21"/>
                <w:u w:val="single"/>
                <w:lang w:bidi="ar"/>
              </w:rPr>
              <w:t>22、</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产品生产厂家（公司）软件著作权登记证书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p>
            <w:pPr>
              <w:widowControl/>
              <w:spacing w:line="320" w:lineRule="exact"/>
              <w:jc w:val="left"/>
              <w:textAlignment w:val="center"/>
              <w:rPr>
                <w:rFonts w:ascii="仿宋_GB2312" w:eastAsia="仿宋_GB2312"/>
                <w:color w:val="000000"/>
                <w:szCs w:val="21"/>
              </w:rPr>
            </w:pPr>
            <w:r>
              <w:rPr>
                <w:rFonts w:hint="eastAsia" w:ascii="仿宋_GB2312" w:hAnsi="仿宋_GB2312" w:eastAsia="仿宋_GB2312" w:cs="仿宋_GB2312"/>
                <w:color w:val="000000"/>
                <w:kern w:val="0"/>
                <w:szCs w:val="21"/>
                <w:u w:val="single"/>
                <w:lang w:bidi="ar"/>
              </w:rPr>
              <w:t>23、</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产品生产厂家（公司）国家高新技术企业证书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tc>
      </w:tr>
      <w:tr>
        <w:tblPrEx>
          <w:tblCellMar>
            <w:top w:w="0" w:type="dxa"/>
            <w:left w:w="0" w:type="dxa"/>
            <w:bottom w:w="0" w:type="dxa"/>
            <w:right w:w="0" w:type="dxa"/>
          </w:tblCellMar>
        </w:tblPrEx>
        <w:trPr>
          <w:trHeight w:val="9704" w:hRule="exact"/>
          <w:jc w:val="center"/>
        </w:trPr>
        <w:tc>
          <w:tcPr>
            <w:tcW w:w="3915"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olor w:val="000000"/>
                <w:szCs w:val="21"/>
              </w:rPr>
            </w:pPr>
            <w:r>
              <w:rPr>
                <w:rFonts w:hint="eastAsia" w:ascii="仿宋_GB2312" w:hAnsi="仿宋_GB2312" w:eastAsia="仿宋_GB2312" w:cs="仿宋_GB2312"/>
                <w:color w:val="000000"/>
                <w:kern w:val="0"/>
                <w:szCs w:val="21"/>
                <w:lang w:bidi="ar"/>
              </w:rPr>
              <w:t>融合软件</w:t>
            </w:r>
          </w:p>
        </w:tc>
        <w:tc>
          <w:tcPr>
            <w:tcW w:w="397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1、支持多通道图像的分割、拼接、边缘融合、几何矫正和视频播放，实现图像的完整一体化、无失真、多通道的无缝拼接。</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2、支持遮罩功能。即在常规的矩形图像上通过加载遮罩使投影出来的图像变为其它形状（如椭圆、圆形等）。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3、支持画面的变形和旋转。</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4、支持AV采集卡和VGA采集卡、DVI、HDMI等高清采集卡对采集数据的输入，兼容多屏显示软件，支持多开窗口（画中画），。</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5、支持标准格式影像文件、图片、动画、采集视频以及互动插件的播放。</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6、支持画面(融合机画面和场景在融合机中的画面)位置和大小的调节，支持数值自定义或直接对画面的缩放和平移的调节方式。</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7、支持融合带宽度和节点的实时调节，手动几何校正，平幕、弧幕、折幕、U幕、柱幕、S形曲面、不规则幕面校正等。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8、支持投影机色差的校正。</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9、支持红、绿、蓝单通道颜色的融合过渡。</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10、支持场景的手动切换和自动切换，手机或平板或键盘切换等。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11、支持操作的回退（撤消）、单屏的复位以及多屏的全部复位（回到未调试时的状态）。</w:t>
            </w:r>
          </w:p>
          <w:p>
            <w:pPr>
              <w:widowControl/>
              <w:spacing w:line="320" w:lineRule="exact"/>
              <w:jc w:val="left"/>
              <w:textAlignment w:val="center"/>
              <w:rPr>
                <w:rFonts w:hint="eastAsia" w:ascii="仿宋_GB2312" w:hAnsi="仿宋_GB2312" w:eastAsia="仿宋_GB2312" w:cs="仿宋_GB2312"/>
                <w:color w:val="000000"/>
                <w:kern w:val="0"/>
                <w:szCs w:val="21"/>
                <w:lang w:bidi="ar"/>
              </w:rPr>
            </w:pPr>
          </w:p>
        </w:tc>
      </w:tr>
      <w:tr>
        <w:tblPrEx>
          <w:tblCellMar>
            <w:top w:w="0" w:type="dxa"/>
            <w:left w:w="0" w:type="dxa"/>
            <w:bottom w:w="0" w:type="dxa"/>
            <w:right w:w="0" w:type="dxa"/>
          </w:tblCellMar>
        </w:tblPrEx>
        <w:trPr>
          <w:trHeight w:val="14030" w:hRule="exact"/>
          <w:jc w:val="center"/>
        </w:trPr>
        <w:tc>
          <w:tcPr>
            <w:tcW w:w="3915"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olor w:val="000000"/>
                <w:szCs w:val="21"/>
              </w:rPr>
            </w:pPr>
          </w:p>
        </w:tc>
        <w:tc>
          <w:tcPr>
            <w:tcW w:w="397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12、支持媒体的播放、暂停、停止、进度控制、音量调节，可播放硬盘内的视频、文档、PPT、图片，多媒体控制系统，高性能视频播放器，支持4K-8k极清，不超过400M码流，支持视频格式 avi、rmvb、rm、mkv、wmv、mp4、mpeg、mpg、mov等，支持图片格式 jpg、jpeg、png、bmp等。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13、支持LCD投影机和DLP投影机的投影以及LED显示屏的显示，融合带Gamma校正处理，多灰阶以及RGB色阶调节,投影机边缘叠加高消隐处理，使投影画面平滑过渡，对色差较大的LCD投影机也能保持色彩一致。</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14、支持屏幕键盘和导播系统的调用。</w:t>
            </w:r>
          </w:p>
          <w:p>
            <w:pPr>
              <w:widowControl/>
              <w:spacing w:line="320" w:lineRule="exact"/>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15、单机最大支持8通道显示，如果超过最大通道数，可通过多机同步模块进行扩展，标准分辨率1024*768~9600*1200，可自定义任意分辨率，最大支持单台投影9600*1200。</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16、支持同步能力，精确同步、帧同步。</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17、支持桌面融合支持inter架构,Windows系统windows 7,windows 8.1,windows 10。</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18、支持鼠标状态  显示/隐藏/系统，精准鼠标定位，真实还原鼠标各种运行状态。</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19、支持远程协议控制，UDP,TCP,232串口等。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20、支持自动启动效果，自动融合桌面/播放视频图片等。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21、支持3D系统，支持被动式3D，支持左右、上下、2D，亮度叠加之间相互切换。</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22、图像渲染引，DirectX 高性能图像渲染引擎，基于融合配置信息对图像进行实时渲染。</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23、支持可采集网络信号上大屏，支持多窗口显示及画面漫游。</w:t>
            </w:r>
          </w:p>
          <w:p>
            <w:pPr>
              <w:widowControl/>
              <w:spacing w:line="320" w:lineRule="exact"/>
              <w:jc w:val="left"/>
              <w:textAlignment w:val="center"/>
              <w:rPr>
                <w:rFonts w:ascii="仿宋_GB2312" w:hAnsi="仿宋_GB2312" w:eastAsia="仿宋_GB2312" w:cs="仿宋_GB2312"/>
                <w:color w:val="000000"/>
                <w:kern w:val="0"/>
                <w:szCs w:val="21"/>
                <w:u w:val="single"/>
                <w:lang w:bidi="ar"/>
              </w:rPr>
            </w:pPr>
            <w:r>
              <w:rPr>
                <w:rFonts w:hint="eastAsia" w:ascii="仿宋_GB2312" w:hAnsi="仿宋_GB2312" w:eastAsia="仿宋_GB2312" w:cs="仿宋_GB2312"/>
                <w:color w:val="000000"/>
                <w:kern w:val="0"/>
                <w:szCs w:val="21"/>
                <w:u w:val="single"/>
                <w:lang w:bidi="ar"/>
              </w:rPr>
              <w:t>2</w:t>
            </w:r>
            <w:r>
              <w:rPr>
                <w:rFonts w:hint="eastAsia" w:ascii="仿宋_GB2312" w:hAnsi="仿宋_GB2312" w:eastAsia="仿宋_GB2312" w:cs="仿宋_GB2312"/>
                <w:color w:val="000000"/>
                <w:kern w:val="0"/>
                <w:szCs w:val="21"/>
                <w:u w:val="single"/>
                <w:lang w:val="en-US" w:eastAsia="zh-CN" w:bidi="ar"/>
              </w:rPr>
              <w:t>4</w:t>
            </w:r>
            <w:r>
              <w:rPr>
                <w:rFonts w:hint="eastAsia" w:ascii="仿宋_GB2312" w:hAnsi="仿宋_GB2312" w:eastAsia="仿宋_GB2312" w:cs="仿宋_GB2312"/>
                <w:color w:val="000000"/>
                <w:kern w:val="0"/>
                <w:szCs w:val="21"/>
                <w:u w:val="single"/>
                <w:lang w:bidi="ar"/>
              </w:rPr>
              <w:t>、</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产品生产厂家（公司）软件著作权登记证书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p>
            <w:pPr>
              <w:widowControl/>
              <w:spacing w:line="320" w:lineRule="exact"/>
              <w:jc w:val="left"/>
              <w:textAlignment w:val="center"/>
              <w:rPr>
                <w:rFonts w:ascii="仿宋_GB2312" w:eastAsia="仿宋_GB2312"/>
                <w:color w:val="000000"/>
                <w:szCs w:val="21"/>
              </w:rPr>
            </w:pPr>
            <w:r>
              <w:rPr>
                <w:rFonts w:hint="eastAsia" w:ascii="仿宋_GB2312" w:hAnsi="仿宋_GB2312" w:eastAsia="仿宋_GB2312" w:cs="仿宋_GB2312"/>
                <w:color w:val="000000"/>
                <w:kern w:val="0"/>
                <w:szCs w:val="21"/>
                <w:u w:val="single"/>
                <w:lang w:bidi="ar"/>
              </w:rPr>
              <w:t>2</w:t>
            </w:r>
            <w:r>
              <w:rPr>
                <w:rFonts w:hint="eastAsia" w:ascii="仿宋_GB2312" w:hAnsi="仿宋_GB2312" w:eastAsia="仿宋_GB2312" w:cs="仿宋_GB2312"/>
                <w:color w:val="000000"/>
                <w:kern w:val="0"/>
                <w:szCs w:val="21"/>
                <w:u w:val="single"/>
                <w:lang w:val="en-US" w:eastAsia="zh-CN" w:bidi="ar"/>
              </w:rPr>
              <w:t>5</w:t>
            </w:r>
            <w:r>
              <w:rPr>
                <w:rFonts w:hint="eastAsia" w:ascii="仿宋_GB2312" w:hAnsi="仿宋_GB2312" w:eastAsia="仿宋_GB2312" w:cs="仿宋_GB2312"/>
                <w:color w:val="000000"/>
                <w:kern w:val="0"/>
                <w:szCs w:val="21"/>
                <w:u w:val="single"/>
                <w:lang w:bidi="ar"/>
              </w:rPr>
              <w:t>、</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产品生产厂家（公司）国家高新技术企业证书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tc>
      </w:tr>
      <w:tr>
        <w:tblPrEx>
          <w:tblCellMar>
            <w:top w:w="0" w:type="dxa"/>
            <w:left w:w="0" w:type="dxa"/>
            <w:bottom w:w="0" w:type="dxa"/>
            <w:right w:w="0" w:type="dxa"/>
          </w:tblCellMar>
        </w:tblPrEx>
        <w:trPr>
          <w:trHeight w:val="13095" w:hRule="exact"/>
          <w:jc w:val="center"/>
        </w:trPr>
        <w:tc>
          <w:tcPr>
            <w:tcW w:w="3915" w:type="dxa"/>
            <w:tcBorders>
              <w:top w:val="dotted" w:color="auto" w:sz="8" w:space="0"/>
              <w:left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中控系统</w:t>
            </w:r>
          </w:p>
        </w:tc>
        <w:tc>
          <w:tcPr>
            <w:tcW w:w="397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1、支持 WEB 网页和 PC 软件等多种参数配置方式，配置参数方便灵活</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2、支持多个模块进行总线组网，使 I/O 点数得到灵活扩展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3、支持采集现场的 I/O 输入信号，并输出 I/O 控制信号.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4、支持I/O 信号类型可根据现场需要进行灵活配置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5、支持输入支持事件响应，事件支持滤波处理.</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6、支持输出支持初始状态锁定、输出锁定及安全电压设定。</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7、支持可通过远程命令对模块进行控制.</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8、支持以太网口和串口均可读取并控制 I/O 状态.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9、支持可在云端直接控制，并可上报自定义内容.       </w:t>
            </w:r>
          </w:p>
          <w:p>
            <w:pPr>
              <w:widowControl/>
              <w:spacing w:line="320" w:lineRule="exact"/>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10、支持具有自动报告 IP 的功能，支持在线更新固件</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11、支持10/100M 自适应以太网接口，支持动态 IP（DHCP）和静态 IP。</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12、支持集合 I/O 采集，控制输出，串口服务器，Modbus 网关功能于一身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13、支持IOS控制端程序开发模块，支持IOS界面定制，支持IOS控制程序云备份，更新，下载等功能</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14、支持内置各种常用多媒体设备的强大代码库，支持快速编程、修改，自定义等；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15、支持主板网络远程唤醒，支持TCP/UDP数据协议，支持串口设备，网络设备的控制，支持IO控制；</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16、支持PC端和Ipad同时使用，也可认为PC端播放器控制软件备份；</w:t>
            </w:r>
          </w:p>
          <w:p>
            <w:pPr>
              <w:widowControl/>
              <w:spacing w:line="320" w:lineRule="exact"/>
              <w:jc w:val="left"/>
              <w:textAlignment w:val="center"/>
              <w:rPr>
                <w:rFonts w:ascii="仿宋_GB2312" w:hAnsi="仿宋_GB2312" w:eastAsia="仿宋_GB2312" w:cs="仿宋_GB2312"/>
                <w:color w:val="000000"/>
                <w:kern w:val="0"/>
                <w:szCs w:val="21"/>
                <w:u w:val="single"/>
                <w:lang w:bidi="ar"/>
              </w:rPr>
            </w:pPr>
            <w:r>
              <w:rPr>
                <w:rFonts w:hint="eastAsia" w:ascii="仿宋_GB2312" w:hAnsi="仿宋_GB2312" w:eastAsia="仿宋_GB2312" w:cs="仿宋_GB2312"/>
                <w:color w:val="000000"/>
                <w:kern w:val="0"/>
                <w:szCs w:val="21"/>
                <w:u w:val="single"/>
                <w:lang w:val="en-US" w:eastAsia="zh-CN" w:bidi="ar"/>
              </w:rPr>
              <w:t>17</w:t>
            </w:r>
            <w:r>
              <w:rPr>
                <w:rFonts w:hint="eastAsia" w:ascii="仿宋_GB2312" w:hAnsi="仿宋_GB2312" w:eastAsia="仿宋_GB2312" w:cs="仿宋_GB2312"/>
                <w:color w:val="000000"/>
                <w:kern w:val="0"/>
                <w:szCs w:val="21"/>
                <w:u w:val="single"/>
                <w:lang w:bidi="ar"/>
              </w:rPr>
              <w:t>、</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产品生产厂家（公司）软件著作权登记证书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u w:val="single"/>
                <w:lang w:val="en-US" w:eastAsia="zh-CN" w:bidi="ar"/>
              </w:rPr>
              <w:t>18</w:t>
            </w:r>
            <w:r>
              <w:rPr>
                <w:rFonts w:hint="eastAsia" w:ascii="仿宋_GB2312" w:hAnsi="仿宋_GB2312" w:eastAsia="仿宋_GB2312" w:cs="仿宋_GB2312"/>
                <w:color w:val="000000"/>
                <w:kern w:val="0"/>
                <w:szCs w:val="21"/>
                <w:u w:val="single"/>
                <w:lang w:bidi="ar"/>
              </w:rPr>
              <w:t>、</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产品生产厂家（公司）国家高新技术企业证书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p>
            <w:pPr>
              <w:widowControl/>
              <w:spacing w:line="320" w:lineRule="exact"/>
              <w:jc w:val="left"/>
              <w:textAlignment w:val="center"/>
              <w:rPr>
                <w:rFonts w:ascii="仿宋_GB2312" w:hAnsi="仿宋_GB2312" w:eastAsia="仿宋_GB2312" w:cs="仿宋_GB2312"/>
                <w:color w:val="000000"/>
                <w:kern w:val="0"/>
                <w:szCs w:val="21"/>
                <w:lang w:bidi="ar"/>
              </w:rPr>
            </w:pPr>
          </w:p>
        </w:tc>
      </w:tr>
    </w:tbl>
    <w:p>
      <w:pPr>
        <w:adjustRightInd w:val="0"/>
        <w:snapToGrid w:val="0"/>
        <w:spacing w:line="440" w:lineRule="exact"/>
        <w:jc w:val="left"/>
        <w:rPr>
          <w:rFonts w:hint="eastAsia" w:ascii="宋体" w:hAnsi="宋体" w:eastAsia="宋体" w:cs="宋体"/>
          <w:szCs w:val="21"/>
        </w:rPr>
      </w:pPr>
      <w:r>
        <w:rPr>
          <w:rFonts w:hint="eastAsia" w:ascii="宋体" w:hAnsi="宋体" w:eastAsia="宋体" w:cs="宋体"/>
          <w:szCs w:val="21"/>
        </w:rPr>
        <w:t>（二）服务要求：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该项目必须提供的具体服务内容如下：</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质保期服务内容</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乙方</w:t>
      </w:r>
      <w:r>
        <w:rPr>
          <w:rFonts w:hint="eastAsia" w:ascii="宋体" w:hAnsi="宋体" w:eastAsia="宋体" w:cs="宋体"/>
          <w:szCs w:val="21"/>
        </w:rPr>
        <w:t>明确承诺:本项目硬件部分（即</w:t>
      </w:r>
      <w:r>
        <w:rPr>
          <w:rFonts w:hint="eastAsia" w:ascii="宋体" w:hAnsi="宋体" w:eastAsia="宋体" w:cs="宋体"/>
          <w:szCs w:val="21"/>
          <w:lang w:val="en-US" w:eastAsia="zh-CN"/>
        </w:rPr>
        <w:t>投影仪、主机、雷达等</w:t>
      </w:r>
      <w:r>
        <w:rPr>
          <w:rFonts w:hint="eastAsia" w:ascii="宋体" w:hAnsi="宋体" w:eastAsia="宋体" w:cs="宋体"/>
          <w:szCs w:val="21"/>
        </w:rPr>
        <w:t>）需提供三年售后技术服务，本项目软件部分（即</w:t>
      </w:r>
      <w:r>
        <w:rPr>
          <w:rFonts w:hint="eastAsia" w:ascii="宋体" w:hAnsi="宋体" w:eastAsia="宋体" w:cs="宋体"/>
          <w:szCs w:val="21"/>
          <w:lang w:val="en-US" w:eastAsia="zh-CN"/>
        </w:rPr>
        <w:t>中控系统、雷达软件、融合软件</w:t>
      </w:r>
      <w:r>
        <w:rPr>
          <w:rFonts w:hint="eastAsia" w:ascii="宋体" w:hAnsi="宋体" w:eastAsia="宋体" w:cs="宋体"/>
          <w:szCs w:val="21"/>
        </w:rPr>
        <w:t>）提供一年售后技术服务。</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乙方</w:t>
      </w:r>
      <w:r>
        <w:rPr>
          <w:rFonts w:hint="eastAsia" w:ascii="宋体" w:hAnsi="宋体" w:eastAsia="宋体" w:cs="宋体"/>
          <w:szCs w:val="21"/>
        </w:rPr>
        <w:t>投标产品属于国家规定“三包”范围的，其产品质量保证期不得低于“三包”规定。</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乙方</w:t>
      </w:r>
      <w:r>
        <w:rPr>
          <w:rFonts w:hint="eastAsia" w:ascii="宋体" w:hAnsi="宋体" w:eastAsia="宋体" w:cs="宋体"/>
          <w:szCs w:val="21"/>
        </w:rPr>
        <w:t>的质量保证期承诺优于国家“三包”规定的，按</w:t>
      </w:r>
      <w:r>
        <w:rPr>
          <w:rFonts w:hint="eastAsia" w:ascii="宋体" w:hAnsi="宋体" w:eastAsia="宋体" w:cs="宋体"/>
          <w:szCs w:val="21"/>
          <w:lang w:val="en-US" w:eastAsia="zh-CN"/>
        </w:rPr>
        <w:t>乙方</w:t>
      </w:r>
      <w:r>
        <w:rPr>
          <w:rFonts w:hint="eastAsia" w:ascii="宋体" w:hAnsi="宋体" w:eastAsia="宋体" w:cs="宋体"/>
          <w:szCs w:val="21"/>
        </w:rPr>
        <w:t>实际承诺执行。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乙方</w:t>
      </w:r>
      <w:r>
        <w:rPr>
          <w:rFonts w:hint="eastAsia" w:ascii="宋体" w:hAnsi="宋体" w:eastAsia="宋体" w:cs="宋体"/>
          <w:szCs w:val="21"/>
        </w:rPr>
        <w:t>投标产品由原厂负责标准售后服务的，应当在</w:t>
      </w:r>
      <w:r>
        <w:rPr>
          <w:rFonts w:hint="eastAsia" w:ascii="宋体" w:hAnsi="宋体" w:eastAsia="宋体" w:cs="宋体"/>
          <w:szCs w:val="21"/>
          <w:lang w:val="en-US" w:eastAsia="zh-CN"/>
        </w:rPr>
        <w:t>询价响应</w:t>
      </w:r>
      <w:r>
        <w:rPr>
          <w:rFonts w:hint="eastAsia" w:ascii="宋体" w:hAnsi="宋体" w:eastAsia="宋体" w:cs="宋体"/>
          <w:szCs w:val="21"/>
        </w:rPr>
        <w:t>文件中予以明确说明,并附厂家售后服务承诺内容。</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售后服务内容</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乙方</w:t>
      </w:r>
      <w:r>
        <w:rPr>
          <w:rFonts w:hint="eastAsia" w:ascii="宋体" w:hAnsi="宋体" w:eastAsia="宋体" w:cs="宋体"/>
          <w:szCs w:val="21"/>
        </w:rPr>
        <w:t>在质量保证期内应当为</w:t>
      </w:r>
      <w:r>
        <w:rPr>
          <w:rFonts w:hint="eastAsia" w:ascii="宋体" w:hAnsi="宋体" w:eastAsia="宋体" w:cs="宋体"/>
          <w:szCs w:val="21"/>
          <w:lang w:val="en-US" w:eastAsia="zh-CN"/>
        </w:rPr>
        <w:t>甲方</w:t>
      </w:r>
      <w:r>
        <w:rPr>
          <w:rFonts w:hint="eastAsia" w:ascii="宋体" w:hAnsi="宋体" w:eastAsia="宋体" w:cs="宋体"/>
          <w:szCs w:val="21"/>
        </w:rPr>
        <w:t>提供以下技术支持和服务:</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A、电话咨询</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乙方</w:t>
      </w:r>
      <w:r>
        <w:rPr>
          <w:rFonts w:hint="eastAsia" w:ascii="宋体" w:hAnsi="宋体" w:eastAsia="宋体" w:cs="宋体"/>
          <w:szCs w:val="21"/>
        </w:rPr>
        <w:t>应当为</w:t>
      </w:r>
      <w:r>
        <w:rPr>
          <w:rFonts w:hint="eastAsia" w:ascii="宋体" w:hAnsi="宋体" w:eastAsia="宋体" w:cs="宋体"/>
          <w:szCs w:val="21"/>
          <w:lang w:val="en-US" w:eastAsia="zh-CN"/>
        </w:rPr>
        <w:t>甲方</w:t>
      </w:r>
      <w:r>
        <w:rPr>
          <w:rFonts w:hint="eastAsia" w:ascii="宋体" w:hAnsi="宋体" w:eastAsia="宋体" w:cs="宋体"/>
          <w:szCs w:val="21"/>
        </w:rPr>
        <w:t>提供其单位以及原厂的技术援助电话，解答</w:t>
      </w:r>
      <w:r>
        <w:rPr>
          <w:rFonts w:hint="eastAsia" w:ascii="宋体" w:hAnsi="宋体" w:eastAsia="宋体" w:cs="宋体"/>
          <w:szCs w:val="21"/>
          <w:lang w:val="en-US" w:eastAsia="zh-CN"/>
        </w:rPr>
        <w:t>甲方</w:t>
      </w:r>
      <w:r>
        <w:rPr>
          <w:rFonts w:hint="eastAsia" w:ascii="宋体" w:hAnsi="宋体" w:eastAsia="宋体" w:cs="宋体"/>
          <w:szCs w:val="21"/>
        </w:rPr>
        <w:t>在使用中遇到的问题，及时为</w:t>
      </w:r>
      <w:r>
        <w:rPr>
          <w:rFonts w:hint="eastAsia" w:ascii="宋体" w:hAnsi="宋体" w:eastAsia="宋体" w:cs="宋体"/>
          <w:szCs w:val="21"/>
          <w:lang w:val="en-US" w:eastAsia="zh-CN"/>
        </w:rPr>
        <w:t>甲方</w:t>
      </w:r>
      <w:r>
        <w:rPr>
          <w:rFonts w:hint="eastAsia" w:ascii="宋体" w:hAnsi="宋体" w:eastAsia="宋体" w:cs="宋体"/>
          <w:szCs w:val="21"/>
        </w:rPr>
        <w:t>提出解决问题的建议。</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B、现场响应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甲方</w:t>
      </w:r>
      <w:r>
        <w:rPr>
          <w:rFonts w:hint="eastAsia" w:ascii="宋体" w:hAnsi="宋体" w:eastAsia="宋体" w:cs="宋体"/>
          <w:szCs w:val="21"/>
        </w:rPr>
        <w:t>遇到使用及技术问题，电话咨询不能解决的，</w:t>
      </w:r>
      <w:r>
        <w:rPr>
          <w:rFonts w:hint="eastAsia" w:ascii="宋体" w:hAnsi="宋体" w:eastAsia="宋体" w:cs="宋体"/>
          <w:szCs w:val="21"/>
          <w:lang w:val="en-US" w:eastAsia="zh-CN"/>
        </w:rPr>
        <w:t>乙方</w:t>
      </w:r>
      <w:r>
        <w:rPr>
          <w:rFonts w:hint="eastAsia" w:ascii="宋体" w:hAnsi="宋体" w:eastAsia="宋体" w:cs="宋体"/>
          <w:szCs w:val="21"/>
        </w:rPr>
        <w:t>应在1小时内到达现场进行处理，确保产品正常工作﹔无法在2小时内解决的，应在2小时内提供备用产品，使</w:t>
      </w:r>
      <w:r>
        <w:rPr>
          <w:rFonts w:hint="eastAsia" w:ascii="宋体" w:hAnsi="宋体" w:eastAsia="宋体" w:cs="宋体"/>
          <w:szCs w:val="21"/>
          <w:lang w:val="en-US" w:eastAsia="zh-CN"/>
        </w:rPr>
        <w:t>甲方</w:t>
      </w:r>
      <w:r>
        <w:rPr>
          <w:rFonts w:hint="eastAsia" w:ascii="宋体" w:hAnsi="宋体" w:eastAsia="宋体" w:cs="宋体"/>
          <w:szCs w:val="21"/>
        </w:rPr>
        <w:t>能够正常使用。</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2.质保期外服务要求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A、质量保证期过后，</w:t>
      </w:r>
      <w:r>
        <w:rPr>
          <w:rFonts w:hint="eastAsia" w:ascii="宋体" w:hAnsi="宋体" w:eastAsia="宋体" w:cs="宋体"/>
          <w:szCs w:val="21"/>
          <w:lang w:val="en-US" w:eastAsia="zh-CN"/>
        </w:rPr>
        <w:t>乙方</w:t>
      </w:r>
      <w:r>
        <w:rPr>
          <w:rFonts w:hint="eastAsia" w:ascii="宋体" w:hAnsi="宋体" w:eastAsia="宋体" w:cs="宋体"/>
          <w:szCs w:val="21"/>
        </w:rPr>
        <w:t>应同样提供免费电话咨询服务，并应承诺提供产品上门维护服务。</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B、质量保证期过后，</w:t>
      </w:r>
      <w:r>
        <w:rPr>
          <w:rFonts w:hint="eastAsia" w:ascii="宋体" w:hAnsi="宋体" w:eastAsia="宋体" w:cs="宋体"/>
          <w:szCs w:val="21"/>
          <w:lang w:val="en-US" w:eastAsia="zh-CN"/>
        </w:rPr>
        <w:t>甲方</w:t>
      </w:r>
      <w:r>
        <w:rPr>
          <w:rFonts w:hint="eastAsia" w:ascii="宋体" w:hAnsi="宋体" w:eastAsia="宋体" w:cs="宋体"/>
          <w:szCs w:val="21"/>
        </w:rPr>
        <w:t>需要继续由</w:t>
      </w:r>
      <w:r>
        <w:rPr>
          <w:rFonts w:hint="eastAsia" w:ascii="宋体" w:hAnsi="宋体" w:eastAsia="宋体" w:cs="宋体"/>
          <w:szCs w:val="21"/>
          <w:lang w:val="en-US" w:eastAsia="zh-CN"/>
        </w:rPr>
        <w:t>乙方</w:t>
      </w:r>
      <w:r>
        <w:rPr>
          <w:rFonts w:hint="eastAsia" w:ascii="宋体" w:hAnsi="宋体" w:eastAsia="宋体" w:cs="宋体"/>
          <w:szCs w:val="21"/>
        </w:rPr>
        <w:t>提供售后服务的，</w:t>
      </w:r>
      <w:r>
        <w:rPr>
          <w:rFonts w:hint="eastAsia" w:ascii="宋体" w:hAnsi="宋体" w:eastAsia="宋体" w:cs="宋体"/>
          <w:szCs w:val="21"/>
          <w:lang w:val="en-US" w:eastAsia="zh-CN"/>
        </w:rPr>
        <w:t>乙方</w:t>
      </w:r>
      <w:r>
        <w:rPr>
          <w:rFonts w:hint="eastAsia" w:ascii="宋体" w:hAnsi="宋体" w:eastAsia="宋体" w:cs="宋体"/>
          <w:szCs w:val="21"/>
        </w:rPr>
        <w:t>应以优惠价格提供售后服务。</w:t>
      </w:r>
    </w:p>
    <w:p>
      <w:pPr>
        <w:adjustRightInd w:val="0"/>
        <w:snapToGrid w:val="0"/>
        <w:spacing w:line="440" w:lineRule="exact"/>
        <w:jc w:val="left"/>
        <w:rPr>
          <w:rFonts w:hint="default" w:ascii="宋体" w:hAnsi="宋体" w:eastAsia="宋体" w:cs="宋体"/>
          <w:szCs w:val="21"/>
          <w:lang w:val="en-US" w:eastAsia="zh-CN"/>
        </w:rPr>
      </w:pPr>
      <w:r>
        <w:rPr>
          <w:rFonts w:hint="eastAsia" w:ascii="宋体" w:hAnsi="宋体" w:cs="宋体"/>
          <w:szCs w:val="21"/>
          <w:lang w:val="en-US" w:eastAsia="zh-CN"/>
        </w:rPr>
        <w:t>三</w:t>
      </w:r>
      <w:r>
        <w:rPr>
          <w:rFonts w:hint="eastAsia" w:ascii="宋体" w:hAnsi="宋体" w:eastAsia="宋体" w:cs="宋体"/>
          <w:szCs w:val="21"/>
          <w:lang w:val="en-US" w:eastAsia="zh-CN"/>
        </w:rPr>
        <w:t>、竣工验收条件要求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1.项目采购实施部署安装整体完成起30天内并无任何由于项目引起的故障，包括但不限于</w:t>
      </w:r>
      <w:r>
        <w:rPr>
          <w:rFonts w:hint="eastAsia" w:ascii="宋体" w:hAnsi="宋体" w:cs="宋体"/>
          <w:szCs w:val="21"/>
          <w:lang w:val="en-US" w:eastAsia="zh-CN"/>
        </w:rPr>
        <w:t>软件</w:t>
      </w:r>
      <w:r>
        <w:rPr>
          <w:rFonts w:hint="eastAsia" w:ascii="宋体" w:hAnsi="宋体" w:eastAsia="宋体" w:cs="宋体"/>
          <w:szCs w:val="21"/>
          <w:lang w:val="en-US" w:eastAsia="zh-CN"/>
        </w:rPr>
        <w:t>运行故障，平台中信息系统因平台引起的故障、项目提供的设备故障等。</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2.完整提供项目的竣工验收报告，报告中须提供新购软硬件服务授权证明以及相关资料文件等。</w:t>
      </w:r>
    </w:p>
    <w:p>
      <w:pPr>
        <w:numPr>
          <w:ilvl w:val="0"/>
          <w:numId w:val="0"/>
        </w:numPr>
        <w:rPr>
          <w:rFonts w:hint="default" w:ascii="仿宋_GB2312" w:hAnsi="仿宋_GB2312" w:eastAsia="仿宋_GB2312" w:cs="仿宋_GB2312"/>
          <w:szCs w:val="21"/>
          <w:lang w:val="en-US" w:eastAsia="zh-CN"/>
        </w:rPr>
      </w:pPr>
    </w:p>
    <w:p>
      <w:pPr>
        <w:rPr>
          <w:rFonts w:hint="eastAsia" w:ascii="仿宋_GB2312" w:hAnsi="仿宋_GB2312" w:eastAsia="仿宋_GB2312" w:cs="仿宋_GB2312"/>
          <w:szCs w:val="21"/>
          <w:lang w:eastAsia="zh-CN"/>
        </w:rPr>
      </w:pPr>
    </w:p>
    <w:p>
      <w:pPr>
        <w:rPr>
          <w:rFonts w:hint="eastAsia" w:ascii="仿宋_GB2312" w:hAnsi="仿宋_GB2312" w:eastAsia="仿宋_GB2312" w:cs="仿宋_GB2312"/>
          <w:b/>
          <w:bCs/>
          <w:szCs w:val="21"/>
        </w:rPr>
      </w:pPr>
    </w:p>
    <w:p>
      <w:pPr>
        <w:rPr>
          <w:rFonts w:hint="eastAsia" w:ascii="仿宋_GB2312" w:hAnsi="仿宋_GB2312" w:eastAsia="仿宋_GB2312" w:cs="仿宋_GB2312"/>
          <w:szCs w:val="21"/>
        </w:rPr>
      </w:pPr>
      <w:r>
        <w:rPr>
          <w:rFonts w:hint="eastAsia" w:ascii="仿宋_GB2312" w:hAnsi="仿宋_GB2312" w:eastAsia="仿宋_GB2312" w:cs="仿宋_GB2312"/>
          <w:szCs w:val="21"/>
        </w:rPr>
        <w:br w:type="page"/>
      </w:r>
    </w:p>
    <w:p>
      <w:pPr>
        <w:spacing w:line="52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Cs w:val="21"/>
          <w:lang w:val="en-US" w:eastAsia="zh-CN"/>
        </w:rPr>
        <w:t>附件6：</w:t>
      </w:r>
      <w:r>
        <w:rPr>
          <w:rFonts w:hint="eastAsia" w:asciiTheme="minorEastAsia" w:hAnsiTheme="minorEastAsia" w:eastAsiaTheme="minorEastAsia" w:cstheme="minorEastAsia"/>
          <w:b/>
          <w:bCs/>
          <w:szCs w:val="21"/>
        </w:rPr>
        <w:t>项目投入人员架构表</w:t>
      </w:r>
    </w:p>
    <w:p>
      <w:pPr>
        <w:widowControl/>
        <w:jc w:val="left"/>
        <w:rPr>
          <w:rFonts w:ascii="宋体" w:hAnsi="宋体" w:cs="宋体"/>
          <w:color w:val="FF0000"/>
          <w:szCs w:val="21"/>
        </w:rPr>
      </w:pPr>
    </w:p>
    <w:p>
      <w:pPr>
        <w:rPr>
          <w:rFonts w:hint="eastAsia" w:ascii="宋体" w:hAnsi="宋体" w:cs="宋体"/>
          <w:szCs w:val="21"/>
        </w:rPr>
      </w:pPr>
      <w:r>
        <w:rPr>
          <w:rFonts w:hint="eastAsia" w:ascii="宋体" w:hAnsi="宋体" w:cs="宋体"/>
          <w:szCs w:val="21"/>
        </w:rPr>
        <w:br w:type="page"/>
      </w:r>
    </w:p>
    <w:p>
      <w:pPr>
        <w:rPr>
          <w:rFonts w:ascii="宋体" w:hAnsi="宋体" w:cs="宋体"/>
          <w:color w:val="FF0000"/>
          <w:szCs w:val="21"/>
        </w:rPr>
      </w:pPr>
    </w:p>
    <w:p>
      <w:pPr>
        <w:rPr>
          <w:rFonts w:ascii="宋体" w:hAnsi="宋体" w:cs="宋体"/>
          <w:szCs w:val="21"/>
        </w:rPr>
      </w:pPr>
    </w:p>
    <w:p>
      <w:pPr>
        <w:rPr>
          <w:rFonts w:hint="eastAsia" w:ascii="仿宋_GB2312" w:hAnsi="仿宋_GB2312" w:eastAsia="仿宋_GB2312" w:cs="仿宋_GB2312"/>
          <w:szCs w:val="21"/>
        </w:rPr>
      </w:pPr>
    </w:p>
    <w:p>
      <w:pPr>
        <w:rPr>
          <w:rFonts w:hint="eastAsia" w:ascii="仿宋_GB2312" w:hAnsi="仿宋_GB2312" w:eastAsia="仿宋_GB2312" w:cs="仿宋_GB2312"/>
          <w:szCs w:val="21"/>
        </w:rPr>
      </w:pPr>
    </w:p>
    <w:p>
      <w:pPr>
        <w:tabs>
          <w:tab w:val="left" w:pos="6320"/>
        </w:tabs>
        <w:jc w:val="left"/>
        <w:rPr>
          <w:rFonts w:hint="eastAsia" w:ascii="仿宋_GB2312" w:hAnsi="仿宋_GB2312" w:eastAsia="仿宋_GB2312" w:cs="仿宋_GB2312"/>
        </w:rPr>
      </w:pPr>
    </w:p>
    <w:p>
      <w:pPr>
        <w:widowControl/>
        <w:jc w:val="center"/>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第五部分　响应文件格式</w:t>
      </w:r>
    </w:p>
    <w:p>
      <w:pPr>
        <w:pStyle w:val="14"/>
        <w:spacing w:line="360" w:lineRule="auto"/>
        <w:rPr>
          <w:rFonts w:hint="eastAsia" w:ascii="仿宋_GB2312" w:hAnsi="仿宋_GB2312" w:eastAsia="仿宋_GB2312" w:cs="仿宋_GB2312"/>
          <w:b/>
          <w:sz w:val="28"/>
          <w:szCs w:val="28"/>
        </w:rPr>
      </w:pPr>
    </w:p>
    <w:p>
      <w:pPr>
        <w:rPr>
          <w:rFonts w:hint="eastAsia" w:ascii="仿宋_GB2312" w:hAnsi="仿宋_GB2312" w:eastAsia="仿宋_GB2312" w:cs="仿宋_GB2312"/>
        </w:rPr>
      </w:pPr>
    </w:p>
    <w:p>
      <w:pPr>
        <w:pStyle w:val="14"/>
        <w:tabs>
          <w:tab w:val="left" w:pos="1260"/>
        </w:tabs>
        <w:jc w:val="center"/>
        <w:rPr>
          <w:rFonts w:hint="eastAsia" w:ascii="仿宋_GB2312" w:hAnsi="仿宋_GB2312" w:eastAsia="仿宋_GB2312" w:cs="仿宋_GB2312"/>
          <w:b/>
          <w:kern w:val="0"/>
          <w:sz w:val="28"/>
          <w:szCs w:val="28"/>
        </w:rPr>
      </w:pPr>
    </w:p>
    <w:p>
      <w:pPr>
        <w:pStyle w:val="14"/>
        <w:tabs>
          <w:tab w:val="left" w:pos="1260"/>
        </w:tabs>
        <w:jc w:val="center"/>
        <w:rPr>
          <w:rFonts w:hint="eastAsia" w:ascii="仿宋_GB2312" w:hAnsi="仿宋_GB2312" w:eastAsia="仿宋_GB2312" w:cs="仿宋_GB2312"/>
          <w:b/>
          <w:kern w:val="0"/>
          <w:sz w:val="28"/>
          <w:szCs w:val="28"/>
          <w:u w:val="single"/>
        </w:rPr>
      </w:pPr>
    </w:p>
    <w:p>
      <w:pPr>
        <w:pStyle w:val="14"/>
        <w:jc w:val="center"/>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u w:val="single"/>
        </w:rPr>
        <w:t>广州市净水有限公司</w:t>
      </w:r>
      <w:r>
        <w:rPr>
          <w:rFonts w:hint="eastAsia" w:ascii="仿宋_GB2312" w:hAnsi="仿宋_GB2312" w:eastAsia="仿宋_GB2312" w:cs="仿宋_GB2312"/>
          <w:b/>
          <w:sz w:val="28"/>
          <w:szCs w:val="28"/>
          <w:u w:val="single"/>
          <w:lang w:val="en-US" w:eastAsia="zh-CN"/>
        </w:rPr>
        <w:t>沥滘三期多媒体互动展示</w:t>
      </w:r>
      <w:r>
        <w:rPr>
          <w:rFonts w:hint="eastAsia" w:ascii="仿宋_GB2312" w:hAnsi="仿宋_GB2312" w:eastAsia="仿宋_GB2312" w:cs="仿宋_GB2312"/>
          <w:b/>
          <w:sz w:val="28"/>
          <w:szCs w:val="28"/>
          <w:u w:val="single"/>
        </w:rPr>
        <w:t>项目</w:t>
      </w:r>
    </w:p>
    <w:p>
      <w:pPr>
        <w:pStyle w:val="14"/>
        <w:tabs>
          <w:tab w:val="left" w:pos="1260"/>
        </w:tabs>
        <w:jc w:val="center"/>
        <w:rPr>
          <w:rFonts w:hint="eastAsia"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4"/>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4"/>
        <w:jc w:val="center"/>
        <w:rPr>
          <w:rFonts w:hint="eastAsia" w:ascii="仿宋_GB2312" w:hAnsi="仿宋_GB2312" w:eastAsia="仿宋_GB2312" w:cs="仿宋_GB2312"/>
          <w:b/>
          <w:sz w:val="28"/>
          <w:szCs w:val="28"/>
        </w:rPr>
      </w:pPr>
    </w:p>
    <w:p>
      <w:pPr>
        <w:pStyle w:val="14"/>
        <w:jc w:val="center"/>
        <w:rPr>
          <w:rFonts w:hint="eastAsia" w:ascii="仿宋_GB2312" w:hAnsi="仿宋_GB2312" w:eastAsia="仿宋_GB2312" w:cs="仿宋_GB2312"/>
          <w:b/>
          <w:sz w:val="28"/>
          <w:szCs w:val="28"/>
        </w:rPr>
      </w:pPr>
    </w:p>
    <w:p>
      <w:pPr>
        <w:pStyle w:val="14"/>
        <w:spacing w:line="360" w:lineRule="auto"/>
        <w:ind w:firstLine="840" w:firstLineChars="3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p>
    <w:p>
      <w:pPr>
        <w:pStyle w:val="13"/>
        <w:spacing w:line="360" w:lineRule="auto"/>
        <w:ind w:firstLine="828" w:firstLineChars="296"/>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val="en-US" w:eastAsia="zh-CN"/>
        </w:rPr>
        <w:t>沥滘三期多媒体互动展示</w:t>
      </w:r>
      <w:r>
        <w:rPr>
          <w:rFonts w:hint="eastAsia" w:ascii="仿宋_GB2312" w:hAnsi="仿宋_GB2312" w:eastAsia="仿宋_GB2312" w:cs="仿宋_GB2312"/>
          <w:sz w:val="28"/>
          <w:szCs w:val="28"/>
        </w:rPr>
        <w:t>项目</w:t>
      </w:r>
    </w:p>
    <w:p>
      <w:pPr>
        <w:pStyle w:val="14"/>
        <w:ind w:firstLine="843" w:firstLineChars="300"/>
        <w:rPr>
          <w:rFonts w:hint="eastAsia" w:ascii="仿宋_GB2312" w:hAnsi="仿宋_GB2312" w:eastAsia="仿宋_GB2312" w:cs="仿宋_GB2312"/>
          <w:b/>
          <w:sz w:val="28"/>
          <w:szCs w:val="28"/>
        </w:rPr>
      </w:pPr>
    </w:p>
    <w:p>
      <w:pPr>
        <w:pStyle w:val="14"/>
        <w:ind w:firstLine="843" w:firstLineChars="300"/>
        <w:rPr>
          <w:rFonts w:hint="eastAsia" w:ascii="仿宋_GB2312" w:hAnsi="仿宋_GB2312" w:eastAsia="仿宋_GB2312" w:cs="仿宋_GB2312"/>
          <w:b/>
          <w:sz w:val="28"/>
          <w:szCs w:val="28"/>
        </w:rPr>
      </w:pPr>
    </w:p>
    <w:p>
      <w:pPr>
        <w:pStyle w:val="14"/>
        <w:ind w:firstLine="843" w:firstLineChars="300"/>
        <w:rPr>
          <w:rFonts w:hint="eastAsia" w:ascii="仿宋_GB2312" w:hAnsi="仿宋_GB2312" w:eastAsia="仿宋_GB2312" w:cs="仿宋_GB2312"/>
          <w:b/>
          <w:sz w:val="28"/>
          <w:szCs w:val="28"/>
        </w:rPr>
      </w:pPr>
    </w:p>
    <w:p>
      <w:pPr>
        <w:pStyle w:val="14"/>
        <w:ind w:firstLine="843" w:firstLineChars="300"/>
        <w:rPr>
          <w:rFonts w:hint="eastAsia" w:ascii="仿宋_GB2312" w:hAnsi="仿宋_GB2312" w:eastAsia="仿宋_GB2312" w:cs="仿宋_GB2312"/>
          <w:b/>
          <w:sz w:val="28"/>
          <w:szCs w:val="28"/>
        </w:rPr>
      </w:pPr>
    </w:p>
    <w:p>
      <w:pPr>
        <w:pStyle w:val="14"/>
        <w:ind w:firstLine="843" w:firstLineChars="300"/>
        <w:rPr>
          <w:rFonts w:hint="eastAsia" w:ascii="仿宋_GB2312" w:hAnsi="仿宋_GB2312" w:eastAsia="仿宋_GB2312" w:cs="仿宋_GB2312"/>
          <w:b/>
          <w:sz w:val="28"/>
          <w:szCs w:val="28"/>
        </w:rPr>
      </w:pPr>
    </w:p>
    <w:p>
      <w:pPr>
        <w:pStyle w:val="14"/>
        <w:spacing w:line="360" w:lineRule="auto"/>
        <w:ind w:firstLine="1940" w:firstLineChars="690"/>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2080" w:firstLineChars="740"/>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日    期 ：年   月   日</w:t>
      </w:r>
    </w:p>
    <w:p>
      <w:pPr>
        <w:autoSpaceDE w:val="0"/>
        <w:autoSpaceDN w:val="0"/>
        <w:adjustRightInd w:val="0"/>
        <w:jc w:val="center"/>
        <w:rPr>
          <w:rFonts w:hint="eastAsia" w:ascii="仿宋_GB2312" w:hAnsi="仿宋_GB2312" w:eastAsia="仿宋_GB2312" w:cs="仿宋_GB2312"/>
          <w:szCs w:val="21"/>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pStyle w:val="5"/>
        <w:rPr>
          <w:rFonts w:hint="eastAsia"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32"/>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pStyle w:val="32"/>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0"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（姓名）</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说明：1.法定代表人为企业事业单位、国家机关、社会团体的主要行政负责人。</w:t>
      </w: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 xml:space="preserve">      2.内容必须填写真实、清楚、涂改无效，不得转让、买卖。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3.将此证明书提交对方作为合同附件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32"/>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4.</w:t>
      </w:r>
      <w:r>
        <w:rPr>
          <w:rFonts w:hint="eastAsia" w:ascii="仿宋" w:hAnsi="仿宋" w:eastAsia="仿宋" w:cs="仿宋_GB2312"/>
          <w:b w:val="0"/>
          <w:color w:val="000000" w:themeColor="text1"/>
          <w:kern w:val="2"/>
          <w:sz w:val="24"/>
          <w:szCs w:val="24"/>
          <w:highlight w:val="none"/>
          <w14:textFill>
            <w14:solidFill>
              <w14:schemeClr w14:val="tx1"/>
            </w14:solidFill>
          </w14:textFill>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6</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0"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300" w:lineRule="auto"/>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300" w:lineRule="auto"/>
        <w:jc w:val="both"/>
        <w:rPr>
          <w:rFonts w:hint="eastAsia" w:ascii="仿宋" w:hAnsi="仿宋" w:eastAsia="仿宋" w:cs="仿宋_GB2312"/>
          <w:b/>
          <w:color w:val="000000" w:themeColor="text1"/>
          <w:sz w:val="28"/>
          <w:szCs w:val="28"/>
          <w:highlight w:val="none"/>
          <w14:textFill>
            <w14:solidFill>
              <w14:schemeClr w14:val="tx1"/>
            </w14:solidFill>
          </w14:textFill>
        </w:rPr>
      </w:pPr>
    </w:p>
    <w:p>
      <w:pPr>
        <w:spacing w:line="300" w:lineRule="auto"/>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关于贵方项目名称:</w:t>
      </w:r>
      <w:r>
        <w:rPr>
          <w:rFonts w:hint="eastAsia" w:ascii="仿宋" w:hAnsi="仿宋" w:eastAsia="仿宋" w:cs="仿宋_GB2312"/>
          <w:color w:val="000000" w:themeColor="text1"/>
          <w:sz w:val="28"/>
          <w:szCs w:val="28"/>
          <w:highlight w:val="none"/>
          <w:u w:val="single"/>
          <w14:textFill>
            <w14:solidFill>
              <w14:schemeClr w14:val="tx1"/>
            </w14:solidFill>
          </w14:textFill>
        </w:rPr>
        <w:t>___________</w:t>
      </w:r>
      <w:r>
        <w:rPr>
          <w:rFonts w:hint="eastAsia" w:ascii="仿宋" w:hAnsi="仿宋" w:eastAsia="仿宋" w:cs="仿宋_GB2312"/>
          <w:color w:val="000000" w:themeColor="text1"/>
          <w:sz w:val="28"/>
          <w:szCs w:val="28"/>
          <w:highlight w:val="none"/>
          <w14:textFill>
            <w14:solidFill>
              <w14:schemeClr w14:val="tx1"/>
            </w14:solidFill>
          </w14:textFill>
        </w:rPr>
        <w:t>_项目编号：</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询价项目，本单位愿意提交</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响应文件，并证明</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所</w:t>
      </w:r>
      <w:r>
        <w:rPr>
          <w:rFonts w:hint="eastAsia" w:ascii="仿宋" w:hAnsi="仿宋" w:eastAsia="仿宋" w:cs="仿宋_GB2312"/>
          <w:color w:val="000000" w:themeColor="text1"/>
          <w:sz w:val="28"/>
          <w:szCs w:val="28"/>
          <w:highlight w:val="none"/>
          <w14:textFill>
            <w14:solidFill>
              <w14:schemeClr w14:val="tx1"/>
            </w14:solidFill>
          </w14:textFill>
        </w:rPr>
        <w:t>提交的文件</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说明</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证明</w:t>
      </w:r>
      <w:r>
        <w:rPr>
          <w:rFonts w:hint="eastAsia" w:ascii="仿宋" w:hAnsi="仿宋" w:eastAsia="仿宋" w:cs="仿宋_GB2312"/>
          <w:color w:val="000000" w:themeColor="text1"/>
          <w:sz w:val="28"/>
          <w:szCs w:val="28"/>
          <w:highlight w:val="none"/>
          <w14:textFill>
            <w14:solidFill>
              <w14:schemeClr w14:val="tx1"/>
            </w14:solidFill>
          </w14:textFill>
        </w:rPr>
        <w:t>是准确的和真实的。</w:t>
      </w:r>
    </w:p>
    <w:p>
      <w:pPr>
        <w:spacing w:line="480" w:lineRule="exact"/>
        <w:ind w:firstLine="3640" w:firstLineChars="1300"/>
        <w:rPr>
          <w:rFonts w:ascii="仿宋" w:hAnsi="仿宋" w:eastAsia="仿宋" w:cs="仿宋_GB2312"/>
          <w:b/>
          <w:bCs/>
          <w:color w:val="000000" w:themeColor="text1"/>
          <w:sz w:val="28"/>
          <w:szCs w:val="28"/>
          <w:highlight w:val="none"/>
          <w14:textFill>
            <w14:solidFill>
              <w14:schemeClr w14:val="tx1"/>
            </w14:solidFill>
          </w14:textFill>
        </w:rPr>
      </w:pPr>
      <w:r>
        <w:rPr>
          <w:rFonts w:hint="eastAsia" w:ascii="仿宋" w:hAnsi="仿宋" w:eastAsia="仿宋" w:cs="仿宋_GB2312"/>
          <w:b/>
          <w:bCs/>
          <w:color w:val="000000" w:themeColor="text1"/>
          <w:sz w:val="28"/>
          <w:szCs w:val="28"/>
          <w:highlight w:val="none"/>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highlight w:val="none"/>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报价单位代表（签名或盖私章）：</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highlight w:val="none"/>
          <w:u w:val="singl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报价单位名称（盖单位公章）：</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日期：</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年</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月</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p>
    <w:p>
      <w:pPr>
        <w:pStyle w:val="25"/>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5"/>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5"/>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5"/>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5"/>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5"/>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5"/>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5"/>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5"/>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47"/>
        <w:adjustRightInd w:val="0"/>
        <w:ind w:right="-1" w:firstLine="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致：</w:t>
      </w:r>
      <w:r>
        <w:rPr>
          <w:rFonts w:hint="eastAsia" w:ascii="仿宋_GB2312" w:hAnsi="仿宋_GB2312" w:eastAsia="仿宋_GB2312" w:cs="仿宋_GB2312"/>
          <w:color w:val="auto"/>
          <w:sz w:val="24"/>
          <w:szCs w:val="24"/>
          <w:u w:val="single"/>
        </w:rPr>
        <w:t xml:space="preserve">（项目实施单位） </w:t>
      </w:r>
    </w:p>
    <w:p>
      <w:pPr>
        <w:autoSpaceDE w:val="0"/>
        <w:autoSpaceDN w:val="0"/>
        <w:adjustRightInd w:val="0"/>
        <w:spacing w:line="400" w:lineRule="exact"/>
        <w:ind w:left="-539" w:leftChars="-257"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根据询价人发出的的项目编号为的工程的询价文件，我方已详细审查了全部内容，并无异议。</w:t>
      </w:r>
    </w:p>
    <w:p>
      <w:pPr>
        <w:autoSpaceDE w:val="0"/>
        <w:autoSpaceDN w:val="0"/>
        <w:adjustRightInd w:val="0"/>
        <w:spacing w:line="400" w:lineRule="exact"/>
        <w:ind w:left="-539" w:leftChars="-257"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400" w:lineRule="exact"/>
        <w:ind w:left="-539" w:leftChars="-257"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400" w:lineRule="exact"/>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41"/>
        <w:spacing w:line="400" w:lineRule="exact"/>
        <w:ind w:left="-539" w:leftChars="-257" w:firstLine="496"/>
        <w:rPr>
          <w:rFonts w:hint="eastAsia"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41"/>
        <w:ind w:firstLine="496"/>
        <w:rPr>
          <w:rFonts w:hint="eastAsia" w:ascii="仿宋_GB2312" w:hAnsi="仿宋_GB2312" w:eastAsia="仿宋_GB2312" w:cs="仿宋_GB2312"/>
        </w:rPr>
      </w:pPr>
    </w:p>
    <w:p>
      <w:pPr>
        <w:pStyle w:val="41"/>
        <w:ind w:firstLine="496"/>
        <w:rPr>
          <w:rFonts w:hint="eastAsia" w:ascii="仿宋_GB2312" w:hAnsi="仿宋_GB2312" w:eastAsia="仿宋_GB2312" w:cs="仿宋_GB2312"/>
          <w:u w:val="single"/>
        </w:rPr>
      </w:pPr>
      <w:r>
        <w:rPr>
          <w:rFonts w:hint="eastAsia" w:ascii="仿宋_GB2312" w:hAnsi="仿宋_GB2312" w:eastAsia="仿宋_GB2312" w:cs="仿宋_GB2312"/>
        </w:rPr>
        <w:t>承包意向人：(盖公章)</w:t>
      </w:r>
    </w:p>
    <w:p>
      <w:pPr>
        <w:pStyle w:val="41"/>
        <w:ind w:firstLine="496"/>
        <w:rPr>
          <w:rFonts w:hint="eastAsia" w:ascii="仿宋_GB2312" w:hAnsi="仿宋_GB2312" w:eastAsia="仿宋_GB2312" w:cs="仿宋_GB2312"/>
        </w:rPr>
      </w:pPr>
      <w:r>
        <w:rPr>
          <w:rFonts w:hint="eastAsia" w:ascii="仿宋_GB2312" w:hAnsi="仿宋_GB2312" w:eastAsia="仿宋_GB2312" w:cs="仿宋_GB2312"/>
        </w:rPr>
        <w:t>法定代表人（签名或盖章）：</w:t>
      </w:r>
    </w:p>
    <w:p>
      <w:pPr>
        <w:autoSpaceDE w:val="0"/>
        <w:autoSpaceDN w:val="0"/>
        <w:adjustRightInd w:val="0"/>
        <w:spacing w:line="360" w:lineRule="auto"/>
        <w:ind w:left="-539" w:leftChars="-257" w:firstLine="1006" w:firstLineChars="406"/>
        <w:rPr>
          <w:rFonts w:hint="eastAsia"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年 月 日    </w:t>
      </w:r>
    </w:p>
    <w:p>
      <w:pPr>
        <w:pStyle w:val="41"/>
        <w:ind w:firstLine="496"/>
        <w:rPr>
          <w:rFonts w:hint="eastAsia"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hint="eastAsia" w:ascii="仿宋_GB2312" w:hAnsi="仿宋_GB2312" w:eastAsia="仿宋_GB2312" w:cs="仿宋_GB2312"/>
                <w:b/>
                <w:sz w:val="28"/>
                <w:szCs w:val="28"/>
              </w:rPr>
            </w:pPr>
          </w:p>
        </w:tc>
        <w:tc>
          <w:tcPr>
            <w:tcW w:w="1661"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hint="eastAsia" w:ascii="仿宋_GB2312" w:hAnsi="仿宋_GB2312" w:eastAsia="仿宋_GB2312" w:cs="仿宋_GB2312"/>
                <w:b/>
                <w:sz w:val="28"/>
                <w:szCs w:val="28"/>
              </w:rPr>
            </w:pPr>
          </w:p>
        </w:tc>
        <w:tc>
          <w:tcPr>
            <w:tcW w:w="1662"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hint="eastAsia" w:ascii="仿宋_GB2312" w:hAnsi="仿宋_GB2312" w:eastAsia="仿宋_GB2312" w:cs="仿宋_GB2312"/>
                <w:b/>
                <w:sz w:val="28"/>
                <w:szCs w:val="28"/>
              </w:rPr>
            </w:pPr>
          </w:p>
        </w:tc>
        <w:tc>
          <w:tcPr>
            <w:tcW w:w="1661" w:type="dxa"/>
            <w:gridSpan w:val="2"/>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hint="eastAsia" w:ascii="仿宋_GB2312" w:hAnsi="仿宋_GB2312" w:eastAsia="仿宋_GB2312" w:cs="仿宋_GB2312"/>
                <w:b/>
                <w:sz w:val="28"/>
                <w:szCs w:val="28"/>
              </w:rPr>
            </w:pPr>
          </w:p>
        </w:tc>
        <w:tc>
          <w:tcPr>
            <w:tcW w:w="1662" w:type="dxa"/>
            <w:gridSpan w:val="2"/>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hint="eastAsia" w:ascii="仿宋_GB2312" w:hAnsi="仿宋_GB2312" w:eastAsia="仿宋_GB2312" w:cs="仿宋_GB2312"/>
                <w:b/>
                <w:sz w:val="28"/>
                <w:szCs w:val="28"/>
              </w:rPr>
            </w:pPr>
          </w:p>
        </w:tc>
        <w:tc>
          <w:tcPr>
            <w:tcW w:w="1661" w:type="dxa"/>
            <w:gridSpan w:val="2"/>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hint="eastAsia" w:ascii="仿宋_GB2312" w:hAnsi="仿宋_GB2312" w:eastAsia="仿宋_GB2312" w:cs="仿宋_GB2312"/>
                <w:b/>
                <w:sz w:val="28"/>
                <w:szCs w:val="28"/>
              </w:rPr>
            </w:pPr>
          </w:p>
        </w:tc>
        <w:tc>
          <w:tcPr>
            <w:tcW w:w="1662" w:type="dxa"/>
            <w:gridSpan w:val="2"/>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hint="eastAsia" w:ascii="仿宋_GB2312" w:hAnsi="仿宋_GB2312" w:eastAsia="仿宋_GB2312" w:cs="仿宋_GB2312"/>
                <w:b/>
                <w:sz w:val="28"/>
                <w:szCs w:val="28"/>
              </w:rPr>
            </w:pPr>
          </w:p>
        </w:tc>
        <w:tc>
          <w:tcPr>
            <w:tcW w:w="1662" w:type="dxa"/>
            <w:gridSpan w:val="2"/>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hint="eastAsia" w:ascii="仿宋_GB2312" w:hAnsi="仿宋_GB2312" w:eastAsia="仿宋_GB2312" w:cs="仿宋_GB2312"/>
                <w:b/>
                <w:sz w:val="28"/>
                <w:szCs w:val="28"/>
              </w:rPr>
            </w:pPr>
          </w:p>
        </w:tc>
        <w:tc>
          <w:tcPr>
            <w:tcW w:w="1662"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6" w:type="dxa"/>
            <w:gridSpan w:val="2"/>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6" w:type="dxa"/>
            <w:gridSpan w:val="2"/>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6" w:type="dxa"/>
            <w:gridSpan w:val="2"/>
          </w:tcPr>
          <w:p>
            <w:pPr>
              <w:jc w:val="center"/>
              <w:rPr>
                <w:rFonts w:hint="eastAsia" w:ascii="仿宋_GB2312" w:hAnsi="仿宋_GB2312" w:eastAsia="仿宋_GB2312" w:cs="仿宋_GB2312"/>
                <w:b/>
                <w:sz w:val="28"/>
                <w:szCs w:val="28"/>
              </w:rPr>
            </w:pPr>
          </w:p>
        </w:tc>
      </w:tr>
    </w:tbl>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adjustRightInd w:val="0"/>
        <w:snapToGrid w:val="0"/>
        <w:spacing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日期：年 月 日</w:t>
      </w:r>
    </w:p>
    <w:p>
      <w:pPr>
        <w:tabs>
          <w:tab w:val="left" w:pos="6320"/>
        </w:tabs>
        <w:jc w:val="left"/>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jc w:val="center"/>
        <w:rPr>
          <w:rFonts w:hint="default" w:ascii="仿宋_GB2312" w:hAnsi="仿宋_GB2312" w:cs="仿宋_GB2312"/>
          <w:b/>
          <w:color w:val="auto"/>
          <w:kern w:val="2"/>
          <w:sz w:val="28"/>
          <w:szCs w:val="28"/>
          <w:lang w:val="en-US" w:eastAsia="zh-CN"/>
        </w:rPr>
      </w:pPr>
      <w:r>
        <w:rPr>
          <w:rFonts w:hint="eastAsia" w:ascii="仿宋_GB2312" w:hAnsi="仿宋_GB2312" w:cs="仿宋_GB2312"/>
          <w:b/>
          <w:color w:val="auto"/>
          <w:kern w:val="2"/>
          <w:sz w:val="28"/>
          <w:szCs w:val="28"/>
          <w:lang w:val="en-US" w:eastAsia="zh-CN"/>
        </w:rPr>
        <w:t>5 偏离度</w:t>
      </w:r>
    </w:p>
    <w:p>
      <w:pPr>
        <w:spacing w:line="60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★拟采购的软硬件如下（以下指标若出现负偏离，则视无效</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处理）：</w:t>
      </w:r>
    </w:p>
    <w:p>
      <w:pPr>
        <w:ind w:firstLine="280" w:firstLineChars="100"/>
        <w:rPr>
          <w:rFonts w:ascii="仿宋_GB2312" w:eastAsia="仿宋_GB2312"/>
          <w:sz w:val="28"/>
          <w:szCs w:val="28"/>
        </w:rPr>
      </w:pPr>
      <w:r>
        <w:rPr>
          <w:rFonts w:hint="eastAsia" w:ascii="仿宋_GB2312" w:eastAsia="仿宋_GB2312"/>
          <w:sz w:val="28"/>
          <w:szCs w:val="28"/>
        </w:rPr>
        <w:t>硬件要求：</w:t>
      </w:r>
    </w:p>
    <w:tbl>
      <w:tblPr>
        <w:tblStyle w:val="26"/>
        <w:tblW w:w="4999" w:type="pct"/>
        <w:jc w:val="center"/>
        <w:tblLayout w:type="autofit"/>
        <w:tblCellMar>
          <w:top w:w="0" w:type="dxa"/>
          <w:left w:w="0" w:type="dxa"/>
          <w:bottom w:w="0" w:type="dxa"/>
          <w:right w:w="0" w:type="dxa"/>
        </w:tblCellMar>
      </w:tblPr>
      <w:tblGrid>
        <w:gridCol w:w="1449"/>
        <w:gridCol w:w="7010"/>
        <w:gridCol w:w="1579"/>
      </w:tblGrid>
      <w:tr>
        <w:tblPrEx>
          <w:tblCellMar>
            <w:top w:w="0" w:type="dxa"/>
            <w:left w:w="0" w:type="dxa"/>
            <w:bottom w:w="0" w:type="dxa"/>
            <w:right w:w="0" w:type="dxa"/>
          </w:tblCellMar>
        </w:tblPrEx>
        <w:trPr>
          <w:trHeight w:val="458" w:hRule="atLeast"/>
          <w:jc w:val="center"/>
        </w:trPr>
        <w:tc>
          <w:tcPr>
            <w:tcW w:w="144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类别</w:t>
            </w:r>
            <w:r>
              <w:rPr>
                <w:rFonts w:hint="eastAsia" w:ascii="仿宋_GB2312" w:eastAsia="仿宋_GB2312" w:cs="Arial"/>
                <w:color w:val="000000"/>
                <w:kern w:val="24"/>
                <w:szCs w:val="21"/>
              </w:rPr>
              <w:t xml:space="preserve"> </w:t>
            </w:r>
          </w:p>
        </w:tc>
        <w:tc>
          <w:tcPr>
            <w:tcW w:w="7010"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说明</w:t>
            </w:r>
            <w:r>
              <w:rPr>
                <w:rFonts w:hint="eastAsia" w:ascii="仿宋_GB2312" w:eastAsia="仿宋_GB2312" w:cs="Arial"/>
                <w:color w:val="000000"/>
                <w:kern w:val="24"/>
                <w:szCs w:val="21"/>
              </w:rPr>
              <w:t xml:space="preserve"> </w:t>
            </w:r>
          </w:p>
        </w:tc>
        <w:tc>
          <w:tcPr>
            <w:tcW w:w="157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hint="default" w:ascii="仿宋_GB2312" w:eastAsia="仿宋_GB2312" w:cs="Arial"/>
                <w:b/>
                <w:bCs/>
                <w:color w:val="000000"/>
                <w:kern w:val="24"/>
                <w:szCs w:val="21"/>
                <w:lang w:val="en-US" w:eastAsia="zh-CN"/>
              </w:rPr>
            </w:pPr>
            <w:r>
              <w:rPr>
                <w:rFonts w:hint="eastAsia" w:ascii="仿宋_GB2312" w:eastAsia="仿宋_GB2312" w:cs="Arial"/>
                <w:b/>
                <w:bCs/>
                <w:color w:val="000000"/>
                <w:kern w:val="24"/>
                <w:szCs w:val="21"/>
                <w:lang w:val="en-US" w:eastAsia="zh-CN"/>
              </w:rPr>
              <w:t>响应程度</w:t>
            </w:r>
          </w:p>
        </w:tc>
      </w:tr>
      <w:tr>
        <w:tblPrEx>
          <w:tblCellMar>
            <w:top w:w="0" w:type="dxa"/>
            <w:left w:w="0" w:type="dxa"/>
            <w:bottom w:w="0" w:type="dxa"/>
            <w:right w:w="0" w:type="dxa"/>
          </w:tblCellMar>
        </w:tblPrEx>
        <w:trPr>
          <w:trHeight w:val="3369" w:hRule="atLeast"/>
          <w:jc w:val="center"/>
        </w:trPr>
        <w:tc>
          <w:tcPr>
            <w:tcW w:w="144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投影机</w:t>
            </w:r>
          </w:p>
        </w:tc>
        <w:tc>
          <w:tcPr>
            <w:tcW w:w="7010"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投影技术DLP，0.48 DMD，IP6X防尘等级；30000小时激光光源；亮度≧ 4500流明；标准分辨率：1920*1200；对比度≧2000000:1；梯形校正≧+/-5度（垂直&amp;水平），具有四角梯形校正功能；投射比：0.252：1；内置10W*2音箱；采用最新的ColorBoost 3D色彩技术；支持蓝光HDMI 3D 适配 144Hz 24p</w:t>
            </w:r>
          </w:p>
          <w:p>
            <w:pPr>
              <w:widowControl/>
              <w:spacing w:line="320" w:lineRule="exact"/>
              <w:jc w:val="left"/>
              <w:textAlignment w:val="center"/>
              <w:rPr>
                <w:rFonts w:ascii="仿宋_GB2312" w:eastAsia="仿宋_GB2312" w:cs="Arial"/>
                <w:color w:val="000000"/>
                <w:kern w:val="0"/>
                <w:szCs w:val="21"/>
              </w:rPr>
            </w:pPr>
          </w:p>
        </w:tc>
        <w:tc>
          <w:tcPr>
            <w:tcW w:w="1579"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eastAsia="仿宋_GB2312" w:cs="Arial"/>
                <w:color w:val="000000"/>
                <w:kern w:val="0"/>
                <w:szCs w:val="21"/>
              </w:rPr>
            </w:pPr>
          </w:p>
        </w:tc>
      </w:tr>
      <w:tr>
        <w:tblPrEx>
          <w:tblCellMar>
            <w:top w:w="0" w:type="dxa"/>
            <w:left w:w="0" w:type="dxa"/>
            <w:bottom w:w="0" w:type="dxa"/>
            <w:right w:w="0" w:type="dxa"/>
          </w:tblCellMar>
        </w:tblPrEx>
        <w:trPr>
          <w:trHeight w:val="454" w:hRule="exact"/>
          <w:jc w:val="center"/>
        </w:trPr>
        <w:tc>
          <w:tcPr>
            <w:tcW w:w="144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主机</w:t>
            </w:r>
          </w:p>
        </w:tc>
        <w:tc>
          <w:tcPr>
            <w:tcW w:w="7010"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I5/Z390-A/8G/P620显卡/SSD240G/500W</w:t>
            </w:r>
          </w:p>
        </w:tc>
        <w:tc>
          <w:tcPr>
            <w:tcW w:w="1579"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bidi="ar"/>
              </w:rPr>
            </w:pPr>
          </w:p>
        </w:tc>
      </w:tr>
      <w:tr>
        <w:tblPrEx>
          <w:tblCellMar>
            <w:top w:w="0" w:type="dxa"/>
            <w:left w:w="0" w:type="dxa"/>
            <w:bottom w:w="0" w:type="dxa"/>
            <w:right w:w="0" w:type="dxa"/>
          </w:tblCellMar>
        </w:tblPrEx>
        <w:trPr>
          <w:trHeight w:val="1657" w:hRule="exact"/>
          <w:jc w:val="center"/>
        </w:trPr>
        <w:tc>
          <w:tcPr>
            <w:tcW w:w="144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雷达</w:t>
            </w:r>
          </w:p>
        </w:tc>
        <w:tc>
          <w:tcPr>
            <w:tcW w:w="7010"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单台触控范围：700cm*300,支持多台并机工作;角度分辨率：0.33；激光波长：905nm；扫码角度：≤270°；触控类型：最多可达60点；响应速度：≤20ms;防护等级：IP67;以太网端口网线传输，信号传输零衰减，</w:t>
            </w:r>
          </w:p>
        </w:tc>
        <w:tc>
          <w:tcPr>
            <w:tcW w:w="1579"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bidi="ar"/>
              </w:rPr>
            </w:pPr>
          </w:p>
        </w:tc>
      </w:tr>
      <w:tr>
        <w:tblPrEx>
          <w:tblCellMar>
            <w:top w:w="0" w:type="dxa"/>
            <w:left w:w="0" w:type="dxa"/>
            <w:bottom w:w="0" w:type="dxa"/>
            <w:right w:w="0" w:type="dxa"/>
          </w:tblCellMar>
        </w:tblPrEx>
        <w:trPr>
          <w:trHeight w:val="2732" w:hRule="exact"/>
          <w:jc w:val="center"/>
        </w:trPr>
        <w:tc>
          <w:tcPr>
            <w:tcW w:w="144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供放</w:t>
            </w:r>
          </w:p>
        </w:tc>
        <w:tc>
          <w:tcPr>
            <w:tcW w:w="7010"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电源需求:AC220V/50-60Hz、额定功率:4×60W、频率响应:100Hz~16kHz ±3dB、失真度:＜0.8%(1KHz，1/3额定输出功率)、输出方式:4~16定阻输出，70V,100V定压输出、输入灵敏度:775mV/0dB平衡、辅助输出:775mV/0dB、非平衡信噪比:90dB</w:t>
            </w:r>
          </w:p>
        </w:tc>
        <w:tc>
          <w:tcPr>
            <w:tcW w:w="157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bidi="ar"/>
              </w:rPr>
            </w:pPr>
          </w:p>
        </w:tc>
      </w:tr>
      <w:tr>
        <w:tblPrEx>
          <w:tblCellMar>
            <w:top w:w="0" w:type="dxa"/>
            <w:left w:w="0" w:type="dxa"/>
            <w:bottom w:w="0" w:type="dxa"/>
            <w:right w:w="0" w:type="dxa"/>
          </w:tblCellMar>
        </w:tblPrEx>
        <w:trPr>
          <w:trHeight w:val="1436" w:hRule="exact"/>
          <w:jc w:val="center"/>
        </w:trPr>
        <w:tc>
          <w:tcPr>
            <w:tcW w:w="1449"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吸项</w:t>
            </w:r>
          </w:p>
        </w:tc>
        <w:tc>
          <w:tcPr>
            <w:tcW w:w="7010"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额定功率/ 阻抗 3.8/7.5/15/30W/8Ω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线电压 100V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灵敏度(1m,1W) 89±3dB(1m,1W) </w:t>
            </w:r>
          </w:p>
          <w:p>
            <w:pPr>
              <w:widowControl/>
              <w:spacing w:line="320" w:lineRule="exact"/>
              <w:jc w:val="left"/>
              <w:textAlignment w:val="center"/>
              <w:rPr>
                <w:rFonts w:ascii="仿宋_GB2312" w:eastAsia="仿宋_GB2312" w:cs="Arial"/>
                <w:color w:val="000000"/>
                <w:kern w:val="0"/>
                <w:szCs w:val="21"/>
              </w:rPr>
            </w:pPr>
            <w:r>
              <w:rPr>
                <w:rFonts w:hint="eastAsia" w:ascii="仿宋_GB2312" w:hAnsi="仿宋_GB2312" w:eastAsia="仿宋_GB2312" w:cs="仿宋_GB2312"/>
                <w:color w:val="000000"/>
                <w:kern w:val="0"/>
                <w:szCs w:val="21"/>
                <w:lang w:bidi="ar"/>
              </w:rPr>
              <w:t>频率响应 100Hz～ 20kHz</w:t>
            </w:r>
          </w:p>
        </w:tc>
        <w:tc>
          <w:tcPr>
            <w:tcW w:w="1579"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bidi="ar"/>
              </w:rPr>
            </w:pPr>
          </w:p>
        </w:tc>
      </w:tr>
    </w:tbl>
    <w:p>
      <w:pPr>
        <w:ind w:firstLine="280" w:firstLineChars="100"/>
        <w:rPr>
          <w:rFonts w:ascii="仿宋_GB2312" w:eastAsia="仿宋_GB2312"/>
          <w:sz w:val="28"/>
          <w:szCs w:val="28"/>
        </w:rPr>
      </w:pPr>
      <w:r>
        <w:rPr>
          <w:rFonts w:hint="eastAsia" w:ascii="仿宋_GB2312" w:eastAsia="仿宋_GB2312"/>
          <w:sz w:val="28"/>
          <w:szCs w:val="28"/>
        </w:rPr>
        <w:t>软件要求：</w:t>
      </w:r>
    </w:p>
    <w:tbl>
      <w:tblPr>
        <w:tblStyle w:val="26"/>
        <w:tblW w:w="4501" w:type="pct"/>
        <w:jc w:val="center"/>
        <w:tblLayout w:type="autofit"/>
        <w:tblCellMar>
          <w:top w:w="0" w:type="dxa"/>
          <w:left w:w="0" w:type="dxa"/>
          <w:bottom w:w="0" w:type="dxa"/>
          <w:right w:w="0" w:type="dxa"/>
        </w:tblCellMar>
      </w:tblPr>
      <w:tblGrid>
        <w:gridCol w:w="3308"/>
        <w:gridCol w:w="4020"/>
        <w:gridCol w:w="1710"/>
      </w:tblGrid>
      <w:tr>
        <w:tblPrEx>
          <w:tblCellMar>
            <w:top w:w="0" w:type="dxa"/>
            <w:left w:w="0" w:type="dxa"/>
            <w:bottom w:w="0" w:type="dxa"/>
            <w:right w:w="0" w:type="dxa"/>
          </w:tblCellMar>
        </w:tblPrEx>
        <w:trPr>
          <w:trHeight w:val="454" w:hRule="exact"/>
          <w:jc w:val="center"/>
        </w:trPr>
        <w:tc>
          <w:tcPr>
            <w:tcW w:w="330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rPr>
                <w:rFonts w:ascii="仿宋_GB2312" w:eastAsia="仿宋_GB2312"/>
                <w:color w:val="000000"/>
                <w:szCs w:val="21"/>
              </w:rPr>
            </w:pPr>
            <w:r>
              <w:rPr>
                <w:rFonts w:hint="eastAsia" w:ascii="仿宋_GB2312" w:eastAsia="仿宋_GB2312"/>
                <w:b/>
                <w:bCs/>
                <w:color w:val="000000"/>
                <w:szCs w:val="21"/>
              </w:rPr>
              <w:t>类别</w:t>
            </w:r>
            <w:r>
              <w:rPr>
                <w:rFonts w:hint="eastAsia" w:ascii="仿宋_GB2312" w:eastAsia="仿宋_GB2312"/>
                <w:color w:val="000000"/>
                <w:szCs w:val="21"/>
              </w:rPr>
              <w:t xml:space="preserve"> </w:t>
            </w:r>
          </w:p>
        </w:tc>
        <w:tc>
          <w:tcPr>
            <w:tcW w:w="4021"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rPr>
                <w:rFonts w:ascii="仿宋_GB2312" w:eastAsia="仿宋_GB2312"/>
                <w:color w:val="000000"/>
                <w:szCs w:val="21"/>
              </w:rPr>
            </w:pPr>
            <w:r>
              <w:rPr>
                <w:rFonts w:hint="eastAsia" w:ascii="仿宋_GB2312" w:eastAsia="仿宋_GB2312"/>
                <w:b/>
                <w:bCs/>
                <w:color w:val="000000"/>
                <w:szCs w:val="21"/>
              </w:rPr>
              <w:t xml:space="preserve">说明 </w:t>
            </w:r>
          </w:p>
        </w:tc>
        <w:tc>
          <w:tcPr>
            <w:tcW w:w="1710"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rPr>
                <w:rFonts w:hint="default" w:ascii="仿宋_GB2312" w:eastAsia="仿宋_GB2312"/>
                <w:b/>
                <w:bCs/>
                <w:color w:val="000000"/>
                <w:szCs w:val="21"/>
                <w:lang w:val="en-US" w:eastAsia="zh-CN"/>
              </w:rPr>
            </w:pPr>
            <w:r>
              <w:rPr>
                <w:rFonts w:hint="eastAsia" w:ascii="仿宋_GB2312" w:eastAsia="仿宋_GB2312"/>
                <w:b/>
                <w:bCs/>
                <w:color w:val="000000"/>
                <w:szCs w:val="21"/>
                <w:lang w:val="en-US" w:eastAsia="zh-CN"/>
              </w:rPr>
              <w:t>响应程度</w:t>
            </w:r>
          </w:p>
        </w:tc>
      </w:tr>
      <w:tr>
        <w:tblPrEx>
          <w:tblCellMar>
            <w:top w:w="0" w:type="dxa"/>
            <w:left w:w="0" w:type="dxa"/>
            <w:bottom w:w="0" w:type="dxa"/>
            <w:right w:w="0" w:type="dxa"/>
          </w:tblCellMar>
        </w:tblPrEx>
        <w:trPr>
          <w:trHeight w:val="13634" w:hRule="exact"/>
          <w:jc w:val="center"/>
        </w:trPr>
        <w:tc>
          <w:tcPr>
            <w:tcW w:w="330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jc w:val="center"/>
              <w:rPr>
                <w:rFonts w:ascii="仿宋_GB2312" w:eastAsia="仿宋_GB2312"/>
                <w:b/>
                <w:bCs/>
                <w:color w:val="000000"/>
                <w:szCs w:val="21"/>
              </w:rPr>
            </w:pPr>
            <w:r>
              <w:rPr>
                <w:rFonts w:hint="eastAsia" w:ascii="仿宋_GB2312" w:hAnsi="仿宋_GB2312" w:eastAsia="仿宋_GB2312" w:cs="仿宋_GB2312"/>
                <w:color w:val="000000"/>
                <w:kern w:val="0"/>
                <w:szCs w:val="21"/>
                <w:lang w:bidi="ar"/>
              </w:rPr>
              <w:t>雷达后台</w:t>
            </w:r>
          </w:p>
        </w:tc>
        <w:tc>
          <w:tcPr>
            <w:tcW w:w="4021"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1、支持各激光雷达，红外摄像枪，KINECT体感器等各类设备.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2、支持多雷达并接布局，简单容易操作。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3、支持精细识别、毫米级识别度。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4、支持雷达角度调整、感应范围调整、转速调整。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5、支持手动设置屏幕互动范围， 最大支持4组范围。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6、支持中控协议，与第三方可编程中控系统，无缝对接。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7、支持自定义播放列表内容、可以设置互动时间、随机或顺序播放。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8、支持定时关机，启动延时等待操作。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9、支持多点触摸TOUCH（最大支持255触摸点同时响应），鼠标点击、右点击等。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10、支持TUIO数据输出。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11、自动消除雷达背景，无需手动绘制遮罩。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12、支持win7, win8, win10 多点触摸操作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13、支持多种界面语言（简体、英文）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14、支持T形屏、L形屏及拼接屏的单元校准（可以任意定义校准点4点、16点、32点、64点、及用户自定义校准点数和任意拖放屏幕互动区域位置）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15、增加互动内容切换等待窗口，以防止切换时鼠标乱跳触碰到桌面图标。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16、性能提升、支持多个雷达级联、减少地面互动死角。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17、支持无屏校准。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18、支持多窗口素材同时显示及互动，如并列多个flash?或U3D素材窗口显示交互。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19、支持播放列表添加多个不同交互对接方式的素材，如第一个素材为TUIO、第二个为鼠标、第三个为多点触摸，软件系统可根据用户设定自动切换识别输出。</w:t>
            </w:r>
          </w:p>
          <w:p>
            <w:pPr>
              <w:widowControl/>
              <w:spacing w:line="320" w:lineRule="exact"/>
              <w:jc w:val="left"/>
              <w:textAlignment w:val="center"/>
              <w:rPr>
                <w:rFonts w:ascii="仿宋_GB2312" w:eastAsia="仿宋_GB2312"/>
                <w:b/>
                <w:bCs/>
                <w:color w:val="000000"/>
                <w:szCs w:val="21"/>
              </w:rPr>
            </w:pPr>
            <w:r>
              <w:rPr>
                <w:rFonts w:hint="eastAsia" w:ascii="仿宋_GB2312" w:hAnsi="仿宋_GB2312" w:eastAsia="仿宋_GB2312" w:cs="仿宋_GB2312"/>
                <w:color w:val="000000"/>
                <w:kern w:val="0"/>
                <w:szCs w:val="21"/>
                <w:lang w:bidi="ar"/>
              </w:rPr>
              <w:t>20、新增加校准点通过键盘微调，方便用户精准校准坐标点。并能对于多个校准区域，对于校准精度有误差的，进行单独修改调整。</w:t>
            </w:r>
          </w:p>
        </w:tc>
        <w:tc>
          <w:tcPr>
            <w:tcW w:w="1710"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bidi="ar"/>
              </w:rPr>
            </w:pPr>
          </w:p>
        </w:tc>
      </w:tr>
      <w:tr>
        <w:tblPrEx>
          <w:tblCellMar>
            <w:top w:w="0" w:type="dxa"/>
            <w:left w:w="0" w:type="dxa"/>
            <w:bottom w:w="0" w:type="dxa"/>
            <w:right w:w="0" w:type="dxa"/>
          </w:tblCellMar>
        </w:tblPrEx>
        <w:trPr>
          <w:trHeight w:val="4415" w:hRule="exact"/>
          <w:jc w:val="center"/>
        </w:trPr>
        <w:tc>
          <w:tcPr>
            <w:tcW w:w="330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olor w:val="000000"/>
                <w:szCs w:val="21"/>
              </w:rPr>
            </w:pPr>
          </w:p>
        </w:tc>
        <w:tc>
          <w:tcPr>
            <w:tcW w:w="4021"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20、新增加校准点通过键盘微调，方便用户精准校准坐标点。并能对于多个校准区域，对于校准精度有误差的，进行单独修改调整。</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21、多台电脑同步播放同一种互动素材画面，同步协调播放，使得效果更一整体。</w:t>
            </w:r>
          </w:p>
          <w:p>
            <w:pPr>
              <w:widowControl/>
              <w:spacing w:line="320" w:lineRule="exact"/>
              <w:jc w:val="left"/>
              <w:textAlignment w:val="center"/>
              <w:rPr>
                <w:rFonts w:ascii="仿宋_GB2312" w:hAnsi="仿宋_GB2312" w:eastAsia="仿宋_GB2312" w:cs="仿宋_GB2312"/>
                <w:color w:val="000000"/>
                <w:kern w:val="0"/>
                <w:szCs w:val="21"/>
                <w:u w:val="single"/>
                <w:lang w:bidi="ar"/>
              </w:rPr>
            </w:pPr>
            <w:r>
              <w:rPr>
                <w:rFonts w:hint="eastAsia" w:ascii="仿宋_GB2312" w:hAnsi="仿宋_GB2312" w:eastAsia="仿宋_GB2312" w:cs="仿宋_GB2312"/>
                <w:color w:val="000000"/>
                <w:kern w:val="0"/>
                <w:szCs w:val="21"/>
                <w:u w:val="single"/>
                <w:lang w:bidi="ar"/>
              </w:rPr>
              <w:t>22、</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产品生产厂家（公司）软件著作权登记证书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p>
            <w:pPr>
              <w:widowControl/>
              <w:spacing w:line="320" w:lineRule="exact"/>
              <w:jc w:val="left"/>
              <w:textAlignment w:val="center"/>
              <w:rPr>
                <w:rFonts w:ascii="仿宋_GB2312" w:eastAsia="仿宋_GB2312"/>
                <w:color w:val="000000"/>
                <w:szCs w:val="21"/>
              </w:rPr>
            </w:pPr>
            <w:r>
              <w:rPr>
                <w:rFonts w:hint="eastAsia" w:ascii="仿宋_GB2312" w:hAnsi="仿宋_GB2312" w:eastAsia="仿宋_GB2312" w:cs="仿宋_GB2312"/>
                <w:color w:val="000000"/>
                <w:kern w:val="0"/>
                <w:szCs w:val="21"/>
                <w:u w:val="single"/>
                <w:lang w:bidi="ar"/>
              </w:rPr>
              <w:t>23、</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产品生产厂家（公司）国家高新技术企业证书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tc>
        <w:tc>
          <w:tcPr>
            <w:tcW w:w="1710"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bidi="ar"/>
              </w:rPr>
            </w:pPr>
          </w:p>
        </w:tc>
      </w:tr>
      <w:tr>
        <w:tblPrEx>
          <w:tblCellMar>
            <w:top w:w="0" w:type="dxa"/>
            <w:left w:w="0" w:type="dxa"/>
            <w:bottom w:w="0" w:type="dxa"/>
            <w:right w:w="0" w:type="dxa"/>
          </w:tblCellMar>
        </w:tblPrEx>
        <w:trPr>
          <w:trHeight w:val="9704" w:hRule="exact"/>
          <w:jc w:val="center"/>
        </w:trPr>
        <w:tc>
          <w:tcPr>
            <w:tcW w:w="330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olor w:val="000000"/>
                <w:szCs w:val="21"/>
              </w:rPr>
            </w:pPr>
            <w:r>
              <w:rPr>
                <w:rFonts w:hint="eastAsia" w:ascii="仿宋_GB2312" w:hAnsi="仿宋_GB2312" w:eastAsia="仿宋_GB2312" w:cs="仿宋_GB2312"/>
                <w:color w:val="000000"/>
                <w:kern w:val="0"/>
                <w:szCs w:val="21"/>
                <w:lang w:bidi="ar"/>
              </w:rPr>
              <w:t>融合软件</w:t>
            </w:r>
          </w:p>
        </w:tc>
        <w:tc>
          <w:tcPr>
            <w:tcW w:w="4021"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1、支持多通道图像的分割、拼接、边缘融合、几何矫正和视频播放，实现图像的完整一体化、无失真、多通道的无缝拼接。</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2、支持遮罩功能。即在常规的矩形图像上通过加载遮罩使投影出来的图像变为其它形状（如椭圆、圆形等）。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3、支持画面的变形和旋转。</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4、支持AV采集卡和VGA采集卡、DVI、HDMI等高清采集卡对采集数据的输入，兼容多屏显示软件，支持多开窗口（画中画），。</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5、支持标准格式影像文件、图片、动画、采集视频以及互动插件的播放。</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6、支持画面(融合机画面和场景在融合机中的画面)位置和大小的调节，支持数值自定义或直接对画面的缩放和平移的调节方式。</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7、支持融合带宽度和节点的实时调节，手动几何校正，平幕、弧幕、折幕、U幕、柱幕、S形曲面、不规则幕面校正等。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8、支持投影机色差的校正。</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9、支持红、绿、蓝单通道颜色的融合过渡。</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10、支持场景的手动切换和自动切换，手机或平板或键盘切换等。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11、支持操作的回退（撤消）、单屏的复位以及多屏的全部复位（回到未调试时的状态）。</w:t>
            </w:r>
          </w:p>
          <w:p>
            <w:pPr>
              <w:widowControl/>
              <w:spacing w:line="320" w:lineRule="exact"/>
              <w:jc w:val="left"/>
              <w:textAlignment w:val="center"/>
              <w:rPr>
                <w:rFonts w:hint="eastAsia" w:ascii="仿宋_GB2312" w:hAnsi="仿宋_GB2312" w:eastAsia="仿宋_GB2312" w:cs="仿宋_GB2312"/>
                <w:color w:val="000000"/>
                <w:kern w:val="0"/>
                <w:szCs w:val="21"/>
                <w:lang w:bidi="ar"/>
              </w:rPr>
            </w:pPr>
          </w:p>
        </w:tc>
        <w:tc>
          <w:tcPr>
            <w:tcW w:w="1710"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bidi="ar"/>
              </w:rPr>
            </w:pPr>
          </w:p>
        </w:tc>
      </w:tr>
      <w:tr>
        <w:tblPrEx>
          <w:tblCellMar>
            <w:top w:w="0" w:type="dxa"/>
            <w:left w:w="0" w:type="dxa"/>
            <w:bottom w:w="0" w:type="dxa"/>
            <w:right w:w="0" w:type="dxa"/>
          </w:tblCellMar>
        </w:tblPrEx>
        <w:trPr>
          <w:trHeight w:val="14030" w:hRule="exact"/>
          <w:jc w:val="center"/>
        </w:trPr>
        <w:tc>
          <w:tcPr>
            <w:tcW w:w="330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olor w:val="000000"/>
                <w:szCs w:val="21"/>
              </w:rPr>
            </w:pPr>
          </w:p>
        </w:tc>
        <w:tc>
          <w:tcPr>
            <w:tcW w:w="4021"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12、支持媒体的播放、暂停、停止、进度控制、音量调节，可播放硬盘内的视频、文档、PPT、图片，多媒体控制系统，高性能视频播放器，支持4K-8k极清，不超过400M码流，支持视频格式 avi、rmvb、rm、mkv、wmv、mp4、mpeg、mpg、mov等，支持图片格式 jpg、jpeg、png、bmp等。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13、支持LCD投影机和DLP投影机的投影以及LED显示屏的显示，融合带Gamma校正处理，多灰阶以及RGB色阶调节,投影机边缘叠加高消隐处理，使投影画面平滑过渡，对色差较大的LCD投影机也能保持色彩一致。</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14、支持屏幕键盘和导播系统的调用。</w:t>
            </w:r>
          </w:p>
          <w:p>
            <w:pPr>
              <w:widowControl/>
              <w:spacing w:line="320" w:lineRule="exact"/>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15、单机最大支持8通道显示，如果超过最大通道数，可通过多机同步模块进行扩展，标准分辨率1024*768~9600*1200，可自定义任意分辨率，最大支持单台投影9600*1200。</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16、支持同步能力，精确同步、帧同步。</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17、支持桌面融合支持inter架构,Windows系统windows 7,windows 8.1,windows 10。</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18、支持鼠标状态  显示/隐藏/系统，精准鼠标定位，真实还原鼠标各种运行状态。</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19、支持远程协议控制，UDP,TCP,232串口等。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20、支持自动启动效果，自动融合桌面/播放视频图片等。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21、支持3D系统，支持被动式3D，支持左右、上下、2D，亮度叠加之间相互切换。</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22、图像渲染引，DirectX 高性能图像渲染引擎，基于融合配置信息对图像进行实时渲染。</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23、支持可采集网络信号上大屏，支持多窗口显示及画面漫游。</w:t>
            </w:r>
          </w:p>
          <w:p>
            <w:pPr>
              <w:widowControl/>
              <w:spacing w:line="320" w:lineRule="exact"/>
              <w:jc w:val="left"/>
              <w:textAlignment w:val="center"/>
              <w:rPr>
                <w:rFonts w:ascii="仿宋_GB2312" w:hAnsi="仿宋_GB2312" w:eastAsia="仿宋_GB2312" w:cs="仿宋_GB2312"/>
                <w:color w:val="000000"/>
                <w:kern w:val="0"/>
                <w:szCs w:val="21"/>
                <w:u w:val="single"/>
                <w:lang w:bidi="ar"/>
              </w:rPr>
            </w:pPr>
            <w:r>
              <w:rPr>
                <w:rFonts w:hint="eastAsia" w:ascii="仿宋_GB2312" w:hAnsi="仿宋_GB2312" w:eastAsia="仿宋_GB2312" w:cs="仿宋_GB2312"/>
                <w:color w:val="000000"/>
                <w:kern w:val="0"/>
                <w:szCs w:val="21"/>
                <w:u w:val="single"/>
                <w:lang w:bidi="ar"/>
              </w:rPr>
              <w:t>2</w:t>
            </w:r>
            <w:r>
              <w:rPr>
                <w:rFonts w:hint="eastAsia" w:ascii="仿宋_GB2312" w:hAnsi="仿宋_GB2312" w:eastAsia="仿宋_GB2312" w:cs="仿宋_GB2312"/>
                <w:color w:val="000000"/>
                <w:kern w:val="0"/>
                <w:szCs w:val="21"/>
                <w:u w:val="single"/>
                <w:lang w:val="en-US" w:eastAsia="zh-CN" w:bidi="ar"/>
              </w:rPr>
              <w:t>4</w:t>
            </w:r>
            <w:r>
              <w:rPr>
                <w:rFonts w:hint="eastAsia" w:ascii="仿宋_GB2312" w:hAnsi="仿宋_GB2312" w:eastAsia="仿宋_GB2312" w:cs="仿宋_GB2312"/>
                <w:color w:val="000000"/>
                <w:kern w:val="0"/>
                <w:szCs w:val="21"/>
                <w:u w:val="single"/>
                <w:lang w:bidi="ar"/>
              </w:rPr>
              <w:t>、</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产品生产厂家（公司）软件著作权登记证书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p>
            <w:pPr>
              <w:widowControl/>
              <w:spacing w:line="320" w:lineRule="exact"/>
              <w:jc w:val="left"/>
              <w:textAlignment w:val="center"/>
              <w:rPr>
                <w:rFonts w:ascii="仿宋_GB2312" w:eastAsia="仿宋_GB2312"/>
                <w:color w:val="000000"/>
                <w:szCs w:val="21"/>
              </w:rPr>
            </w:pPr>
            <w:r>
              <w:rPr>
                <w:rFonts w:hint="eastAsia" w:ascii="仿宋_GB2312" w:hAnsi="仿宋_GB2312" w:eastAsia="仿宋_GB2312" w:cs="仿宋_GB2312"/>
                <w:color w:val="000000"/>
                <w:kern w:val="0"/>
                <w:szCs w:val="21"/>
                <w:u w:val="single"/>
                <w:lang w:bidi="ar"/>
              </w:rPr>
              <w:t>2</w:t>
            </w:r>
            <w:r>
              <w:rPr>
                <w:rFonts w:hint="eastAsia" w:ascii="仿宋_GB2312" w:hAnsi="仿宋_GB2312" w:eastAsia="仿宋_GB2312" w:cs="仿宋_GB2312"/>
                <w:color w:val="000000"/>
                <w:kern w:val="0"/>
                <w:szCs w:val="21"/>
                <w:u w:val="single"/>
                <w:lang w:val="en-US" w:eastAsia="zh-CN" w:bidi="ar"/>
              </w:rPr>
              <w:t>5</w:t>
            </w:r>
            <w:r>
              <w:rPr>
                <w:rFonts w:hint="eastAsia" w:ascii="仿宋_GB2312" w:hAnsi="仿宋_GB2312" w:eastAsia="仿宋_GB2312" w:cs="仿宋_GB2312"/>
                <w:color w:val="000000"/>
                <w:kern w:val="0"/>
                <w:szCs w:val="21"/>
                <w:u w:val="single"/>
                <w:lang w:bidi="ar"/>
              </w:rPr>
              <w:t>、</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产品生产厂家（公司）国家高新技术企业证书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tc>
        <w:tc>
          <w:tcPr>
            <w:tcW w:w="1710"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bidi="ar"/>
              </w:rPr>
            </w:pPr>
          </w:p>
        </w:tc>
      </w:tr>
      <w:tr>
        <w:tblPrEx>
          <w:tblCellMar>
            <w:top w:w="0" w:type="dxa"/>
            <w:left w:w="0" w:type="dxa"/>
            <w:bottom w:w="0" w:type="dxa"/>
            <w:right w:w="0" w:type="dxa"/>
          </w:tblCellMar>
        </w:tblPrEx>
        <w:trPr>
          <w:trHeight w:val="13095" w:hRule="exact"/>
          <w:jc w:val="center"/>
        </w:trPr>
        <w:tc>
          <w:tcPr>
            <w:tcW w:w="3309" w:type="dxa"/>
            <w:tcBorders>
              <w:top w:val="dotted" w:color="auto" w:sz="8" w:space="0"/>
              <w:left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中控系统</w:t>
            </w:r>
          </w:p>
        </w:tc>
        <w:tc>
          <w:tcPr>
            <w:tcW w:w="4021"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1、支持 WEB 网页和 PC 软件等多种参数配置方式，配置参数方便灵活</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2、支持多个模块进行总线组网，使 I/O 点数得到灵活扩展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3、支持采集现场的 I/O 输入信号，并输出 I/O 控制信号.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4、支持I/O 信号类型可根据现场需要进行灵活配置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5、支持输入支持事件响应，事件支持滤波处理.</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6、支持输出支持初始状态锁定、输出锁定及安全电压设定。</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7、支持可通过远程命令对模块进行控制.</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8、支持以太网口和串口均可读取并控制 I/O 状态.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9、支持可在云端直接控制，并可上报自定义内容.       </w:t>
            </w:r>
          </w:p>
          <w:p>
            <w:pPr>
              <w:widowControl/>
              <w:spacing w:line="320" w:lineRule="exact"/>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10、支持具有自动报告 IP 的功能，支持在线更新固件</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11、支持10/100M 自适应以太网接口，支持动态 IP（DHCP）和静态 IP。</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12、支持集合 I/O 采集，控制输出，串口服务器，Modbus 网关功能于一身 </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13、支持IOS控制端程序开发模块，支持IOS界面定制，支持IOS控制程序云备份，更新，下载等功能</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14、支持内置各种常用多媒体设备的强大代码库，支持快速编程、修改，自定义等；</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15、支持主板网络远程唤醒，支持TCP/UDP数据协议，支持串口设备，网络设备的控制，支持IO控制；</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16、支持PC端和Ipad同时使用，也可认为PC端播放器控制软件备份；</w:t>
            </w:r>
          </w:p>
          <w:p>
            <w:pPr>
              <w:widowControl/>
              <w:spacing w:line="320" w:lineRule="exact"/>
              <w:jc w:val="left"/>
              <w:textAlignment w:val="center"/>
              <w:rPr>
                <w:rFonts w:ascii="仿宋_GB2312" w:hAnsi="仿宋_GB2312" w:eastAsia="仿宋_GB2312" w:cs="仿宋_GB2312"/>
                <w:color w:val="000000"/>
                <w:kern w:val="0"/>
                <w:szCs w:val="21"/>
                <w:u w:val="single"/>
                <w:lang w:bidi="ar"/>
              </w:rPr>
            </w:pPr>
            <w:r>
              <w:rPr>
                <w:rFonts w:hint="eastAsia" w:ascii="仿宋_GB2312" w:hAnsi="仿宋_GB2312" w:eastAsia="仿宋_GB2312" w:cs="仿宋_GB2312"/>
                <w:color w:val="000000"/>
                <w:kern w:val="0"/>
                <w:szCs w:val="21"/>
                <w:u w:val="single"/>
                <w:lang w:val="en-US" w:eastAsia="zh-CN" w:bidi="ar"/>
              </w:rPr>
              <w:t>17</w:t>
            </w:r>
            <w:r>
              <w:rPr>
                <w:rFonts w:hint="eastAsia" w:ascii="仿宋_GB2312" w:hAnsi="仿宋_GB2312" w:eastAsia="仿宋_GB2312" w:cs="仿宋_GB2312"/>
                <w:color w:val="000000"/>
                <w:kern w:val="0"/>
                <w:szCs w:val="21"/>
                <w:u w:val="single"/>
                <w:lang w:bidi="ar"/>
              </w:rPr>
              <w:t>、</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产品生产厂家（公司）软件著作权登记证书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p>
            <w:pPr>
              <w:widowControl/>
              <w:spacing w:line="3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u w:val="single"/>
                <w:lang w:val="en-US" w:eastAsia="zh-CN" w:bidi="ar"/>
              </w:rPr>
              <w:t>18</w:t>
            </w:r>
            <w:r>
              <w:rPr>
                <w:rFonts w:hint="eastAsia" w:ascii="仿宋_GB2312" w:hAnsi="仿宋_GB2312" w:eastAsia="仿宋_GB2312" w:cs="仿宋_GB2312"/>
                <w:color w:val="000000"/>
                <w:kern w:val="0"/>
                <w:szCs w:val="21"/>
                <w:u w:val="single"/>
                <w:lang w:bidi="ar"/>
              </w:rPr>
              <w:t>、</w:t>
            </w:r>
            <w:r>
              <w:rPr>
                <w:rFonts w:hint="eastAsia" w:ascii="仿宋_GB2312" w:hAnsi="仿宋_GB2312" w:eastAsia="仿宋_GB2312" w:cs="仿宋_GB2312"/>
                <w:color w:val="000000"/>
                <w:kern w:val="0"/>
                <w:szCs w:val="21"/>
                <w:u w:val="single"/>
                <w:lang w:val="en-US" w:eastAsia="zh-CN" w:bidi="ar"/>
              </w:rPr>
              <w:t>递交响应文件时</w:t>
            </w:r>
            <w:r>
              <w:rPr>
                <w:rFonts w:hint="eastAsia" w:ascii="仿宋_GB2312" w:hAnsi="仿宋_GB2312" w:eastAsia="仿宋_GB2312" w:cs="仿宋_GB2312"/>
                <w:color w:val="000000"/>
                <w:kern w:val="0"/>
                <w:szCs w:val="21"/>
                <w:u w:val="single"/>
                <w:lang w:bidi="ar"/>
              </w:rPr>
              <w:t>提供</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产品生产厂家（公司）国家高新技术企业证书</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注：原件或者复印件加盖厂家鲜章备查，否则</w:t>
            </w:r>
            <w:r>
              <w:rPr>
                <w:rFonts w:hint="eastAsia" w:ascii="仿宋_GB2312" w:hAnsi="仿宋_GB2312" w:eastAsia="仿宋_GB2312" w:cs="仿宋_GB2312"/>
                <w:color w:val="000000"/>
                <w:kern w:val="0"/>
                <w:szCs w:val="21"/>
                <w:u w:val="single"/>
                <w:lang w:val="en-US" w:eastAsia="zh-CN" w:bidi="ar"/>
              </w:rPr>
              <w:t>报价</w:t>
            </w:r>
            <w:r>
              <w:rPr>
                <w:rFonts w:hint="eastAsia" w:ascii="仿宋_GB2312" w:hAnsi="仿宋_GB2312" w:eastAsia="仿宋_GB2312" w:cs="仿宋_GB2312"/>
                <w:color w:val="000000"/>
                <w:kern w:val="0"/>
                <w:szCs w:val="21"/>
                <w:u w:val="single"/>
                <w:lang w:bidi="ar"/>
              </w:rPr>
              <w:t>无效</w:t>
            </w:r>
            <w:r>
              <w:rPr>
                <w:rFonts w:hint="eastAsia" w:ascii="仿宋_GB2312" w:hAnsi="仿宋_GB2312" w:eastAsia="仿宋_GB2312" w:cs="仿宋_GB2312"/>
                <w:color w:val="000000"/>
                <w:kern w:val="0"/>
                <w:szCs w:val="21"/>
                <w:u w:val="single"/>
                <w:lang w:eastAsia="zh-CN" w:bidi="ar"/>
              </w:rPr>
              <w:t>）</w:t>
            </w:r>
            <w:r>
              <w:rPr>
                <w:rFonts w:hint="eastAsia" w:ascii="仿宋_GB2312" w:hAnsi="仿宋_GB2312" w:eastAsia="仿宋_GB2312" w:cs="仿宋_GB2312"/>
                <w:color w:val="000000"/>
                <w:kern w:val="0"/>
                <w:szCs w:val="21"/>
                <w:u w:val="single"/>
                <w:lang w:bidi="ar"/>
              </w:rPr>
              <w:t>；</w:t>
            </w:r>
          </w:p>
          <w:p>
            <w:pPr>
              <w:widowControl/>
              <w:spacing w:line="320" w:lineRule="exact"/>
              <w:jc w:val="left"/>
              <w:textAlignment w:val="center"/>
              <w:rPr>
                <w:rFonts w:ascii="仿宋_GB2312" w:hAnsi="仿宋_GB2312" w:eastAsia="仿宋_GB2312" w:cs="仿宋_GB2312"/>
                <w:color w:val="000000"/>
                <w:kern w:val="0"/>
                <w:szCs w:val="21"/>
                <w:lang w:bidi="ar"/>
              </w:rPr>
            </w:pPr>
          </w:p>
        </w:tc>
        <w:tc>
          <w:tcPr>
            <w:tcW w:w="1710"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ascii="仿宋_GB2312" w:hAnsi="仿宋_GB2312" w:eastAsia="仿宋_GB2312" w:cs="仿宋_GB2312"/>
                <w:color w:val="000000"/>
                <w:kern w:val="0"/>
                <w:szCs w:val="21"/>
                <w:lang w:bidi="ar"/>
              </w:rPr>
            </w:pPr>
          </w:p>
        </w:tc>
      </w:tr>
    </w:tbl>
    <w:p>
      <w:pPr>
        <w:pStyle w:val="23"/>
        <w:jc w:val="center"/>
        <w:rPr>
          <w:rFonts w:hint="eastAsia" w:ascii="仿宋_GB2312" w:hAnsi="仿宋_GB2312" w:eastAsia="仿宋_GB2312" w:cs="仿宋_GB2312"/>
          <w:b/>
          <w:color w:val="auto"/>
          <w:kern w:val="2"/>
          <w:sz w:val="28"/>
          <w:szCs w:val="28"/>
          <w:lang w:val="en-US" w:eastAsia="zh-CN"/>
        </w:rPr>
      </w:pPr>
    </w:p>
    <w:p>
      <w:pPr>
        <w:pStyle w:val="23"/>
        <w:jc w:val="center"/>
        <w:rPr>
          <w:rFonts w:hint="eastAsia" w:ascii="仿宋_GB2312" w:hAnsi="仿宋_GB2312" w:eastAsia="仿宋_GB2312" w:cs="仿宋_GB2312"/>
          <w:b/>
          <w:color w:val="auto"/>
          <w:kern w:val="2"/>
          <w:sz w:val="28"/>
          <w:szCs w:val="28"/>
          <w:lang w:val="en-US" w:eastAsia="zh-CN"/>
        </w:rPr>
      </w:pPr>
      <w:r>
        <w:rPr>
          <w:rFonts w:hint="eastAsia" w:ascii="仿宋_GB2312" w:hAnsi="仿宋_GB2312" w:eastAsia="仿宋_GB2312" w:cs="仿宋_GB2312"/>
          <w:b/>
          <w:color w:val="auto"/>
          <w:kern w:val="2"/>
          <w:sz w:val="28"/>
          <w:szCs w:val="28"/>
          <w:lang w:val="en-US" w:eastAsia="zh-CN"/>
        </w:rPr>
        <w:t>6 承诺函</w:t>
      </w:r>
    </w:p>
    <w:p>
      <w:pPr>
        <w:pStyle w:val="23"/>
        <w:jc w:val="both"/>
        <w:rPr>
          <w:rFonts w:hint="default" w:ascii="仿宋_GB2312" w:hAnsi="仿宋_GB2312" w:eastAsia="仿宋_GB2312" w:cs="仿宋_GB2312"/>
          <w:b/>
          <w:color w:val="auto"/>
          <w:kern w:val="2"/>
          <w:sz w:val="28"/>
          <w:szCs w:val="28"/>
          <w:lang w:val="en-US" w:eastAsia="zh-CN"/>
        </w:rPr>
      </w:pPr>
      <w:r>
        <w:rPr>
          <w:rFonts w:hint="eastAsia" w:ascii="仿宋_GB2312" w:hAnsi="仿宋_GB2312" w:eastAsia="仿宋_GB2312" w:cs="仿宋_GB2312"/>
          <w:b/>
          <w:color w:val="auto"/>
          <w:kern w:val="2"/>
          <w:sz w:val="28"/>
          <w:szCs w:val="28"/>
          <w:lang w:val="en-US" w:eastAsia="zh-CN"/>
        </w:rPr>
        <w:t>广州市净水有限公司：</w:t>
      </w:r>
    </w:p>
    <w:p>
      <w:pPr>
        <w:pStyle w:val="23"/>
        <w:jc w:val="left"/>
        <w:rPr>
          <w:rFonts w:hint="default" w:ascii="仿宋_GB2312" w:hAnsi="仿宋_GB2312" w:eastAsia="仿宋_GB2312" w:cs="仿宋_GB2312"/>
          <w:b/>
          <w:color w:val="auto"/>
          <w:kern w:val="2"/>
          <w:sz w:val="28"/>
          <w:szCs w:val="28"/>
          <w:lang w:val="en-US" w:eastAsia="zh-CN"/>
        </w:rPr>
      </w:pPr>
      <w:r>
        <w:rPr>
          <w:rFonts w:hint="eastAsia" w:ascii="仿宋_GB2312" w:hAnsi="仿宋_GB2312" w:eastAsia="仿宋_GB2312" w:cs="仿宋_GB2312"/>
          <w:b/>
          <w:color w:val="auto"/>
          <w:kern w:val="2"/>
          <w:sz w:val="28"/>
          <w:szCs w:val="28"/>
          <w:lang w:val="en-US" w:eastAsia="zh-CN"/>
        </w:rPr>
        <w:t xml:space="preserve">      我方承诺，</w:t>
      </w:r>
      <w:r>
        <w:rPr>
          <w:rFonts w:hint="default" w:ascii="仿宋_GB2312" w:hAnsi="仿宋_GB2312" w:eastAsia="仿宋_GB2312" w:cs="仿宋_GB2312"/>
          <w:b/>
          <w:color w:val="auto"/>
          <w:kern w:val="2"/>
          <w:sz w:val="28"/>
          <w:szCs w:val="28"/>
          <w:lang w:val="en-US" w:eastAsia="zh-CN"/>
        </w:rPr>
        <w:t>本项目硬件部分（即投影仪、主机、雷达等）提供三年售后技术服务</w:t>
      </w:r>
      <w:r>
        <w:rPr>
          <w:rFonts w:hint="eastAsia" w:ascii="仿宋_GB2312" w:hAnsi="仿宋_GB2312" w:eastAsia="仿宋_GB2312" w:cs="仿宋_GB2312"/>
          <w:b/>
          <w:color w:val="auto"/>
          <w:kern w:val="2"/>
          <w:sz w:val="28"/>
          <w:szCs w:val="28"/>
          <w:lang w:val="en-US" w:eastAsia="zh-CN"/>
        </w:rPr>
        <w:t>，</w:t>
      </w:r>
      <w:r>
        <w:rPr>
          <w:rFonts w:hint="default" w:ascii="仿宋_GB2312" w:hAnsi="仿宋_GB2312" w:eastAsia="仿宋_GB2312" w:cs="仿宋_GB2312"/>
          <w:b/>
          <w:color w:val="auto"/>
          <w:kern w:val="2"/>
          <w:sz w:val="28"/>
          <w:szCs w:val="28"/>
          <w:lang w:val="en-US" w:eastAsia="zh-CN"/>
        </w:rPr>
        <w:t>软件部分（即中控系统、雷达软件、融合软件）提供一年售后技术服务。</w:t>
      </w:r>
    </w:p>
    <w:p>
      <w:pPr>
        <w:pStyle w:val="23"/>
        <w:jc w:val="center"/>
        <w:rPr>
          <w:rFonts w:hint="eastAsia" w:ascii="仿宋_GB2312" w:hAnsi="仿宋_GB2312" w:eastAsia="仿宋_GB2312" w:cs="仿宋_GB2312"/>
          <w:b/>
          <w:color w:val="auto"/>
          <w:kern w:val="2"/>
          <w:sz w:val="28"/>
          <w:szCs w:val="28"/>
          <w:lang w:val="en-US" w:eastAsia="zh-CN"/>
        </w:rPr>
      </w:pPr>
      <w:r>
        <w:rPr>
          <w:rFonts w:hint="eastAsia" w:ascii="仿宋_GB2312" w:hAnsi="仿宋_GB2312" w:eastAsia="仿宋_GB2312" w:cs="仿宋_GB2312"/>
          <w:b/>
          <w:color w:val="auto"/>
          <w:kern w:val="2"/>
          <w:sz w:val="28"/>
          <w:szCs w:val="28"/>
          <w:lang w:val="en-US" w:eastAsia="zh-CN"/>
        </w:rPr>
        <w:t xml:space="preserve">                                  （报价单位加盖公章）</w:t>
      </w:r>
    </w:p>
    <w:p>
      <w:pPr>
        <w:pStyle w:val="23"/>
        <w:jc w:val="center"/>
        <w:rPr>
          <w:rFonts w:hint="eastAsia" w:ascii="仿宋_GB2312" w:hAnsi="仿宋_GB2312" w:eastAsia="仿宋_GB2312" w:cs="仿宋_GB2312"/>
          <w:b/>
          <w:color w:val="auto"/>
          <w:kern w:val="2"/>
          <w:sz w:val="28"/>
          <w:szCs w:val="28"/>
          <w:lang w:val="en-US" w:eastAsia="zh-CN"/>
        </w:rPr>
      </w:pPr>
      <w:r>
        <w:rPr>
          <w:rFonts w:hint="eastAsia" w:ascii="仿宋_GB2312" w:hAnsi="仿宋_GB2312" w:eastAsia="仿宋_GB2312" w:cs="仿宋_GB2312"/>
          <w:b/>
          <w:color w:val="auto"/>
          <w:kern w:val="2"/>
          <w:sz w:val="28"/>
          <w:szCs w:val="28"/>
          <w:lang w:val="en-US" w:eastAsia="zh-CN"/>
        </w:rPr>
        <w:t xml:space="preserve">                                 年  月  日</w:t>
      </w:r>
    </w:p>
    <w:p>
      <w:pPr>
        <w:pStyle w:val="23"/>
        <w:jc w:val="both"/>
        <w:rPr>
          <w:rFonts w:hint="eastAsia" w:ascii="仿宋_GB2312" w:hAnsi="仿宋_GB2312" w:eastAsia="仿宋_GB2312" w:cs="仿宋_GB2312"/>
          <w:b/>
          <w:color w:val="auto"/>
          <w:kern w:val="2"/>
          <w:sz w:val="28"/>
          <w:szCs w:val="28"/>
          <w:lang w:val="en-US" w:eastAsia="zh-CN"/>
        </w:rPr>
      </w:pPr>
    </w:p>
    <w:p>
      <w:pPr>
        <w:pStyle w:val="23"/>
        <w:jc w:val="center"/>
        <w:rPr>
          <w:rFonts w:hint="eastAsia" w:ascii="仿宋_GB2312" w:hAnsi="仿宋_GB2312" w:eastAsia="仿宋_GB2312" w:cs="仿宋_GB2312"/>
          <w:b/>
          <w:color w:val="auto"/>
          <w:kern w:val="2"/>
          <w:sz w:val="28"/>
          <w:szCs w:val="28"/>
          <w:lang w:val="en-US" w:eastAsia="zh-CN"/>
        </w:rPr>
      </w:pPr>
    </w:p>
    <w:p>
      <w:pPr>
        <w:pStyle w:val="23"/>
        <w:jc w:val="center"/>
        <w:rPr>
          <w:rFonts w:hint="eastAsia" w:ascii="仿宋_GB2312" w:hAnsi="仿宋_GB2312" w:eastAsia="仿宋_GB2312" w:cs="仿宋_GB2312"/>
          <w:b/>
          <w:color w:val="auto"/>
          <w:kern w:val="2"/>
          <w:sz w:val="28"/>
          <w:szCs w:val="28"/>
          <w:lang w:val="en-US" w:eastAsia="zh-CN"/>
        </w:rPr>
      </w:pPr>
    </w:p>
    <w:p>
      <w:pPr>
        <w:pStyle w:val="23"/>
        <w:jc w:val="center"/>
        <w:rPr>
          <w:rFonts w:hint="default" w:ascii="仿宋_GB2312" w:hAnsi="仿宋_GB2312" w:eastAsia="仿宋_GB2312" w:cs="仿宋_GB2312"/>
          <w:b/>
          <w:color w:val="auto"/>
          <w:kern w:val="2"/>
          <w:sz w:val="28"/>
          <w:szCs w:val="28"/>
          <w:lang w:val="en-US" w:eastAsia="zh-CN"/>
        </w:rPr>
      </w:pPr>
      <w:r>
        <w:rPr>
          <w:rFonts w:hint="eastAsia" w:ascii="仿宋_GB2312" w:hAnsi="仿宋_GB2312" w:eastAsia="仿宋_GB2312" w:cs="仿宋_GB2312"/>
          <w:b/>
          <w:color w:val="auto"/>
          <w:kern w:val="2"/>
          <w:sz w:val="28"/>
          <w:szCs w:val="28"/>
          <w:lang w:val="en-US" w:eastAsia="zh-CN"/>
        </w:rPr>
        <w:t>7 服务器原厂授权函以及原厂售后服务承诺函（盖原厂单位公章）</w:t>
      </w:r>
    </w:p>
    <w:p>
      <w:pPr>
        <w:pStyle w:val="32"/>
        <w:numPr>
          <w:ilvl w:val="-1"/>
          <w:numId w:val="0"/>
        </w:numPr>
        <w:rPr>
          <w:rFonts w:hint="default" w:eastAsia="仿宋_GB2312"/>
          <w:lang w:val="en-US" w:eastAsia="zh-SG"/>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19</w: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23</w:t>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22</w:t>
    </w:r>
    <w: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2D0B"/>
    <w:rsid w:val="0002370C"/>
    <w:rsid w:val="000262E5"/>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55B7"/>
    <w:rsid w:val="00057DD5"/>
    <w:rsid w:val="00057F70"/>
    <w:rsid w:val="000606F2"/>
    <w:rsid w:val="00067762"/>
    <w:rsid w:val="000724B0"/>
    <w:rsid w:val="00075258"/>
    <w:rsid w:val="00075DDA"/>
    <w:rsid w:val="00077066"/>
    <w:rsid w:val="000805A0"/>
    <w:rsid w:val="00085570"/>
    <w:rsid w:val="0008643E"/>
    <w:rsid w:val="00087EA5"/>
    <w:rsid w:val="00090862"/>
    <w:rsid w:val="00092896"/>
    <w:rsid w:val="0009625F"/>
    <w:rsid w:val="00096729"/>
    <w:rsid w:val="000969C0"/>
    <w:rsid w:val="00096D3E"/>
    <w:rsid w:val="00096F25"/>
    <w:rsid w:val="000A019F"/>
    <w:rsid w:val="000A19B0"/>
    <w:rsid w:val="000A1B21"/>
    <w:rsid w:val="000A25A4"/>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1010"/>
    <w:rsid w:val="000F14A4"/>
    <w:rsid w:val="00100CF1"/>
    <w:rsid w:val="00103870"/>
    <w:rsid w:val="001076A8"/>
    <w:rsid w:val="00110714"/>
    <w:rsid w:val="0011075C"/>
    <w:rsid w:val="00111D57"/>
    <w:rsid w:val="00112621"/>
    <w:rsid w:val="00113A31"/>
    <w:rsid w:val="00114355"/>
    <w:rsid w:val="00114F49"/>
    <w:rsid w:val="00115C03"/>
    <w:rsid w:val="00120CDA"/>
    <w:rsid w:val="00121CFD"/>
    <w:rsid w:val="001226DE"/>
    <w:rsid w:val="00122C3F"/>
    <w:rsid w:val="00125011"/>
    <w:rsid w:val="00126010"/>
    <w:rsid w:val="001262BF"/>
    <w:rsid w:val="00126339"/>
    <w:rsid w:val="001263BE"/>
    <w:rsid w:val="00127A41"/>
    <w:rsid w:val="00131BD5"/>
    <w:rsid w:val="001328BE"/>
    <w:rsid w:val="00133DE2"/>
    <w:rsid w:val="001357CF"/>
    <w:rsid w:val="00135B85"/>
    <w:rsid w:val="00136B50"/>
    <w:rsid w:val="001370F0"/>
    <w:rsid w:val="00140540"/>
    <w:rsid w:val="00141CE7"/>
    <w:rsid w:val="00145408"/>
    <w:rsid w:val="001572B2"/>
    <w:rsid w:val="00162F08"/>
    <w:rsid w:val="001642DF"/>
    <w:rsid w:val="0016562A"/>
    <w:rsid w:val="001666C9"/>
    <w:rsid w:val="001670AE"/>
    <w:rsid w:val="001717A2"/>
    <w:rsid w:val="00172A27"/>
    <w:rsid w:val="00180B99"/>
    <w:rsid w:val="00181C0B"/>
    <w:rsid w:val="00184ABC"/>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7069"/>
    <w:rsid w:val="001E0864"/>
    <w:rsid w:val="001E1618"/>
    <w:rsid w:val="001E1D7A"/>
    <w:rsid w:val="001E20EC"/>
    <w:rsid w:val="001E2CB0"/>
    <w:rsid w:val="001E62B5"/>
    <w:rsid w:val="001E694A"/>
    <w:rsid w:val="001F204F"/>
    <w:rsid w:val="001F4944"/>
    <w:rsid w:val="001F717F"/>
    <w:rsid w:val="00202CFD"/>
    <w:rsid w:val="0020424A"/>
    <w:rsid w:val="00205BAE"/>
    <w:rsid w:val="00210C32"/>
    <w:rsid w:val="00211A78"/>
    <w:rsid w:val="00211E9F"/>
    <w:rsid w:val="002123BC"/>
    <w:rsid w:val="002133AF"/>
    <w:rsid w:val="00217E74"/>
    <w:rsid w:val="0022010B"/>
    <w:rsid w:val="002214FD"/>
    <w:rsid w:val="002231D4"/>
    <w:rsid w:val="002243AD"/>
    <w:rsid w:val="0023030A"/>
    <w:rsid w:val="002356AB"/>
    <w:rsid w:val="002437D1"/>
    <w:rsid w:val="002469E4"/>
    <w:rsid w:val="0024705B"/>
    <w:rsid w:val="00253C14"/>
    <w:rsid w:val="002546AB"/>
    <w:rsid w:val="00254CC3"/>
    <w:rsid w:val="00255E0C"/>
    <w:rsid w:val="0025616C"/>
    <w:rsid w:val="002566D4"/>
    <w:rsid w:val="00256F67"/>
    <w:rsid w:val="00260826"/>
    <w:rsid w:val="00262C5F"/>
    <w:rsid w:val="0026415F"/>
    <w:rsid w:val="002667C0"/>
    <w:rsid w:val="00270D0E"/>
    <w:rsid w:val="0027225B"/>
    <w:rsid w:val="00274D5D"/>
    <w:rsid w:val="002755CA"/>
    <w:rsid w:val="00275A71"/>
    <w:rsid w:val="00276CA9"/>
    <w:rsid w:val="00276D9B"/>
    <w:rsid w:val="00281187"/>
    <w:rsid w:val="00281E9A"/>
    <w:rsid w:val="00282FFC"/>
    <w:rsid w:val="00283FCA"/>
    <w:rsid w:val="00286E7C"/>
    <w:rsid w:val="00287DB2"/>
    <w:rsid w:val="002910C5"/>
    <w:rsid w:val="002911C1"/>
    <w:rsid w:val="00292B87"/>
    <w:rsid w:val="002955A2"/>
    <w:rsid w:val="002A01E2"/>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1E24"/>
    <w:rsid w:val="002E1602"/>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7C6E"/>
    <w:rsid w:val="0032029B"/>
    <w:rsid w:val="00320916"/>
    <w:rsid w:val="00321205"/>
    <w:rsid w:val="0032241D"/>
    <w:rsid w:val="0032389B"/>
    <w:rsid w:val="0032466A"/>
    <w:rsid w:val="00324E6A"/>
    <w:rsid w:val="00325E3F"/>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72C2"/>
    <w:rsid w:val="003D7753"/>
    <w:rsid w:val="003E1700"/>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3D25"/>
    <w:rsid w:val="004142A6"/>
    <w:rsid w:val="00414F17"/>
    <w:rsid w:val="004172D0"/>
    <w:rsid w:val="00417D5C"/>
    <w:rsid w:val="00421D59"/>
    <w:rsid w:val="00421DAD"/>
    <w:rsid w:val="0042351A"/>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65458"/>
    <w:rsid w:val="00476504"/>
    <w:rsid w:val="00476CAE"/>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AD8"/>
    <w:rsid w:val="004B39B9"/>
    <w:rsid w:val="004B3BC7"/>
    <w:rsid w:val="004B5A31"/>
    <w:rsid w:val="004B6E3B"/>
    <w:rsid w:val="004C2155"/>
    <w:rsid w:val="004C25B3"/>
    <w:rsid w:val="004C2696"/>
    <w:rsid w:val="004C6B32"/>
    <w:rsid w:val="004C6E6D"/>
    <w:rsid w:val="004D28EC"/>
    <w:rsid w:val="004D4E18"/>
    <w:rsid w:val="004D7D8A"/>
    <w:rsid w:val="004D7E63"/>
    <w:rsid w:val="004E0DE0"/>
    <w:rsid w:val="004E3046"/>
    <w:rsid w:val="004E3CD4"/>
    <w:rsid w:val="004E4CF5"/>
    <w:rsid w:val="004E61A6"/>
    <w:rsid w:val="004F3CEA"/>
    <w:rsid w:val="004F41E2"/>
    <w:rsid w:val="004F4227"/>
    <w:rsid w:val="004F4B2B"/>
    <w:rsid w:val="004F63A3"/>
    <w:rsid w:val="004F69BF"/>
    <w:rsid w:val="00500AA9"/>
    <w:rsid w:val="00507FF2"/>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4B0"/>
    <w:rsid w:val="00536B88"/>
    <w:rsid w:val="00537967"/>
    <w:rsid w:val="00541279"/>
    <w:rsid w:val="00542792"/>
    <w:rsid w:val="00545DCF"/>
    <w:rsid w:val="0054718A"/>
    <w:rsid w:val="00550950"/>
    <w:rsid w:val="00551237"/>
    <w:rsid w:val="005530B0"/>
    <w:rsid w:val="00555669"/>
    <w:rsid w:val="00555A58"/>
    <w:rsid w:val="00560E6A"/>
    <w:rsid w:val="00563BE1"/>
    <w:rsid w:val="00564135"/>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5B9C"/>
    <w:rsid w:val="005B13EE"/>
    <w:rsid w:val="005B34B8"/>
    <w:rsid w:val="005C3219"/>
    <w:rsid w:val="005D1C8D"/>
    <w:rsid w:val="005D2969"/>
    <w:rsid w:val="005D346B"/>
    <w:rsid w:val="005D41E5"/>
    <w:rsid w:val="005D591D"/>
    <w:rsid w:val="005D7ADD"/>
    <w:rsid w:val="005E0EE5"/>
    <w:rsid w:val="005E3813"/>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3915"/>
    <w:rsid w:val="006340FA"/>
    <w:rsid w:val="00635BD8"/>
    <w:rsid w:val="0063793C"/>
    <w:rsid w:val="00640F98"/>
    <w:rsid w:val="00643543"/>
    <w:rsid w:val="00643891"/>
    <w:rsid w:val="00644F22"/>
    <w:rsid w:val="006467B0"/>
    <w:rsid w:val="00646CC9"/>
    <w:rsid w:val="00647171"/>
    <w:rsid w:val="00651781"/>
    <w:rsid w:val="00653E5B"/>
    <w:rsid w:val="006551CF"/>
    <w:rsid w:val="006553F4"/>
    <w:rsid w:val="0065602D"/>
    <w:rsid w:val="00660CAA"/>
    <w:rsid w:val="00664BBD"/>
    <w:rsid w:val="00667395"/>
    <w:rsid w:val="00672D93"/>
    <w:rsid w:val="00673C52"/>
    <w:rsid w:val="00681790"/>
    <w:rsid w:val="00683FFF"/>
    <w:rsid w:val="00684B92"/>
    <w:rsid w:val="00685661"/>
    <w:rsid w:val="0068644C"/>
    <w:rsid w:val="00687028"/>
    <w:rsid w:val="00691311"/>
    <w:rsid w:val="00691C25"/>
    <w:rsid w:val="00694D27"/>
    <w:rsid w:val="00694D7D"/>
    <w:rsid w:val="006958A5"/>
    <w:rsid w:val="00697B40"/>
    <w:rsid w:val="006A0081"/>
    <w:rsid w:val="006A01D1"/>
    <w:rsid w:val="006A04A5"/>
    <w:rsid w:val="006A0555"/>
    <w:rsid w:val="006A426B"/>
    <w:rsid w:val="006A4AB2"/>
    <w:rsid w:val="006A5A82"/>
    <w:rsid w:val="006B18EC"/>
    <w:rsid w:val="006B1AF8"/>
    <w:rsid w:val="006B25BB"/>
    <w:rsid w:val="006B25E6"/>
    <w:rsid w:val="006B3CB9"/>
    <w:rsid w:val="006B3DBF"/>
    <w:rsid w:val="006B4D53"/>
    <w:rsid w:val="006B6C42"/>
    <w:rsid w:val="006C1C85"/>
    <w:rsid w:val="006C3294"/>
    <w:rsid w:val="006C4472"/>
    <w:rsid w:val="006C4749"/>
    <w:rsid w:val="006C510E"/>
    <w:rsid w:val="006C6211"/>
    <w:rsid w:val="006C6580"/>
    <w:rsid w:val="006D2082"/>
    <w:rsid w:val="006D250B"/>
    <w:rsid w:val="006D60D9"/>
    <w:rsid w:val="006D7174"/>
    <w:rsid w:val="006D7B7E"/>
    <w:rsid w:val="006E04FA"/>
    <w:rsid w:val="006E3EA0"/>
    <w:rsid w:val="006E4571"/>
    <w:rsid w:val="006E5EFC"/>
    <w:rsid w:val="006F4EA6"/>
    <w:rsid w:val="006F5456"/>
    <w:rsid w:val="00700FF9"/>
    <w:rsid w:val="007073E5"/>
    <w:rsid w:val="00715695"/>
    <w:rsid w:val="007228ED"/>
    <w:rsid w:val="00723A63"/>
    <w:rsid w:val="00723C0E"/>
    <w:rsid w:val="00725559"/>
    <w:rsid w:val="00727890"/>
    <w:rsid w:val="00730465"/>
    <w:rsid w:val="00731995"/>
    <w:rsid w:val="00732A0E"/>
    <w:rsid w:val="00732DC5"/>
    <w:rsid w:val="00740AC0"/>
    <w:rsid w:val="00747062"/>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5635"/>
    <w:rsid w:val="007809B4"/>
    <w:rsid w:val="007825D3"/>
    <w:rsid w:val="0078291F"/>
    <w:rsid w:val="00782CBB"/>
    <w:rsid w:val="00783EEE"/>
    <w:rsid w:val="00785C01"/>
    <w:rsid w:val="007863F4"/>
    <w:rsid w:val="00791C3F"/>
    <w:rsid w:val="007934C4"/>
    <w:rsid w:val="0079388C"/>
    <w:rsid w:val="007940AA"/>
    <w:rsid w:val="00794D25"/>
    <w:rsid w:val="00795264"/>
    <w:rsid w:val="007952F6"/>
    <w:rsid w:val="00796ED4"/>
    <w:rsid w:val="007A113C"/>
    <w:rsid w:val="007A26D3"/>
    <w:rsid w:val="007A3144"/>
    <w:rsid w:val="007A719A"/>
    <w:rsid w:val="007B1896"/>
    <w:rsid w:val="007B3BFE"/>
    <w:rsid w:val="007B439B"/>
    <w:rsid w:val="007B4B54"/>
    <w:rsid w:val="007B5200"/>
    <w:rsid w:val="007B5D80"/>
    <w:rsid w:val="007B5F36"/>
    <w:rsid w:val="007B6C33"/>
    <w:rsid w:val="007B7272"/>
    <w:rsid w:val="007C3CE2"/>
    <w:rsid w:val="007C4DC5"/>
    <w:rsid w:val="007C55C1"/>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A33"/>
    <w:rsid w:val="00802362"/>
    <w:rsid w:val="008051EE"/>
    <w:rsid w:val="00807CA0"/>
    <w:rsid w:val="008149CA"/>
    <w:rsid w:val="0081579C"/>
    <w:rsid w:val="0082096D"/>
    <w:rsid w:val="00820F81"/>
    <w:rsid w:val="00821616"/>
    <w:rsid w:val="00822C03"/>
    <w:rsid w:val="008233CF"/>
    <w:rsid w:val="00824695"/>
    <w:rsid w:val="00825B29"/>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2A3"/>
    <w:rsid w:val="0086042D"/>
    <w:rsid w:val="008623C1"/>
    <w:rsid w:val="0086307F"/>
    <w:rsid w:val="008632AE"/>
    <w:rsid w:val="00864937"/>
    <w:rsid w:val="0086711A"/>
    <w:rsid w:val="00867DD2"/>
    <w:rsid w:val="00872854"/>
    <w:rsid w:val="00873502"/>
    <w:rsid w:val="008740FF"/>
    <w:rsid w:val="0087549E"/>
    <w:rsid w:val="00875D2E"/>
    <w:rsid w:val="00876851"/>
    <w:rsid w:val="008809B1"/>
    <w:rsid w:val="00880A79"/>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92C"/>
    <w:rsid w:val="008B615A"/>
    <w:rsid w:val="008B6C32"/>
    <w:rsid w:val="008B786F"/>
    <w:rsid w:val="008C0F61"/>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4D5F"/>
    <w:rsid w:val="00914D72"/>
    <w:rsid w:val="009151BF"/>
    <w:rsid w:val="0091596F"/>
    <w:rsid w:val="00916460"/>
    <w:rsid w:val="00923BFF"/>
    <w:rsid w:val="00925136"/>
    <w:rsid w:val="009254B4"/>
    <w:rsid w:val="00927322"/>
    <w:rsid w:val="00927C7D"/>
    <w:rsid w:val="00931031"/>
    <w:rsid w:val="00933847"/>
    <w:rsid w:val="0093672C"/>
    <w:rsid w:val="00941E48"/>
    <w:rsid w:val="00942B18"/>
    <w:rsid w:val="00942B7B"/>
    <w:rsid w:val="00943631"/>
    <w:rsid w:val="00945FBC"/>
    <w:rsid w:val="009472FF"/>
    <w:rsid w:val="00951602"/>
    <w:rsid w:val="00952A26"/>
    <w:rsid w:val="00954C50"/>
    <w:rsid w:val="00961A48"/>
    <w:rsid w:val="0096253E"/>
    <w:rsid w:val="00964233"/>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96DA8"/>
    <w:rsid w:val="009A17EB"/>
    <w:rsid w:val="009A261A"/>
    <w:rsid w:val="009A38FC"/>
    <w:rsid w:val="009B0B41"/>
    <w:rsid w:val="009B1E9C"/>
    <w:rsid w:val="009C0E9D"/>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2773"/>
    <w:rsid w:val="00A5459F"/>
    <w:rsid w:val="00A55045"/>
    <w:rsid w:val="00A61A20"/>
    <w:rsid w:val="00A62490"/>
    <w:rsid w:val="00A63941"/>
    <w:rsid w:val="00A66AD5"/>
    <w:rsid w:val="00A67844"/>
    <w:rsid w:val="00A67B58"/>
    <w:rsid w:val="00A720DD"/>
    <w:rsid w:val="00A8078E"/>
    <w:rsid w:val="00A81CE2"/>
    <w:rsid w:val="00A81F3C"/>
    <w:rsid w:val="00A831B9"/>
    <w:rsid w:val="00A83AB8"/>
    <w:rsid w:val="00A86A72"/>
    <w:rsid w:val="00A86AF2"/>
    <w:rsid w:val="00A9133D"/>
    <w:rsid w:val="00A91502"/>
    <w:rsid w:val="00A93B48"/>
    <w:rsid w:val="00AA1389"/>
    <w:rsid w:val="00AA23B0"/>
    <w:rsid w:val="00AA557A"/>
    <w:rsid w:val="00AA65D8"/>
    <w:rsid w:val="00AB083C"/>
    <w:rsid w:val="00AB55A2"/>
    <w:rsid w:val="00AC2E86"/>
    <w:rsid w:val="00AC4C2A"/>
    <w:rsid w:val="00AC66EE"/>
    <w:rsid w:val="00AC765F"/>
    <w:rsid w:val="00AC7F65"/>
    <w:rsid w:val="00AD082C"/>
    <w:rsid w:val="00AD0C61"/>
    <w:rsid w:val="00AD19FD"/>
    <w:rsid w:val="00AD2FBA"/>
    <w:rsid w:val="00AD39FE"/>
    <w:rsid w:val="00AD69A4"/>
    <w:rsid w:val="00AE06EB"/>
    <w:rsid w:val="00AE3D27"/>
    <w:rsid w:val="00AE4BC4"/>
    <w:rsid w:val="00AE5AC6"/>
    <w:rsid w:val="00AE75CE"/>
    <w:rsid w:val="00AE781F"/>
    <w:rsid w:val="00AF2BFB"/>
    <w:rsid w:val="00AF4C62"/>
    <w:rsid w:val="00AF5F75"/>
    <w:rsid w:val="00AF76B0"/>
    <w:rsid w:val="00B00473"/>
    <w:rsid w:val="00B03881"/>
    <w:rsid w:val="00B0528C"/>
    <w:rsid w:val="00B05C03"/>
    <w:rsid w:val="00B100F3"/>
    <w:rsid w:val="00B12AFE"/>
    <w:rsid w:val="00B203F0"/>
    <w:rsid w:val="00B2139B"/>
    <w:rsid w:val="00B22795"/>
    <w:rsid w:val="00B301AD"/>
    <w:rsid w:val="00B3093A"/>
    <w:rsid w:val="00B309ED"/>
    <w:rsid w:val="00B34FDF"/>
    <w:rsid w:val="00B368D2"/>
    <w:rsid w:val="00B37704"/>
    <w:rsid w:val="00B405E5"/>
    <w:rsid w:val="00B41C68"/>
    <w:rsid w:val="00B47751"/>
    <w:rsid w:val="00B50D9D"/>
    <w:rsid w:val="00B5116E"/>
    <w:rsid w:val="00B52890"/>
    <w:rsid w:val="00B52A12"/>
    <w:rsid w:val="00B557D4"/>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5AD1"/>
    <w:rsid w:val="00BB26C1"/>
    <w:rsid w:val="00BB44D9"/>
    <w:rsid w:val="00BC06F3"/>
    <w:rsid w:val="00BC0E92"/>
    <w:rsid w:val="00BC6CEB"/>
    <w:rsid w:val="00BD10E4"/>
    <w:rsid w:val="00BD19EB"/>
    <w:rsid w:val="00BD2C77"/>
    <w:rsid w:val="00BD371F"/>
    <w:rsid w:val="00BD5057"/>
    <w:rsid w:val="00BD662F"/>
    <w:rsid w:val="00BE158B"/>
    <w:rsid w:val="00BE1736"/>
    <w:rsid w:val="00BE17C5"/>
    <w:rsid w:val="00BF057C"/>
    <w:rsid w:val="00BF1C1E"/>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78A2"/>
    <w:rsid w:val="00C30957"/>
    <w:rsid w:val="00C32A64"/>
    <w:rsid w:val="00C43D51"/>
    <w:rsid w:val="00C44A63"/>
    <w:rsid w:val="00C450C3"/>
    <w:rsid w:val="00C46759"/>
    <w:rsid w:val="00C46C16"/>
    <w:rsid w:val="00C47F36"/>
    <w:rsid w:val="00C47FCB"/>
    <w:rsid w:val="00C50F4B"/>
    <w:rsid w:val="00C5150D"/>
    <w:rsid w:val="00C51D82"/>
    <w:rsid w:val="00C52816"/>
    <w:rsid w:val="00C54A50"/>
    <w:rsid w:val="00C5598B"/>
    <w:rsid w:val="00C57541"/>
    <w:rsid w:val="00C60805"/>
    <w:rsid w:val="00C62656"/>
    <w:rsid w:val="00C63C43"/>
    <w:rsid w:val="00C674DE"/>
    <w:rsid w:val="00C71301"/>
    <w:rsid w:val="00C73B4F"/>
    <w:rsid w:val="00C766BB"/>
    <w:rsid w:val="00C7759A"/>
    <w:rsid w:val="00C80C6E"/>
    <w:rsid w:val="00C81896"/>
    <w:rsid w:val="00C84D97"/>
    <w:rsid w:val="00C85B97"/>
    <w:rsid w:val="00C85E88"/>
    <w:rsid w:val="00C9288A"/>
    <w:rsid w:val="00C945C0"/>
    <w:rsid w:val="00CA2743"/>
    <w:rsid w:val="00CA276D"/>
    <w:rsid w:val="00CA4447"/>
    <w:rsid w:val="00CA47E4"/>
    <w:rsid w:val="00CB3859"/>
    <w:rsid w:val="00CB66BF"/>
    <w:rsid w:val="00CB7E36"/>
    <w:rsid w:val="00CB7F4A"/>
    <w:rsid w:val="00CC159C"/>
    <w:rsid w:val="00CC2276"/>
    <w:rsid w:val="00CC2C87"/>
    <w:rsid w:val="00CC497A"/>
    <w:rsid w:val="00CC552E"/>
    <w:rsid w:val="00CC5E98"/>
    <w:rsid w:val="00CC6468"/>
    <w:rsid w:val="00CC693E"/>
    <w:rsid w:val="00CC6AC0"/>
    <w:rsid w:val="00CD5117"/>
    <w:rsid w:val="00CD7399"/>
    <w:rsid w:val="00CE02EA"/>
    <w:rsid w:val="00CE0CC4"/>
    <w:rsid w:val="00CE3F1E"/>
    <w:rsid w:val="00CE5435"/>
    <w:rsid w:val="00CE5B19"/>
    <w:rsid w:val="00CE7B60"/>
    <w:rsid w:val="00CE7D68"/>
    <w:rsid w:val="00CF3E43"/>
    <w:rsid w:val="00CF49AF"/>
    <w:rsid w:val="00CF4DEC"/>
    <w:rsid w:val="00CF5127"/>
    <w:rsid w:val="00D00A3B"/>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5850"/>
    <w:rsid w:val="00D36BF3"/>
    <w:rsid w:val="00D42148"/>
    <w:rsid w:val="00D44973"/>
    <w:rsid w:val="00D45357"/>
    <w:rsid w:val="00D50449"/>
    <w:rsid w:val="00D5088F"/>
    <w:rsid w:val="00D50E65"/>
    <w:rsid w:val="00D5220F"/>
    <w:rsid w:val="00D530C6"/>
    <w:rsid w:val="00D53C66"/>
    <w:rsid w:val="00D54E63"/>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902BA"/>
    <w:rsid w:val="00D938BA"/>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556"/>
    <w:rsid w:val="00DD49F2"/>
    <w:rsid w:val="00DD6EA3"/>
    <w:rsid w:val="00DD75E2"/>
    <w:rsid w:val="00DF31B9"/>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4C64"/>
    <w:rsid w:val="00E154BD"/>
    <w:rsid w:val="00E15D2B"/>
    <w:rsid w:val="00E17EC1"/>
    <w:rsid w:val="00E20040"/>
    <w:rsid w:val="00E24310"/>
    <w:rsid w:val="00E24B1A"/>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47F3"/>
    <w:rsid w:val="00E74809"/>
    <w:rsid w:val="00E7531C"/>
    <w:rsid w:val="00E769E8"/>
    <w:rsid w:val="00E8499C"/>
    <w:rsid w:val="00E84C1C"/>
    <w:rsid w:val="00E85A48"/>
    <w:rsid w:val="00E92524"/>
    <w:rsid w:val="00E950E5"/>
    <w:rsid w:val="00E96524"/>
    <w:rsid w:val="00E96ECD"/>
    <w:rsid w:val="00E970B4"/>
    <w:rsid w:val="00EA52A9"/>
    <w:rsid w:val="00EA5879"/>
    <w:rsid w:val="00EA5FA5"/>
    <w:rsid w:val="00EB043F"/>
    <w:rsid w:val="00EB0837"/>
    <w:rsid w:val="00EB1230"/>
    <w:rsid w:val="00EB1347"/>
    <w:rsid w:val="00EB20E3"/>
    <w:rsid w:val="00EB2B36"/>
    <w:rsid w:val="00EB2BA0"/>
    <w:rsid w:val="00EB4B52"/>
    <w:rsid w:val="00EB5FEB"/>
    <w:rsid w:val="00EB6494"/>
    <w:rsid w:val="00EB7E5B"/>
    <w:rsid w:val="00EC1C3F"/>
    <w:rsid w:val="00EC3DA2"/>
    <w:rsid w:val="00EC4C23"/>
    <w:rsid w:val="00EC5286"/>
    <w:rsid w:val="00EC6810"/>
    <w:rsid w:val="00ED02FD"/>
    <w:rsid w:val="00ED100C"/>
    <w:rsid w:val="00ED1060"/>
    <w:rsid w:val="00ED1D40"/>
    <w:rsid w:val="00ED4F67"/>
    <w:rsid w:val="00ED684A"/>
    <w:rsid w:val="00EE1103"/>
    <w:rsid w:val="00EE5785"/>
    <w:rsid w:val="00EE7EAE"/>
    <w:rsid w:val="00EF0A86"/>
    <w:rsid w:val="00EF2BE6"/>
    <w:rsid w:val="00EF384D"/>
    <w:rsid w:val="00EF3C3B"/>
    <w:rsid w:val="00EF3EAD"/>
    <w:rsid w:val="00F008FD"/>
    <w:rsid w:val="00F066D7"/>
    <w:rsid w:val="00F075A8"/>
    <w:rsid w:val="00F1018D"/>
    <w:rsid w:val="00F1250E"/>
    <w:rsid w:val="00F14666"/>
    <w:rsid w:val="00F14EB5"/>
    <w:rsid w:val="00F1667C"/>
    <w:rsid w:val="00F200D1"/>
    <w:rsid w:val="00F233AA"/>
    <w:rsid w:val="00F23969"/>
    <w:rsid w:val="00F25CB0"/>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461F"/>
    <w:rsid w:val="00FC5E20"/>
    <w:rsid w:val="00FC6B72"/>
    <w:rsid w:val="00FC70A1"/>
    <w:rsid w:val="00FD0368"/>
    <w:rsid w:val="00FD0A7A"/>
    <w:rsid w:val="00FD0AD0"/>
    <w:rsid w:val="00FD0D9D"/>
    <w:rsid w:val="00FD11B0"/>
    <w:rsid w:val="00FD2159"/>
    <w:rsid w:val="00FD3E7A"/>
    <w:rsid w:val="00FD7A49"/>
    <w:rsid w:val="00FD7F01"/>
    <w:rsid w:val="00FE1A19"/>
    <w:rsid w:val="00FE3A30"/>
    <w:rsid w:val="00FE3BEE"/>
    <w:rsid w:val="00FE645E"/>
    <w:rsid w:val="00FF0238"/>
    <w:rsid w:val="00FF0452"/>
    <w:rsid w:val="00FF2DC2"/>
    <w:rsid w:val="00FF3589"/>
    <w:rsid w:val="01530391"/>
    <w:rsid w:val="016A0791"/>
    <w:rsid w:val="016B281D"/>
    <w:rsid w:val="016C1D1F"/>
    <w:rsid w:val="01787993"/>
    <w:rsid w:val="017922D3"/>
    <w:rsid w:val="01F10C3B"/>
    <w:rsid w:val="022B1BDC"/>
    <w:rsid w:val="02B53A58"/>
    <w:rsid w:val="036868AE"/>
    <w:rsid w:val="045F165D"/>
    <w:rsid w:val="046D644F"/>
    <w:rsid w:val="05192361"/>
    <w:rsid w:val="052E61C8"/>
    <w:rsid w:val="056B35FF"/>
    <w:rsid w:val="05C34514"/>
    <w:rsid w:val="0611352E"/>
    <w:rsid w:val="065F3760"/>
    <w:rsid w:val="06F21464"/>
    <w:rsid w:val="06F361DA"/>
    <w:rsid w:val="07351BC0"/>
    <w:rsid w:val="078867E3"/>
    <w:rsid w:val="07B92E8A"/>
    <w:rsid w:val="07CB6A21"/>
    <w:rsid w:val="08277D2A"/>
    <w:rsid w:val="0883100C"/>
    <w:rsid w:val="089975EC"/>
    <w:rsid w:val="089A6177"/>
    <w:rsid w:val="094967DB"/>
    <w:rsid w:val="0AB53C5C"/>
    <w:rsid w:val="0AFB146D"/>
    <w:rsid w:val="0B874E51"/>
    <w:rsid w:val="0B9A7140"/>
    <w:rsid w:val="0C2E0580"/>
    <w:rsid w:val="0C384B50"/>
    <w:rsid w:val="0C746AFD"/>
    <w:rsid w:val="0C8900E9"/>
    <w:rsid w:val="0D154B39"/>
    <w:rsid w:val="0D435A86"/>
    <w:rsid w:val="0EF0292E"/>
    <w:rsid w:val="0F1D3644"/>
    <w:rsid w:val="0F4E6CF0"/>
    <w:rsid w:val="0F6F72B2"/>
    <w:rsid w:val="10582016"/>
    <w:rsid w:val="10D739BE"/>
    <w:rsid w:val="10FE2C1F"/>
    <w:rsid w:val="111F2AF8"/>
    <w:rsid w:val="11CE3F3E"/>
    <w:rsid w:val="124F2E58"/>
    <w:rsid w:val="141A35BB"/>
    <w:rsid w:val="14C35340"/>
    <w:rsid w:val="158113EE"/>
    <w:rsid w:val="15F0229C"/>
    <w:rsid w:val="16362668"/>
    <w:rsid w:val="16441AC5"/>
    <w:rsid w:val="165B20E7"/>
    <w:rsid w:val="168925A2"/>
    <w:rsid w:val="16936F26"/>
    <w:rsid w:val="16AE2B9E"/>
    <w:rsid w:val="16B84680"/>
    <w:rsid w:val="17DA747A"/>
    <w:rsid w:val="18172D39"/>
    <w:rsid w:val="18244A12"/>
    <w:rsid w:val="18D9085D"/>
    <w:rsid w:val="193E73A4"/>
    <w:rsid w:val="19685BE0"/>
    <w:rsid w:val="19EE3E86"/>
    <w:rsid w:val="1A00300F"/>
    <w:rsid w:val="1A5A27AD"/>
    <w:rsid w:val="1B0F26D0"/>
    <w:rsid w:val="1BBD4F3F"/>
    <w:rsid w:val="1C99656B"/>
    <w:rsid w:val="1CA26936"/>
    <w:rsid w:val="1CDF1844"/>
    <w:rsid w:val="1D2C5876"/>
    <w:rsid w:val="1EE764E6"/>
    <w:rsid w:val="1F2B21F1"/>
    <w:rsid w:val="1FBA648C"/>
    <w:rsid w:val="1FD07C46"/>
    <w:rsid w:val="20F5544D"/>
    <w:rsid w:val="214C531C"/>
    <w:rsid w:val="21652F14"/>
    <w:rsid w:val="21D34434"/>
    <w:rsid w:val="2206387A"/>
    <w:rsid w:val="22D37791"/>
    <w:rsid w:val="22E46F2F"/>
    <w:rsid w:val="23396436"/>
    <w:rsid w:val="23571876"/>
    <w:rsid w:val="236C373B"/>
    <w:rsid w:val="23A816ED"/>
    <w:rsid w:val="23DE5CCA"/>
    <w:rsid w:val="23F72B70"/>
    <w:rsid w:val="24264B11"/>
    <w:rsid w:val="242D209B"/>
    <w:rsid w:val="249029D1"/>
    <w:rsid w:val="25564CC3"/>
    <w:rsid w:val="25C37987"/>
    <w:rsid w:val="26384A4C"/>
    <w:rsid w:val="26BF0015"/>
    <w:rsid w:val="27773FC1"/>
    <w:rsid w:val="27985978"/>
    <w:rsid w:val="27FE053A"/>
    <w:rsid w:val="285F49DA"/>
    <w:rsid w:val="290B1D60"/>
    <w:rsid w:val="29697C95"/>
    <w:rsid w:val="2A6C6E62"/>
    <w:rsid w:val="2ABD3DEA"/>
    <w:rsid w:val="2B1827EA"/>
    <w:rsid w:val="2B392BD9"/>
    <w:rsid w:val="2B4474F0"/>
    <w:rsid w:val="2B6925D3"/>
    <w:rsid w:val="2B94418C"/>
    <w:rsid w:val="2BA8111D"/>
    <w:rsid w:val="2C155F99"/>
    <w:rsid w:val="2C646A3F"/>
    <w:rsid w:val="2CEC34A4"/>
    <w:rsid w:val="2D4D195C"/>
    <w:rsid w:val="2EA224B9"/>
    <w:rsid w:val="2EC96A1D"/>
    <w:rsid w:val="2EF71F9B"/>
    <w:rsid w:val="2F2A64E1"/>
    <w:rsid w:val="2F51371A"/>
    <w:rsid w:val="2F7979DF"/>
    <w:rsid w:val="30DA3F19"/>
    <w:rsid w:val="30F77A47"/>
    <w:rsid w:val="31724B48"/>
    <w:rsid w:val="31A66130"/>
    <w:rsid w:val="31B0147C"/>
    <w:rsid w:val="31BF461E"/>
    <w:rsid w:val="31F62C45"/>
    <w:rsid w:val="320C2BF7"/>
    <w:rsid w:val="32E528BA"/>
    <w:rsid w:val="33517FD2"/>
    <w:rsid w:val="33902148"/>
    <w:rsid w:val="339B4D1D"/>
    <w:rsid w:val="34CA5FEB"/>
    <w:rsid w:val="351870D9"/>
    <w:rsid w:val="35312AE1"/>
    <w:rsid w:val="359358E8"/>
    <w:rsid w:val="359C3DC6"/>
    <w:rsid w:val="35F60440"/>
    <w:rsid w:val="36512587"/>
    <w:rsid w:val="366D7598"/>
    <w:rsid w:val="36A7446C"/>
    <w:rsid w:val="36E41B01"/>
    <w:rsid w:val="370234E8"/>
    <w:rsid w:val="3761178E"/>
    <w:rsid w:val="37BD589A"/>
    <w:rsid w:val="3867727E"/>
    <w:rsid w:val="38C153AA"/>
    <w:rsid w:val="39000068"/>
    <w:rsid w:val="39333352"/>
    <w:rsid w:val="39C94AD6"/>
    <w:rsid w:val="3A37568C"/>
    <w:rsid w:val="3A515CCE"/>
    <w:rsid w:val="3A956BF7"/>
    <w:rsid w:val="3AC12620"/>
    <w:rsid w:val="3AE10910"/>
    <w:rsid w:val="3B643CED"/>
    <w:rsid w:val="3BE72EB7"/>
    <w:rsid w:val="3C683A9F"/>
    <w:rsid w:val="3CB42E76"/>
    <w:rsid w:val="3D8A2798"/>
    <w:rsid w:val="3DB54DD9"/>
    <w:rsid w:val="3DF628D0"/>
    <w:rsid w:val="3E5C1FE6"/>
    <w:rsid w:val="3E8B0789"/>
    <w:rsid w:val="3EDE4585"/>
    <w:rsid w:val="3F0E559C"/>
    <w:rsid w:val="3F5130CC"/>
    <w:rsid w:val="3FA7090B"/>
    <w:rsid w:val="400C274D"/>
    <w:rsid w:val="409657CA"/>
    <w:rsid w:val="409C2A4E"/>
    <w:rsid w:val="40EE6BE5"/>
    <w:rsid w:val="41C844A1"/>
    <w:rsid w:val="41EA3C48"/>
    <w:rsid w:val="4211708D"/>
    <w:rsid w:val="43632516"/>
    <w:rsid w:val="43A54E67"/>
    <w:rsid w:val="43FF401D"/>
    <w:rsid w:val="44956EDF"/>
    <w:rsid w:val="44E12089"/>
    <w:rsid w:val="44FA1F55"/>
    <w:rsid w:val="46116C7C"/>
    <w:rsid w:val="46344980"/>
    <w:rsid w:val="4634511C"/>
    <w:rsid w:val="46415EDC"/>
    <w:rsid w:val="46E8386D"/>
    <w:rsid w:val="470E6D2F"/>
    <w:rsid w:val="471449F7"/>
    <w:rsid w:val="47C55CCA"/>
    <w:rsid w:val="47EC0979"/>
    <w:rsid w:val="480C1B69"/>
    <w:rsid w:val="48164C67"/>
    <w:rsid w:val="48456235"/>
    <w:rsid w:val="4A233B87"/>
    <w:rsid w:val="4A534D14"/>
    <w:rsid w:val="4A7D4EAD"/>
    <w:rsid w:val="4AB81165"/>
    <w:rsid w:val="4BB711DB"/>
    <w:rsid w:val="4C486859"/>
    <w:rsid w:val="4C4A587B"/>
    <w:rsid w:val="4C81736F"/>
    <w:rsid w:val="4D427370"/>
    <w:rsid w:val="4DF818DB"/>
    <w:rsid w:val="4E813CB3"/>
    <w:rsid w:val="4EAB1019"/>
    <w:rsid w:val="4F9710BE"/>
    <w:rsid w:val="503903EC"/>
    <w:rsid w:val="506771C5"/>
    <w:rsid w:val="50D90018"/>
    <w:rsid w:val="513F27A6"/>
    <w:rsid w:val="51486421"/>
    <w:rsid w:val="515E0CC2"/>
    <w:rsid w:val="518F43FA"/>
    <w:rsid w:val="51AC1B9E"/>
    <w:rsid w:val="521164FF"/>
    <w:rsid w:val="522C2600"/>
    <w:rsid w:val="529A65BD"/>
    <w:rsid w:val="52DB4573"/>
    <w:rsid w:val="532055E7"/>
    <w:rsid w:val="532062C3"/>
    <w:rsid w:val="533C386C"/>
    <w:rsid w:val="53987AC8"/>
    <w:rsid w:val="53B0590D"/>
    <w:rsid w:val="53E716DD"/>
    <w:rsid w:val="542A7981"/>
    <w:rsid w:val="547140A0"/>
    <w:rsid w:val="54CF3AD1"/>
    <w:rsid w:val="54D04CDA"/>
    <w:rsid w:val="54E67BAC"/>
    <w:rsid w:val="5599056B"/>
    <w:rsid w:val="55D531A1"/>
    <w:rsid w:val="56287305"/>
    <w:rsid w:val="56344925"/>
    <w:rsid w:val="56836051"/>
    <w:rsid w:val="56E167E1"/>
    <w:rsid w:val="57814FA2"/>
    <w:rsid w:val="57892C7F"/>
    <w:rsid w:val="578E399A"/>
    <w:rsid w:val="579E0900"/>
    <w:rsid w:val="57B852D2"/>
    <w:rsid w:val="58506561"/>
    <w:rsid w:val="58A01EF7"/>
    <w:rsid w:val="58FC58AC"/>
    <w:rsid w:val="59381715"/>
    <w:rsid w:val="595326AE"/>
    <w:rsid w:val="595B5672"/>
    <w:rsid w:val="5A067F0D"/>
    <w:rsid w:val="5A94304A"/>
    <w:rsid w:val="5A9C6CED"/>
    <w:rsid w:val="5ACD2F89"/>
    <w:rsid w:val="5AD808E2"/>
    <w:rsid w:val="5AF92F8F"/>
    <w:rsid w:val="5C38288B"/>
    <w:rsid w:val="5C4B6554"/>
    <w:rsid w:val="5CA85943"/>
    <w:rsid w:val="5D240BC6"/>
    <w:rsid w:val="5D5A2CC2"/>
    <w:rsid w:val="5DBA5568"/>
    <w:rsid w:val="5DCE1D4E"/>
    <w:rsid w:val="5DF03E91"/>
    <w:rsid w:val="5DF93B53"/>
    <w:rsid w:val="5E626183"/>
    <w:rsid w:val="5ED41E18"/>
    <w:rsid w:val="5FFD2CE2"/>
    <w:rsid w:val="60057C1C"/>
    <w:rsid w:val="60FB46D7"/>
    <w:rsid w:val="61645D15"/>
    <w:rsid w:val="62292632"/>
    <w:rsid w:val="62727EBA"/>
    <w:rsid w:val="62955D61"/>
    <w:rsid w:val="62D81687"/>
    <w:rsid w:val="6305658B"/>
    <w:rsid w:val="63914A7B"/>
    <w:rsid w:val="63A03689"/>
    <w:rsid w:val="63B01D70"/>
    <w:rsid w:val="63D83F1F"/>
    <w:rsid w:val="63EA056D"/>
    <w:rsid w:val="63FD43C0"/>
    <w:rsid w:val="64026AED"/>
    <w:rsid w:val="64300170"/>
    <w:rsid w:val="64824ED9"/>
    <w:rsid w:val="64EB711B"/>
    <w:rsid w:val="64FF5233"/>
    <w:rsid w:val="65037B33"/>
    <w:rsid w:val="65436320"/>
    <w:rsid w:val="65592770"/>
    <w:rsid w:val="655C4431"/>
    <w:rsid w:val="65AC1D23"/>
    <w:rsid w:val="66381321"/>
    <w:rsid w:val="664E14A8"/>
    <w:rsid w:val="66676B28"/>
    <w:rsid w:val="671B708A"/>
    <w:rsid w:val="680315E9"/>
    <w:rsid w:val="68A647C0"/>
    <w:rsid w:val="68EF0851"/>
    <w:rsid w:val="692A41B3"/>
    <w:rsid w:val="6949692F"/>
    <w:rsid w:val="6A6C6E11"/>
    <w:rsid w:val="6AD7234F"/>
    <w:rsid w:val="6AED484C"/>
    <w:rsid w:val="6B72112F"/>
    <w:rsid w:val="6B764870"/>
    <w:rsid w:val="6B8118ED"/>
    <w:rsid w:val="6B9F1DED"/>
    <w:rsid w:val="6BE50F57"/>
    <w:rsid w:val="6BF71767"/>
    <w:rsid w:val="6E571992"/>
    <w:rsid w:val="6E953A27"/>
    <w:rsid w:val="6F3E3D06"/>
    <w:rsid w:val="6FA341CE"/>
    <w:rsid w:val="6FBB1C1E"/>
    <w:rsid w:val="706B6C80"/>
    <w:rsid w:val="7085237B"/>
    <w:rsid w:val="70A23FC8"/>
    <w:rsid w:val="70D271DB"/>
    <w:rsid w:val="71C25240"/>
    <w:rsid w:val="72AD436F"/>
    <w:rsid w:val="73430AE6"/>
    <w:rsid w:val="73D349A2"/>
    <w:rsid w:val="74B43990"/>
    <w:rsid w:val="7571408D"/>
    <w:rsid w:val="758241CA"/>
    <w:rsid w:val="75D4302F"/>
    <w:rsid w:val="75DF3A0D"/>
    <w:rsid w:val="760B02B2"/>
    <w:rsid w:val="763E4F51"/>
    <w:rsid w:val="76971C7A"/>
    <w:rsid w:val="773879DF"/>
    <w:rsid w:val="77EB3AC8"/>
    <w:rsid w:val="785E0ACB"/>
    <w:rsid w:val="78A021DD"/>
    <w:rsid w:val="78B237CB"/>
    <w:rsid w:val="78B647E8"/>
    <w:rsid w:val="78BF76F8"/>
    <w:rsid w:val="79227145"/>
    <w:rsid w:val="799469FD"/>
    <w:rsid w:val="7A672B47"/>
    <w:rsid w:val="7AEA2AFF"/>
    <w:rsid w:val="7C072769"/>
    <w:rsid w:val="7C233FC2"/>
    <w:rsid w:val="7C7E5277"/>
    <w:rsid w:val="7CC3305A"/>
    <w:rsid w:val="7D203751"/>
    <w:rsid w:val="7D3711DF"/>
    <w:rsid w:val="7DF574E2"/>
    <w:rsid w:val="7E2E7058"/>
    <w:rsid w:val="7E557C00"/>
    <w:rsid w:val="7EE55FE7"/>
    <w:rsid w:val="7EF526E2"/>
    <w:rsid w:val="7F255047"/>
    <w:rsid w:val="7FBC6D24"/>
    <w:rsid w:val="7FD17628"/>
    <w:rsid w:val="7FD35E95"/>
    <w:rsid w:val="7FE6164E"/>
    <w:rsid w:val="7FF57654"/>
    <w:rsid w:val="7FF77363"/>
    <w:rsid w:val="EE3E3717"/>
    <w:rsid w:val="FB7BC8D6"/>
    <w:rsid w:val="FFACD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rFonts w:ascii="Calibri" w:hAnsi="Calibri"/>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24"/>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36"/>
    <w:qFormat/>
    <w:uiPriority w:val="0"/>
    <w:rPr>
      <w:rFonts w:ascii="宋体"/>
      <w:sz w:val="18"/>
      <w:szCs w:val="18"/>
    </w:rPr>
  </w:style>
  <w:style w:type="paragraph" w:styleId="10">
    <w:name w:val="annotation text"/>
    <w:basedOn w:val="1"/>
    <w:link w:val="37"/>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link w:val="57"/>
    <w:semiHidden/>
    <w:unhideWhenUsed/>
    <w:qFormat/>
    <w:uiPriority w:val="0"/>
    <w:pPr>
      <w:spacing w:after="120"/>
    </w:pPr>
  </w:style>
  <w:style w:type="paragraph" w:styleId="13">
    <w:name w:val="Body Text Indent"/>
    <w:basedOn w:val="1"/>
    <w:qFormat/>
    <w:uiPriority w:val="0"/>
    <w:pPr>
      <w:ind w:firstLine="830" w:firstLineChars="352"/>
    </w:pPr>
    <w:rPr>
      <w:rFonts w:ascii="仿宋_GB2312" w:eastAsia="仿宋_GB2312"/>
      <w:sz w:val="32"/>
      <w:szCs w:val="20"/>
    </w:rPr>
  </w:style>
  <w:style w:type="paragraph" w:styleId="14">
    <w:name w:val="Plain Text"/>
    <w:basedOn w:val="1"/>
    <w:link w:val="55"/>
    <w:qFormat/>
    <w:uiPriority w:val="0"/>
    <w:rPr>
      <w:rFonts w:ascii="宋体" w:hAnsi="Courier New" w:cs="Courier New"/>
      <w:szCs w:val="21"/>
    </w:rPr>
  </w:style>
  <w:style w:type="paragraph" w:styleId="15">
    <w:name w:val="Body Text Indent 2"/>
    <w:basedOn w:val="1"/>
    <w:qFormat/>
    <w:uiPriority w:val="0"/>
    <w:pPr>
      <w:adjustRightInd w:val="0"/>
      <w:spacing w:after="120" w:line="480" w:lineRule="auto"/>
      <w:ind w:left="420"/>
      <w:textAlignment w:val="baseline"/>
    </w:pPr>
    <w:rPr>
      <w:kern w:val="0"/>
      <w:szCs w:val="20"/>
    </w:rPr>
  </w:style>
  <w:style w:type="paragraph" w:styleId="16">
    <w:name w:val="Balloon Text"/>
    <w:basedOn w:val="1"/>
    <w:link w:val="33"/>
    <w:qFormat/>
    <w:uiPriority w:val="0"/>
    <w:rPr>
      <w:sz w:val="18"/>
      <w:szCs w:val="18"/>
    </w:rPr>
  </w:style>
  <w:style w:type="paragraph" w:styleId="17">
    <w:name w:val="footer"/>
    <w:basedOn w:val="1"/>
    <w:link w:val="62"/>
    <w:qFormat/>
    <w:uiPriority w:val="99"/>
    <w:pPr>
      <w:tabs>
        <w:tab w:val="center" w:pos="4153"/>
        <w:tab w:val="right" w:pos="8306"/>
      </w:tabs>
      <w:snapToGrid w:val="0"/>
      <w:jc w:val="left"/>
    </w:pPr>
    <w:rPr>
      <w:sz w:val="18"/>
    </w:rPr>
  </w:style>
  <w:style w:type="paragraph" w:styleId="18">
    <w:name w:val="header"/>
    <w:basedOn w:val="1"/>
    <w:link w:val="5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style>
  <w:style w:type="paragraph" w:styleId="20">
    <w:name w:val="Body Text Indent 3"/>
    <w:basedOn w:val="1"/>
    <w:qFormat/>
    <w:uiPriority w:val="0"/>
    <w:pPr>
      <w:adjustRightInd w:val="0"/>
      <w:spacing w:after="120" w:line="312" w:lineRule="atLeast"/>
      <w:ind w:left="420"/>
      <w:textAlignment w:val="baseline"/>
    </w:pPr>
    <w:rPr>
      <w:kern w:val="0"/>
      <w:sz w:val="16"/>
      <w:szCs w:val="16"/>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index 1"/>
    <w:basedOn w:val="1"/>
    <w:next w:val="1"/>
    <w:qFormat/>
    <w:uiPriority w:val="0"/>
    <w:pPr>
      <w:tabs>
        <w:tab w:val="left" w:pos="7740"/>
      </w:tabs>
      <w:jc w:val="center"/>
    </w:pPr>
    <w:rPr>
      <w:rFonts w:ascii="仿宋" w:hAnsi="仿宋" w:eastAsia="仿宋"/>
      <w:b/>
      <w:sz w:val="28"/>
      <w:szCs w:val="28"/>
    </w:rPr>
  </w:style>
  <w:style w:type="paragraph" w:styleId="23">
    <w:name w:val="Title"/>
    <w:basedOn w:val="1"/>
    <w:next w:val="1"/>
    <w:link w:val="35"/>
    <w:qFormat/>
    <w:uiPriority w:val="0"/>
    <w:pPr>
      <w:spacing w:before="240" w:after="60"/>
      <w:jc w:val="center"/>
      <w:outlineLvl w:val="0"/>
    </w:pPr>
    <w:rPr>
      <w:rFonts w:ascii="Cambria" w:hAnsi="Cambria"/>
      <w:b/>
      <w:bCs/>
      <w:sz w:val="32"/>
      <w:szCs w:val="32"/>
    </w:rPr>
  </w:style>
  <w:style w:type="paragraph" w:styleId="24">
    <w:name w:val="annotation subject"/>
    <w:basedOn w:val="10"/>
    <w:next w:val="10"/>
    <w:link w:val="38"/>
    <w:qFormat/>
    <w:uiPriority w:val="0"/>
    <w:rPr>
      <w:b/>
      <w:bCs/>
    </w:rPr>
  </w:style>
  <w:style w:type="paragraph" w:styleId="25">
    <w:name w:val="Body Text First Indent"/>
    <w:basedOn w:val="12"/>
    <w:link w:val="58"/>
    <w:qFormat/>
    <w:uiPriority w:val="0"/>
    <w:pPr>
      <w:ind w:firstLine="420" w:firstLineChars="100"/>
    </w:pPr>
  </w:style>
  <w:style w:type="table" w:styleId="27">
    <w:name w:val="Table Grid"/>
    <w:basedOn w:val="26"/>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rFonts w:eastAsia="宋体"/>
      <w:b/>
      <w:bCs/>
      <w:kern w:val="2"/>
      <w:sz w:val="24"/>
      <w:szCs w:val="24"/>
      <w:lang w:val="en-US" w:eastAsia="zh-CN" w:bidi="ar-SA"/>
    </w:rPr>
  </w:style>
  <w:style w:type="character" w:styleId="30">
    <w:name w:val="page number"/>
    <w:basedOn w:val="28"/>
    <w:qFormat/>
    <w:uiPriority w:val="0"/>
  </w:style>
  <w:style w:type="character" w:styleId="31">
    <w:name w:val="annotation reference"/>
    <w:basedOn w:val="28"/>
    <w:qFormat/>
    <w:uiPriority w:val="0"/>
    <w:rPr>
      <w:rFonts w:eastAsia="宋体"/>
      <w:kern w:val="2"/>
      <w:sz w:val="21"/>
      <w:szCs w:val="21"/>
      <w:lang w:val="en-US" w:eastAsia="zh-CN" w:bidi="ar-SA"/>
    </w:rPr>
  </w:style>
  <w:style w:type="paragraph" w:customStyle="1" w:styleId="3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3">
    <w:name w:val="批注框文本 Char"/>
    <w:link w:val="16"/>
    <w:qFormat/>
    <w:uiPriority w:val="0"/>
    <w:rPr>
      <w:kern w:val="2"/>
      <w:sz w:val="18"/>
      <w:szCs w:val="18"/>
    </w:rPr>
  </w:style>
  <w:style w:type="character" w:customStyle="1" w:styleId="34">
    <w:name w:val="标题 1 Char"/>
    <w:link w:val="3"/>
    <w:qFormat/>
    <w:uiPriority w:val="9"/>
    <w:rPr>
      <w:rFonts w:ascii="Calibri" w:hAnsi="Calibri" w:eastAsia="宋体" w:cs="Times New Roman"/>
      <w:b/>
      <w:bCs/>
      <w:kern w:val="44"/>
      <w:sz w:val="44"/>
      <w:szCs w:val="44"/>
    </w:rPr>
  </w:style>
  <w:style w:type="character" w:customStyle="1" w:styleId="35">
    <w:name w:val="标题 Char"/>
    <w:link w:val="23"/>
    <w:qFormat/>
    <w:uiPriority w:val="0"/>
    <w:rPr>
      <w:rFonts w:ascii="Cambria" w:hAnsi="Cambria" w:cs="Times New Roman"/>
      <w:b/>
      <w:bCs/>
      <w:kern w:val="2"/>
      <w:sz w:val="32"/>
      <w:szCs w:val="32"/>
    </w:rPr>
  </w:style>
  <w:style w:type="character" w:customStyle="1" w:styleId="36">
    <w:name w:val="文档结构图 Char"/>
    <w:link w:val="9"/>
    <w:qFormat/>
    <w:uiPriority w:val="0"/>
    <w:rPr>
      <w:rFonts w:ascii="宋体"/>
      <w:kern w:val="2"/>
      <w:sz w:val="18"/>
      <w:szCs w:val="18"/>
    </w:rPr>
  </w:style>
  <w:style w:type="character" w:customStyle="1" w:styleId="37">
    <w:name w:val="批注文字 Char"/>
    <w:link w:val="10"/>
    <w:qFormat/>
    <w:uiPriority w:val="0"/>
    <w:rPr>
      <w:kern w:val="2"/>
      <w:sz w:val="21"/>
      <w:szCs w:val="24"/>
    </w:rPr>
  </w:style>
  <w:style w:type="character" w:customStyle="1" w:styleId="38">
    <w:name w:val="批注主题 Char"/>
    <w:link w:val="24"/>
    <w:qFormat/>
    <w:uiPriority w:val="0"/>
    <w:rPr>
      <w:b/>
      <w:bCs/>
      <w:kern w:val="2"/>
      <w:sz w:val="21"/>
      <w:szCs w:val="24"/>
    </w:rPr>
  </w:style>
  <w:style w:type="paragraph" w:customStyle="1" w:styleId="39">
    <w:name w:val="_Style 2"/>
    <w:basedOn w:val="1"/>
    <w:qFormat/>
    <w:uiPriority w:val="34"/>
    <w:pPr>
      <w:ind w:firstLine="420" w:firstLineChars="200"/>
    </w:pPr>
    <w:rPr>
      <w:rFonts w:ascii="Calibri" w:hAnsi="Calibri"/>
      <w:szCs w:val="22"/>
    </w:rPr>
  </w:style>
  <w:style w:type="paragraph" w:customStyle="1" w:styleId="40">
    <w:name w:val="Char Char2 Char"/>
    <w:basedOn w:val="1"/>
    <w:qFormat/>
    <w:uiPriority w:val="0"/>
  </w:style>
  <w:style w:type="paragraph" w:customStyle="1" w:styleId="41">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2">
    <w:name w:val="z-窗体顶端1"/>
    <w:basedOn w:val="1"/>
    <w:qFormat/>
    <w:uiPriority w:val="34"/>
    <w:pPr>
      <w:ind w:firstLine="420" w:firstLineChars="200"/>
    </w:pPr>
    <w:rPr>
      <w:rFonts w:ascii="Calibri" w:hAnsi="Calibri"/>
      <w:szCs w:val="22"/>
    </w:rPr>
  </w:style>
  <w:style w:type="paragraph" w:customStyle="1" w:styleId="43">
    <w:name w:val="题注4"/>
    <w:basedOn w:val="1"/>
    <w:next w:val="8"/>
    <w:qFormat/>
    <w:uiPriority w:val="0"/>
    <w:pPr>
      <w:ind w:left="-132" w:leftChars="-64" w:right="-105" w:rightChars="-50" w:hanging="2"/>
      <w:jc w:val="center"/>
    </w:pPr>
    <w:rPr>
      <w:b/>
      <w:color w:val="FF0000"/>
      <w:szCs w:val="21"/>
      <w:lang w:val="en-GB"/>
    </w:rPr>
  </w:style>
  <w:style w:type="paragraph" w:customStyle="1" w:styleId="44">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5">
    <w:name w:val="List Paragraph"/>
    <w:basedOn w:val="1"/>
    <w:qFormat/>
    <w:uiPriority w:val="99"/>
    <w:pPr>
      <w:ind w:firstLine="420" w:firstLineChars="200"/>
    </w:pPr>
    <w:rPr>
      <w:rFonts w:ascii="Calibri" w:hAnsi="Calibri"/>
      <w:szCs w:val="22"/>
    </w:rPr>
  </w:style>
  <w:style w:type="paragraph" w:customStyle="1" w:styleId="4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8">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5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Char"/>
    <w:basedOn w:val="1"/>
    <w:qFormat/>
    <w:uiPriority w:val="0"/>
    <w:pPr>
      <w:spacing w:line="480" w:lineRule="exact"/>
    </w:pPr>
    <w:rPr>
      <w:sz w:val="24"/>
    </w:rPr>
  </w:style>
  <w:style w:type="paragraph" w:customStyle="1" w:styleId="52">
    <w:name w:val="表格文字"/>
    <w:basedOn w:val="1"/>
    <w:qFormat/>
    <w:uiPriority w:val="0"/>
    <w:pPr>
      <w:spacing w:before="25" w:after="25"/>
      <w:jc w:val="left"/>
    </w:pPr>
    <w:rPr>
      <w:bCs/>
      <w:spacing w:val="10"/>
      <w:kern w:val="0"/>
      <w:sz w:val="24"/>
      <w:szCs w:val="20"/>
    </w:rPr>
  </w:style>
  <w:style w:type="paragraph" w:customStyle="1" w:styleId="53">
    <w:name w:val="_Style 1"/>
    <w:basedOn w:val="1"/>
    <w:qFormat/>
    <w:uiPriority w:val="34"/>
    <w:pPr>
      <w:ind w:firstLine="420" w:firstLineChars="200"/>
    </w:pPr>
    <w:rPr>
      <w:rFonts w:ascii="Calibri" w:hAnsi="Calibri"/>
      <w:szCs w:val="22"/>
    </w:rPr>
  </w:style>
  <w:style w:type="paragraph" w:customStyle="1" w:styleId="5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5">
    <w:name w:val="纯文本 Char"/>
    <w:link w:val="14"/>
    <w:qFormat/>
    <w:uiPriority w:val="0"/>
    <w:rPr>
      <w:rFonts w:ascii="宋体" w:hAnsi="Courier New" w:cs="Courier New"/>
      <w:kern w:val="2"/>
      <w:sz w:val="21"/>
      <w:szCs w:val="21"/>
    </w:rPr>
  </w:style>
  <w:style w:type="character" w:customStyle="1" w:styleId="56">
    <w:name w:val="页眉 Char"/>
    <w:link w:val="18"/>
    <w:qFormat/>
    <w:uiPriority w:val="99"/>
    <w:rPr>
      <w:kern w:val="2"/>
      <w:sz w:val="18"/>
      <w:szCs w:val="24"/>
    </w:rPr>
  </w:style>
  <w:style w:type="character" w:customStyle="1" w:styleId="57">
    <w:name w:val="正文文本 Char"/>
    <w:basedOn w:val="28"/>
    <w:link w:val="12"/>
    <w:semiHidden/>
    <w:qFormat/>
    <w:uiPriority w:val="0"/>
    <w:rPr>
      <w:kern w:val="2"/>
      <w:sz w:val="21"/>
      <w:szCs w:val="24"/>
    </w:rPr>
  </w:style>
  <w:style w:type="character" w:customStyle="1" w:styleId="58">
    <w:name w:val="正文首行缩进 Char"/>
    <w:basedOn w:val="57"/>
    <w:link w:val="25"/>
    <w:qFormat/>
    <w:uiPriority w:val="0"/>
    <w:rPr>
      <w:kern w:val="2"/>
      <w:sz w:val="21"/>
      <w:szCs w:val="24"/>
    </w:rPr>
  </w:style>
  <w:style w:type="paragraph" w:styleId="5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z-窗体顶端2"/>
    <w:basedOn w:val="1"/>
    <w:link w:val="61"/>
    <w:qFormat/>
    <w:uiPriority w:val="34"/>
    <w:pPr>
      <w:ind w:firstLine="420" w:firstLineChars="200"/>
    </w:pPr>
    <w:rPr>
      <w:rFonts w:ascii="Calibri" w:hAnsi="Calibri"/>
      <w:szCs w:val="22"/>
    </w:rPr>
  </w:style>
  <w:style w:type="character" w:customStyle="1" w:styleId="61">
    <w:name w:val="z-窗体顶端 字符"/>
    <w:basedOn w:val="28"/>
    <w:link w:val="60"/>
    <w:qFormat/>
    <w:uiPriority w:val="34"/>
    <w:rPr>
      <w:rFonts w:ascii="Calibri" w:hAnsi="Calibri"/>
      <w:kern w:val="2"/>
      <w:sz w:val="21"/>
      <w:szCs w:val="22"/>
    </w:rPr>
  </w:style>
  <w:style w:type="character" w:customStyle="1" w:styleId="62">
    <w:name w:val="页脚 Char"/>
    <w:basedOn w:val="28"/>
    <w:link w:val="17"/>
    <w:qFormat/>
    <w:uiPriority w:val="99"/>
    <w:rPr>
      <w:rFonts w:ascii="Times New Roman" w:hAnsi="Times New Roman"/>
      <w:kern w:val="2"/>
      <w:sz w:val="18"/>
      <w:szCs w:val="24"/>
    </w:rPr>
  </w:style>
  <w:style w:type="paragraph" w:customStyle="1" w:styleId="63">
    <w:name w:val="_Style 4"/>
    <w:basedOn w:val="3"/>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64">
    <w:name w:val="列出段落3"/>
    <w:basedOn w:val="1"/>
    <w:qFormat/>
    <w:uiPriority w:val="0"/>
    <w:pPr>
      <w:ind w:firstLine="420" w:firstLineChars="200"/>
    </w:pPr>
    <w:rPr>
      <w:rFonts w:ascii="Calibri" w:hAnsi="Calibri"/>
      <w:szCs w:val="22"/>
    </w:rPr>
  </w:style>
  <w:style w:type="paragraph" w:customStyle="1" w:styleId="65">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66">
    <w:name w:val="_"/>
    <w:basedOn w:val="1"/>
    <w:qFormat/>
    <w:uiPriority w:val="0"/>
    <w:pPr>
      <w:spacing w:line="360" w:lineRule="auto"/>
      <w:ind w:left="480"/>
    </w:pPr>
    <w:rPr>
      <w:rFonts w:ascii="Calibri" w:hAnsi="Calibri"/>
      <w:sz w:val="2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20876</Words>
  <Characters>3901</Characters>
  <Lines>32</Lines>
  <Paragraphs>49</Paragraphs>
  <TotalTime>16</TotalTime>
  <ScaleCrop>false</ScaleCrop>
  <LinksUpToDate>false</LinksUpToDate>
  <CharactersWithSpaces>24728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2020-11-11T13:20:00Z</dcterms:created>
  <dc:creator>李继能</dc:creator>
  <cp:lastModifiedBy>林煜韩</cp:lastModifiedBy>
  <cp:lastPrinted>2021-06-04T07:15:00Z</cp:lastPrinted>
  <dcterms:modified xsi:type="dcterms:W3CDTF">2021-06-18T10:26:51Z</dcterms:modified>
  <dc:title>询价文件</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