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960" w:firstLineChars="30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XE-20210430-2</w:t>
      </w:r>
      <w:r>
        <w:rPr>
          <w:sz w:val="32"/>
          <w:szCs w:val="32"/>
        </w:rPr>
        <w:fldChar w:fldCharType="begin"/>
      </w:r>
      <w:r>
        <w:rPr>
          <w:sz w:val="32"/>
          <w:szCs w:val="32"/>
        </w:rPr>
        <w:instrText xml:space="preserve"> DOCVARIABLE  采购编号  \* MERGEFORMAT </w:instrText>
      </w:r>
      <w:r>
        <w:rPr>
          <w:sz w:val="32"/>
          <w:szCs w:val="32"/>
        </w:rPr>
        <w:fldChar w:fldCharType="end"/>
      </w:r>
    </w:p>
    <w:p>
      <w:pPr>
        <w:spacing w:line="360" w:lineRule="auto"/>
        <w:ind w:left="3517" w:leftChars="456" w:hanging="2560" w:hangingChars="800"/>
        <w:jc w:val="left"/>
        <w:rPr>
          <w:rFonts w:hint="eastAsia" w:ascii="仿宋_GB2312" w:hAnsi="仿宋_GB2312" w:eastAsia="仿宋_GB2312" w:cs="仿宋_GB2312"/>
          <w:b/>
          <w:bCs/>
          <w:sz w:val="32"/>
          <w:szCs w:val="32"/>
        </w:rPr>
      </w:pPr>
      <w:r>
        <w:rPr>
          <w:rFonts w:hint="eastAsia" w:ascii="仿宋" w:hAnsi="仿宋" w:eastAsia="仿宋" w:cs="仿宋_GB2312"/>
          <w:b/>
          <w:bCs/>
          <w:sz w:val="32"/>
          <w:szCs w:val="32"/>
        </w:rPr>
        <w:t>项目名称：</w:t>
      </w:r>
      <w:r>
        <w:rPr>
          <w:rFonts w:hint="eastAsia" w:ascii="仿宋_GB2312" w:hAnsi="仿宋_GB2312" w:eastAsia="仿宋_GB2312" w:cs="仿宋_GB2312"/>
          <w:b/>
          <w:bCs/>
          <w:sz w:val="32"/>
          <w:szCs w:val="32"/>
        </w:rPr>
        <w:t>广州市净水有限公司2021年各分公司防腐</w:t>
      </w:r>
    </w:p>
    <w:p>
      <w:pPr>
        <w:spacing w:line="360" w:lineRule="auto"/>
        <w:ind w:left="3513" w:leftChars="1216" w:hanging="960" w:hangingChars="300"/>
        <w:jc w:val="left"/>
        <w:rPr>
          <w:rFonts w:ascii="仿宋" w:hAnsi="仿宋" w:eastAsia="仿宋" w:cs="仿宋_GB2312"/>
          <w:b/>
          <w:bCs/>
          <w:sz w:val="28"/>
          <w:szCs w:val="28"/>
        </w:rPr>
      </w:pPr>
      <w:r>
        <w:rPr>
          <w:rFonts w:hint="eastAsia" w:ascii="仿宋_GB2312" w:hAnsi="仿宋_GB2312" w:eastAsia="仿宋_GB2312" w:cs="仿宋_GB2312"/>
          <w:b/>
          <w:bCs/>
          <w:sz w:val="32"/>
          <w:szCs w:val="32"/>
        </w:rPr>
        <w:t>大修</w:t>
      </w:r>
      <w:r>
        <w:rPr>
          <w:rFonts w:hint="eastAsia" w:ascii="仿宋" w:hAnsi="仿宋" w:eastAsia="仿宋" w:cs="仿宋_GB2312"/>
          <w:b/>
          <w:bCs/>
          <w:sz w:val="32"/>
          <w:szCs w:val="32"/>
        </w:rPr>
        <w:t>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发布日期：2021年</w:t>
      </w:r>
      <w:r>
        <w:rPr>
          <w:rFonts w:hint="eastAsia" w:ascii="仿宋" w:hAnsi="仿宋" w:eastAsia="仿宋" w:cs="仿宋_GB2312"/>
          <w:b/>
          <w:bCs/>
          <w:sz w:val="28"/>
          <w:lang w:val="en-US" w:eastAsia="zh-CN"/>
        </w:rPr>
        <w:t>4</w:t>
      </w:r>
      <w:r>
        <w:rPr>
          <w:rFonts w:hint="eastAsia" w:ascii="仿宋" w:hAnsi="仿宋" w:eastAsia="仿宋" w:cs="仿宋_GB2312"/>
          <w:b/>
          <w:bCs/>
          <w:sz w:val="28"/>
        </w:rPr>
        <w:t>月</w:t>
      </w:r>
      <w:r>
        <w:rPr>
          <w:rFonts w:hint="eastAsia" w:ascii="仿宋" w:hAnsi="仿宋" w:eastAsia="仿宋" w:cs="仿宋_GB2312"/>
          <w:b/>
          <w:bCs/>
          <w:sz w:val="28"/>
          <w:lang w:val="en-US" w:eastAsia="zh-CN"/>
        </w:rPr>
        <w:t>30</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5"/>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2021年各分公司防腐大修项目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rPr>
        <w:t>大修专项资金</w:t>
      </w:r>
    </w:p>
    <w:p>
      <w:pPr>
        <w:autoSpaceDE w:val="0"/>
        <w:autoSpaceDN w:val="0"/>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XE-20210430-2</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广州市净水有限公司2021年各分公司防腐大修项目</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项目一：大坦沙分公司厂区污水廊道墙壁修复及设备设施防腐；</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项目二：沥滘分公司厂区设备设施防腐大修；</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项目三：猎德分公司一期生化池钢骨架防腐及安装盖板。</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（以下分别简称“项目一、项目二、项目三”）</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四、最高</w:t>
      </w:r>
      <w:r>
        <w:rPr>
          <w:rFonts w:hint="eastAsia" w:ascii="仿宋_GB2312" w:hAnsi="仿宋_GB2312" w:eastAsia="仿宋_GB2312" w:cs="仿宋_GB2312"/>
          <w:sz w:val="28"/>
          <w:szCs w:val="28"/>
        </w:rPr>
        <w:t>总</w:t>
      </w:r>
      <w:r>
        <w:rPr>
          <w:rFonts w:hint="eastAsia" w:ascii="仿宋_GB2312" w:hAnsi="仿宋_GB2312" w:eastAsia="仿宋_GB2312" w:cs="仿宋_GB2312"/>
          <w:sz w:val="28"/>
          <w:szCs w:val="28"/>
          <w:lang w:val="zh-CN"/>
        </w:rPr>
        <w:t>限价：</w:t>
      </w:r>
      <w:r>
        <w:rPr>
          <w:rFonts w:hint="eastAsia" w:ascii="仿宋_GB2312" w:hAnsi="仿宋_GB2312" w:eastAsia="仿宋_GB2312" w:cs="仿宋_GB2312"/>
          <w:sz w:val="28"/>
          <w:szCs w:val="28"/>
          <w:u w:val="single"/>
        </w:rPr>
        <w:t>273.652531</w:t>
      </w:r>
      <w:r>
        <w:rPr>
          <w:rFonts w:hint="eastAsia" w:ascii="仿宋_GB2312" w:hAnsi="仿宋_GB2312" w:eastAsia="仿宋_GB2312" w:cs="仿宋_GB2312"/>
          <w:sz w:val="28"/>
          <w:szCs w:val="28"/>
        </w:rPr>
        <w:t>万元人民币</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项目一</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80.282535</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sz w:val="28"/>
          <w:szCs w:val="28"/>
        </w:rPr>
        <w:t>项目二</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rPr>
        <w:t>：13.708028</w:t>
      </w:r>
      <w:r>
        <w:rPr>
          <w:rFonts w:hint="eastAsia" w:ascii="仿宋_GB2312" w:hAnsi="仿宋_GB2312" w:eastAsia="仿宋_GB2312" w:cs="仿宋_GB2312"/>
          <w:sz w:val="28"/>
          <w:szCs w:val="28"/>
          <w:lang w:val="zh-CN"/>
        </w:rPr>
        <w:t>万元人民币；</w:t>
      </w:r>
      <w:r>
        <w:rPr>
          <w:rFonts w:hint="eastAsia" w:ascii="仿宋_GB2312" w:hAnsi="仿宋_GB2312" w:eastAsia="仿宋_GB2312" w:cs="仿宋_GB2312"/>
          <w:sz w:val="28"/>
          <w:szCs w:val="28"/>
        </w:rPr>
        <w:t>项目三</w:t>
      </w:r>
      <w:r>
        <w:rPr>
          <w:rFonts w:hint="eastAsia" w:ascii="仿宋_GB2312" w:hAnsi="仿宋_GB2312" w:eastAsia="仿宋_GB2312" w:cs="仿宋_GB2312"/>
          <w:sz w:val="28"/>
          <w:szCs w:val="28"/>
          <w:lang w:val="zh-CN"/>
        </w:rPr>
        <w:t>最高限价</w:t>
      </w:r>
      <w:r>
        <w:rPr>
          <w:rFonts w:hint="eastAsia" w:ascii="仿宋_GB2312" w:hAnsi="仿宋_GB2312" w:eastAsia="仿宋_GB2312" w:cs="仿宋_GB2312"/>
          <w:sz w:val="28"/>
          <w:szCs w:val="28"/>
        </w:rPr>
        <w:t>：179.661968</w:t>
      </w:r>
      <w:r>
        <w:rPr>
          <w:rFonts w:hint="eastAsia" w:ascii="仿宋_GB2312" w:hAnsi="仿宋_GB2312" w:eastAsia="仿宋_GB2312" w:cs="仿宋_GB2312"/>
          <w:sz w:val="28"/>
          <w:szCs w:val="28"/>
          <w:lang w:val="zh-CN"/>
        </w:rPr>
        <w:t>万元人民币；）</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项目一：</w:t>
      </w:r>
    </w:p>
    <w:p>
      <w:pPr>
        <w:spacing w:line="360" w:lineRule="auto"/>
        <w:ind w:firstLine="588" w:firstLineChars="210"/>
        <w:rPr>
          <w:rFonts w:ascii="仿宋_GB2312" w:hAnsi="仿宋_GB2312" w:eastAsia="仿宋_GB2312" w:cs="仿宋_GB2312"/>
          <w:kern w:val="0"/>
          <w:sz w:val="28"/>
          <w:szCs w:val="28"/>
          <w:lang w:val="zh-CN"/>
        </w:rPr>
      </w:pPr>
      <w:r>
        <w:rPr>
          <w:rFonts w:hint="eastAsia" w:ascii="仿宋_GB2312" w:hAnsi="仿宋_GB2312" w:eastAsia="仿宋_GB2312" w:cs="仿宋_GB2312"/>
          <w:sz w:val="28"/>
          <w:szCs w:val="28"/>
        </w:rPr>
        <w:t>大坦沙分公司厂区污水廊道墙壁修复及设备设施防腐</w:t>
      </w:r>
      <w:r>
        <w:rPr>
          <w:rFonts w:hint="eastAsia" w:ascii="仿宋_GB2312" w:hAnsi="仿宋_GB2312" w:eastAsia="仿宋_GB2312" w:cs="仿宋_GB2312"/>
          <w:kern w:val="0"/>
          <w:sz w:val="28"/>
          <w:szCs w:val="28"/>
          <w:lang w:val="zh-CN"/>
        </w:rPr>
        <w:t>进行大修。</w:t>
      </w:r>
    </w:p>
    <w:p>
      <w:pPr>
        <w:spacing w:line="360" w:lineRule="auto"/>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1、需修复的一期平流沉砂池、格栅间及三期1号反应池进水渠闸孔及进水口超越闸孔, 以上池体由于内壁经过长时间污水腐蚀出现混凝土表层严重腐化导致脱落甚至钢筋腐蚀，所以需要进行加固修复。</w:t>
      </w:r>
    </w:p>
    <w:p>
      <w:pPr>
        <w:spacing w:line="360" w:lineRule="auto"/>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（1）一期平流沉砂池、格栅间位于一二期厂区内，其中格栅井高3.8-8.7米不等,需</w:t>
      </w:r>
      <w:bookmarkStart w:id="0" w:name="OLE_LINK3"/>
      <w:r>
        <w:rPr>
          <w:rFonts w:hint="eastAsia" w:ascii="仿宋_GB2312" w:hAnsi="仿宋_GB2312" w:eastAsia="仿宋_GB2312" w:cs="仿宋_GB2312"/>
          <w:sz w:val="28"/>
          <w:szCs w:val="28"/>
        </w:rPr>
        <w:t>修复池壁水上部份1.5米及顶部，面积约220</w:t>
      </w:r>
      <w:bookmarkEnd w:id="0"/>
      <w:r>
        <w:rPr>
          <w:rFonts w:hint="eastAsia" w:ascii="仿宋_GB2312" w:hAnsi="仿宋_GB2312" w:eastAsia="仿宋_GB2312" w:cs="仿宋_GB2312"/>
          <w:sz w:val="28"/>
          <w:szCs w:val="28"/>
        </w:rPr>
        <w:t>m² ；</w:t>
      </w:r>
    </w:p>
    <w:p>
      <w:pPr>
        <w:spacing w:line="360" w:lineRule="auto"/>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（2）平流式沉砂池进水廊道,池高2米,需修复池壁水上部份1米，面积为约260m² ；</w:t>
      </w:r>
    </w:p>
    <w:p>
      <w:pPr>
        <w:spacing w:line="360" w:lineRule="auto"/>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（3）三期1号反应池进水渠闸孔及进水口超越闸孔,渠箱高2米，需修复水上部份1米，面积为约300m² ；</w:t>
      </w:r>
    </w:p>
    <w:p>
      <w:pPr>
        <w:spacing w:line="360" w:lineRule="auto"/>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以上总面积约780m² 。</w:t>
      </w:r>
    </w:p>
    <w:p>
      <w:pPr>
        <w:spacing w:line="360" w:lineRule="auto"/>
        <w:ind w:firstLine="588" w:firstLineChars="21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2、厂区设备设施防腐包括一二三期厂区的各种阀门、泵体、各种管道及钢门、钢梯等，防腐总面积</w:t>
      </w:r>
      <w:r>
        <w:rPr>
          <w:rFonts w:hint="eastAsia" w:ascii="仿宋_GB2312" w:hAnsi="仿宋_GB2312" w:eastAsia="仿宋_GB2312" w:cs="仿宋_GB2312"/>
          <w:sz w:val="28"/>
          <w:szCs w:val="28"/>
          <w:lang w:val="en-US" w:eastAsia="zh-CN"/>
        </w:rPr>
        <w:t>3674</w:t>
      </w:r>
      <w:r>
        <w:rPr>
          <w:rFonts w:hint="eastAsia" w:ascii="仿宋_GB2312" w:hAnsi="仿宋_GB2312" w:eastAsia="仿宋_GB2312" w:cs="仿宋_GB2312"/>
          <w:sz w:val="28"/>
          <w:szCs w:val="28"/>
        </w:rPr>
        <w:t>m²。</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项目二：</w:t>
      </w:r>
    </w:p>
    <w:p>
      <w:p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沥滘分公司部分设备、支架及盖板进行防腐工程，4#生化池池面防腐工程量合计534.8 m²，二期6#二沉池盖板和盖板边框合计538.2m²，一二期提升泵房井口54个合计180.67m²，二期旋流沉砂池合计163.76m²，除臭系统外罩、阀门、外回流泵等其他零星防腐工程量工程量合计542.73m²，总工程量为1960.16m²。</w:t>
      </w:r>
    </w:p>
    <w:p>
      <w:pPr>
        <w:pStyle w:val="2"/>
        <w:spacing w:line="360" w:lineRule="auto"/>
        <w:ind w:firstLine="560" w:firstLineChars="200"/>
        <w:rPr>
          <w:rFonts w:ascii="仿宋_GB2312" w:hAnsi="仿宋_GB2312" w:cs="仿宋_GB2312"/>
          <w:color w:val="auto"/>
          <w:kern w:val="2"/>
          <w:sz w:val="28"/>
          <w:szCs w:val="28"/>
        </w:rPr>
      </w:pPr>
      <w:r>
        <w:rPr>
          <w:rFonts w:hint="eastAsia" w:ascii="仿宋_GB2312" w:hAnsi="仿宋_GB2312" w:cs="仿宋_GB2312"/>
          <w:color w:val="auto"/>
          <w:kern w:val="2"/>
          <w:sz w:val="28"/>
          <w:szCs w:val="28"/>
        </w:rPr>
        <w:t>项目三：</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猎德分公司一期生化池钢骨架防腐及安装盖板工程是对池面钢骨架进行除锈防腐和更换盖板，生化池曝气段盖板和钢骨架覆盖总面积约为10800m²，采用碳钢骨架+PC耐力板形式。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更换量为5600m² 。</w:t>
      </w:r>
    </w:p>
    <w:p>
      <w:p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1.报价单位须是中华人民共和国境内的法人或者其他组织，具有独立法人资格，能开具增值税专用发票。</w:t>
      </w:r>
    </w:p>
    <w:p>
      <w:pPr>
        <w:spacing w:line="360" w:lineRule="auto"/>
        <w:ind w:firstLine="560" w:firstLineChars="200"/>
        <w:rPr>
          <w:rFonts w:ascii="仿宋_GB2312" w:hAnsi="仿宋_GB2312" w:eastAsia="仿宋_GB2312" w:cs="仿宋_GB2312"/>
          <w:sz w:val="28"/>
          <w:szCs w:val="28"/>
          <w:u w:val="single"/>
          <w:lang w:val="zh-CN"/>
        </w:rPr>
      </w:pPr>
      <w:r>
        <w:rPr>
          <w:rFonts w:hint="eastAsia" w:ascii="仿宋_GB2312" w:hAnsi="仿宋_GB2312" w:eastAsia="仿宋_GB2312" w:cs="仿宋_GB2312"/>
          <w:sz w:val="28"/>
          <w:szCs w:val="28"/>
          <w:u w:val="single"/>
        </w:rPr>
        <w:t>2.同时</w:t>
      </w:r>
      <w:r>
        <w:rPr>
          <w:rFonts w:hint="eastAsia" w:ascii="仿宋_GB2312" w:hAnsi="仿宋_GB2312" w:eastAsia="仿宋_GB2312" w:cs="仿宋_GB2312"/>
          <w:sz w:val="28"/>
          <w:szCs w:val="28"/>
          <w:u w:val="single"/>
          <w:lang w:val="zh-CN"/>
        </w:rPr>
        <w:t>具</w:t>
      </w:r>
      <w:r>
        <w:rPr>
          <w:rFonts w:hint="eastAsia" w:ascii="仿宋_GB2312" w:hAnsi="仿宋_GB2312" w:eastAsia="仿宋_GB2312" w:cs="仿宋_GB2312"/>
          <w:sz w:val="28"/>
          <w:szCs w:val="28"/>
          <w:u w:val="single"/>
        </w:rPr>
        <w:t>有防水防腐保温工程</w:t>
      </w:r>
      <w:r>
        <w:rPr>
          <w:rFonts w:hint="eastAsia" w:ascii="仿宋_GB2312" w:hAnsi="仿宋_GB2312" w:eastAsia="仿宋_GB2312" w:cs="仿宋_GB2312"/>
          <w:color w:val="000000" w:themeColor="text1"/>
          <w:sz w:val="28"/>
          <w:szCs w:val="28"/>
          <w:u w:val="single"/>
          <w14:textFill>
            <w14:solidFill>
              <w14:schemeClr w14:val="tx1"/>
            </w14:solidFill>
          </w14:textFill>
        </w:rPr>
        <w:t>施工</w:t>
      </w:r>
      <w:r>
        <w:rPr>
          <w:rFonts w:hint="eastAsia" w:ascii="仿宋_GB2312" w:hAnsi="仿宋_GB2312" w:eastAsia="仿宋_GB2312" w:cs="仿宋_GB2312"/>
          <w:sz w:val="28"/>
          <w:szCs w:val="28"/>
          <w:u w:val="single"/>
        </w:rPr>
        <w:t>专业</w:t>
      </w:r>
      <w:r>
        <w:rPr>
          <w:rFonts w:hint="eastAsia" w:ascii="仿宋_GB2312" w:hAnsi="仿宋_GB2312" w:eastAsia="仿宋_GB2312" w:cs="仿宋_GB2312"/>
          <w:sz w:val="28"/>
          <w:szCs w:val="28"/>
          <w:u w:val="single"/>
          <w:lang w:val="zh-CN"/>
        </w:rPr>
        <w:t>承包</w:t>
      </w:r>
      <w:r>
        <w:rPr>
          <w:rFonts w:hint="eastAsia" w:ascii="仿宋_GB2312" w:hAnsi="仿宋_GB2312" w:eastAsia="仿宋_GB2312" w:cs="仿宋_GB2312"/>
          <w:sz w:val="28"/>
          <w:szCs w:val="28"/>
          <w:u w:val="single"/>
        </w:rPr>
        <w:t>二</w:t>
      </w:r>
      <w:r>
        <w:rPr>
          <w:rFonts w:hint="eastAsia" w:ascii="仿宋_GB2312" w:hAnsi="仿宋_GB2312" w:eastAsia="仿宋_GB2312" w:cs="仿宋_GB2312"/>
          <w:sz w:val="28"/>
          <w:szCs w:val="28"/>
          <w:u w:val="single"/>
          <w:lang w:val="zh-CN"/>
        </w:rPr>
        <w:t>级（或以上）级别资质，建设主管部门颁发且在有效期内的《安全生产许可证》。</w:t>
      </w:r>
    </w:p>
    <w:p>
      <w:pPr>
        <w:pStyle w:val="2"/>
        <w:ind w:firstLine="560" w:firstLineChars="200"/>
        <w:rPr>
          <w:rFonts w:ascii="仿宋_GB2312" w:hAnsi="仿宋_GB2312" w:eastAsia="仿宋_GB2312" w:cs="仿宋_GB2312"/>
          <w:sz w:val="28"/>
          <w:szCs w:val="28"/>
          <w:u w:val="single"/>
        </w:rPr>
      </w:pPr>
      <w:r>
        <w:rPr>
          <w:rFonts w:hint="eastAsia" w:ascii="仿宋_GB2312" w:hAnsi="仿宋_GB2312" w:cs="仿宋_GB2312"/>
          <w:sz w:val="28"/>
          <w:szCs w:val="28"/>
          <w:u w:val="single"/>
        </w:rPr>
        <w:t>3.报价单位拟担任本工程项目负责人和安全员的人员要求为：防腐相关专业二级（或以上级别）的注册建造师（或具备符合粤建市〔2010〕26号文规定的小型项目负责人资格），持有项目负责人安全生产考核合格证（B）类；专职安全人员须具有安全生产考核合格证（C类），项目负责人与专职安全人员不为同一人。</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.业绩要求：2018年1月1日至今，最少具有一项防腐工程业绩，提供合同复印件（包括但不限于项目名称、金额及实施内容、合同双方签字盖章、签订日期，并加盖单位公章）。</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.本项目不接收联合体报价。</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报价人</w:t>
      </w:r>
      <w:r>
        <w:rPr>
          <w:rFonts w:hint="eastAsia" w:ascii="仿宋_GB2312" w:hAnsi="仿宋_GB2312" w:eastAsia="仿宋_GB2312" w:cs="仿宋_GB2312"/>
          <w:sz w:val="28"/>
          <w:szCs w:val="28"/>
          <w:lang w:val="zh-CN"/>
        </w:rPr>
        <w:t>自行踏勘现场）：</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 现场踏勘(答疑会)集合时间：/</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 现场踏勘(答疑会)集合地点：/</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八、询价文件的获取：在2021年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分前，在广州市净水有限公司门户网站免费下载。</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九、询价响应文件递交时间：2021年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分至</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分；询价响应文件递交截止时间：2021年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color w:val="000000" w:themeColor="text1"/>
          <w:sz w:val="28"/>
          <w:szCs w:val="28"/>
          <w14:textFill>
            <w14:solidFill>
              <w14:schemeClr w14:val="tx1"/>
            </w14:solidFill>
          </w14:textFill>
        </w:rPr>
        <w:t>授权委托人递交响应文件时须附上在本单位近三个月社保记录，否则询价响应文件无效。</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十、询价响应文件送达地点：广州市净水有限公司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十一、评审时间：</w:t>
      </w:r>
      <w:r>
        <w:rPr>
          <w:rFonts w:hint="eastAsia" w:ascii="仿宋_GB2312" w:hAnsi="仿宋_GB2312" w:eastAsia="仿宋_GB2312" w:cs="仿宋_GB2312"/>
          <w:sz w:val="28"/>
          <w:szCs w:val="28"/>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8</w:t>
      </w:r>
      <w:bookmarkStart w:id="32" w:name="_GoBack"/>
      <w:bookmarkEnd w:id="32"/>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十二、评审地点：广州市净水有限公司</w:t>
      </w:r>
      <w:r>
        <w:rPr>
          <w:rFonts w:hint="eastAsia" w:ascii="仿宋_GB2312" w:hAnsi="仿宋_GB2312" w:eastAsia="仿宋_GB2312" w:cs="仿宋_GB2312"/>
          <w:sz w:val="28"/>
          <w:szCs w:val="28"/>
        </w:rPr>
        <w:t>六楼</w:t>
      </w:r>
      <w:r>
        <w:rPr>
          <w:rFonts w:hint="eastAsia" w:ascii="仿宋_GB2312" w:hAnsi="仿宋_GB2312" w:eastAsia="仿宋_GB2312" w:cs="仿宋_GB2312"/>
          <w:sz w:val="28"/>
          <w:szCs w:val="28"/>
          <w:lang w:val="zh-CN"/>
        </w:rPr>
        <w:t xml:space="preserve">招标办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十三、询价人的联系方式</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询价人：广州市净水有限公司</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联系地址：广州市天河区临江大道501号            </w:t>
      </w:r>
    </w:p>
    <w:p>
      <w:pPr>
        <w:snapToGrid w:val="0"/>
        <w:spacing w:line="360" w:lineRule="auto"/>
        <w:ind w:firstLine="630" w:firstLine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zh-CN"/>
        </w:rPr>
        <w:t>联系人：黄工             联系方式：</w:t>
      </w:r>
      <w:r>
        <w:rPr>
          <w:rFonts w:hint="eastAsia" w:ascii="仿宋_GB2312" w:hAnsi="仿宋_GB2312" w:eastAsia="仿宋_GB2312" w:cs="仿宋_GB2312"/>
          <w:sz w:val="28"/>
          <w:szCs w:val="28"/>
        </w:rPr>
        <w:t>020-</w:t>
      </w:r>
      <w:r>
        <w:rPr>
          <w:rFonts w:hint="eastAsia" w:ascii="仿宋_GB2312" w:hAnsi="仿宋_GB2312" w:eastAsia="仿宋_GB2312" w:cs="仿宋_GB2312"/>
          <w:sz w:val="28"/>
          <w:szCs w:val="28"/>
          <w:lang w:val="zh-CN"/>
        </w:rPr>
        <w:t>62315524</w:t>
      </w:r>
      <w:r>
        <w:rPr>
          <w:rFonts w:hint="eastAsia" w:ascii="仿宋_GB2312" w:hAnsi="仿宋_GB2312" w:eastAsia="仿宋_GB2312" w:cs="仿宋_GB2312"/>
          <w:kern w:val="0"/>
          <w:sz w:val="28"/>
          <w:szCs w:val="28"/>
        </w:rPr>
        <w:t xml:space="preserve">  </w:t>
      </w:r>
    </w:p>
    <w:p>
      <w:pPr>
        <w:spacing w:line="360" w:lineRule="auto"/>
        <w:ind w:firstLine="4340" w:firstLineChars="15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广州市净水有限公司</w:t>
      </w:r>
    </w:p>
    <w:p>
      <w:pPr>
        <w:spacing w:line="360" w:lineRule="auto"/>
        <w:ind w:firstLine="3920" w:firstLineChars="1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2021年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p>
    <w:p>
      <w:pPr>
        <w:spacing w:line="360" w:lineRule="auto"/>
        <w:rPr>
          <w:rFonts w:ascii="仿宋_GB2312" w:hAnsi="仿宋_GB2312"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6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0"/>
        <w:adjustRightInd w:val="0"/>
        <w:snapToGrid w:val="0"/>
        <w:spacing w:line="360" w:lineRule="auto"/>
        <w:rPr>
          <w:rFonts w:ascii="仿宋_GB2312" w:hAnsi="仿宋_GB2312" w:eastAsia="仿宋_GB2312" w:cs="仿宋_GB2312"/>
          <w:b/>
          <w:sz w:val="28"/>
          <w:szCs w:val="28"/>
          <w:lang w:val="zh-CN"/>
        </w:rPr>
      </w:pPr>
    </w:p>
    <w:p>
      <w:pPr>
        <w:pStyle w:val="10"/>
        <w:numPr>
          <w:ilvl w:val="0"/>
          <w:numId w:val="1"/>
        </w:numPr>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项目一：大坦沙分公司需修复一期平流沉砂池、格栅间及三期1号反应池进水渠闸孔及进水口超越闸孔, 以上池体由于内壁经过长时间污水腐蚀出现混凝土表层严重腐化导致脱落甚至钢筋腐蚀，所以需要进行加固修复。</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（1）一期平流沉砂池、格栅间位于一二期厂区内，其中格栅井高3.8-8.7米不等,需修复池壁水上部份1.5米及顶部，面积约220m²；</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（2）平流式沉砂池进水廊道,池高2米,需修复池壁水上部份1米，面积为约260m²；</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（3）三期1号反应池进水渠闸孔及进水口超越闸孔,渠箱高2米，需修复水上部份1米，面积为约300m²；</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以上总面积约780m²。</w:t>
      </w:r>
    </w:p>
    <w:p>
      <w:pPr>
        <w:numPr>
          <w:ilvl w:val="0"/>
          <w:numId w:val="2"/>
        </w:num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厂区设备设施防腐包括一二三期厂区的各种阀门、泵体、各种管道及钢门、钢梯等，防腐总面积暂定</w:t>
      </w:r>
      <w:r>
        <w:rPr>
          <w:rFonts w:hint="eastAsia" w:ascii="仿宋_GB2312" w:hAnsi="仿宋_GB2312" w:eastAsia="仿宋_GB2312" w:cs="仿宋_GB2312"/>
          <w:sz w:val="28"/>
          <w:szCs w:val="28"/>
          <w:lang w:val="en-US" w:eastAsia="zh-CN"/>
        </w:rPr>
        <w:t>3674</w:t>
      </w:r>
      <w:r>
        <w:rPr>
          <w:rFonts w:hint="eastAsia" w:ascii="仿宋_GB2312" w:hAnsi="仿宋_GB2312" w:eastAsia="仿宋_GB2312" w:cs="仿宋_GB2312"/>
          <w:sz w:val="28"/>
          <w:szCs w:val="28"/>
        </w:rPr>
        <w:t>m²。</w:t>
      </w:r>
    </w:p>
    <w:p>
      <w:pPr>
        <w:pStyle w:val="2"/>
        <w:ind w:firstLine="560" w:firstLineChars="200"/>
        <w:rPr>
          <w:rFonts w:ascii="仿宋_GB2312" w:hAnsi="仿宋_GB2312" w:cs="仿宋_GB2312"/>
          <w:color w:val="auto"/>
          <w:kern w:val="2"/>
          <w:sz w:val="28"/>
          <w:szCs w:val="28"/>
        </w:rPr>
      </w:pPr>
      <w:r>
        <w:rPr>
          <w:rFonts w:hint="eastAsia" w:ascii="仿宋_GB2312" w:hAnsi="仿宋_GB2312" w:cs="仿宋_GB2312"/>
          <w:color w:val="auto"/>
          <w:kern w:val="2"/>
          <w:sz w:val="28"/>
          <w:szCs w:val="28"/>
        </w:rPr>
        <w:t>工程量清单</w:t>
      </w:r>
    </w:p>
    <w:tbl>
      <w:tblPr>
        <w:tblStyle w:val="18"/>
        <w:tblW w:w="9213" w:type="dxa"/>
        <w:tblInd w:w="0" w:type="dxa"/>
        <w:tblLayout w:type="autofit"/>
        <w:tblCellMar>
          <w:top w:w="0" w:type="dxa"/>
          <w:left w:w="0" w:type="dxa"/>
          <w:bottom w:w="0" w:type="dxa"/>
          <w:right w:w="0" w:type="dxa"/>
        </w:tblCellMar>
      </w:tblPr>
      <w:tblGrid>
        <w:gridCol w:w="696"/>
        <w:gridCol w:w="1287"/>
        <w:gridCol w:w="5563"/>
        <w:gridCol w:w="617"/>
        <w:gridCol w:w="1050"/>
      </w:tblGrid>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序号</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项目名称</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项目特征描述</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单位</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工程数量</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一、二期细格栅间修复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1.喷射混凝土 网喷</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2.卫盾特种水泥砂浆3cm R3</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3.墙面钉(挂)钢(铁)网 铁丝网</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4.墙面 人工抹平 墙面设计钉(挂)网者，钉(挂)网部分的墙面 人工*1.2</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5.高压水枪清洗墙面、人工铲除墙面人工 10工日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6.打磨外露锈蚀的钢筋人工 20工日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7.在洞内、地下室内、库内或暗室内进行施工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219.95</w:t>
            </w: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4.399</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一、二期平流式沉砂池进水廊道及出水口修复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1.平面抹灰铲除 砖、混凝土面 一般抹灰</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2.喷射混凝土 网喷</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3.卫盾特种水泥砂浆3cm R3</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4.墙面钉(挂)钢(铁)网 铁丝网</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5.墙面 人工抹平 墙面设计钉(挂)网者，钉(挂)网部分的墙面 人工*1.2</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6.高压水枪清洗墙面人工 10工日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7.打磨外露锈蚀的钢筋人工 20工日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8.在洞内、地下室内、库内或暗室内进行施工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259.4</w:t>
            </w: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5.18</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三期2#反应池进水渠闸孔及进水口超越闸孔修复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防腐砂浆面层修复</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1.平面抹灰铲除 砖、混凝土面 一般抹灰</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2.喷射混凝土 网喷</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3.卫盾特种水泥砂浆3cm R3</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4.墙面钉(挂)钢(铁)网 铁丝网</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5.墙面 人工抹平 墙面设计钉(挂)网者，钉(挂)网部分的墙面 人工*1.2</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6.高压水枪清洗墙面人工 15工日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7.打磨外露锈蚀的钢筋人工 20工日</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8.在洞内、地下室内、库内或暗室内进行施工</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284.84</w:t>
            </w: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余方弃置</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1.拆除废料外运 人工装自卸汽车运 3km内 实际运距(km):20</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m3</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5.6968</w:t>
            </w:r>
          </w:p>
        </w:tc>
      </w:tr>
      <w:tr>
        <w:tblPrEx>
          <w:tblCellMar>
            <w:top w:w="0" w:type="dxa"/>
            <w:left w:w="0" w:type="dxa"/>
            <w:bottom w:w="0" w:type="dxa"/>
            <w:right w:w="0" w:type="dxa"/>
          </w:tblCellMar>
        </w:tblPrEx>
        <w:trPr>
          <w:trHeight w:val="454" w:hRule="atLeast"/>
        </w:trPr>
        <w:tc>
          <w:tcPr>
            <w:tcW w:w="7546" w:type="dxa"/>
            <w:gridSpan w:val="3"/>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厂区钢管防腐</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128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管道防腐蚀</w:t>
            </w:r>
          </w:p>
        </w:tc>
        <w:tc>
          <w:tcPr>
            <w:tcW w:w="556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1.动力工具除锈 金属面 轻锈</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2.管道 红丹环氧防锈底漆 一遍 单价*0.5</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3.管道 聚氨酯双组份漆 两遍</w:t>
            </w:r>
          </w:p>
        </w:tc>
        <w:tc>
          <w:tcPr>
            <w:tcW w:w="6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m2</w:t>
            </w:r>
          </w:p>
        </w:tc>
        <w:tc>
          <w:tcPr>
            <w:tcW w:w="1050"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3674</w:t>
            </w:r>
          </w:p>
        </w:tc>
      </w:tr>
    </w:tbl>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项目二：沥滘分公司由于部分设备、支架及盖板已经出现不同程度的腐蚀和生锈，为了延长设备及支架的使用寿命，对部分设备、支架及盖板进行防腐工程，工程量为1960.16m²。</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包括但不限于以下内容：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（一）4#生化池池面68个洞口459.4m²，角铁总长：400X2=800X0.1=80m²，</w:t>
      </w:r>
    </w:p>
    <w:p>
      <w:pPr>
        <w:autoSpaceDE w:val="0"/>
        <w:autoSpaceDN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防腐工程量合计534.8m²。</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（二）厂区设备、盖板等零星防腐工程量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1.二期6#二沉池部分盖板</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（1）角铁150个，共22.5m²。</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（2）盖板181个，共488.7m²。</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（3）角铁框270米，共27m²。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小计：538.20m²。</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2.一二期提升泵房井口54个，共180.67m² 。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小计：180.67m²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3.二期旋流沉砂池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天面盖板分别：53.76m² ；4.48m² ；3.6m²；7.6m² ；12.8m²。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井口角铁分别：4.64m² ；0.9m² ；1.3m² ；0.4m²。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井口角铁8个，共10m²。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管支架15个，共2.4m²。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下面井口盖板分别：22. 88m² ；33.6m²。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井口角铁分别：4.2m² ；1.2m²。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小计：163.76m²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合计：882.63m² 。</w:t>
      </w:r>
    </w:p>
    <w:p>
      <w:pPr>
        <w:autoSpaceDE w:val="0"/>
        <w:autoSpaceDN w:val="0"/>
        <w:snapToGrid w:val="0"/>
        <w:spacing w:line="360" w:lineRule="auto"/>
        <w:ind w:firstLine="560" w:firstLineChars="200"/>
        <w:rPr>
          <w:rFonts w:ascii="仿宋" w:hAnsi="仿宋" w:eastAsia="仿宋" w:cs="仿宋_GB2312"/>
          <w:sz w:val="28"/>
          <w:szCs w:val="28"/>
        </w:rPr>
      </w:pPr>
      <w:r>
        <w:rPr>
          <w:rFonts w:hint="eastAsia" w:ascii="仿宋_GB2312" w:hAnsi="仿宋_GB2312" w:eastAsia="仿宋_GB2312" w:cs="仿宋_GB2312"/>
          <w:sz w:val="28"/>
          <w:szCs w:val="28"/>
        </w:rPr>
        <w:t>（三）</w:t>
      </w:r>
      <w:r>
        <w:rPr>
          <w:rFonts w:hint="eastAsia" w:ascii="仿宋" w:hAnsi="仿宋" w:eastAsia="仿宋" w:cs="仿宋_GB2312"/>
          <w:sz w:val="28"/>
          <w:szCs w:val="28"/>
        </w:rPr>
        <w:t>除臭系统外罩、阀门、外回流泵防腐工程量</w:t>
      </w:r>
    </w:p>
    <w:p>
      <w:pPr>
        <w:autoSpaceDE w:val="0"/>
        <w:autoSpaceDN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4#生化池除臭系统外罩（一大两小）：251.63</w:t>
      </w:r>
      <w:r>
        <w:rPr>
          <w:rFonts w:hint="eastAsia" w:ascii="仿宋_GB2312" w:hAnsi="仿宋_GB2312" w:eastAsia="仿宋_GB2312" w:cs="仿宋_GB2312"/>
          <w:sz w:val="28"/>
          <w:szCs w:val="28"/>
        </w:rPr>
        <w:t xml:space="preserve">m²。 </w:t>
      </w:r>
    </w:p>
    <w:p>
      <w:pPr>
        <w:autoSpaceDE w:val="0"/>
        <w:autoSpaceDN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浓缩池除臭系统外罩（一大两小）：59.8</w:t>
      </w:r>
      <w:r>
        <w:rPr>
          <w:rFonts w:hint="eastAsia" w:ascii="仿宋_GB2312" w:hAnsi="仿宋_GB2312" w:eastAsia="仿宋_GB2312" w:cs="仿宋_GB2312"/>
          <w:sz w:val="28"/>
          <w:szCs w:val="28"/>
        </w:rPr>
        <w:t xml:space="preserve">m²。 </w:t>
      </w:r>
    </w:p>
    <w:p>
      <w:pPr>
        <w:autoSpaceDE w:val="0"/>
        <w:autoSpaceDN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阀门44个：167.3</w:t>
      </w:r>
      <w:r>
        <w:rPr>
          <w:rFonts w:hint="eastAsia" w:ascii="仿宋_GB2312" w:hAnsi="仿宋_GB2312" w:eastAsia="仿宋_GB2312" w:cs="仿宋_GB2312"/>
          <w:sz w:val="28"/>
          <w:szCs w:val="28"/>
        </w:rPr>
        <w:t xml:space="preserve">m²。 </w:t>
      </w:r>
    </w:p>
    <w:p>
      <w:pPr>
        <w:autoSpaceDE w:val="0"/>
        <w:autoSpaceDN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外回流泵8台：64</w:t>
      </w:r>
      <w:r>
        <w:rPr>
          <w:rFonts w:hint="eastAsia" w:ascii="仿宋_GB2312" w:hAnsi="仿宋_GB2312" w:eastAsia="仿宋_GB2312" w:cs="仿宋_GB2312"/>
          <w:sz w:val="28"/>
          <w:szCs w:val="28"/>
        </w:rPr>
        <w:t xml:space="preserve">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rPr>
        <w:t>合计：542.73</w:t>
      </w:r>
      <w:r>
        <w:rPr>
          <w:rFonts w:hint="eastAsia" w:ascii="仿宋_GB2312" w:hAnsi="仿宋_GB2312" w:eastAsia="仿宋_GB2312" w:cs="仿宋_GB2312"/>
          <w:sz w:val="28"/>
          <w:szCs w:val="28"/>
        </w:rPr>
        <w:t>m² 。</w:t>
      </w:r>
    </w:p>
    <w:p>
      <w:pPr>
        <w:autoSpaceDE w:val="0"/>
        <w:autoSpaceDN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每台大修内容，以下内容只是维修，不包备件提供。</w:t>
      </w:r>
    </w:p>
    <w:tbl>
      <w:tblPr>
        <w:tblStyle w:val="18"/>
        <w:tblW w:w="0" w:type="auto"/>
        <w:jc w:val="center"/>
        <w:tblLayout w:type="fixed"/>
        <w:tblCellMar>
          <w:top w:w="0" w:type="dxa"/>
          <w:left w:w="108" w:type="dxa"/>
          <w:bottom w:w="0" w:type="dxa"/>
          <w:right w:w="108" w:type="dxa"/>
        </w:tblCellMar>
      </w:tblPr>
      <w:tblGrid>
        <w:gridCol w:w="1021"/>
        <w:gridCol w:w="7670"/>
      </w:tblGrid>
      <w:tr>
        <w:tblPrEx>
          <w:tblCellMar>
            <w:top w:w="0" w:type="dxa"/>
            <w:left w:w="108" w:type="dxa"/>
            <w:bottom w:w="0" w:type="dxa"/>
            <w:right w:w="108" w:type="dxa"/>
          </w:tblCellMar>
        </w:tblPrEx>
        <w:trPr>
          <w:trHeight w:val="454"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670" w:type="dxa"/>
            <w:tcBorders>
              <w:top w:val="single" w:color="auto" w:sz="4" w:space="0"/>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内容</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670" w:type="dxa"/>
            <w:tcBorders>
              <w:top w:val="nil"/>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盖板、设备、支架动力工具除锈</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670" w:type="dxa"/>
            <w:tcBorders>
              <w:top w:val="nil"/>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底漆两遍</w:t>
            </w:r>
          </w:p>
        </w:tc>
      </w:tr>
      <w:tr>
        <w:tblPrEx>
          <w:tblCellMar>
            <w:top w:w="0" w:type="dxa"/>
            <w:left w:w="108" w:type="dxa"/>
            <w:bottom w:w="0" w:type="dxa"/>
            <w:right w:w="108" w:type="dxa"/>
          </w:tblCellMar>
        </w:tblPrEx>
        <w:trPr>
          <w:trHeight w:val="454" w:hRule="atLeast"/>
          <w:jc w:val="center"/>
        </w:trPr>
        <w:tc>
          <w:tcPr>
            <w:tcW w:w="1021" w:type="dxa"/>
            <w:tcBorders>
              <w:top w:val="nil"/>
              <w:left w:val="single" w:color="auto" w:sz="4" w:space="0"/>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670" w:type="dxa"/>
            <w:tcBorders>
              <w:top w:val="nil"/>
              <w:left w:val="nil"/>
              <w:bottom w:val="single" w:color="auto" w:sz="4" w:space="0"/>
              <w:right w:val="single" w:color="auto" w:sz="4" w:space="0"/>
            </w:tcBorders>
            <w:vAlign w:val="center"/>
          </w:tcPr>
          <w:p>
            <w:pPr>
              <w:autoSpaceDE w:val="0"/>
              <w:autoSpaceDN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面漆两面</w:t>
            </w:r>
          </w:p>
        </w:tc>
      </w:tr>
    </w:tbl>
    <w:p>
      <w:pPr>
        <w:autoSpaceDE w:val="0"/>
        <w:autoSpaceDN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工程量清单</w:t>
      </w:r>
    </w:p>
    <w:tbl>
      <w:tblPr>
        <w:tblStyle w:val="18"/>
        <w:tblW w:w="0" w:type="auto"/>
        <w:jc w:val="center"/>
        <w:tblLayout w:type="fixed"/>
        <w:tblCellMar>
          <w:top w:w="0" w:type="dxa"/>
          <w:left w:w="108" w:type="dxa"/>
          <w:bottom w:w="0" w:type="dxa"/>
          <w:right w:w="108" w:type="dxa"/>
        </w:tblCellMar>
      </w:tblPr>
      <w:tblGrid>
        <w:gridCol w:w="947"/>
        <w:gridCol w:w="5203"/>
        <w:gridCol w:w="984"/>
        <w:gridCol w:w="1561"/>
      </w:tblGrid>
      <w:tr>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名称</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动力工具除锈 金属面 中锈</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宋体" w:hAnsi="宋体" w:cs="宋体"/>
                <w:color w:val="000000"/>
                <w:sz w:val="24"/>
                <w:szCs w:val="24"/>
              </w:rPr>
              <w:t>10</w:t>
            </w:r>
            <w:r>
              <w:rPr>
                <w:rFonts w:hint="eastAsia" w:ascii="仿宋_GB2312" w:hAnsi="仿宋_GB2312" w:eastAsia="仿宋_GB2312" w:cs="仿宋_GB2312"/>
                <w:sz w:val="28"/>
                <w:szCs w:val="28"/>
              </w:rPr>
              <w:t>m²</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196.016</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设备 红丹环氧防锈漆、环氧磁漆 两遍</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宋体" w:hAnsi="宋体" w:cs="宋体"/>
                <w:color w:val="000000"/>
                <w:sz w:val="24"/>
                <w:szCs w:val="24"/>
              </w:rPr>
              <w:t>10</w:t>
            </w:r>
            <w:r>
              <w:rPr>
                <w:rFonts w:hint="eastAsia" w:ascii="仿宋_GB2312" w:hAnsi="仿宋_GB2312" w:eastAsia="仿宋_GB2312" w:cs="仿宋_GB2312"/>
                <w:sz w:val="28"/>
                <w:szCs w:val="28"/>
              </w:rPr>
              <w:t>m²</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196.016</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聚氨酯面漆</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宋体" w:hAnsi="宋体" w:cs="宋体"/>
                <w:color w:val="000000"/>
                <w:sz w:val="24"/>
                <w:szCs w:val="24"/>
              </w:rPr>
              <w:t>kg</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333.2272</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设备 红丹环氧防锈漆、环氧磁漆 每增一遍</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宋体" w:hAnsi="宋体" w:cs="宋体"/>
                <w:color w:val="000000"/>
                <w:sz w:val="24"/>
                <w:szCs w:val="24"/>
              </w:rPr>
              <w:t>10</w:t>
            </w:r>
            <w:r>
              <w:rPr>
                <w:rFonts w:hint="eastAsia" w:ascii="仿宋_GB2312" w:hAnsi="仿宋_GB2312" w:eastAsia="仿宋_GB2312" w:cs="仿宋_GB2312"/>
                <w:sz w:val="28"/>
                <w:szCs w:val="28"/>
              </w:rPr>
              <w:t>m²</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196.016</w:t>
            </w:r>
          </w:p>
        </w:tc>
      </w:tr>
      <w:tr>
        <w:tblPrEx>
          <w:tblCellMar>
            <w:top w:w="0" w:type="dxa"/>
            <w:left w:w="108" w:type="dxa"/>
            <w:bottom w:w="0" w:type="dxa"/>
            <w:right w:w="108" w:type="dxa"/>
          </w:tblCellMar>
        </w:tblPrEx>
        <w:trPr>
          <w:trHeight w:val="454" w:hRule="atLeast"/>
          <w:jc w:val="center"/>
        </w:trPr>
        <w:tc>
          <w:tcPr>
            <w:tcW w:w="94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520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环氧红丹防锈漆</w:t>
            </w:r>
          </w:p>
        </w:tc>
        <w:tc>
          <w:tcPr>
            <w:tcW w:w="98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kg</w:t>
            </w:r>
          </w:p>
        </w:tc>
        <w:tc>
          <w:tcPr>
            <w:tcW w:w="156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678.21536</w:t>
            </w:r>
          </w:p>
        </w:tc>
      </w:tr>
    </w:tbl>
    <w:p>
      <w:pPr>
        <w:pStyle w:val="2"/>
        <w:rPr>
          <w:rFonts w:ascii="仿宋_GB2312" w:hAnsi="仿宋_GB2312" w:cs="仿宋_GB2312"/>
        </w:rPr>
      </w:pP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项目三：猎德分公司一期生化池钢骨架防腐及安装盖板工程是对池面钢骨架进行除锈防腐和更换盖板，生化池曝气段盖板和钢骨架覆盖总面积约为10800m² ，采用碳钢骨架+PC耐力板形式。</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由于加盖形式是采用反吊盖板形式，碳钢骨架一部分在盖板外面、一部分在盖板内部，在盖板内部部分，长期受体内气体侵蚀，部分防腐涂层出现脱落。本大修项目对池面4725m² 的钢骨架全面防腐防护，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需更换量为5600m² 。</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耐力板更换维修方案：除锈防腐前，将原有平铺盖板全部拆卸；待钢骨架除锈防腐工作完成以后，将盖板安装为弧形，重新用不锈钢螺丝钉、檩条进行固定和连接；对于损耗无法继续使用的，更换新盖板 。</w:t>
      </w:r>
    </w:p>
    <w:p>
      <w:pPr>
        <w:pStyle w:val="2"/>
        <w:rPr>
          <w:rFonts w:ascii="仿宋_GB2312" w:hAnsi="仿宋_GB2312" w:cs="仿宋_GB2312"/>
        </w:rPr>
      </w:pPr>
      <w:r>
        <w:rPr>
          <w:rFonts w:hint="eastAsia" w:ascii="仿宋_GB2312" w:hAnsi="仿宋_GB2312" w:cs="仿宋_GB2312"/>
          <w:sz w:val="28"/>
          <w:szCs w:val="28"/>
        </w:rPr>
        <w:t>工程量清单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3005"/>
        <w:gridCol w:w="3845"/>
        <w:gridCol w:w="71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序号</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项目名称</w:t>
            </w:r>
          </w:p>
        </w:tc>
        <w:tc>
          <w:tcPr>
            <w:tcW w:w="384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项目特征描述</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单位</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PC耐力板拆除</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1.原有PC耐力板拆除</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8"/>
                <w:szCs w:val="28"/>
              </w:rPr>
              <w:t>m²</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拆除废料外运</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1.运距:20Km</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2.运输方式:人工从池体搬运至指定堆放地点，人工装自卸汽车外运</w:t>
            </w:r>
          </w:p>
        </w:tc>
        <w:tc>
          <w:tcPr>
            <w:tcW w:w="716"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8"/>
                <w:szCs w:val="28"/>
              </w:rPr>
              <w:t>m³</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3</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PC耐力板安装</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1.规格:PC耐力板</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2.型号：4mm</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8"/>
                <w:szCs w:val="28"/>
              </w:rPr>
              <w:t>m²</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原有骨架上方新增檩条</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1.钢材品种、规格:碳钢方管 40*20*2mm</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2.金属结构场内运输</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宋体" w:hAnsi="宋体" w:cs="宋体"/>
                <w:color w:val="000000"/>
                <w:kern w:val="0"/>
                <w:sz w:val="24"/>
                <w:szCs w:val="24"/>
                <w:lang w:bidi="ar"/>
              </w:rPr>
              <w:t>t</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金属钢骨架刷油</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highlight w:val="none"/>
                <w:lang w:bidi="ar"/>
              </w:rPr>
              <w:t>1.</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磨光机机械打磨除锈 管道 外壁</w:t>
            </w:r>
            <w:r>
              <w:rPr>
                <w:rFonts w:hint="eastAsia" w:ascii="仿宋_GB2312" w:hAnsi="仿宋_GB2312" w:eastAsia="仿宋_GB2312" w:cs="仿宋_GB2312"/>
                <w:color w:val="000000"/>
                <w:kern w:val="0"/>
                <w:sz w:val="24"/>
                <w:szCs w:val="24"/>
                <w:highlight w:val="none"/>
                <w:lang w:bidi="ar"/>
              </w:rPr>
              <w:t xml:space="preserve">                    </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 xml:space="preserve">2.喷无机富锌底漆 一遍         </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 xml:space="preserve">3.机喷环氧富锌漆 防锈漆一遍                     </w:t>
            </w:r>
            <w:r>
              <w:rPr>
                <w:rFonts w:hint="eastAsia" w:ascii="仿宋_GB2312" w:hAnsi="仿宋_GB2312" w:eastAsia="仿宋_GB2312" w:cs="仿宋_GB2312"/>
                <w:color w:val="000000"/>
                <w:kern w:val="0"/>
                <w:sz w:val="24"/>
                <w:szCs w:val="24"/>
                <w:highlight w:val="none"/>
                <w:lang w:bidi="ar"/>
              </w:rPr>
              <w:br w:type="textWrapping"/>
            </w:r>
            <w:r>
              <w:rPr>
                <w:rFonts w:hint="eastAsia" w:ascii="仿宋_GB2312" w:hAnsi="仿宋_GB2312" w:eastAsia="仿宋_GB2312" w:cs="仿宋_GB2312"/>
                <w:color w:val="000000"/>
                <w:kern w:val="0"/>
                <w:sz w:val="24"/>
                <w:szCs w:val="24"/>
                <w:highlight w:val="none"/>
                <w:lang w:bidi="ar"/>
              </w:rPr>
              <w:t>4.喷</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过氯乙烯防腐漆</w:t>
            </w:r>
            <w:r>
              <w:rPr>
                <w:rFonts w:hint="eastAsia" w:ascii="仿宋_GB2312" w:hAnsi="仿宋_GB2312" w:eastAsia="仿宋_GB2312" w:cs="仿宋_GB2312"/>
                <w:color w:val="000000"/>
                <w:kern w:val="0"/>
                <w:sz w:val="24"/>
                <w:szCs w:val="24"/>
                <w:highlight w:val="none"/>
                <w:lang w:bidi="ar"/>
              </w:rPr>
              <w:t>(封闭漆)一遍</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8"/>
                <w:szCs w:val="28"/>
              </w:rPr>
              <w:t>m²</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4725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爬梯预留孔洞制作、安装</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1.名称:爬梯预留孔制作、安装</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2.规格:700*700</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个</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7</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取样口制作、安装</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1.名称:取样观察口制作、安装</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2.规格:400*400</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个</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w:t>
            </w:r>
          </w:p>
        </w:tc>
        <w:tc>
          <w:tcPr>
            <w:tcW w:w="3005"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进风管预留孔洞制作、安装</w:t>
            </w:r>
          </w:p>
        </w:tc>
        <w:tc>
          <w:tcPr>
            <w:tcW w:w="3845" w:type="dxa"/>
            <w:vAlign w:val="center"/>
          </w:tcPr>
          <w:p>
            <w:pPr>
              <w:widowControl/>
              <w:jc w:val="left"/>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1.名称:进风管预留孔洞制作、安装</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2.规格:500*500</w:t>
            </w:r>
          </w:p>
        </w:tc>
        <w:tc>
          <w:tcPr>
            <w:tcW w:w="716"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个</w:t>
            </w:r>
          </w:p>
        </w:tc>
        <w:tc>
          <w:tcPr>
            <w:tcW w:w="1187" w:type="dxa"/>
            <w:vAlign w:val="center"/>
          </w:tcPr>
          <w:p>
            <w:pPr>
              <w:widowControl/>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28</w:t>
            </w:r>
          </w:p>
        </w:tc>
      </w:tr>
    </w:tbl>
    <w:p>
      <w:pPr>
        <w:pStyle w:val="2"/>
        <w:rPr>
          <w:rFonts w:ascii="仿宋_GB2312" w:hAnsi="仿宋_GB2312" w:cs="仿宋_GB2312"/>
          <w:color w:val="auto"/>
          <w:kern w:val="2"/>
          <w:sz w:val="28"/>
          <w:szCs w:val="28"/>
        </w:rPr>
      </w:pPr>
    </w:p>
    <w:p>
      <w:pPr>
        <w:pStyle w:val="10"/>
        <w:numPr>
          <w:ilvl w:val="0"/>
          <w:numId w:val="3"/>
        </w:numPr>
        <w:adjustRightInd w:val="0"/>
        <w:snapToGrid w:val="0"/>
        <w:spacing w:line="360" w:lineRule="auto"/>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项目技术要求</w:t>
      </w:r>
    </w:p>
    <w:p>
      <w:pPr>
        <w:pStyle w:val="10"/>
        <w:adjustRightInd w:val="0"/>
        <w:snapToGrid w:val="0"/>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项目一</w:t>
      </w:r>
      <w:r>
        <w:rPr>
          <w:rFonts w:hint="eastAsia" w:ascii="仿宋_GB2312" w:hAnsi="仿宋_GB2312" w:eastAsia="仿宋_GB2312" w:cs="仿宋_GB2312"/>
          <w:sz w:val="28"/>
          <w:szCs w:val="28"/>
        </w:rPr>
        <w:t>：大坦沙分公司</w:t>
      </w:r>
    </w:p>
    <w:p>
      <w:pPr>
        <w:autoSpaceDE w:val="0"/>
        <w:autoSpaceDN w:val="0"/>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池体修复部分</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（1）池内搭建综合钢脚手架；</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（2）超高压喷水至表面无悬挂物；</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（3）墙面表面人工打磨铲除处理,</w:t>
      </w:r>
      <w:r>
        <w:rPr>
          <w:rFonts w:hint="eastAsia" w:ascii="仿宋_GB2312" w:hAnsi="仿宋_GB2312" w:eastAsia="仿宋_GB2312" w:cs="仿宋_GB2312"/>
          <w:bCs/>
          <w:color w:val="000000"/>
          <w:sz w:val="28"/>
          <w:szCs w:val="28"/>
        </w:rPr>
        <w:t xml:space="preserve"> 如钢筋外露</w:t>
      </w:r>
      <w:r>
        <w:rPr>
          <w:rFonts w:hint="eastAsia" w:ascii="仿宋_GB2312" w:hAnsi="仿宋_GB2312" w:eastAsia="仿宋_GB2312" w:cs="仿宋_GB2312"/>
          <w:sz w:val="28"/>
          <w:szCs w:val="28"/>
          <w:lang w:val="zh-CN"/>
        </w:rPr>
        <w:t>的需铲除表面锈蚀；</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（4）墙面钉(挂)钢(铁)丝网；</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（5）池顶及池壁</w:t>
      </w:r>
      <w:r>
        <w:rPr>
          <w:rFonts w:hint="eastAsia" w:ascii="仿宋_GB2312" w:hAnsi="仿宋_GB2312" w:eastAsia="仿宋_GB2312" w:cs="仿宋_GB2312"/>
          <w:sz w:val="28"/>
          <w:szCs w:val="28"/>
        </w:rPr>
        <w:t>使用</w:t>
      </w:r>
      <w:r>
        <w:rPr>
          <w:rFonts w:hint="eastAsia" w:ascii="仿宋_GB2312" w:hAnsi="仿宋_GB2312" w:eastAsia="仿宋_GB2312" w:cs="仿宋_GB2312"/>
          <w:bCs/>
          <w:color w:val="000000"/>
          <w:sz w:val="28"/>
          <w:szCs w:val="28"/>
        </w:rPr>
        <w:t>卫盾R3防腐特种砂浆喷射及人工抹平等</w:t>
      </w:r>
      <w:r>
        <w:rPr>
          <w:rFonts w:hint="eastAsia" w:ascii="仿宋_GB2312" w:hAnsi="仿宋_GB2312" w:eastAsia="仿宋_GB2312" w:cs="仿宋_GB2312"/>
          <w:sz w:val="28"/>
          <w:szCs w:val="28"/>
          <w:lang w:val="zh-CN"/>
        </w:rPr>
        <w:t xml:space="preserve">加固修复； </w:t>
      </w:r>
    </w:p>
    <w:p>
      <w:pPr>
        <w:pStyle w:val="2"/>
        <w:ind w:firstLine="560" w:firstLineChars="200"/>
        <w:rPr>
          <w:rFonts w:ascii="仿宋_GB2312" w:hAnsi="仿宋_GB2312" w:cs="仿宋_GB2312"/>
          <w:lang w:val="zh-CN"/>
        </w:rPr>
      </w:pPr>
      <w:r>
        <w:rPr>
          <w:rFonts w:hint="eastAsia" w:ascii="仿宋_GB2312" w:hAnsi="仿宋_GB2312" w:cs="仿宋_GB2312"/>
          <w:sz w:val="28"/>
          <w:szCs w:val="28"/>
          <w:lang w:val="zh-CN"/>
        </w:rPr>
        <w:t>（</w:t>
      </w:r>
      <w:r>
        <w:rPr>
          <w:rFonts w:hint="eastAsia" w:ascii="仿宋_GB2312" w:hAnsi="仿宋_GB2312" w:cs="仿宋_GB2312"/>
          <w:sz w:val="28"/>
          <w:szCs w:val="28"/>
        </w:rPr>
        <w:t>6</w:t>
      </w:r>
      <w:r>
        <w:rPr>
          <w:rFonts w:hint="eastAsia" w:ascii="仿宋_GB2312" w:hAnsi="仿宋_GB2312" w:cs="仿宋_GB2312"/>
          <w:sz w:val="28"/>
          <w:szCs w:val="28"/>
          <w:lang w:val="zh-CN"/>
        </w:rPr>
        <w:t>）池顶及池壁</w:t>
      </w:r>
      <w:r>
        <w:rPr>
          <w:rFonts w:hint="eastAsia" w:ascii="仿宋_GB2312" w:hAnsi="仿宋_GB2312" w:cs="仿宋_GB2312"/>
          <w:bCs/>
          <w:sz w:val="28"/>
          <w:szCs w:val="28"/>
        </w:rPr>
        <w:t>砂浆喷射厚度不少于2CM；</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2.设备设施防腐部分（高层施工需搭拆脚手架）</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（1）金属面动力工具除锈打磨铲除原漆面至表面光滑； </w:t>
      </w:r>
    </w:p>
    <w:p>
      <w:pPr>
        <w:autoSpaceDE w:val="0"/>
        <w:autoSpaceDN w:val="0"/>
        <w:adjustRightInd w:val="0"/>
        <w:spacing w:line="300" w:lineRule="atLeast"/>
        <w:ind w:firstLine="560" w:firstLineChars="200"/>
        <w:rPr>
          <w:rFonts w:ascii="仿宋_GB2312" w:hAnsi="仿宋_GB2312" w:eastAsia="仿宋_GB2312" w:cs="仿宋_GB2312"/>
          <w:kern w:val="0"/>
          <w:sz w:val="28"/>
          <w:szCs w:val="28"/>
          <w:lang w:val="zh-CN"/>
        </w:rPr>
      </w:pP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lang w:val="zh-CN"/>
        </w:rPr>
        <w:t>2）红丹环氧防锈底漆一遍；</w:t>
      </w:r>
    </w:p>
    <w:p>
      <w:pPr>
        <w:autoSpaceDE w:val="0"/>
        <w:autoSpaceDN w:val="0"/>
        <w:adjustRightInd w:val="0"/>
        <w:spacing w:line="300" w:lineRule="atLeast"/>
        <w:ind w:firstLine="560" w:firstLineChars="200"/>
        <w:rPr>
          <w:rFonts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（3）聚氨酯双组份漆两遍；</w:t>
      </w:r>
    </w:p>
    <w:p>
      <w:pPr>
        <w:pStyle w:val="2"/>
        <w:ind w:firstLine="560" w:firstLineChars="200"/>
        <w:rPr>
          <w:rFonts w:ascii="仿宋_GB2312" w:hAnsi="仿宋_GB2312" w:cs="仿宋_GB2312"/>
          <w:sz w:val="28"/>
          <w:szCs w:val="28"/>
        </w:rPr>
      </w:pPr>
      <w:r>
        <w:rPr>
          <w:rFonts w:hint="eastAsia" w:ascii="仿宋_GB2312" w:hAnsi="仿宋_GB2312" w:cs="仿宋_GB2312"/>
          <w:sz w:val="28"/>
          <w:szCs w:val="28"/>
          <w:lang w:val="zh-CN"/>
        </w:rPr>
        <w:t>（</w:t>
      </w:r>
      <w:r>
        <w:rPr>
          <w:rFonts w:hint="eastAsia" w:ascii="仿宋_GB2312" w:hAnsi="仿宋_GB2312" w:cs="仿宋_GB2312"/>
          <w:sz w:val="28"/>
          <w:szCs w:val="28"/>
        </w:rPr>
        <w:t>4</w:t>
      </w:r>
      <w:r>
        <w:rPr>
          <w:rFonts w:hint="eastAsia" w:ascii="仿宋_GB2312" w:hAnsi="仿宋_GB2312" w:cs="仿宋_GB2312"/>
          <w:sz w:val="28"/>
          <w:szCs w:val="28"/>
          <w:lang w:val="zh-CN"/>
        </w:rPr>
        <w:t>）</w:t>
      </w:r>
      <w:r>
        <w:rPr>
          <w:rFonts w:hint="eastAsia" w:ascii="仿宋_GB2312" w:hAnsi="仿宋_GB2312" w:cs="仿宋_GB2312"/>
          <w:sz w:val="28"/>
          <w:szCs w:val="28"/>
        </w:rPr>
        <w:t>底漆、面漆总厚度不少于270μm；</w:t>
      </w:r>
    </w:p>
    <w:p>
      <w:pPr>
        <w:pStyle w:val="2"/>
        <w:ind w:firstLine="560" w:firstLineChars="200"/>
        <w:rPr>
          <w:rFonts w:ascii="仿宋_GB2312" w:hAnsi="仿宋_GB2312" w:cs="仿宋_GB2312"/>
          <w:sz w:val="28"/>
          <w:szCs w:val="28"/>
          <w:lang w:val="zh-CN"/>
        </w:rPr>
      </w:pPr>
      <w:r>
        <w:rPr>
          <w:rFonts w:hint="eastAsia" w:ascii="仿宋_GB2312" w:hAnsi="仿宋_GB2312" w:cs="仿宋_GB2312"/>
          <w:sz w:val="28"/>
          <w:szCs w:val="28"/>
        </w:rPr>
        <w:t>（5）根据广州净水公司关于印发【安全生产标识及安装标准】</w:t>
      </w:r>
      <w:r>
        <w:rPr>
          <w:rFonts w:hint="eastAsia" w:ascii="仿宋_GB2312" w:hAnsi="仿宋_GB2312" w:cs="仿宋_GB2312"/>
        </w:rPr>
        <w:t>，</w:t>
      </w:r>
      <w:r>
        <w:rPr>
          <w:rFonts w:hint="eastAsia" w:ascii="仿宋_GB2312" w:hAnsi="仿宋_GB2312" w:cs="仿宋_GB2312"/>
          <w:sz w:val="28"/>
          <w:szCs w:val="28"/>
        </w:rPr>
        <w:t>设备设施防腐根据相应的颜色标准色样进行施工。</w:t>
      </w:r>
    </w:p>
    <w:p>
      <w:pPr>
        <w:autoSpaceDE w:val="0"/>
        <w:autoSpaceDN w:val="0"/>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主要材料使用要求</w:t>
      </w:r>
    </w:p>
    <w:p>
      <w:pPr>
        <w:autoSpaceDE w:val="0"/>
        <w:autoSpaceDN w:val="0"/>
        <w:ind w:firstLine="630" w:firstLineChars="300"/>
        <w:rPr>
          <w:rFonts w:ascii="仿宋_GB2312" w:hAnsi="仿宋_GB2312" w:eastAsia="仿宋_GB2312" w:cs="仿宋_GB2312"/>
          <w:b/>
          <w:sz w:val="28"/>
          <w:szCs w:val="28"/>
        </w:rPr>
      </w:pPr>
      <w:r>
        <w:rPr>
          <w:rFonts w:hint="eastAsia" w:ascii="仿宋_GB2312" w:hAnsi="仿宋_GB2312" w:eastAsia="仿宋_GB2312" w:cs="仿宋_GB2312"/>
        </w:rPr>
        <w:t xml:space="preserve"> </w:t>
      </w:r>
      <w:r>
        <w:rPr>
          <w:rFonts w:hint="eastAsia" w:ascii="仿宋_GB2312" w:hAnsi="仿宋_GB2312" w:eastAsia="仿宋_GB2312" w:cs="仿宋_GB2312"/>
          <w:sz w:val="28"/>
          <w:szCs w:val="28"/>
        </w:rPr>
        <w:t>污水廊道墙壁修复需使用</w:t>
      </w:r>
      <w:r>
        <w:rPr>
          <w:rFonts w:hint="eastAsia" w:ascii="仿宋_GB2312" w:hAnsi="仿宋_GB2312" w:eastAsia="仿宋_GB2312" w:cs="仿宋_GB2312"/>
          <w:bCs/>
          <w:color w:val="000000"/>
          <w:sz w:val="28"/>
          <w:szCs w:val="28"/>
        </w:rPr>
        <w:t>卫盾R3防腐特种砂浆（乙供，投标单位需附厂家报价单并加盖厂家公章）</w:t>
      </w:r>
    </w:p>
    <w:p>
      <w:pPr>
        <w:pStyle w:val="10"/>
        <w:adjustRightInd w:val="0"/>
        <w:snapToGrid w:val="0"/>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项目二</w:t>
      </w:r>
      <w:r>
        <w:rPr>
          <w:rFonts w:hint="eastAsia" w:ascii="仿宋_GB2312" w:hAnsi="仿宋_GB2312" w:eastAsia="仿宋_GB2312" w:cs="仿宋_GB2312"/>
          <w:sz w:val="28"/>
          <w:szCs w:val="28"/>
        </w:rPr>
        <w:t>：沥滘分公司</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对相关已腐蚀或生锈设备、支架及盖板等必须进行表面除锈后，再对其进行两底两面的刷防腐油漆或喷涂防腐油漆，油漆后表面必须清洁，无缝隙和裂缝，防腐油漆的颜色参照净水公司安全生产标识及安装标准和我方需求实施。</w:t>
      </w:r>
    </w:p>
    <w:p>
      <w:pPr>
        <w:autoSpaceDE w:val="0"/>
        <w:autoSpaceDN w:val="0"/>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项目三</w:t>
      </w:r>
      <w:r>
        <w:rPr>
          <w:rFonts w:hint="eastAsia" w:ascii="仿宋_GB2312" w:hAnsi="仿宋_GB2312" w:eastAsia="仿宋_GB2312" w:cs="仿宋_GB2312"/>
          <w:sz w:val="28"/>
          <w:szCs w:val="28"/>
        </w:rPr>
        <w:t>：猎德分公司</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大修内容为拆除池面盖板，每个区域严格按同一方向逐条进行除锈；每个池除锈工作完成后，立即进行钢骨架防腐，喷涂顺序为底漆一遍、防锈漆一遍、封闭漆一遍；防腐工作完成后，将拆卸的可以继续使用的盖板重新安装回池面，损耗的部分拟更换新盖板，并统一加盖成弧形式，用不锈钢螺丝钉、檩条进行固定和连接，最后对每一块已安装耐力板单元进行受力调整，确保耐力板安装后各处位置受力均匀且严密贴合在钢骨架表面。</w:t>
      </w:r>
    </w:p>
    <w:p>
      <w:pPr>
        <w:autoSpaceDE w:val="0"/>
        <w:autoSpaceDN w:val="0"/>
        <w:ind w:firstLine="560" w:firstLineChars="200"/>
        <w:rPr>
          <w:color w:val="FF0000"/>
        </w:rPr>
      </w:pPr>
      <w:r>
        <w:rPr>
          <w:rFonts w:hint="eastAsia" w:ascii="仿宋_GB2312" w:hAnsi="仿宋_GB2312" w:eastAsia="仿宋_GB2312" w:cs="仿宋_GB2312"/>
          <w:color w:val="auto"/>
          <w:sz w:val="28"/>
          <w:szCs w:val="28"/>
          <w:highlight w:val="none"/>
          <w:u w:val="none"/>
        </w:rPr>
        <w:t>报价单位在询价响应文件中附上</w:t>
      </w:r>
      <w:r>
        <w:rPr>
          <w:rFonts w:hint="eastAsia" w:ascii="仿宋" w:hAnsi="仿宋" w:eastAsia="仿宋" w:cs="仿宋_GB2312"/>
          <w:color w:val="auto"/>
          <w:sz w:val="28"/>
          <w:szCs w:val="28"/>
          <w:highlight w:val="none"/>
          <w:u w:val="none"/>
        </w:rPr>
        <w:t>项目所使用的PC耐力板邵氏硬度(HA)≥80HA、拉伸屈服强度（Mpa）≥60Mpa、弯曲强度（MPa）≥80、热变形温度（℃）≥125的CMA认证专业检测机构出具的检测报告。</w:t>
      </w:r>
    </w:p>
    <w:p>
      <w:pPr>
        <w:autoSpaceDE w:val="0"/>
        <w:autoSpaceDN w:val="0"/>
        <w:ind w:firstLine="560" w:firstLineChars="200"/>
        <w:rPr>
          <w:rFonts w:ascii="仿宋_GB2312" w:hAnsi="仿宋_GB2312" w:eastAsia="仿宋_GB2312" w:cs="仿宋_GB2312"/>
          <w:sz w:val="28"/>
          <w:szCs w:val="28"/>
        </w:rPr>
      </w:pPr>
    </w:p>
    <w:p>
      <w:pPr>
        <w:autoSpaceDE w:val="0"/>
        <w:autoSpaceDN w:val="0"/>
        <w:ind w:firstLine="560" w:firstLineChars="200"/>
        <w:rPr>
          <w:rFonts w:ascii="仿宋_GB2312" w:hAnsi="仿宋_GB2312" w:eastAsia="仿宋_GB2312" w:cs="仿宋_GB2312"/>
          <w:sz w:val="28"/>
          <w:szCs w:val="28"/>
        </w:rPr>
      </w:pP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除锈防腐技术要求：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064"/>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6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除锈</w:t>
            </w:r>
          </w:p>
        </w:tc>
        <w:tc>
          <w:tcPr>
            <w:tcW w:w="7078"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磨光机打磨除锈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17"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06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防腐</w:t>
            </w:r>
          </w:p>
        </w:tc>
        <w:tc>
          <w:tcPr>
            <w:tcW w:w="7078"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（1）喷无机富锌底漆，一遍；（2）喷环氧富锌漆（防锈漆），一遍；（3）</w:t>
            </w:r>
            <w:r>
              <w:rPr>
                <w:rFonts w:hint="eastAsia" w:ascii="仿宋_GB2312" w:hAnsi="仿宋_GB2312" w:eastAsia="仿宋_GB2312" w:cs="仿宋_GB2312"/>
                <w:sz w:val="24"/>
                <w:szCs w:val="24"/>
                <w:highlight w:val="none"/>
              </w:rPr>
              <w:t>喷</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过氯乙烯防腐漆</w:t>
            </w:r>
            <w:r>
              <w:rPr>
                <w:rFonts w:hint="eastAsia" w:ascii="仿宋_GB2312" w:hAnsi="仿宋_GB2312" w:eastAsia="仿宋_GB2312" w:cs="仿宋_GB2312"/>
                <w:sz w:val="24"/>
                <w:szCs w:val="24"/>
              </w:rPr>
              <w:t>（封闭漆）一遍。</w:t>
            </w:r>
          </w:p>
        </w:tc>
      </w:tr>
    </w:tbl>
    <w:p>
      <w:pPr>
        <w:autoSpaceDE w:val="0"/>
        <w:autoSpaceDN w:val="0"/>
        <w:rPr>
          <w:rFonts w:ascii="仿宋_GB2312" w:hAnsi="仿宋_GB2312" w:eastAsia="仿宋_GB2312" w:cs="仿宋_GB2312"/>
          <w:sz w:val="28"/>
          <w:szCs w:val="28"/>
        </w:rPr>
      </w:pPr>
    </w:p>
    <w:p>
      <w:pPr>
        <w:autoSpaceDE w:val="0"/>
        <w:autoSpaceDN w:val="0"/>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PC耐力板质量要求：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861"/>
        <w:gridCol w:w="5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厚度</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颜色</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外观质量</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板材表面应光滑、平整，无气泡、裂纹和明显的裂纹、弯形、凹陷和色差等影响使用的缺陷。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热变形温度℃</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硬氏硬度HA</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落锤冲击破坏个数</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破坏个数1/10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拉伸屈服强度Mpa</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弯曲强度Mpa</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透光率（%）</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节能</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节能量是相同厚度玻璃的1.5-1.7倍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重量</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重量为相同厚度玻璃的1/15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冷弯</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安全弯曲半径为其厚度的175倍以上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抗冲击</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抗冲击强度是普通玻璃的300倍，是亚克力板的30倍，钢化玻璃的2倍。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使用温度范围</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在-40℃到+120℃范围内物理性能稳定。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耐候</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人工气候老化试验4000小时，黄边度为2，透光率降低值仅0.6%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难燃</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符合GB8264-1997难燃一级标准，级别：难燃B一级。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隔音</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应有良好的隔音性能，能有效地降低噪音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pPr>
              <w:autoSpaceDE w:val="0"/>
              <w:autoSpaceDN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861"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抗风</w:t>
            </w:r>
          </w:p>
        </w:tc>
        <w:tc>
          <w:tcPr>
            <w:tcW w:w="5389" w:type="dxa"/>
            <w:vAlign w:val="center"/>
          </w:tcPr>
          <w:p>
            <w:pPr>
              <w:autoSpaceDE w:val="0"/>
              <w:autoSpaceDN w:val="0"/>
              <w:rPr>
                <w:rFonts w:ascii="仿宋_GB2312" w:hAnsi="仿宋_GB2312" w:eastAsia="仿宋_GB2312" w:cs="仿宋_GB2312"/>
                <w:sz w:val="24"/>
                <w:szCs w:val="24"/>
              </w:rPr>
            </w:pPr>
            <w:r>
              <w:rPr>
                <w:rFonts w:hint="eastAsia" w:ascii="仿宋_GB2312" w:hAnsi="仿宋_GB2312" w:eastAsia="仿宋_GB2312" w:cs="仿宋_GB2312"/>
                <w:sz w:val="24"/>
                <w:szCs w:val="24"/>
              </w:rPr>
              <w:t>抗风性能达到国标GB/T7106-86第1级。</w:t>
            </w:r>
          </w:p>
        </w:tc>
      </w:tr>
    </w:tbl>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技术标准</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1.施工承包合同明确的相关技术要求；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2.《钢结构工程施工质量验收规程》GB50205-2001；</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3.《钢结构焊接规范》GB50661-2011；</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4.《钢结构工程质量检验评定标准》GB50221-95；</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5.《建筑工程施工现场供用电安全规范》GB50194-2014;</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6.《PC耐力板产品性能及安装规范》；</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7.《聚碳酸酯（PC）板材》JG/T116-1999。</w:t>
      </w:r>
    </w:p>
    <w:p>
      <w:pPr>
        <w:autoSpaceDE w:val="0"/>
        <w:autoSpaceDN w:val="0"/>
        <w:spacing w:line="360" w:lineRule="auto"/>
        <w:rPr>
          <w:rFonts w:ascii="仿宋_GB2312" w:hAnsi="仿宋_GB2312" w:eastAsia="仿宋_GB2312" w:cs="仿宋_GB2312"/>
          <w:b/>
          <w:sz w:val="28"/>
          <w:szCs w:val="28"/>
        </w:rPr>
      </w:pPr>
    </w:p>
    <w:p>
      <w:pPr>
        <w:pStyle w:val="10"/>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三、项目商务要求</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1.工期：项目一60日；项目二120日；项目三180日。</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2.质量要求</w:t>
      </w:r>
    </w:p>
    <w:p>
      <w:pPr>
        <w:pStyle w:val="2"/>
        <w:ind w:firstLine="560" w:firstLineChars="200"/>
        <w:rPr>
          <w:rFonts w:ascii="仿宋_GB2312" w:hAnsi="仿宋_GB2312" w:cs="仿宋_GB2312"/>
        </w:rPr>
      </w:pPr>
      <w:r>
        <w:rPr>
          <w:rFonts w:hint="eastAsia" w:ascii="仿宋_GB2312" w:hAnsi="仿宋_GB2312" w:cs="仿宋_GB2312"/>
          <w:kern w:val="2"/>
          <w:sz w:val="28"/>
          <w:szCs w:val="28"/>
        </w:rPr>
        <w:t>（1）</w:t>
      </w:r>
      <w:r>
        <w:rPr>
          <w:rFonts w:hint="eastAsia" w:ascii="仿宋_GB2312" w:hAnsi="仿宋_GB2312" w:cs="仿宋_GB2312"/>
          <w:sz w:val="28"/>
          <w:szCs w:val="28"/>
        </w:rPr>
        <w:t>污水廊道墙壁修复部分</w:t>
      </w:r>
    </w:p>
    <w:p>
      <w:pPr>
        <w:spacing w:line="30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①要求防腐砂浆保护层与原结构基底粘结牢固，表面平整、密实、坚硬，无明显突起、凹陷、空鼓、大裂纹等现象；</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②修复狭窄表面时，要求防腐砂浆保护层与原结构基底粘结牢固，表面允许粗糙（不做抹平收光），但应该总体厚度均匀并且密实、坚硬，无明显突起、凹陷、空鼓、大裂纹等现象。</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sz w:val="28"/>
          <w:szCs w:val="28"/>
        </w:rPr>
        <w:t>设备设施防腐部分</w:t>
      </w:r>
    </w:p>
    <w:p>
      <w:pPr>
        <w:autoSpaceDE w:val="0"/>
        <w:autoSpaceDN w:val="0"/>
        <w:spacing w:line="360" w:lineRule="auto"/>
        <w:ind w:firstLine="560" w:firstLineChars="200"/>
        <w:rPr>
          <w:rFonts w:ascii="仿宋_GB2312" w:hAnsi="仿宋_GB2312" w:eastAsia="仿宋_GB2312" w:cs="仿宋_GB2312"/>
          <w:color w:val="333333"/>
          <w:sz w:val="28"/>
          <w:szCs w:val="28"/>
        </w:rPr>
      </w:pPr>
      <w:r>
        <w:rPr>
          <w:rFonts w:hint="eastAsia" w:ascii="仿宋_GB2312" w:hAnsi="仿宋_GB2312" w:eastAsia="仿宋_GB2312" w:cs="仿宋_GB2312"/>
          <w:sz w:val="28"/>
          <w:szCs w:val="28"/>
        </w:rPr>
        <w:t xml:space="preserve"> 涂刷类型的防腐层应按规定分层施工，涂层厚度应均匀，无流淌、褶皱、针孔、空鼓等缺陷。</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施工期间应严格遵守《中华人民共和国安全生产法》、《建设工程安全生产管理条例》、《生产安全事故报告和调查处理条例》和《广州市安全生产管理规定（试行）》等一系列有关安全生产的法律法规以及文明施工、深夜施工、环卫和城管、计划生育等规定，建立规章制度和防护措施。若违反以上规定，由此造成的经济和法律责任，均由乙方负责。同时，双方签订广州市净水有限公司《安全管理协议书》，自觉遵守公司安全生产相关的管理制度，承担安全主体责任。</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4.总包及分包规定：不允许分包、转包。</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5.保修期（保养期）：质保期为项目完成经验收合格之日起一年。</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6.询价人将自承包人履行完合同义务之日起20天内组织验收，验收要求、验收标准及方法如下：</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（1）验收依据：询价文件、询价响应文件、厂家货物技术标准说明及国家有关的质量标准规定，均为验收依据。</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（2）承包单位根据要求由发包人或政府相关部门进行使用性能方面的验收。</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（3）验收合格条件：表面平整、密实、坚硬，无明显突起、凹陷、空鼓、大裂纹等现象。</w:t>
      </w:r>
    </w:p>
    <w:p>
      <w:pPr>
        <w:spacing w:line="300" w:lineRule="auto"/>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（4）发包人有权委托我国相关具有检验资质的部门、单位、机构针对维修后设备的精度、性能进行检验。其检验结果将作为验收标准的组成部分之一。</w:t>
      </w:r>
    </w:p>
    <w:p>
      <w:pPr>
        <w:autoSpaceDE w:val="0"/>
        <w:autoSpaceDN w:val="0"/>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.质保期：1年。</w:t>
      </w:r>
    </w:p>
    <w:p>
      <w:pPr>
        <w:autoSpaceDE w:val="0"/>
        <w:autoSpaceDN w:val="0"/>
        <w:spacing w:line="360" w:lineRule="auto"/>
        <w:ind w:left="56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.付款方式：</w:t>
      </w:r>
      <w:r>
        <w:rPr>
          <w:rFonts w:hint="eastAsia" w:ascii="仿宋_GB2312" w:hAnsi="仿宋_GB2312" w:eastAsia="仿宋_GB2312" w:cs="仿宋_GB2312"/>
          <w:sz w:val="28"/>
          <w:szCs w:val="28"/>
          <w:lang w:val="zh-CN"/>
        </w:rPr>
        <w:t>按合同要求</w:t>
      </w:r>
      <w:r>
        <w:rPr>
          <w:rFonts w:hint="eastAsia" w:ascii="仿宋_GB2312" w:hAnsi="仿宋_GB2312" w:eastAsia="仿宋_GB2312" w:cs="仿宋_GB2312"/>
          <w:sz w:val="28"/>
          <w:szCs w:val="28"/>
        </w:rPr>
        <w:t>。</w:t>
      </w:r>
    </w:p>
    <w:p>
      <w:pPr>
        <w:tabs>
          <w:tab w:val="center" w:pos="5156"/>
        </w:tabs>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.承包方式：包工、包料、包工期、包质量、包安全、包文明施工。综合单价包干。</w:t>
      </w:r>
    </w:p>
    <w:p>
      <w:pPr>
        <w:tabs>
          <w:tab w:val="center" w:pos="5156"/>
        </w:tabs>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.工程量增减调整方法：若合同结算价超合同暂定总价，双方另行签订补充协议。</w:t>
      </w:r>
    </w:p>
    <w:p>
      <w:pPr>
        <w:autoSpaceDE w:val="0"/>
        <w:autoSpaceDN w:val="0"/>
        <w:spacing w:line="360" w:lineRule="auto"/>
        <w:ind w:left="560"/>
        <w:rPr>
          <w:rFonts w:ascii="仿宋" w:hAnsi="仿宋" w:eastAsia="仿宋"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.其它要求：无。</w:t>
      </w: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0"/>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７.3询价文件的修改或澄清将以书面形式通知所有获取询价文件的报价单位，并对其具有约束力。</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7.5 书面形式包括但不限于以纸质、电子邮件、门户网站信息公告等形式。</w:t>
      </w:r>
    </w:p>
    <w:p>
      <w:pPr>
        <w:pStyle w:val="10"/>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（11）本项目截止时间前的半年中，在询价人组织的招标、询价活动中有被查实提供虚假投标材料的。</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15.1询价响应文件应在询价之日起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pStyle w:val="4"/>
        <w:rPr>
          <w:rFonts w:ascii="仿宋_GB2312" w:hAnsi="仿宋_GB2312" w:eastAsia="仿宋_GB2312" w:cs="仿宋_GB2312"/>
        </w:rPr>
      </w:pPr>
      <w:r>
        <w:rPr>
          <w:rFonts w:hint="eastAsia" w:ascii="仿宋_GB2312" w:hAnsi="仿宋_GB2312" w:eastAsia="仿宋_GB2312" w:cs="仿宋_GB2312"/>
        </w:rPr>
        <w:t>附件一：报价记录表</w:t>
      </w:r>
    </w:p>
    <w:p>
      <w:pPr>
        <w:spacing w:line="500" w:lineRule="exact"/>
        <w:jc w:val="center"/>
        <w:rPr>
          <w:rFonts w:ascii="仿宋_GB2312" w:hAnsi="仿宋_GB2312" w:eastAsia="仿宋_GB2312" w:cs="仿宋_GB2312"/>
          <w:b/>
          <w:bCs/>
          <w:sz w:val="36"/>
          <w:szCs w:val="36"/>
        </w:rPr>
      </w:pPr>
      <w:r>
        <w:rPr>
          <w:rFonts w:hint="eastAsia" w:ascii="仿宋_GB2312" w:hAnsi="仿宋_GB2312" w:eastAsia="仿宋_GB2312" w:cs="仿宋_GB2312"/>
          <w:sz w:val="28"/>
          <w:szCs w:val="28"/>
          <w:u w:val="single"/>
        </w:rPr>
        <w:t>广州市净水有限公司2021年各分公司防腐大修项目</w:t>
      </w:r>
      <w:r>
        <w:rPr>
          <w:rFonts w:hint="eastAsia" w:ascii="仿宋_GB2312" w:hAnsi="仿宋_GB2312" w:eastAsia="仿宋_GB2312" w:cs="仿宋_GB2312"/>
          <w:sz w:val="28"/>
          <w:szCs w:val="28"/>
        </w:rPr>
        <w:t>报价记录表</w:t>
      </w:r>
    </w:p>
    <w:p>
      <w:pPr>
        <w:spacing w:line="500" w:lineRule="exact"/>
        <w:ind w:firstLine="3465" w:firstLineChars="1650"/>
        <w:rPr>
          <w:rFonts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分</w:t>
      </w:r>
    </w:p>
    <w:tbl>
      <w:tblPr>
        <w:tblStyle w:val="18"/>
        <w:tblW w:w="10774" w:type="dxa"/>
        <w:jc w:val="center"/>
        <w:tblLayout w:type="fixed"/>
        <w:tblCellMar>
          <w:top w:w="0" w:type="dxa"/>
          <w:left w:w="108" w:type="dxa"/>
          <w:bottom w:w="0" w:type="dxa"/>
          <w:right w:w="108" w:type="dxa"/>
        </w:tblCellMar>
      </w:tblPr>
      <w:tblGrid>
        <w:gridCol w:w="669"/>
        <w:gridCol w:w="3255"/>
        <w:gridCol w:w="752"/>
        <w:gridCol w:w="1089"/>
        <w:gridCol w:w="1089"/>
        <w:gridCol w:w="1089"/>
        <w:gridCol w:w="1279"/>
        <w:gridCol w:w="155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项目一报价（元）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项目二报价（元）</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项目三报价（元）</w:t>
            </w:r>
          </w:p>
        </w:tc>
        <w:tc>
          <w:tcPr>
            <w:tcW w:w="12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总报价（元）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ind w:firstLine="3150" w:firstLineChars="1500"/>
        <w:rPr>
          <w:rFonts w:ascii="仿宋_GB2312" w:hAnsi="仿宋_GB2312" w:eastAsia="仿宋_GB2312" w:cs="仿宋_GB2312"/>
        </w:rPr>
      </w:pPr>
    </w:p>
    <w:p>
      <w:pPr>
        <w:spacing w:line="440" w:lineRule="exact"/>
        <w:ind w:firstLine="1680" w:firstLineChars="800"/>
        <w:rPr>
          <w:rFonts w:ascii="仿宋_GB2312" w:hAnsi="仿宋_GB2312" w:eastAsia="仿宋_GB2312" w:cs="仿宋_GB2312"/>
          <w:u w:val="single"/>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rPr>
          <w:rFonts w:ascii="仿宋_GB2312" w:hAnsi="仿宋_GB2312" w:eastAsia="仿宋_GB2312" w:cs="仿宋_GB2312"/>
        </w:rPr>
        <w:sectPr>
          <w:pgSz w:w="16838" w:h="11906" w:orient="landscape"/>
          <w:pgMar w:top="1077" w:right="1089" w:bottom="1466" w:left="1089" w:header="851" w:footer="992" w:gutter="0"/>
          <w:cols w:space="720" w:num="1"/>
          <w:docGrid w:type="lines" w:linePitch="312" w:charSpace="0"/>
        </w:sectPr>
      </w:pPr>
    </w:p>
    <w:p>
      <w:pPr>
        <w:rPr>
          <w:rFonts w:ascii="仿宋_GB2312" w:hAnsi="仿宋_GB2312" w:eastAsia="仿宋_GB2312" w:cs="仿宋_GB2312"/>
          <w:sz w:val="28"/>
          <w:szCs w:val="28"/>
        </w:rPr>
      </w:pPr>
      <w:r>
        <w:rPr>
          <w:rFonts w:hint="eastAsia" w:ascii="仿宋_GB2312" w:hAnsi="仿宋_GB2312" w:eastAsia="仿宋_GB2312" w:cs="仿宋_GB2312"/>
          <w:b/>
          <w:bCs/>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广州市净水有限公司非公招项目询价评审记录表</w:t>
      </w:r>
    </w:p>
    <w:p>
      <w:pPr>
        <w:spacing w:line="360" w:lineRule="auto"/>
        <w:ind w:left="1200" w:hanging="1200" w:hangingChars="500"/>
        <w:rPr>
          <w:rFonts w:ascii="宋体" w:hAnsi="宋体"/>
          <w:sz w:val="24"/>
          <w:u w:val="single"/>
        </w:rPr>
      </w:pPr>
      <w:r>
        <w:rPr>
          <w:rFonts w:hint="eastAsia" w:ascii="宋体" w:hAnsi="宋体"/>
          <w:sz w:val="24"/>
        </w:rPr>
        <w:t>项目名称：</w:t>
      </w:r>
      <w:r>
        <w:rPr>
          <w:rFonts w:hint="eastAsia" w:ascii="宋体" w:hAnsi="宋体"/>
          <w:sz w:val="24"/>
          <w:u w:val="single"/>
        </w:rPr>
        <w:t>广州市净水有限公司2021年各分公司防腐大修项目</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5"/>
        </w:numPr>
        <w:ind w:firstLine="630" w:firstLineChars="300"/>
      </w:pPr>
      <w:r>
        <w:rPr>
          <w:rFonts w:hint="eastAsia"/>
        </w:rPr>
        <w:t>本表所有审核情况均为符合的，结论为报名成功。若有一项或以上审核情况为不符合的，结论为报名不成功。</w:t>
      </w:r>
    </w:p>
    <w:p>
      <w:pPr>
        <w:ind w:left="630"/>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第三部分 合同书格式</w:t>
      </w:r>
    </w:p>
    <w:p>
      <w:pPr>
        <w:spacing w:line="400" w:lineRule="atLeast"/>
        <w:jc w:val="right"/>
        <w:rPr>
          <w:rFonts w:ascii="宋体" w:hAnsi="宋体" w:cs="宋体"/>
          <w:b/>
          <w:bCs/>
          <w:sz w:val="48"/>
          <w:szCs w:val="48"/>
        </w:rPr>
      </w:pPr>
      <w:r>
        <w:rPr>
          <w:rFonts w:hint="eastAsia" w:ascii="宋体" w:hAnsi="宋体"/>
          <w:b/>
          <w:szCs w:val="21"/>
        </w:rPr>
        <w:t>2020年10月版</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rPr>
          <w:rFonts w:ascii="宋体" w:hAnsi="宋体" w:cs="宋体"/>
          <w:b/>
          <w:sz w:val="30"/>
          <w:szCs w:val="30"/>
        </w:rPr>
      </w:pPr>
      <w:r>
        <w:rPr>
          <w:rFonts w:hint="eastAsia" w:ascii="宋体" w:hAnsi="宋体" w:cs="宋体"/>
          <w:b/>
          <w:sz w:val="30"/>
          <w:szCs w:val="30"/>
        </w:rPr>
        <w:t>项目名称: 广州市净水有限公司2021年各分公司防腐大修项目</w:t>
      </w:r>
    </w:p>
    <w:p>
      <w:pPr>
        <w:pStyle w:val="2"/>
        <w:spacing w:line="360" w:lineRule="auto"/>
      </w:pPr>
    </w:p>
    <w:p>
      <w:pPr>
        <w:spacing w:line="400" w:lineRule="atLeast"/>
        <w:rPr>
          <w:rFonts w:ascii="宋体" w:hAnsi="宋体"/>
          <w:b/>
          <w:sz w:val="30"/>
          <w:szCs w:val="30"/>
        </w:rPr>
      </w:pPr>
      <w:r>
        <w:rPr>
          <w:rFonts w:hint="eastAsia" w:ascii="宋体" w:hAnsi="宋体"/>
          <w:b/>
          <w:sz w:val="30"/>
          <w:szCs w:val="30"/>
        </w:rPr>
        <w:t>立项编号：</w:t>
      </w:r>
    </w:p>
    <w:p>
      <w:pPr>
        <w:spacing w:line="400" w:lineRule="atLeast"/>
        <w:rPr>
          <w:rFonts w:ascii="宋体" w:hAnsi="宋体"/>
          <w:b/>
          <w:sz w:val="30"/>
          <w:szCs w:val="30"/>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穗净水合[2021]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pStyle w:val="4"/>
        <w:rPr>
          <w:rFonts w:ascii="宋体" w:hAnsi="宋体" w:cs="宋体"/>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p>
    <w:p>
      <w:pPr>
        <w:spacing w:line="400" w:lineRule="atLeast"/>
        <w:rPr>
          <w:rFonts w:ascii="宋体" w:hAnsi="宋体" w:cs="宋体"/>
          <w:sz w:val="24"/>
        </w:rPr>
      </w:pPr>
      <w:r>
        <w:rPr>
          <w:rFonts w:hint="eastAsia" w:ascii="宋体" w:hAnsi="宋体" w:cs="宋体"/>
          <w:b/>
          <w:sz w:val="30"/>
        </w:rPr>
        <w:t>签约地点：广州市</w:t>
      </w:r>
    </w:p>
    <w:p>
      <w:pPr>
        <w:rPr>
          <w:lang w:val="zh-CN"/>
        </w:rPr>
      </w:pPr>
    </w:p>
    <w:p>
      <w:pPr>
        <w:spacing w:before="93" w:beforeLines="30" w:line="384" w:lineRule="auto"/>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rPr>
        <w:t>广州市净水有限公司2021年各分公司防腐大修</w:t>
      </w:r>
      <w:r>
        <w:rPr>
          <w:rFonts w:hint="eastAsia" w:ascii="宋体" w:hAnsi="宋体" w:cs="宋体"/>
          <w:sz w:val="24"/>
        </w:rPr>
        <w:t>项目</w:t>
      </w:r>
      <w:r>
        <w:rPr>
          <w:rFonts w:hint="eastAsia" w:asciiTheme="minorEastAsia" w:hAnsiTheme="minorEastAsia" w:eastAsiaTheme="minorEastAsia" w:cstheme="minorEastAsia"/>
          <w:sz w:val="24"/>
        </w:rPr>
        <w:t>工程施工方</w:t>
      </w:r>
      <w:r>
        <w:rPr>
          <w:rFonts w:hint="eastAsia" w:ascii="宋体" w:hAnsi="宋体" w:cs="宋体" w:eastAsiaTheme="minorEastAsia"/>
          <w:sz w:val="24"/>
        </w:rPr>
        <w:t>。</w:t>
      </w:r>
      <w:r>
        <w:rPr>
          <w:rFonts w:hint="eastAsia" w:ascii="宋体" w:hAnsi="宋体" w:cs="宋体"/>
          <w:sz w:val="24"/>
        </w:rPr>
        <w:t>遵循平等、自愿、公平和诚实信用的原则，双方协商一致，订立本合同。</w:t>
      </w:r>
    </w:p>
    <w:p>
      <w:pPr>
        <w:spacing w:line="360" w:lineRule="auto"/>
        <w:ind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60"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ascii="宋体" w:hAnsi="宋体" w:cs="宋体"/>
          <w:bCs/>
          <w:sz w:val="24"/>
        </w:rPr>
      </w:pPr>
      <w:r>
        <w:rPr>
          <w:rFonts w:hint="eastAsia" w:ascii="宋体" w:hAnsi="宋体" w:cs="宋体"/>
          <w:bCs/>
          <w:sz w:val="24"/>
        </w:rPr>
        <w:t>⑵ 本合同书；</w:t>
      </w:r>
    </w:p>
    <w:p>
      <w:pPr>
        <w:spacing w:line="360" w:lineRule="auto"/>
        <w:ind w:firstLine="482"/>
        <w:rPr>
          <w:rFonts w:ascii="宋体" w:hAnsi="宋体" w:cs="宋体"/>
          <w:bCs/>
          <w:sz w:val="24"/>
        </w:rPr>
      </w:pPr>
      <w:r>
        <w:rPr>
          <w:rFonts w:hint="eastAsia" w:ascii="宋体" w:hAnsi="宋体" w:cs="宋体"/>
          <w:bCs/>
          <w:sz w:val="24"/>
        </w:rPr>
        <w:t>⑶ 发包通知书/委托函；</w:t>
      </w:r>
    </w:p>
    <w:p>
      <w:pPr>
        <w:spacing w:line="360" w:lineRule="auto"/>
        <w:ind w:firstLine="482"/>
        <w:rPr>
          <w:rFonts w:ascii="宋体" w:hAnsi="宋体" w:cs="宋体"/>
          <w:bCs/>
          <w:sz w:val="24"/>
        </w:rPr>
      </w:pPr>
      <w:r>
        <w:rPr>
          <w:rFonts w:hint="eastAsia" w:ascii="宋体" w:hAnsi="宋体" w:cs="宋体"/>
          <w:bCs/>
          <w:sz w:val="24"/>
        </w:rPr>
        <w:t>⑷ 询价文件；</w:t>
      </w:r>
    </w:p>
    <w:p>
      <w:pPr>
        <w:spacing w:line="360" w:lineRule="auto"/>
        <w:ind w:firstLine="482"/>
        <w:rPr>
          <w:rFonts w:ascii="宋体" w:hAnsi="宋体" w:cs="宋体"/>
          <w:bCs/>
          <w:sz w:val="24"/>
        </w:rPr>
      </w:pPr>
      <w:r>
        <w:rPr>
          <w:rFonts w:hint="eastAsia" w:ascii="宋体" w:hAnsi="宋体" w:cs="宋体"/>
          <w:bCs/>
          <w:sz w:val="24"/>
        </w:rPr>
        <w:t>⑸ 响应文件；</w:t>
      </w:r>
    </w:p>
    <w:p>
      <w:pPr>
        <w:spacing w:line="360" w:lineRule="auto"/>
        <w:ind w:firstLine="482"/>
        <w:rPr>
          <w:rFonts w:ascii="宋体" w:hAnsi="宋体" w:cs="宋体"/>
          <w:bCs/>
          <w:sz w:val="24"/>
        </w:rPr>
      </w:pPr>
      <w:r>
        <w:rPr>
          <w:rFonts w:hint="eastAsia" w:ascii="宋体" w:hAnsi="宋体" w:cs="宋体"/>
          <w:bCs/>
          <w:sz w:val="24"/>
        </w:rPr>
        <w:t>⑹ 标准、规范及有关技术性文件；</w:t>
      </w:r>
    </w:p>
    <w:p>
      <w:pPr>
        <w:spacing w:line="360" w:lineRule="auto"/>
        <w:ind w:firstLine="482"/>
        <w:rPr>
          <w:rFonts w:ascii="宋体" w:hAnsi="宋体" w:cs="宋体"/>
          <w:bCs/>
          <w:sz w:val="24"/>
        </w:rPr>
      </w:pPr>
      <w:r>
        <w:rPr>
          <w:rFonts w:hint="eastAsia" w:ascii="宋体" w:hAnsi="宋体" w:cs="宋体"/>
          <w:bCs/>
          <w:sz w:val="24"/>
        </w:rPr>
        <w:t>⑺ 图纸；</w:t>
      </w:r>
    </w:p>
    <w:p>
      <w:pPr>
        <w:spacing w:line="360"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2"/>
        <w:rPr>
          <w:rFonts w:ascii="宋体" w:hAnsi="宋体" w:cs="宋体"/>
          <w:b/>
          <w:bCs/>
          <w:sz w:val="24"/>
        </w:rPr>
      </w:pPr>
      <w:r>
        <w:rPr>
          <w:rFonts w:hint="eastAsia" w:ascii="宋体" w:hAnsi="宋体" w:cs="宋体"/>
          <w:bCs/>
          <w:sz w:val="24"/>
        </w:rPr>
        <w:t>⑼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广州市净水有限公司2021年各分公司防腐大修项目</w:t>
      </w:r>
    </w:p>
    <w:p>
      <w:pPr>
        <w:spacing w:line="384" w:lineRule="auto"/>
        <w:ind w:firstLine="482"/>
        <w:rPr>
          <w:rFonts w:ascii="宋体" w:hAnsi="宋体" w:cs="宋体"/>
          <w:bCs/>
          <w:sz w:val="24"/>
          <w:szCs w:val="22"/>
        </w:rPr>
      </w:pPr>
      <w:r>
        <w:rPr>
          <w:rFonts w:hint="eastAsia" w:ascii="宋体" w:hAnsi="宋体" w:cs="宋体"/>
          <w:bCs/>
          <w:sz w:val="24"/>
          <w:szCs w:val="22"/>
        </w:rPr>
        <w:t>项目一：大坦沙分公司厂区污水廊道墙壁修复及设备设施防腐；</w:t>
      </w:r>
    </w:p>
    <w:p>
      <w:pPr>
        <w:spacing w:line="384" w:lineRule="auto"/>
        <w:ind w:firstLine="482"/>
        <w:rPr>
          <w:rFonts w:ascii="宋体" w:hAnsi="宋体" w:cs="宋体"/>
          <w:bCs/>
          <w:sz w:val="24"/>
          <w:szCs w:val="22"/>
        </w:rPr>
      </w:pPr>
      <w:r>
        <w:rPr>
          <w:rFonts w:hint="eastAsia" w:ascii="宋体" w:hAnsi="宋体" w:cs="宋体"/>
          <w:bCs/>
          <w:sz w:val="24"/>
          <w:szCs w:val="22"/>
        </w:rPr>
        <w:t>项目二：沥滘分公司厂区设备设施防腐大修；</w:t>
      </w:r>
    </w:p>
    <w:p>
      <w:pPr>
        <w:spacing w:line="384" w:lineRule="auto"/>
        <w:ind w:firstLine="482"/>
        <w:rPr>
          <w:rFonts w:ascii="宋体" w:hAnsi="宋体" w:cs="宋体"/>
          <w:bCs/>
          <w:sz w:val="24"/>
          <w:szCs w:val="22"/>
        </w:rPr>
      </w:pPr>
      <w:r>
        <w:rPr>
          <w:rFonts w:hint="eastAsia" w:ascii="宋体" w:hAnsi="宋体" w:cs="宋体"/>
          <w:bCs/>
          <w:sz w:val="24"/>
          <w:szCs w:val="22"/>
        </w:rPr>
        <w:t>项目三：猎德分公司一期生化池钢骨架防腐及安装盖板。</w:t>
      </w:r>
    </w:p>
    <w:p>
      <w:pPr>
        <w:spacing w:line="384" w:lineRule="auto"/>
        <w:ind w:firstLine="482"/>
      </w:pPr>
      <w:r>
        <w:rPr>
          <w:rFonts w:hint="eastAsia" w:ascii="宋体" w:hAnsi="宋体" w:cs="宋体"/>
          <w:bCs/>
          <w:sz w:val="24"/>
          <w:szCs w:val="22"/>
        </w:rPr>
        <w:t>（以下分别简称“项目一、项目二、项目三”）</w:t>
      </w:r>
    </w:p>
    <w:p>
      <w:pPr>
        <w:spacing w:line="384" w:lineRule="auto"/>
        <w:ind w:firstLine="480" w:firstLineChars="200"/>
        <w:rPr>
          <w:rFonts w:ascii="宋体" w:hAnsi="宋体" w:cs="宋体"/>
          <w:sz w:val="24"/>
        </w:rPr>
      </w:pPr>
      <w:r>
        <w:rPr>
          <w:rFonts w:hint="eastAsia" w:ascii="宋体" w:hAnsi="宋体" w:cs="宋体"/>
          <w:sz w:val="24"/>
        </w:rPr>
        <w:t>2.2项目地点： 项目一大坦沙分公司；项目二沥滘分公司；项目三猎德分公司。</w:t>
      </w:r>
    </w:p>
    <w:p>
      <w:pPr>
        <w:spacing w:line="384" w:lineRule="auto"/>
        <w:ind w:firstLine="480" w:firstLineChars="200"/>
      </w:pPr>
      <w:r>
        <w:rPr>
          <w:rFonts w:hint="eastAsia" w:ascii="宋体" w:hAnsi="宋体" w:cs="宋体"/>
          <w:sz w:val="24"/>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0" w:firstLineChars="200"/>
        <w:rPr>
          <w:rFonts w:ascii="宋体" w:hAnsi="宋体" w:cs="宋体"/>
          <w:sz w:val="24"/>
        </w:rPr>
      </w:pPr>
      <w:r>
        <w:rPr>
          <w:rFonts w:hint="eastAsia" w:ascii="宋体" w:hAnsi="宋体" w:cs="宋体"/>
          <w:sz w:val="24"/>
        </w:rPr>
        <w:t>2.4项目内容</w:t>
      </w:r>
    </w:p>
    <w:p>
      <w:pPr>
        <w:spacing w:line="384" w:lineRule="auto"/>
        <w:ind w:firstLine="480" w:firstLineChars="200"/>
        <w:rPr>
          <w:rFonts w:ascii="宋体" w:hAnsi="宋体" w:cs="宋体"/>
          <w:bCs/>
          <w:sz w:val="24"/>
          <w:szCs w:val="22"/>
        </w:rPr>
      </w:pPr>
      <w:r>
        <w:rPr>
          <w:rFonts w:hint="eastAsia" w:ascii="宋体" w:hAnsi="宋体" w:cs="宋体"/>
          <w:bCs/>
          <w:sz w:val="24"/>
          <w:szCs w:val="22"/>
        </w:rPr>
        <w:t>项目一：</w:t>
      </w:r>
    </w:p>
    <w:p>
      <w:pPr>
        <w:spacing w:line="384" w:lineRule="auto"/>
        <w:ind w:firstLine="480" w:firstLineChars="200"/>
        <w:rPr>
          <w:rFonts w:ascii="宋体" w:hAnsi="宋体" w:cs="宋体"/>
          <w:bCs/>
          <w:sz w:val="24"/>
          <w:szCs w:val="22"/>
        </w:rPr>
      </w:pPr>
      <w:r>
        <w:rPr>
          <w:rFonts w:hint="eastAsia" w:ascii="宋体" w:hAnsi="宋体" w:cs="宋体"/>
          <w:bCs/>
          <w:sz w:val="24"/>
          <w:szCs w:val="22"/>
        </w:rPr>
        <w:t>大坦沙分公司厂区污水廊道墙壁修复及设备设施防腐进行大修。</w:t>
      </w:r>
    </w:p>
    <w:p>
      <w:pPr>
        <w:spacing w:line="384" w:lineRule="auto"/>
        <w:ind w:firstLine="480" w:firstLineChars="200"/>
        <w:rPr>
          <w:rFonts w:ascii="宋体" w:hAnsi="宋体" w:cs="宋体"/>
          <w:bCs/>
          <w:sz w:val="24"/>
          <w:szCs w:val="22"/>
        </w:rPr>
      </w:pPr>
      <w:r>
        <w:rPr>
          <w:rFonts w:hint="eastAsia" w:ascii="宋体" w:hAnsi="宋体" w:cs="宋体"/>
          <w:bCs/>
          <w:sz w:val="24"/>
          <w:szCs w:val="22"/>
        </w:rPr>
        <w:t>1、需修复的一期平流沉砂池、格栅间及三期1号反应池进水渠闸孔及进水口超越闸孔, 以上池体由于内壁经过长时间污水腐蚀出现混凝土表层严重腐化导致脱落甚至钢筋腐蚀，所以需要进行加固修复。</w:t>
      </w:r>
    </w:p>
    <w:p>
      <w:pPr>
        <w:spacing w:line="384" w:lineRule="auto"/>
        <w:ind w:firstLine="480" w:firstLineChars="200"/>
        <w:rPr>
          <w:rFonts w:ascii="宋体" w:hAnsi="宋体" w:cs="宋体"/>
          <w:bCs/>
          <w:sz w:val="24"/>
          <w:szCs w:val="22"/>
        </w:rPr>
      </w:pPr>
      <w:r>
        <w:rPr>
          <w:rFonts w:hint="eastAsia" w:ascii="宋体" w:hAnsi="宋体" w:cs="宋体"/>
          <w:bCs/>
          <w:sz w:val="24"/>
          <w:szCs w:val="22"/>
        </w:rPr>
        <w:t>（1）一期平流沉砂池、格栅间位于一二期厂区内，其中格栅井高3.8-8.7米不等,需修复池壁水上部份1.5米及顶部，面积约220m² ；</w:t>
      </w:r>
    </w:p>
    <w:p>
      <w:pPr>
        <w:spacing w:line="384" w:lineRule="auto"/>
        <w:ind w:firstLine="480" w:firstLineChars="200"/>
        <w:rPr>
          <w:rFonts w:ascii="宋体" w:hAnsi="宋体" w:cs="宋体"/>
          <w:bCs/>
          <w:sz w:val="24"/>
          <w:szCs w:val="22"/>
        </w:rPr>
      </w:pPr>
      <w:r>
        <w:rPr>
          <w:rFonts w:hint="eastAsia" w:ascii="宋体" w:hAnsi="宋体" w:cs="宋体"/>
          <w:bCs/>
          <w:sz w:val="24"/>
          <w:szCs w:val="22"/>
        </w:rPr>
        <w:t>（2）平流式沉砂池进水廊道,池高2米,需修复池壁水上部份1米，面积为约260m² ；</w:t>
      </w:r>
    </w:p>
    <w:p>
      <w:pPr>
        <w:spacing w:line="384" w:lineRule="auto"/>
        <w:ind w:firstLine="480" w:firstLineChars="200"/>
        <w:rPr>
          <w:rFonts w:ascii="宋体" w:hAnsi="宋体" w:cs="宋体"/>
          <w:bCs/>
          <w:sz w:val="24"/>
          <w:szCs w:val="22"/>
        </w:rPr>
      </w:pPr>
      <w:r>
        <w:rPr>
          <w:rFonts w:hint="eastAsia" w:ascii="宋体" w:hAnsi="宋体" w:cs="宋体"/>
          <w:bCs/>
          <w:sz w:val="24"/>
          <w:szCs w:val="22"/>
        </w:rPr>
        <w:t>（3）三期1号反应池进水渠闸孔及进水口超越闸孔,渠箱高2米，需修复水上部份1米，面积为约300m² ；</w:t>
      </w:r>
    </w:p>
    <w:p>
      <w:pPr>
        <w:spacing w:line="384" w:lineRule="auto"/>
        <w:ind w:firstLine="480" w:firstLineChars="200"/>
        <w:rPr>
          <w:rFonts w:ascii="宋体" w:hAnsi="宋体" w:cs="宋体"/>
          <w:bCs/>
          <w:sz w:val="24"/>
          <w:szCs w:val="22"/>
        </w:rPr>
      </w:pPr>
      <w:r>
        <w:rPr>
          <w:rFonts w:hint="eastAsia" w:ascii="宋体" w:hAnsi="宋体" w:cs="宋体"/>
          <w:bCs/>
          <w:sz w:val="24"/>
          <w:szCs w:val="22"/>
        </w:rPr>
        <w:t>以上总面积约780m² 。</w:t>
      </w:r>
    </w:p>
    <w:p>
      <w:pPr>
        <w:spacing w:line="384" w:lineRule="auto"/>
        <w:ind w:firstLine="480" w:firstLineChars="200"/>
        <w:rPr>
          <w:rFonts w:ascii="宋体" w:hAnsi="宋体" w:cs="宋体"/>
          <w:bCs/>
          <w:sz w:val="24"/>
          <w:szCs w:val="22"/>
        </w:rPr>
      </w:pPr>
      <w:r>
        <w:rPr>
          <w:rFonts w:hint="eastAsia" w:ascii="宋体" w:hAnsi="宋体" w:cs="宋体"/>
          <w:bCs/>
          <w:sz w:val="24"/>
          <w:szCs w:val="22"/>
        </w:rPr>
        <w:t>2、厂区设备设施防腐包括一二三期厂区的各种阀门、泵体、各种管道及钢门、钢梯等，防腐总面积</w:t>
      </w:r>
      <w:r>
        <w:rPr>
          <w:rFonts w:hint="eastAsia" w:ascii="宋体" w:hAnsi="宋体" w:cs="宋体"/>
          <w:bCs/>
          <w:sz w:val="24"/>
          <w:szCs w:val="22"/>
          <w:lang w:val="en-US" w:eastAsia="zh-CN"/>
        </w:rPr>
        <w:t>3674</w:t>
      </w:r>
      <w:r>
        <w:rPr>
          <w:rFonts w:hint="eastAsia" w:ascii="宋体" w:hAnsi="宋体" w:cs="宋体"/>
          <w:bCs/>
          <w:sz w:val="24"/>
          <w:szCs w:val="22"/>
        </w:rPr>
        <w:t>m²。</w:t>
      </w:r>
    </w:p>
    <w:p>
      <w:pPr>
        <w:spacing w:line="384" w:lineRule="auto"/>
        <w:ind w:firstLine="480" w:firstLineChars="200"/>
        <w:rPr>
          <w:rFonts w:ascii="宋体" w:hAnsi="宋体" w:cs="宋体"/>
          <w:bCs/>
          <w:sz w:val="24"/>
          <w:szCs w:val="22"/>
        </w:rPr>
      </w:pPr>
      <w:r>
        <w:rPr>
          <w:rFonts w:hint="eastAsia" w:ascii="宋体" w:hAnsi="宋体" w:cs="宋体"/>
          <w:bCs/>
          <w:sz w:val="24"/>
          <w:szCs w:val="22"/>
        </w:rPr>
        <w:t>项目二：</w:t>
      </w:r>
    </w:p>
    <w:p>
      <w:pPr>
        <w:spacing w:line="384" w:lineRule="auto"/>
        <w:ind w:firstLine="480" w:firstLineChars="200"/>
        <w:rPr>
          <w:rFonts w:ascii="宋体" w:hAnsi="宋体" w:cs="宋体"/>
          <w:bCs/>
          <w:sz w:val="24"/>
          <w:szCs w:val="22"/>
        </w:rPr>
      </w:pPr>
      <w:r>
        <w:rPr>
          <w:rFonts w:hint="eastAsia" w:ascii="宋体" w:hAnsi="宋体" w:cs="宋体"/>
          <w:bCs/>
          <w:sz w:val="24"/>
          <w:szCs w:val="22"/>
        </w:rPr>
        <w:t>沥滘分公司部分设备、支架及盖板进行防腐工程，4#生化池池面防腐工程量合计534.8 m²，二期6#二沉池盖板和盖板边框合计538.2m²，一二期提升泵房井口54个合计180.67m²，二期旋流沉砂池合计163.76m²，外回流泵防腐工程量合计542.73m²，总工程量为1960.16m²。</w:t>
      </w:r>
    </w:p>
    <w:p>
      <w:pPr>
        <w:spacing w:line="384" w:lineRule="auto"/>
        <w:ind w:firstLine="480" w:firstLineChars="200"/>
        <w:rPr>
          <w:rFonts w:ascii="宋体" w:hAnsi="宋体" w:cs="宋体"/>
          <w:bCs/>
          <w:sz w:val="24"/>
          <w:szCs w:val="22"/>
        </w:rPr>
      </w:pPr>
      <w:r>
        <w:rPr>
          <w:rFonts w:hint="eastAsia" w:ascii="宋体" w:hAnsi="宋体" w:cs="宋体"/>
          <w:bCs/>
          <w:sz w:val="24"/>
          <w:szCs w:val="22"/>
        </w:rPr>
        <w:t>项目三：</w:t>
      </w:r>
    </w:p>
    <w:p>
      <w:pPr>
        <w:spacing w:line="384" w:lineRule="auto"/>
        <w:ind w:firstLine="480" w:firstLineChars="200"/>
        <w:rPr>
          <w:rFonts w:ascii="宋体" w:hAnsi="宋体" w:cs="宋体"/>
          <w:bCs/>
          <w:sz w:val="24"/>
          <w:szCs w:val="22"/>
        </w:rPr>
      </w:pPr>
      <w:r>
        <w:rPr>
          <w:rFonts w:hint="eastAsia" w:ascii="宋体" w:hAnsi="宋体" w:cs="宋体"/>
          <w:bCs/>
          <w:sz w:val="24"/>
          <w:szCs w:val="22"/>
        </w:rPr>
        <w:t>猎德分公司一期生化池钢骨架防腐及安装盖板工程是对池面钢骨架进行除锈防腐和更换盖板，生化池曝气段盖板和钢骨架覆盖总面积约为10800m²，采用碳钢骨架+PC耐力板形式。将PC耐力板拆下来，用喷漆的形式，对每个螺丝点、碳钢骨架进行补漆，最后将PC耐力板以弧形式装回。由于PC耐力板已安装使用3年多，长期经户外日晒雨淋，部分出现硬化、变形，拆下来的PC耐力板会有一定损耗，将部分拆卸下来损坏的PC耐力板更换，更换量为5600m² 。</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position w:val="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 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6"/>
        </w:numPr>
        <w:spacing w:line="384" w:lineRule="auto"/>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rPr>
        <w:t>合同总价组成：项目一</w:t>
      </w:r>
      <w:r>
        <w:rPr>
          <w:rFonts w:hint="eastAsia" w:ascii="宋体" w:hAnsi="宋体" w:cs="宋体"/>
          <w:b/>
          <w:color w:val="000000" w:themeColor="text1"/>
          <w:sz w:val="24"/>
          <w:u w:val="single"/>
          <w14:textFill>
            <w14:solidFill>
              <w14:schemeClr w14:val="tx1"/>
            </w14:solidFill>
          </w14:textFill>
        </w:rPr>
        <w:t>人民币    元</w:t>
      </w:r>
      <w:r>
        <w:rPr>
          <w:rFonts w:hint="eastAsia" w:ascii="宋体" w:hAnsi="宋体" w:cs="宋体"/>
          <w:b/>
          <w:color w:val="000000" w:themeColor="text1"/>
          <w:sz w:val="24"/>
          <w14:textFill>
            <w14:solidFill>
              <w14:schemeClr w14:val="tx1"/>
            </w14:solidFill>
          </w14:textFill>
        </w:rPr>
        <w:t>；</w:t>
      </w:r>
      <w:r>
        <w:rPr>
          <w:rFonts w:hint="eastAsia" w:asciiTheme="minorEastAsia" w:hAnsiTheme="minorEastAsia" w:eastAsiaTheme="minorEastAsia" w:cstheme="minorEastAsia"/>
          <w:sz w:val="24"/>
        </w:rPr>
        <w:t>项目二</w:t>
      </w:r>
      <w:r>
        <w:rPr>
          <w:rFonts w:hint="eastAsia" w:ascii="宋体" w:hAnsi="宋体" w:cs="宋体"/>
          <w:b/>
          <w:color w:val="000000" w:themeColor="text1"/>
          <w:sz w:val="24"/>
          <w:u w:val="single"/>
          <w14:textFill>
            <w14:solidFill>
              <w14:schemeClr w14:val="tx1"/>
            </w14:solidFill>
          </w14:textFill>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color w:val="000000" w:themeColor="text1"/>
          <w:sz w:val="24"/>
          <w:u w:val="single"/>
          <w14:textFill>
            <w14:solidFill>
              <w14:schemeClr w14:val="tx1"/>
            </w14:solidFill>
          </w14:textFill>
        </w:rPr>
        <w:t>元</w:t>
      </w:r>
      <w:r>
        <w:rPr>
          <w:rFonts w:hint="eastAsia" w:ascii="宋体" w:hAnsi="宋体" w:cs="宋体"/>
          <w:b/>
          <w:color w:val="000000" w:themeColor="text1"/>
          <w:sz w:val="24"/>
          <w14:textFill>
            <w14:solidFill>
              <w14:schemeClr w14:val="tx1"/>
            </w14:solidFill>
          </w14:textFill>
        </w:rPr>
        <w:t>；</w:t>
      </w:r>
      <w:r>
        <w:rPr>
          <w:rFonts w:hint="eastAsia" w:asciiTheme="minorEastAsia" w:hAnsiTheme="minorEastAsia" w:eastAsiaTheme="minorEastAsia" w:cstheme="minorEastAsia"/>
          <w:sz w:val="24"/>
        </w:rPr>
        <w:t>项目三</w:t>
      </w:r>
      <w:r>
        <w:rPr>
          <w:rFonts w:hint="eastAsia" w:ascii="宋体" w:hAnsi="宋体" w:cs="宋体"/>
          <w:b/>
          <w:color w:val="000000" w:themeColor="text1"/>
          <w:sz w:val="24"/>
          <w:u w:val="single"/>
          <w14:textFill>
            <w14:solidFill>
              <w14:schemeClr w14:val="tx1"/>
            </w14:solidFill>
          </w14:textFill>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color w:val="000000" w:themeColor="text1"/>
          <w:sz w:val="24"/>
          <w:u w:val="single"/>
          <w14:textFill>
            <w14:solidFill>
              <w14:schemeClr w14:val="tx1"/>
            </w14:solidFill>
          </w14:textFill>
        </w:rPr>
        <w:t>元</w:t>
      </w:r>
      <w:r>
        <w:rPr>
          <w:rFonts w:hint="eastAsia" w:ascii="宋体" w:hAnsi="宋体" w:cs="宋体"/>
          <w:b/>
          <w:color w:val="000000" w:themeColor="text1"/>
          <w:sz w:val="24"/>
          <w14:textFill>
            <w14:solidFill>
              <w14:schemeClr w14:val="tx1"/>
            </w14:solidFill>
          </w14:textFill>
        </w:rPr>
        <w:t>。</w:t>
      </w:r>
      <w:r>
        <w:rPr>
          <w:rFonts w:hint="eastAsia" w:ascii="宋体" w:hAnsi="宋体" w:cs="宋体"/>
          <w:sz w:val="24"/>
        </w:rPr>
        <w:t>综合单价为（附件4：工程量清单报价）人民币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rPr>
        <w:t>），合同履行期间国家税率调整的，不含税价不变，价税合计相应调整，以开具发票的时间为准。</w:t>
      </w:r>
    </w:p>
    <w:p>
      <w:pPr>
        <w:spacing w:line="360" w:lineRule="auto"/>
        <w:ind w:firstLine="482" w:firstLineChars="200"/>
        <w:rPr>
          <w:rFonts w:ascii="宋体" w:hAnsi="宋体" w:cs="宋体"/>
          <w:b/>
          <w:bCs/>
          <w:sz w:val="24"/>
        </w:rPr>
      </w:pPr>
      <w:r>
        <w:rPr>
          <w:rFonts w:hint="eastAsia" w:ascii="宋体" w:hAnsi="宋体" w:cs="宋体"/>
          <w:b/>
          <w:bCs/>
          <w:sz w:val="24"/>
        </w:rPr>
        <w:t>第五条 工期及要求</w:t>
      </w:r>
    </w:p>
    <w:p>
      <w:pPr>
        <w:widowControl/>
        <w:spacing w:line="360"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2021年  月  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sz w:val="24"/>
          <w:szCs w:val="24"/>
        </w:rPr>
        <w:t>：项目一60日；项目二120日；项目三180日；总日历天数</w:t>
      </w:r>
      <w:r>
        <w:rPr>
          <w:rFonts w:hint="eastAsia" w:asciiTheme="minorEastAsia" w:hAnsiTheme="minorEastAsia" w:eastAsiaTheme="minorEastAsia" w:cstheme="minorEastAsia"/>
          <w:sz w:val="24"/>
          <w:szCs w:val="24"/>
          <w:u w:val="single"/>
        </w:rPr>
        <w:t>360</w:t>
      </w:r>
      <w:r>
        <w:rPr>
          <w:rFonts w:hint="eastAsia" w:asciiTheme="minorEastAsia" w:hAnsiTheme="minorEastAsia" w:eastAsiaTheme="minorEastAsia" w:cstheme="minorEastAsia"/>
          <w:sz w:val="24"/>
          <w:szCs w:val="24"/>
        </w:rPr>
        <w:t>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60"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60"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360"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60"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pStyle w:val="10"/>
        <w:spacing w:line="360" w:lineRule="auto"/>
        <w:ind w:firstLine="448" w:firstLineChars="200"/>
        <w:outlineLvl w:val="1"/>
        <w:rPr>
          <w:rFonts w:asciiTheme="minorEastAsia" w:hAnsiTheme="minorEastAsia" w:eastAsiaTheme="minorEastAsia" w:cstheme="minorEastAsia"/>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6乙方不得随意更换项目负责人及相关人员，如确须更换，应提前征得甲方同意。如有违反，甲方有权解除合同并要求乙方支付</w:t>
      </w:r>
      <w:r>
        <w:rPr>
          <w:rFonts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u w:val="single"/>
        </w:rPr>
        <w:t>5000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人次作为违约金，以及赔偿由此造成的一切损失</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包含质量安全事故、工期延误、增加投资等</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w:t>
      </w:r>
      <w:r>
        <w:rPr>
          <w:rFonts w:asciiTheme="minorEastAsia" w:hAnsiTheme="minorEastAsia" w:eastAsiaTheme="minorEastAsia" w:cstheme="minorEastAsia"/>
          <w:spacing w:val="-8"/>
          <w:sz w:val="24"/>
          <w:szCs w:val="24"/>
        </w:rPr>
        <w:t xml:space="preserve">   </w:t>
      </w:r>
    </w:p>
    <w:p>
      <w:pPr>
        <w:pStyle w:val="10"/>
        <w:spacing w:line="360" w:lineRule="auto"/>
        <w:ind w:firstLine="448" w:firstLineChars="200"/>
        <w:outlineLvl w:val="1"/>
        <w:rPr>
          <w:rFonts w:asciiTheme="minorEastAsia" w:hAnsiTheme="minorEastAsia" w:eastAsiaTheme="minorEastAsia" w:cstheme="minorEastAsia"/>
          <w:spacing w:val="-8"/>
          <w:sz w:val="24"/>
          <w:szCs w:val="24"/>
        </w:rPr>
      </w:pPr>
      <w:r>
        <w:rPr>
          <w:rFonts w:asciiTheme="minorEastAsia" w:hAnsiTheme="minorEastAsia" w:eastAsiaTheme="minorEastAsia" w:cstheme="minorEastAsia"/>
          <w:bCs/>
          <w:spacing w:val="-8"/>
          <w:sz w:val="24"/>
          <w:szCs w:val="24"/>
        </w:rPr>
        <w:t>5.</w:t>
      </w:r>
      <w:r>
        <w:rPr>
          <w:rFonts w:hint="eastAsia" w:asciiTheme="minorEastAsia" w:hAnsiTheme="minorEastAsia" w:eastAsiaTheme="minorEastAsia" w:cstheme="minorEastAsia"/>
          <w:bCs/>
          <w:spacing w:val="-8"/>
          <w:sz w:val="24"/>
          <w:szCs w:val="24"/>
        </w:rPr>
        <w:t>7施工过程中，项目负责人应到施工现场，否则甲方有权要求乙方支付违约金</w:t>
      </w:r>
      <w:r>
        <w:rPr>
          <w:rFonts w:asciiTheme="minorEastAsia" w:hAnsiTheme="minorEastAsia" w:eastAsiaTheme="minorEastAsia" w:cstheme="minorEastAsia"/>
          <w:bCs/>
          <w:spacing w:val="-8"/>
          <w:sz w:val="24"/>
          <w:szCs w:val="24"/>
          <w:u w:val="single"/>
        </w:rPr>
        <w:t xml:space="preserve"> </w:t>
      </w:r>
      <w:r>
        <w:rPr>
          <w:rFonts w:asciiTheme="minorEastAsia" w:hAnsiTheme="minorEastAsia" w:eastAsiaTheme="minorEastAsia" w:cstheme="minorEastAsia"/>
          <w:spacing w:val="-8"/>
          <w:sz w:val="24"/>
          <w:szCs w:val="24"/>
          <w:u w:val="single"/>
        </w:rPr>
        <w:t>1000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天，因此造成损失的，按实际发生额赔偿。</w:t>
      </w:r>
    </w:p>
    <w:p>
      <w:pPr>
        <w:widowControl/>
        <w:spacing w:line="360" w:lineRule="auto"/>
        <w:ind w:left="1" w:firstLine="448" w:firstLineChars="200"/>
        <w:jc w:val="left"/>
        <w:rPr>
          <w:rFonts w:ascii="宋体" w:hAnsi="宋体" w:cs="宋体"/>
          <w:b/>
          <w:sz w:val="24"/>
        </w:rPr>
      </w:pPr>
      <w:r>
        <w:rPr>
          <w:rFonts w:asciiTheme="minorEastAsia" w:hAnsiTheme="minorEastAsia" w:eastAsiaTheme="minorEastAsia" w:cstheme="minorEastAsia"/>
          <w:bCs/>
          <w:spacing w:val="-8"/>
          <w:sz w:val="24"/>
          <w:szCs w:val="24"/>
        </w:rPr>
        <w:t>5.</w:t>
      </w:r>
      <w:r>
        <w:rPr>
          <w:rFonts w:hint="eastAsia" w:asciiTheme="minorEastAsia" w:hAnsiTheme="minorEastAsia" w:eastAsiaTheme="minorEastAsia" w:cstheme="minorEastAsia"/>
          <w:bCs/>
          <w:spacing w:val="-8"/>
          <w:sz w:val="24"/>
          <w:szCs w:val="24"/>
        </w:rPr>
        <w:t>8施工过程中，乙方现场配备的应急物资不得少于附件5</w:t>
      </w:r>
      <w:r>
        <w:rPr>
          <w:rFonts w:hint="eastAsia" w:asciiTheme="minorEastAsia" w:hAnsiTheme="minorEastAsia" w:eastAsiaTheme="minorEastAsia" w:cstheme="minorEastAsia"/>
          <w:sz w:val="24"/>
        </w:rPr>
        <w:t>应急救援物资清单内容</w:t>
      </w:r>
      <w:r>
        <w:rPr>
          <w:rFonts w:hint="eastAsia" w:asciiTheme="minorEastAsia" w:hAnsiTheme="minorEastAsia" w:eastAsiaTheme="minorEastAsia" w:cstheme="minorEastAsia"/>
          <w:bCs/>
          <w:spacing w:val="-8"/>
          <w:sz w:val="24"/>
          <w:szCs w:val="24"/>
        </w:rPr>
        <w:t>，否则甲方有权要求乙方支付违约金</w:t>
      </w:r>
      <w:r>
        <w:rPr>
          <w:rFonts w:asciiTheme="minorEastAsia" w:hAnsiTheme="minorEastAsia" w:eastAsiaTheme="minorEastAsia" w:cstheme="minorEastAsia"/>
          <w:bCs/>
          <w:spacing w:val="-8"/>
          <w:sz w:val="24"/>
          <w:szCs w:val="24"/>
          <w:u w:val="single"/>
        </w:rPr>
        <w:t xml:space="preserve"> </w:t>
      </w:r>
      <w:r>
        <w:rPr>
          <w:rFonts w:hint="eastAsia" w:asciiTheme="minorEastAsia" w:hAnsiTheme="minorEastAsia" w:eastAsiaTheme="minorEastAsia" w:cstheme="minorEastAsia"/>
          <w:spacing w:val="-8"/>
          <w:sz w:val="24"/>
          <w:szCs w:val="24"/>
          <w:u w:val="single"/>
        </w:rPr>
        <w:t>5</w:t>
      </w:r>
      <w:r>
        <w:rPr>
          <w:rFonts w:asciiTheme="minorEastAsia" w:hAnsiTheme="minorEastAsia" w:eastAsiaTheme="minorEastAsia" w:cstheme="minorEastAsia"/>
          <w:spacing w:val="-8"/>
          <w:sz w:val="24"/>
          <w:szCs w:val="24"/>
          <w:u w:val="single"/>
        </w:rPr>
        <w:t>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天。</w:t>
      </w:r>
    </w:p>
    <w:p>
      <w:pPr>
        <w:spacing w:line="360" w:lineRule="auto"/>
        <w:ind w:firstLine="482" w:firstLineChars="200"/>
        <w:rPr>
          <w:rFonts w:ascii="宋体" w:hAnsi="宋体" w:cs="宋体"/>
          <w:b/>
          <w:bCs/>
          <w:sz w:val="24"/>
        </w:rPr>
      </w:pPr>
      <w:r>
        <w:rPr>
          <w:rFonts w:hint="eastAsia" w:ascii="宋体" w:hAnsi="宋体" w:cs="宋体"/>
          <w:b/>
          <w:bCs/>
          <w:sz w:val="24"/>
        </w:rPr>
        <w:t>第六条 实施条件及管理要求</w:t>
      </w:r>
    </w:p>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60"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60"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60"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60" w:lineRule="auto"/>
        <w:ind w:firstLine="480" w:firstLineChars="200"/>
        <w:rPr>
          <w:rFonts w:ascii="宋体" w:hAnsi="宋体" w:cs="宋体"/>
          <w:b/>
          <w:bCs/>
          <w:sz w:val="24"/>
        </w:rPr>
      </w:pPr>
      <w:r>
        <w:rPr>
          <w:rFonts w:ascii="宋体" w:hAnsi="宋体" w:cs="宋体"/>
          <w:sz w:val="24"/>
        </w:rPr>
        <w:t>6.6</w:t>
      </w:r>
      <w:r>
        <w:rPr>
          <w:rFonts w:hint="eastAsia" w:ascii="宋体" w:hAnsi="宋体" w:cs="宋体"/>
          <w:sz w:val="24"/>
        </w:rPr>
        <w:t>按相关法律法规及甲方相关作业施工管理要求执行。</w:t>
      </w:r>
    </w:p>
    <w:p>
      <w:pPr>
        <w:spacing w:line="360" w:lineRule="auto"/>
        <w:ind w:firstLine="482" w:firstLineChars="200"/>
        <w:rPr>
          <w:rFonts w:ascii="宋体" w:hAnsi="宋体" w:cs="宋体"/>
          <w:b/>
          <w:bCs/>
          <w:sz w:val="24"/>
        </w:rPr>
      </w:pPr>
      <w:r>
        <w:rPr>
          <w:rFonts w:hint="eastAsia" w:ascii="宋体" w:hAnsi="宋体" w:cs="宋体"/>
          <w:b/>
          <w:bCs/>
          <w:sz w:val="24"/>
        </w:rPr>
        <w:t>第七条 材料及设备供应</w:t>
      </w:r>
    </w:p>
    <w:p>
      <w:pPr>
        <w:spacing w:line="360"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60" w:lineRule="auto"/>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60"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b/>
          <w:bCs/>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60" w:lineRule="auto"/>
        <w:ind w:firstLine="482" w:firstLineChars="200"/>
        <w:rPr>
          <w:rFonts w:ascii="宋体" w:hAnsi="宋体" w:cs="宋体"/>
          <w:b/>
          <w:bCs/>
          <w:sz w:val="24"/>
        </w:rPr>
      </w:pPr>
      <w:r>
        <w:rPr>
          <w:rFonts w:hint="eastAsia" w:ascii="宋体" w:hAnsi="宋体" w:cs="宋体"/>
          <w:b/>
          <w:bCs/>
          <w:sz w:val="24"/>
        </w:rPr>
        <w:t>第八条 付款及履约担保</w:t>
      </w:r>
    </w:p>
    <w:p>
      <w:pPr>
        <w:spacing w:line="360"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bCs/>
          <w:sz w:val="24"/>
        </w:rPr>
        <w:t>□</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0"/>
        <w:spacing w:line="360" w:lineRule="auto"/>
        <w:ind w:firstLine="480" w:firstLineChars="200"/>
        <w:outlineLvl w:val="1"/>
        <w:rPr>
          <w:rFonts w:hAnsi="宋体" w:cs="宋体"/>
          <w:bCs/>
          <w:color w:val="000000" w:themeColor="text1"/>
          <w:sz w:val="24"/>
          <w14:textFill>
            <w14:solidFill>
              <w14:schemeClr w14:val="tx1"/>
            </w14:solidFill>
          </w14:textFill>
        </w:rPr>
      </w:pPr>
      <w:r>
        <w:rPr>
          <w:rFonts w:hAnsi="宋体" w:cs="宋体"/>
          <w:sz w:val="24"/>
          <w:szCs w:val="24"/>
        </w:rPr>
        <w:t>8.2</w:t>
      </w:r>
      <w:r>
        <w:rPr>
          <w:rFonts w:hint="eastAsia" w:hAnsi="宋体" w:cs="宋体"/>
          <w:sz w:val="24"/>
          <w:szCs w:val="24"/>
        </w:rPr>
        <w:t>项目分项验收分项支付，验收合格后，由乙方提交申请支付资料</w:t>
      </w:r>
      <w:r>
        <w:rPr>
          <w:rFonts w:hAnsi="宋体" w:cs="宋体"/>
          <w:sz w:val="24"/>
          <w:szCs w:val="24"/>
          <w:u w:val="single"/>
        </w:rPr>
        <w:t xml:space="preserve"> 15 </w:t>
      </w:r>
      <w:r>
        <w:rPr>
          <w:rFonts w:hint="eastAsia" w:hAnsi="宋体" w:cs="宋体"/>
          <w:sz w:val="24"/>
          <w:szCs w:val="24"/>
        </w:rPr>
        <w:t>个工作日内，甲方分项支付合同暂定总价的</w:t>
      </w:r>
      <w:r>
        <w:rPr>
          <w:rFonts w:hint="eastAsia" w:hAnsi="宋体" w:cs="宋体"/>
          <w:sz w:val="24"/>
          <w:szCs w:val="24"/>
          <w:u w:val="single"/>
        </w:rPr>
        <w:t>8</w:t>
      </w:r>
      <w:r>
        <w:rPr>
          <w:rFonts w:hAnsi="宋体" w:cs="宋体"/>
          <w:sz w:val="24"/>
          <w:szCs w:val="24"/>
          <w:u w:val="single"/>
        </w:rPr>
        <w:t>0</w:t>
      </w:r>
      <w:r>
        <w:rPr>
          <w:rFonts w:hint="eastAsia" w:hAnsi="宋体" w:cs="宋体"/>
          <w:sz w:val="24"/>
          <w:szCs w:val="24"/>
        </w:rPr>
        <w:t>％即合计￥</w:t>
      </w:r>
      <w:r>
        <w:rPr>
          <w:rFonts w:hint="eastAsia" w:hAnsi="宋体" w:cs="宋体"/>
          <w:b/>
          <w:bCs/>
          <w:sz w:val="24"/>
          <w:szCs w:val="24"/>
          <w:u w:val="single"/>
        </w:rPr>
        <w:t xml:space="preserve">    </w:t>
      </w:r>
      <w:r>
        <w:rPr>
          <w:rFonts w:hint="eastAsia" w:hAnsi="宋体" w:cs="宋体"/>
          <w:sz w:val="24"/>
          <w:szCs w:val="24"/>
        </w:rPr>
        <w:t>元给乙方。（</w:t>
      </w:r>
      <w:r>
        <w:rPr>
          <w:rFonts w:hint="eastAsia" w:asciiTheme="minorEastAsia" w:hAnsiTheme="minorEastAsia" w:eastAsiaTheme="minorEastAsia" w:cstheme="minorEastAsia"/>
          <w:sz w:val="24"/>
        </w:rPr>
        <w:t>项目一</w:t>
      </w:r>
      <w:r>
        <w:rPr>
          <w:rFonts w:hint="eastAsia" w:hAnsi="宋体" w:cs="宋体"/>
          <w:bCs/>
          <w:color w:val="000000" w:themeColor="text1"/>
          <w:sz w:val="24"/>
          <w14:textFill>
            <w14:solidFill>
              <w14:schemeClr w14:val="tx1"/>
            </w14:solidFill>
          </w14:textFill>
        </w:rPr>
        <w:t>￥</w:t>
      </w:r>
      <w:r>
        <w:rPr>
          <w:rFonts w:hint="eastAsia" w:asciiTheme="minorEastAsia" w:hAnsiTheme="minorEastAsia" w:eastAsiaTheme="minorEastAsia" w:cstheme="minorEastAsia"/>
          <w:b/>
          <w:sz w:val="24"/>
          <w:u w:val="single"/>
        </w:rPr>
        <w:t xml:space="preserve">    </w:t>
      </w:r>
      <w:r>
        <w:rPr>
          <w:rFonts w:hint="eastAsia" w:hAnsi="宋体" w:cs="宋体"/>
          <w:bCs/>
          <w:color w:val="000000" w:themeColor="text1"/>
          <w:sz w:val="24"/>
          <w14:textFill>
            <w14:solidFill>
              <w14:schemeClr w14:val="tx1"/>
            </w14:solidFill>
          </w14:textFill>
        </w:rPr>
        <w:t>元；</w:t>
      </w:r>
      <w:r>
        <w:rPr>
          <w:rFonts w:hint="eastAsia" w:asciiTheme="minorEastAsia" w:hAnsiTheme="minorEastAsia" w:eastAsiaTheme="minorEastAsia" w:cstheme="minorEastAsia"/>
          <w:sz w:val="24"/>
        </w:rPr>
        <w:t>项目二</w:t>
      </w:r>
      <w:r>
        <w:rPr>
          <w:rFonts w:hint="eastAsia" w:hAnsi="宋体" w:cs="宋体"/>
          <w:bCs/>
          <w:color w:val="000000" w:themeColor="text1"/>
          <w:sz w:val="24"/>
          <w14:textFill>
            <w14:solidFill>
              <w14:schemeClr w14:val="tx1"/>
            </w14:solidFill>
          </w14:textFill>
        </w:rPr>
        <w:t>￥</w:t>
      </w:r>
      <w:r>
        <w:rPr>
          <w:rFonts w:hint="eastAsia" w:asciiTheme="minorEastAsia" w:hAnsiTheme="minorEastAsia" w:eastAsiaTheme="minorEastAsia" w:cstheme="minorEastAsia"/>
          <w:b/>
          <w:sz w:val="24"/>
          <w:u w:val="single"/>
        </w:rPr>
        <w:t xml:space="preserve">    </w:t>
      </w:r>
      <w:r>
        <w:rPr>
          <w:rFonts w:hint="eastAsia" w:hAnsi="宋体" w:cs="宋体"/>
          <w:bCs/>
          <w:color w:val="000000" w:themeColor="text1"/>
          <w:sz w:val="24"/>
          <w14:textFill>
            <w14:solidFill>
              <w14:schemeClr w14:val="tx1"/>
            </w14:solidFill>
          </w14:textFill>
        </w:rPr>
        <w:t>元；</w:t>
      </w:r>
      <w:r>
        <w:rPr>
          <w:rFonts w:hint="eastAsia" w:asciiTheme="minorEastAsia" w:hAnsiTheme="minorEastAsia" w:eastAsiaTheme="minorEastAsia" w:cstheme="minorEastAsia"/>
          <w:sz w:val="24"/>
        </w:rPr>
        <w:t>项目三</w:t>
      </w:r>
      <w:r>
        <w:rPr>
          <w:rFonts w:hint="eastAsia" w:hAnsi="宋体" w:cs="宋体"/>
          <w:bCs/>
          <w:color w:val="000000" w:themeColor="text1"/>
          <w:sz w:val="24"/>
          <w14:textFill>
            <w14:solidFill>
              <w14:schemeClr w14:val="tx1"/>
            </w14:solidFill>
          </w14:textFill>
        </w:rPr>
        <w:t>￥</w:t>
      </w:r>
      <w:r>
        <w:rPr>
          <w:rFonts w:hint="eastAsia" w:asciiTheme="minorEastAsia" w:hAnsiTheme="minorEastAsia" w:eastAsiaTheme="minorEastAsia" w:cstheme="minorEastAsia"/>
          <w:b/>
          <w:sz w:val="24"/>
          <w:u w:val="single"/>
        </w:rPr>
        <w:t xml:space="preserve">    </w:t>
      </w:r>
      <w:r>
        <w:rPr>
          <w:rFonts w:hint="eastAsia" w:hAnsi="宋体" w:cs="宋体"/>
          <w:bCs/>
          <w:color w:val="000000" w:themeColor="text1"/>
          <w:sz w:val="24"/>
          <w14:textFill>
            <w14:solidFill>
              <w14:schemeClr w14:val="tx1"/>
            </w14:solidFill>
          </w14:textFill>
        </w:rPr>
        <w:t>元。</w:t>
      </w:r>
      <w:r>
        <w:rPr>
          <w:rFonts w:hint="eastAsia" w:hAnsi="宋体" w:cs="宋体"/>
          <w:sz w:val="24"/>
          <w:szCs w:val="24"/>
        </w:rPr>
        <w:t>）</w:t>
      </w:r>
    </w:p>
    <w:p>
      <w:pPr>
        <w:spacing w:line="360"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60"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360" w:lineRule="auto"/>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Segoe UI Symbol" w:hAnsi="Segoe UI Symbol" w:cs="Segoe UI Symbol"/>
          <w:szCs w:val="21"/>
        </w:rPr>
        <w:t>☑</w:t>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6"/>
        <w:spacing w:before="0" w:beforeAutospacing="0" w:after="0" w:afterAutospacing="0" w:line="360" w:lineRule="auto"/>
        <w:ind w:firstLine="480" w:firstLineChars="200"/>
      </w:pPr>
      <w:r>
        <w:rPr>
          <w:rFonts w:cs="宋体"/>
        </w:rPr>
        <w:t>8.5.1</w:t>
      </w:r>
      <w:r>
        <w:t>履约担保</w:t>
      </w:r>
      <w:r>
        <w:rPr>
          <w:rFonts w:hint="eastAsia"/>
        </w:rPr>
        <w:t>按以下任一种形式提供</w:t>
      </w:r>
      <w:r>
        <w:t>：</w:t>
      </w:r>
    </w:p>
    <w:p>
      <w:pPr>
        <w:pStyle w:val="16"/>
        <w:spacing w:before="0" w:beforeAutospacing="0" w:after="0" w:afterAutospacing="0" w:line="360" w:lineRule="auto"/>
        <w:ind w:firstLine="480"/>
      </w:pPr>
      <w:r>
        <w:rPr>
          <w:rFonts w:hint="eastAsia"/>
        </w:rPr>
        <w:t>（1）符合甲方要求（详见附件保函格式）的银行独立保函，</w:t>
      </w:r>
    </w:p>
    <w:p>
      <w:pPr>
        <w:pStyle w:val="16"/>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60" w:lineRule="auto"/>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6"/>
        <w:spacing w:before="0" w:beforeAutospacing="0" w:after="0" w:afterAutospacing="0" w:line="360" w:lineRule="auto"/>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60"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60" w:lineRule="auto"/>
        <w:rPr>
          <w:rFonts w:ascii="宋体" w:hAnsi="宋体" w:cs="宋体"/>
          <w:sz w:val="24"/>
        </w:rPr>
      </w:pP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0"/>
        <w:spacing w:line="360" w:lineRule="auto"/>
        <w:ind w:firstLine="480"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8.7本合同支付单位为：</w:t>
      </w:r>
    </w:p>
    <w:p>
      <w:pPr>
        <w:pStyle w:val="10"/>
        <w:spacing w:line="360" w:lineRule="auto"/>
        <w:ind w:firstLine="480" w:firstLineChars="200"/>
        <w:outlineLvl w:val="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项目一</w:t>
      </w:r>
      <w:r>
        <w:rPr>
          <w:rFonts w:hint="eastAsia" w:asciiTheme="minorEastAsia" w:hAnsiTheme="minorEastAsia" w:eastAsiaTheme="minorEastAsia" w:cstheme="minorEastAsia"/>
          <w:sz w:val="24"/>
          <w:u w:val="single"/>
        </w:rPr>
        <w:t>广州市净水有限公司大坦沙分公司</w:t>
      </w:r>
    </w:p>
    <w:p>
      <w:pPr>
        <w:pStyle w:val="10"/>
        <w:spacing w:line="360" w:lineRule="auto"/>
        <w:ind w:firstLine="480" w:firstLineChars="200"/>
        <w:outlineLvl w:val="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项目二</w:t>
      </w:r>
      <w:r>
        <w:rPr>
          <w:rFonts w:hint="eastAsia" w:asciiTheme="minorEastAsia" w:hAnsiTheme="minorEastAsia" w:eastAsiaTheme="minorEastAsia" w:cstheme="minorEastAsia"/>
          <w:sz w:val="24"/>
          <w:u w:val="single"/>
        </w:rPr>
        <w:t>广州市净水有限公司沥滘分公司</w:t>
      </w:r>
    </w:p>
    <w:p>
      <w:pPr>
        <w:pStyle w:val="10"/>
        <w:spacing w:line="360" w:lineRule="auto"/>
        <w:ind w:firstLine="480" w:firstLineChars="200"/>
        <w:outlineLvl w:val="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项目三</w:t>
      </w:r>
      <w:r>
        <w:rPr>
          <w:rFonts w:hint="eastAsia" w:asciiTheme="minorEastAsia" w:hAnsiTheme="minorEastAsia" w:eastAsiaTheme="minorEastAsia" w:cstheme="minorEastAsia"/>
          <w:sz w:val="24"/>
          <w:u w:val="single"/>
        </w:rPr>
        <w:t>广州市净水有限公司猎德分公司</w:t>
      </w:r>
    </w:p>
    <w:p>
      <w:pPr>
        <w:spacing w:line="360"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天内将经甲方审核的完整竣工资料（含竣工图）和竣工验收报告各一式肆份交甲方，不按时报送工程竣工资料的，每逾期一天，甲方要求乙方支付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60"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60"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60"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60"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60"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0"/>
        <w:spacing w:line="360" w:lineRule="auto"/>
        <w:ind w:firstLine="480"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9.5本合同竣工验收结算单位为：</w:t>
      </w:r>
    </w:p>
    <w:p>
      <w:pPr>
        <w:pStyle w:val="10"/>
        <w:spacing w:line="360" w:lineRule="auto"/>
        <w:ind w:firstLine="480" w:firstLineChars="200"/>
        <w:outlineLvl w:val="1"/>
        <w:rPr>
          <w:rFonts w:asciiTheme="minorEastAsia" w:hAnsiTheme="minorEastAsia" w:eastAsiaTheme="minorEastAsia" w:cstheme="minorEastAsia"/>
          <w:sz w:val="24"/>
          <w:u w:val="single"/>
        </w:rPr>
      </w:pPr>
      <w:bookmarkStart w:id="1" w:name="_Toc474245220"/>
      <w:bookmarkStart w:id="2" w:name="_Toc518992994"/>
      <w:bookmarkStart w:id="3" w:name="_Toc520190034"/>
      <w:r>
        <w:rPr>
          <w:rFonts w:hint="eastAsia" w:asciiTheme="minorEastAsia" w:hAnsiTheme="minorEastAsia" w:eastAsiaTheme="minorEastAsia" w:cstheme="minorEastAsia"/>
          <w:sz w:val="24"/>
        </w:rPr>
        <w:t>项目一</w:t>
      </w:r>
      <w:r>
        <w:rPr>
          <w:rFonts w:hint="eastAsia" w:asciiTheme="minorEastAsia" w:hAnsiTheme="minorEastAsia" w:eastAsiaTheme="minorEastAsia" w:cstheme="minorEastAsia"/>
          <w:sz w:val="24"/>
          <w:u w:val="single"/>
        </w:rPr>
        <w:t>广州市净水有限公司大坦沙分公司</w:t>
      </w:r>
    </w:p>
    <w:p>
      <w:pPr>
        <w:pStyle w:val="10"/>
        <w:spacing w:line="360" w:lineRule="auto"/>
        <w:ind w:firstLine="480" w:firstLineChars="200"/>
        <w:outlineLvl w:val="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项目二</w:t>
      </w:r>
      <w:r>
        <w:rPr>
          <w:rFonts w:hint="eastAsia" w:asciiTheme="minorEastAsia" w:hAnsiTheme="minorEastAsia" w:eastAsiaTheme="minorEastAsia" w:cstheme="minorEastAsia"/>
          <w:sz w:val="24"/>
          <w:u w:val="single"/>
        </w:rPr>
        <w:t>广州市净水有限公司沥滘分公司</w:t>
      </w:r>
    </w:p>
    <w:p>
      <w:pPr>
        <w:pStyle w:val="10"/>
        <w:spacing w:line="360" w:lineRule="auto"/>
        <w:ind w:firstLine="480" w:firstLineChars="200"/>
        <w:outlineLvl w:val="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项目三</w:t>
      </w:r>
      <w:r>
        <w:rPr>
          <w:rFonts w:hint="eastAsia" w:asciiTheme="minorEastAsia" w:hAnsiTheme="minorEastAsia" w:eastAsiaTheme="minorEastAsia" w:cstheme="minorEastAsia"/>
          <w:sz w:val="24"/>
          <w:u w:val="single"/>
        </w:rPr>
        <w:t>广州市净水有限公司猎德分公司</w:t>
      </w:r>
    </w:p>
    <w:p>
      <w:pPr>
        <w:spacing w:line="360" w:lineRule="auto"/>
        <w:ind w:firstLine="482" w:firstLineChars="200"/>
        <w:rPr>
          <w:rFonts w:ascii="宋体" w:hAnsi="宋体" w:cs="宋体"/>
          <w:b/>
          <w:bCs/>
          <w:sz w:val="24"/>
        </w:rPr>
      </w:pPr>
      <w:r>
        <w:rPr>
          <w:rFonts w:hint="eastAsia" w:ascii="宋体" w:hAnsi="宋体" w:cs="宋体"/>
          <w:b/>
          <w:bCs/>
          <w:sz w:val="24"/>
        </w:rPr>
        <w:t>第十条 质量保证</w:t>
      </w:r>
      <w:bookmarkEnd w:id="1"/>
      <w:bookmarkEnd w:id="2"/>
      <w:bookmarkEnd w:id="3"/>
    </w:p>
    <w:p>
      <w:pPr>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60"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壹 </w:t>
      </w:r>
      <w:r>
        <w:rPr>
          <w:rFonts w:hint="eastAsia" w:ascii="宋体" w:hAnsi="宋体" w:cs="宋体"/>
          <w:kern w:val="0"/>
          <w:sz w:val="24"/>
          <w:lang w:val="zh-CN"/>
        </w:rPr>
        <w:t>年。</w:t>
      </w:r>
    </w:p>
    <w:p>
      <w:pPr>
        <w:spacing w:line="360"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line="360" w:lineRule="auto"/>
        <w:ind w:firstLine="482" w:firstLineChars="200"/>
        <w:rPr>
          <w:rFonts w:ascii="宋体" w:hAnsi="宋体" w:cs="宋体"/>
          <w:b/>
          <w:bCs/>
          <w:sz w:val="24"/>
        </w:rPr>
      </w:pPr>
      <w:bookmarkStart w:id="4" w:name="_Toc474245226"/>
      <w:bookmarkStart w:id="5" w:name="_Toc306350467"/>
      <w:bookmarkStart w:id="6" w:name="_Toc183666531"/>
      <w:bookmarkStart w:id="7" w:name="_Toc107447255"/>
      <w:bookmarkStart w:id="8" w:name="_Toc19692"/>
      <w:bookmarkStart w:id="9" w:name="_Toc518993000"/>
      <w:bookmarkStart w:id="10" w:name="_Toc107446862"/>
      <w:bookmarkStart w:id="11" w:name="_Toc520190040"/>
      <w:r>
        <w:rPr>
          <w:rFonts w:hint="eastAsia" w:ascii="宋体" w:hAnsi="宋体" w:cs="宋体"/>
          <w:b/>
          <w:bCs/>
          <w:sz w:val="24"/>
        </w:rPr>
        <w:t>第十一条 不可抗力</w:t>
      </w:r>
      <w:bookmarkEnd w:id="4"/>
      <w:bookmarkEnd w:id="5"/>
      <w:bookmarkEnd w:id="6"/>
      <w:bookmarkEnd w:id="7"/>
      <w:bookmarkEnd w:id="8"/>
      <w:bookmarkEnd w:id="9"/>
      <w:bookmarkEnd w:id="10"/>
      <w:bookmarkEnd w:id="11"/>
    </w:p>
    <w:p>
      <w:pPr>
        <w:widowControl/>
        <w:autoSpaceDE w:val="0"/>
        <w:autoSpaceDN w:val="0"/>
        <w:adjustRightInd w:val="0"/>
        <w:spacing w:line="360" w:lineRule="auto"/>
        <w:ind w:firstLine="480" w:firstLineChars="200"/>
        <w:rPr>
          <w:rFonts w:ascii="宋体" w:hAnsi="宋体" w:cs="宋体"/>
          <w:bCs/>
          <w:sz w:val="24"/>
        </w:rPr>
      </w:pPr>
      <w:bookmarkStart w:id="12" w:name="_Toc306350468"/>
      <w:bookmarkStart w:id="13" w:name="_Toc12010"/>
      <w:bookmarkStart w:id="14"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60" w:lineRule="auto"/>
        <w:ind w:firstLine="482"/>
        <w:jc w:val="left"/>
        <w:rPr>
          <w:rFonts w:ascii="宋体" w:hAnsi="宋体" w:cs="宋体"/>
          <w:b/>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5" w:name="_Toc518993001"/>
      <w:bookmarkStart w:id="16" w:name="_Toc107446864"/>
      <w:bookmarkStart w:id="17" w:name="_Toc107447257"/>
      <w:bookmarkStart w:id="18" w:name="_Toc474245227"/>
      <w:bookmarkStart w:id="19" w:name="_Toc520190041"/>
      <w:bookmarkStart w:id="20" w:name="_Toc118172294"/>
    </w:p>
    <w:p>
      <w:pPr>
        <w:spacing w:line="360" w:lineRule="auto"/>
        <w:ind w:firstLine="482" w:firstLineChars="200"/>
        <w:rPr>
          <w:rFonts w:ascii="宋体" w:hAnsi="宋体" w:cs="宋体"/>
          <w:b/>
          <w:bCs/>
          <w:sz w:val="24"/>
        </w:rPr>
      </w:pPr>
      <w:r>
        <w:rPr>
          <w:rFonts w:hint="eastAsia" w:ascii="宋体" w:hAnsi="宋体" w:cs="宋体"/>
          <w:b/>
          <w:bCs/>
          <w:sz w:val="24"/>
        </w:rPr>
        <w:t>十二条 争议解决</w:t>
      </w:r>
      <w:bookmarkEnd w:id="12"/>
      <w:bookmarkEnd w:id="13"/>
      <w:bookmarkEnd w:id="14"/>
      <w:bookmarkEnd w:id="15"/>
      <w:bookmarkEnd w:id="16"/>
      <w:bookmarkEnd w:id="17"/>
      <w:bookmarkEnd w:id="18"/>
      <w:bookmarkEnd w:id="19"/>
      <w:bookmarkEnd w:id="20"/>
    </w:p>
    <w:p>
      <w:pPr>
        <w:spacing w:line="360" w:lineRule="auto"/>
        <w:ind w:firstLine="482"/>
        <w:rPr>
          <w:rFonts w:ascii="宋体" w:hAnsi="宋体" w:cs="宋体"/>
          <w:bCs/>
          <w:sz w:val="24"/>
        </w:rPr>
      </w:pPr>
      <w:bookmarkStart w:id="21" w:name="_Toc183666533"/>
      <w:bookmarkStart w:id="22"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1"/>
      <w:bookmarkEnd w:id="22"/>
      <w:bookmarkStart w:id="23" w:name="_Toc474245229"/>
      <w:bookmarkStart w:id="24" w:name="_Toc518993003"/>
      <w:bookmarkStart w:id="25" w:name="_Toc520190043"/>
    </w:p>
    <w:p>
      <w:pPr>
        <w:spacing w:line="360" w:lineRule="auto"/>
        <w:ind w:firstLine="482" w:firstLineChars="200"/>
        <w:rPr>
          <w:rFonts w:ascii="宋体" w:hAnsi="宋体" w:cs="宋体"/>
          <w:b/>
          <w:bCs/>
          <w:sz w:val="24"/>
        </w:rPr>
      </w:pPr>
      <w:r>
        <w:rPr>
          <w:rFonts w:hint="eastAsia" w:ascii="宋体" w:hAnsi="宋体" w:cs="宋体"/>
          <w:b/>
          <w:bCs/>
          <w:sz w:val="24"/>
        </w:rPr>
        <w:t xml:space="preserve">第十三条 </w:t>
      </w:r>
      <w:bookmarkStart w:id="26" w:name="_Toc107446871"/>
      <w:bookmarkStart w:id="27" w:name="_Toc107447264"/>
      <w:r>
        <w:rPr>
          <w:rFonts w:hint="eastAsia" w:ascii="宋体" w:hAnsi="宋体" w:cs="宋体"/>
          <w:b/>
          <w:bCs/>
          <w:sz w:val="24"/>
        </w:rPr>
        <w:t>合同生效及其他</w:t>
      </w:r>
      <w:bookmarkEnd w:id="23"/>
      <w:bookmarkEnd w:id="24"/>
      <w:bookmarkEnd w:id="25"/>
      <w:bookmarkEnd w:id="26"/>
      <w:bookmarkEnd w:id="27"/>
    </w:p>
    <w:p>
      <w:pPr>
        <w:spacing w:line="360"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60"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捌</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rPr>
        <w:t>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贰</w:t>
      </w:r>
      <w:r>
        <w:rPr>
          <w:rFonts w:ascii="宋体" w:hAnsi="宋体" w:cs="宋体"/>
          <w:sz w:val="24"/>
          <w:u w:val="single"/>
        </w:rPr>
        <w:t xml:space="preserve"> </w:t>
      </w:r>
      <w:r>
        <w:rPr>
          <w:rFonts w:hint="eastAsia" w:ascii="宋体" w:hAnsi="宋体" w:cs="宋体"/>
          <w:sz w:val="24"/>
        </w:rPr>
        <w:t>份。</w:t>
      </w:r>
    </w:p>
    <w:p>
      <w:pPr>
        <w:spacing w:line="360"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  </w:t>
      </w:r>
    </w:p>
    <w:p>
      <w:pPr>
        <w:spacing w:line="360"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60"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60"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施工安全协议书</w:t>
      </w:r>
    </w:p>
    <w:p>
      <w:pPr>
        <w:spacing w:line="360" w:lineRule="auto"/>
        <w:rPr>
          <w:rFonts w:ascii="宋体" w:hAnsi="宋体" w:cs="宋体"/>
          <w:sz w:val="24"/>
        </w:rPr>
      </w:pPr>
      <w:r>
        <w:rPr>
          <w:rFonts w:ascii="宋体" w:hAnsi="宋体" w:cs="宋体"/>
          <w:sz w:val="24"/>
        </w:rPr>
        <w:t xml:space="preserve">      4.</w:t>
      </w:r>
      <w:r>
        <w:rPr>
          <w:rFonts w:hint="eastAsia" w:ascii="宋体" w:hAnsi="宋体" w:cs="宋体"/>
          <w:sz w:val="24"/>
        </w:rPr>
        <w:t>工程量清单报价</w:t>
      </w:r>
    </w:p>
    <w:p>
      <w:pPr>
        <w:spacing w:line="360" w:lineRule="auto"/>
        <w:rPr>
          <w:rFonts w:ascii="宋体" w:hAnsi="宋体" w:cs="宋体"/>
          <w:sz w:val="24"/>
        </w:rPr>
      </w:pPr>
      <w:r>
        <w:rPr>
          <w:rFonts w:ascii="宋体" w:hAnsi="宋体" w:cs="宋体"/>
          <w:sz w:val="24"/>
        </w:rPr>
        <w:t xml:space="preserve">      5.</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360" w:lineRule="auto"/>
        <w:ind w:firstLine="720"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6.大坦沙分公司厂区污水廊道墙壁修复及设备设施防腐</w:t>
      </w:r>
      <w:r>
        <w:rPr>
          <w:rFonts w:asciiTheme="minorEastAsia" w:hAnsiTheme="minorEastAsia" w:eastAsiaTheme="minorEastAsia" w:cstheme="minorEastAsia"/>
          <w:sz w:val="24"/>
        </w:rPr>
        <w:t>实施</w:t>
      </w:r>
      <w:r>
        <w:rPr>
          <w:rFonts w:hint="eastAsia" w:asciiTheme="minorEastAsia" w:hAnsiTheme="minorEastAsia" w:eastAsiaTheme="minorEastAsia" w:cstheme="minorEastAsia"/>
          <w:sz w:val="24"/>
        </w:rPr>
        <w:t>内容</w:t>
      </w:r>
    </w:p>
    <w:p>
      <w:pPr>
        <w:pStyle w:val="2"/>
        <w:spacing w:line="360" w:lineRule="auto"/>
        <w:ind w:firstLine="720" w:firstLineChars="3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7.</w:t>
      </w:r>
      <w:r>
        <w:rPr>
          <w:rFonts w:hint="eastAsia" w:asciiTheme="minorEastAsia" w:hAnsiTheme="minorEastAsia" w:eastAsiaTheme="minorEastAsia" w:cstheme="minorEastAsia"/>
        </w:rPr>
        <w:t>沥滘分公司厂区设备设施防腐大修</w:t>
      </w:r>
      <w:r>
        <w:rPr>
          <w:rFonts w:asciiTheme="minorEastAsia" w:hAnsiTheme="minorEastAsia" w:eastAsiaTheme="minorEastAsia" w:cstheme="minorEastAsia"/>
        </w:rPr>
        <w:t>实施</w:t>
      </w:r>
      <w:r>
        <w:rPr>
          <w:rFonts w:hint="eastAsia" w:asciiTheme="minorEastAsia" w:hAnsiTheme="minorEastAsia" w:eastAsiaTheme="minorEastAsia" w:cstheme="minorEastAsia"/>
        </w:rPr>
        <w:t>内容</w:t>
      </w:r>
    </w:p>
    <w:p>
      <w:pPr>
        <w:spacing w:line="360" w:lineRule="auto"/>
        <w:ind w:firstLine="720" w:firstLineChars="300"/>
        <w:rPr>
          <w:rFonts w:ascii="宋体" w:hAnsi="宋体" w:cs="宋体"/>
          <w:sz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rPr>
        <w:t>猎德分公司一期生化池钢骨架防腐及安装盖板</w:t>
      </w:r>
      <w:r>
        <w:rPr>
          <w:rFonts w:asciiTheme="minorEastAsia" w:hAnsiTheme="minorEastAsia" w:eastAsiaTheme="minorEastAsia" w:cstheme="minorEastAsia"/>
          <w:sz w:val="24"/>
        </w:rPr>
        <w:t>实施</w:t>
      </w:r>
      <w:r>
        <w:rPr>
          <w:rFonts w:hint="eastAsia" w:asciiTheme="minorEastAsia" w:hAnsiTheme="minorEastAsia" w:eastAsiaTheme="minorEastAsia" w:cstheme="minorEastAsia"/>
          <w:sz w:val="24"/>
        </w:rPr>
        <w:t>内容</w:t>
      </w:r>
    </w:p>
    <w:p>
      <w:pPr>
        <w:spacing w:line="360"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   （盖章）</w:t>
      </w:r>
    </w:p>
    <w:p>
      <w:pPr>
        <w:spacing w:line="360"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60"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60"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60"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60"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60"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ind w:right="-624" w:rightChars="-297"/>
        <w:rPr>
          <w:rFonts w:ascii="宋体" w:hAnsi="宋体" w:cs="宋体"/>
          <w:b/>
          <w:bCs/>
          <w:szCs w:val="21"/>
        </w:rPr>
      </w:pPr>
      <w:r>
        <w:rPr>
          <w:rFonts w:hint="eastAsia"/>
          <w:b/>
          <w:bCs/>
        </w:rPr>
        <w:t>以下空白。</w:t>
      </w:r>
    </w:p>
    <w:p>
      <w:pPr>
        <w:spacing w:line="360" w:lineRule="auto"/>
        <w:rPr>
          <w:rFonts w:ascii="宋体" w:hAnsi="宋体" w:cs="宋体"/>
          <w:sz w:val="24"/>
        </w:rPr>
      </w:pPr>
      <w:r>
        <w:rPr>
          <w:rFonts w:hint="eastAsia" w:ascii="宋体" w:hAnsi="宋体" w:cs="宋体"/>
          <w:b/>
          <w:bCs/>
          <w:szCs w:val="21"/>
        </w:rPr>
        <w:t>附件1  发包通知书</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28" w:name="_Toc389815031"/>
      <w:bookmarkStart w:id="29" w:name="_Toc387080836"/>
      <w:bookmarkStart w:id="30" w:name="_Toc389815339"/>
      <w:r>
        <w:rPr>
          <w:rFonts w:hint="eastAsia" w:ascii="宋体" w:hAnsi="宋体"/>
          <w:b/>
          <w:sz w:val="32"/>
          <w:szCs w:val="32"/>
        </w:rPr>
        <w:t>廉洁协议</w:t>
      </w:r>
    </w:p>
    <w:p>
      <w:pPr>
        <w:spacing w:line="360" w:lineRule="auto"/>
        <w:jc w:val="center"/>
        <w:rPr>
          <w:rFonts w:ascii="宋体" w:hAnsi="宋体"/>
          <w:b/>
          <w:sz w:val="32"/>
          <w:szCs w:val="32"/>
        </w:rPr>
      </w:pP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cs="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广州市净水有限公司2021年各分公司防腐大修项目</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1"/>
        <w:ind w:left="0" w:leftChars="0" w:firstLine="480" w:firstLineChars="20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b/>
          <w:bCs/>
          <w:sz w:val="24"/>
        </w:rPr>
      </w:pP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b/>
          <w:sz w:val="24"/>
        </w:rPr>
      </w:pP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广州市净水有限公司2021年各分公司防腐大修项目（穗净水合【2021】    号）</w:t>
      </w:r>
      <w:r>
        <w:rPr>
          <w:rFonts w:hint="eastAsia" w:ascii="宋体" w:hAnsi="宋体"/>
          <w:sz w:val="24"/>
        </w:rPr>
        <w:t>合同的附件，并具有同等的法律效力，本协议自双方签字盖章之日起生效，与主合同同时终止。</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7"/>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pStyle w:val="4"/>
      </w:pPr>
    </w:p>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附件3：</w:t>
      </w:r>
      <w:bookmarkEnd w:id="28"/>
      <w:bookmarkEnd w:id="29"/>
      <w:bookmarkEnd w:id="30"/>
      <w:r>
        <w:rPr>
          <w:rFonts w:hint="eastAsia" w:ascii="宋体" w:hAnsi="宋体" w:cs="宋体"/>
          <w:b/>
          <w:szCs w:val="21"/>
        </w:rPr>
        <w:t>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1"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1"/>
          <w:rFonts w:asciiTheme="minorEastAsia" w:hAnsiTheme="minorEastAsia" w:eastAsiaTheme="minorEastAsia"/>
          <w:b w:val="0"/>
          <w:u w:val="single"/>
        </w:rPr>
      </w:pPr>
    </w:p>
    <w:bookmarkEnd w:id="31"/>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360" w:lineRule="auto"/>
        <w:ind w:firstLine="1370" w:firstLineChars="650"/>
        <w:jc w:val="left"/>
        <w:rPr>
          <w:rFonts w:ascii="宋体" w:hAnsi="宋体"/>
          <w:b/>
          <w:szCs w:val="21"/>
        </w:rPr>
      </w:pPr>
    </w:p>
    <w:p>
      <w:pPr>
        <w:pStyle w:val="2"/>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附件4：</w:t>
      </w:r>
    </w:p>
    <w:p>
      <w:pPr>
        <w:pStyle w:val="2"/>
        <w:jc w:val="center"/>
        <w:rPr>
          <w:rFonts w:hAnsi="宋体" w:eastAsia="宋体"/>
          <w:b/>
          <w:bCs/>
          <w:szCs w:val="21"/>
        </w:rPr>
      </w:pPr>
      <w:r>
        <w:rPr>
          <w:rFonts w:hint="eastAsia" w:hAnsi="宋体" w:eastAsia="宋体"/>
          <w:b/>
          <w:bCs/>
          <w:szCs w:val="21"/>
        </w:rPr>
        <w:t>项目报价</w:t>
      </w:r>
    </w:p>
    <w:p>
      <w:pPr>
        <w:pStyle w:val="2"/>
        <w:jc w:val="center"/>
        <w:rPr>
          <w:rFonts w:hAnsi="宋体" w:eastAsia="宋体"/>
          <w:b/>
          <w:bCs/>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Ansi="宋体" w:eastAsia="宋体"/>
              </w:rPr>
            </w:pPr>
            <w:r>
              <w:rPr>
                <w:rFonts w:hint="eastAsia" w:hAnsi="宋体" w:eastAsia="宋体"/>
                <w:b/>
                <w:bCs/>
              </w:rPr>
              <w:t>广州市净水有限公司2021年防腐大修项目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分公司</w:t>
            </w:r>
          </w:p>
        </w:tc>
        <w:tc>
          <w:tcPr>
            <w:tcW w:w="4790" w:type="dxa"/>
            <w:vAlign w:val="center"/>
          </w:tcPr>
          <w:p>
            <w:pPr>
              <w:pStyle w:val="2"/>
              <w:jc w:val="center"/>
              <w:rPr>
                <w:rFonts w:hAnsi="宋体" w:eastAsia="宋体"/>
                <w:b/>
                <w:bCs/>
              </w:rPr>
            </w:pPr>
            <w:r>
              <w:rPr>
                <w:rFonts w:hint="eastAsia" w:hAnsi="宋体" w:eastAsia="宋体"/>
                <w:b/>
                <w:bCs/>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Ansi="宋体" w:cs="宋体"/>
                <w:b/>
                <w:bCs/>
                <w:sz w:val="24"/>
                <w:szCs w:val="24"/>
              </w:rPr>
            </w:pPr>
            <w:r>
              <w:rPr>
                <w:rFonts w:hint="eastAsia" w:hAnsi="宋体" w:cs="宋体"/>
                <w:b/>
                <w:bCs/>
                <w:sz w:val="24"/>
                <w:szCs w:val="24"/>
              </w:rPr>
              <w:t>大坦沙（项目一）</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Ansi="宋体" w:cs="宋体"/>
                <w:b/>
                <w:bCs/>
                <w:sz w:val="24"/>
                <w:szCs w:val="24"/>
              </w:rPr>
            </w:pPr>
            <w:r>
              <w:rPr>
                <w:rFonts w:hint="eastAsia" w:hAnsi="宋体" w:cs="宋体"/>
                <w:b/>
                <w:bCs/>
                <w:sz w:val="24"/>
                <w:szCs w:val="24"/>
              </w:rPr>
              <w:t>沥滘（项目二）</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猎德（项目三）</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合计</w:t>
            </w:r>
          </w:p>
        </w:tc>
        <w:tc>
          <w:tcPr>
            <w:tcW w:w="4790" w:type="dxa"/>
            <w:vAlign w:val="center"/>
          </w:tcPr>
          <w:p>
            <w:pPr>
              <w:pStyle w:val="2"/>
              <w:jc w:val="center"/>
              <w:rPr>
                <w:rFonts w:hAnsi="宋体" w:eastAsia="宋体"/>
              </w:rPr>
            </w:pPr>
          </w:p>
        </w:tc>
      </w:tr>
    </w:tbl>
    <w:p>
      <w:pPr>
        <w:pStyle w:val="10"/>
        <w:spacing w:line="360" w:lineRule="auto"/>
        <w:ind w:firstLine="480" w:firstLineChars="200"/>
        <w:outlineLvl w:val="1"/>
        <w:rPr>
          <w:rFonts w:asciiTheme="minorEastAsia" w:hAnsiTheme="minorEastAsia" w:eastAsiaTheme="minorEastAsia" w:cstheme="minorEastAsia"/>
          <w:sz w:val="24"/>
          <w:u w:val="single"/>
        </w:rPr>
      </w:pPr>
    </w:p>
    <w:p>
      <w:pPr>
        <w:jc w:val="left"/>
        <w:rPr>
          <w:rFonts w:ascii="宋体" w:hAnsi="宋体" w:cs="宋体"/>
          <w:b/>
          <w:sz w:val="24"/>
          <w:szCs w:val="24"/>
        </w:rPr>
      </w:pPr>
    </w:p>
    <w:p>
      <w:pPr>
        <w:jc w:val="left"/>
        <w:rPr>
          <w:rFonts w:hint="eastAsia" w:ascii="宋体" w:hAnsi="宋体" w:cs="宋体"/>
          <w:b/>
          <w:sz w:val="24"/>
          <w:szCs w:val="24"/>
        </w:rPr>
      </w:pPr>
      <w:r>
        <w:rPr>
          <w:rFonts w:hint="eastAsia" w:ascii="宋体" w:hAnsi="宋体" w:cs="宋体"/>
          <w:b/>
          <w:sz w:val="24"/>
          <w:szCs w:val="24"/>
        </w:rPr>
        <w:t>项目一：大坦沙分公司</w:t>
      </w:r>
    </w:p>
    <w:p>
      <w:pPr>
        <w:pStyle w:val="2"/>
        <w:rPr>
          <w:rFonts w:hint="eastAsia"/>
        </w:rPr>
      </w:pPr>
    </w:p>
    <w:tbl>
      <w:tblPr>
        <w:tblStyle w:val="18"/>
        <w:tblW w:w="9429" w:type="dxa"/>
        <w:tblInd w:w="91" w:type="dxa"/>
        <w:shd w:val="clear" w:color="auto" w:fill="auto"/>
        <w:tblLayout w:type="autofit"/>
        <w:tblCellMar>
          <w:top w:w="0" w:type="dxa"/>
          <w:left w:w="108" w:type="dxa"/>
          <w:bottom w:w="0" w:type="dxa"/>
          <w:right w:w="108" w:type="dxa"/>
        </w:tblCellMar>
      </w:tblPr>
      <w:tblGrid>
        <w:gridCol w:w="729"/>
        <w:gridCol w:w="2751"/>
        <w:gridCol w:w="3504"/>
        <w:gridCol w:w="1230"/>
        <w:gridCol w:w="1215"/>
      </w:tblGrid>
      <w:tr>
        <w:tblPrEx>
          <w:tblCellMar>
            <w:top w:w="0" w:type="dxa"/>
            <w:left w:w="108" w:type="dxa"/>
            <w:bottom w:w="0" w:type="dxa"/>
            <w:right w:w="108" w:type="dxa"/>
          </w:tblCellMar>
        </w:tblPrEx>
        <w:trPr>
          <w:trHeight w:val="454" w:hRule="atLeast"/>
        </w:trPr>
        <w:tc>
          <w:tcPr>
            <w:tcW w:w="7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7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取费基数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一、二期细格栅间修复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一、二期平流式沉砂池进水廊道及出水口修复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三期2#反应池进水渠闸孔及进水口超越闸孔修复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安全及文明施工措施费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分部分项合计+措施合计+其他项目+增值税销项税额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5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分部分项人工费+技术措施项目人工费</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ascii="宋体" w:hAnsi="宋体" w:cs="宋体"/>
          <w:b/>
          <w:sz w:val="24"/>
          <w:szCs w:val="24"/>
          <w:lang w:val="en-US" w:eastAsia="zh-CN"/>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173"/>
        <w:gridCol w:w="3217"/>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left"/>
              <w:rPr>
                <w:rFonts w:ascii="宋体" w:hAnsi="宋体" w:cs="宋体"/>
                <w:color w:val="000000"/>
                <w:sz w:val="20"/>
                <w:szCs w:val="20"/>
              </w:rPr>
            </w:pPr>
            <w:r>
              <w:rPr>
                <w:rFonts w:hint="eastAsia"/>
                <w:lang w:eastAsia="zh-CN"/>
              </w:rPr>
              <w:tab/>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一、二期细格栅间修复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5.高压水枪清洗墙面、人工铲除墙面人工 10工日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219.95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4.399</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一、二期平流式沉砂池进水廊道及出水口修复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1.平面抹灰铲除 砖、混凝土面 一般抹灰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6.高压水枪清洗墙面人工 10工日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259.4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三期2#反应池进水渠闸孔及进水口超越闸孔修复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1.平面抹灰铲除 砖、混凝土面 一般抹灰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6.高压水枪清洗墙面人工 15工日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284.84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5.6968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tabs>
                <w:tab w:val="left" w:pos="757"/>
              </w:tabs>
              <w:jc w:val="left"/>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eastAsia="zh-CN" w:bidi="ar"/>
              </w:rPr>
              <w:tab/>
            </w:r>
            <w:r>
              <w:rPr>
                <w:rFonts w:hint="eastAsia" w:ascii="宋体" w:hAnsi="宋体" w:cs="宋体"/>
                <w:color w:val="000000"/>
                <w:kern w:val="0"/>
                <w:sz w:val="20"/>
                <w:szCs w:val="20"/>
                <w:lang w:val="en-US" w:eastAsia="zh-CN" w:bidi="ar"/>
              </w:rPr>
              <w:t>措施费</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综合钢脚手架</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1.搭设高度:8m以内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2.使用有效天数:30天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300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现场组装平台铺设与拆除 钢管平台 50m2</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1.现场组装平台铺设与拆除 钢管平台 100m2 实际面积(m2):50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座</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洞内通风设施</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1.轴流通风机</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台班</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36</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施工监测、监控</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1.有毒气体检测：每2小时检测一次，每天工作8小时，工期30天。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次</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120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jc w:val="left"/>
        <w:rPr>
          <w:rFonts w:ascii="宋体" w:hAnsi="宋体" w:cs="宋体"/>
          <w:b/>
          <w:sz w:val="24"/>
          <w:szCs w:val="24"/>
        </w:rPr>
      </w:pPr>
    </w:p>
    <w:p>
      <w:pPr>
        <w:pStyle w:val="2"/>
      </w:pPr>
    </w:p>
    <w:tbl>
      <w:tblPr>
        <w:tblStyle w:val="18"/>
        <w:tblW w:w="9414" w:type="dxa"/>
        <w:tblInd w:w="91" w:type="dxa"/>
        <w:shd w:val="clear" w:color="auto" w:fill="auto"/>
        <w:tblLayout w:type="autofit"/>
        <w:tblCellMar>
          <w:top w:w="0" w:type="dxa"/>
          <w:left w:w="108" w:type="dxa"/>
          <w:bottom w:w="0" w:type="dxa"/>
          <w:right w:w="108" w:type="dxa"/>
        </w:tblCellMar>
      </w:tblPr>
      <w:tblGrid>
        <w:gridCol w:w="686"/>
        <w:gridCol w:w="1706"/>
        <w:gridCol w:w="2717"/>
        <w:gridCol w:w="690"/>
        <w:gridCol w:w="1215"/>
        <w:gridCol w:w="2400"/>
      </w:tblGrid>
      <w:tr>
        <w:tblPrEx>
          <w:tblCellMar>
            <w:top w:w="0" w:type="dxa"/>
            <w:left w:w="108" w:type="dxa"/>
            <w:bottom w:w="0" w:type="dxa"/>
            <w:right w:w="108" w:type="dxa"/>
          </w:tblCellMar>
        </w:tblPrEx>
        <w:trPr>
          <w:trHeight w:val="454" w:hRule="atLeast"/>
        </w:trPr>
        <w:tc>
          <w:tcPr>
            <w:tcW w:w="6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ascii="宋体" w:hAnsi="宋体" w:cs="宋体"/>
          <w:b/>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p>
      <w:pPr>
        <w:pStyle w:val="2"/>
        <w:rPr>
          <w:rFonts w:ascii="宋体" w:hAnsi="宋体" w:cs="宋体"/>
          <w:b/>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00"/>
        <w:gridCol w:w="116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tbl>
      <w:tblPr>
        <w:tblStyle w:val="18"/>
        <w:tblW w:w="9444" w:type="dxa"/>
        <w:tblInd w:w="91" w:type="dxa"/>
        <w:shd w:val="clear" w:color="auto" w:fill="auto"/>
        <w:tblLayout w:type="autofit"/>
        <w:tblCellMar>
          <w:top w:w="0" w:type="dxa"/>
          <w:left w:w="108" w:type="dxa"/>
          <w:bottom w:w="0" w:type="dxa"/>
          <w:right w:w="108" w:type="dxa"/>
        </w:tblCellMar>
      </w:tblPr>
      <w:tblGrid>
        <w:gridCol w:w="714"/>
        <w:gridCol w:w="2766"/>
        <w:gridCol w:w="3504"/>
        <w:gridCol w:w="1245"/>
        <w:gridCol w:w="1215"/>
      </w:tblGrid>
      <w:tr>
        <w:tblPrEx>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取费基数</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厂区钢管防腐</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安全及文明施工措施费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分部分项合计+措施合计+其他项目+增值税销项税额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分部分项人工费+技术措施项目人工费</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ascii="宋体" w:hAnsi="宋体" w:cs="宋体"/>
          <w:b/>
          <w:sz w:val="24"/>
          <w:szCs w:val="24"/>
        </w:rPr>
      </w:pPr>
    </w:p>
    <w:p>
      <w:pPr>
        <w:pStyle w:val="2"/>
        <w:rPr>
          <w:rFonts w:ascii="宋体" w:hAnsi="宋体" w:cs="宋体"/>
          <w:b/>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654"/>
        <w:gridCol w:w="1318"/>
        <w:gridCol w:w="3137"/>
        <w:gridCol w:w="690"/>
        <w:gridCol w:w="1200"/>
        <w:gridCol w:w="1215"/>
        <w:gridCol w:w="1200"/>
      </w:tblGrid>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tabs>
                <w:tab w:val="left" w:pos="646"/>
              </w:tabs>
              <w:bidi w:val="0"/>
              <w:jc w:val="left"/>
              <w:rPr>
                <w:rFonts w:hint="eastAsia" w:ascii="宋体" w:hAnsi="宋体" w:eastAsia="宋体" w:cs="宋体"/>
                <w:i w:val="0"/>
                <w:iCs w:val="0"/>
                <w:color w:val="000000"/>
                <w:sz w:val="20"/>
                <w:szCs w:val="20"/>
                <w:u w:val="none"/>
              </w:rPr>
            </w:pPr>
            <w:r>
              <w:rPr>
                <w:rFonts w:hint="eastAsia"/>
                <w:lang w:eastAsia="zh-CN"/>
              </w:rPr>
              <w:tab/>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项目名称</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项目特征描述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工程数量</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sz w:val="20"/>
                <w:szCs w:val="20"/>
              </w:rPr>
              <w:t>综合单价</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kern w:val="0"/>
                <w:sz w:val="20"/>
                <w:szCs w:val="20"/>
              </w:rPr>
              <w:t>综合总价</w:t>
            </w: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厂区钢管防腐</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管道防腐蚀</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1.动力工具除锈 金属面 轻锈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 红丹环氧防锈底漆 一遍 单价*0.5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3.管道 聚氨酯双组份漆 两遍</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3674</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厂区钢管防腐合计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9"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ascii="宋体" w:hAnsi="宋体" w:cs="宋体"/>
          <w:b/>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jc w:val="left"/>
        <w:rPr>
          <w:rFonts w:ascii="宋体" w:hAnsi="宋体" w:cs="宋体"/>
          <w:b/>
          <w:sz w:val="24"/>
          <w:szCs w:val="24"/>
        </w:rPr>
      </w:pPr>
    </w:p>
    <w:p>
      <w:pPr>
        <w:pStyle w:val="2"/>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pPr>
    </w:p>
    <w:p>
      <w:pPr>
        <w:jc w:val="left"/>
        <w:rPr>
          <w:rFonts w:hint="default" w:ascii="宋体" w:hAnsi="宋体" w:eastAsia="宋体" w:cs="宋体"/>
          <w:b/>
          <w:sz w:val="24"/>
          <w:szCs w:val="24"/>
          <w:lang w:val="en-US" w:eastAsia="zh-CN"/>
        </w:rPr>
      </w:pPr>
      <w:r>
        <w:rPr>
          <w:rFonts w:hint="eastAsia" w:ascii="宋体" w:hAnsi="宋体" w:cs="宋体"/>
          <w:b/>
          <w:sz w:val="24"/>
          <w:szCs w:val="24"/>
        </w:rPr>
        <w:t>项目二</w:t>
      </w:r>
      <w:r>
        <w:rPr>
          <w:rFonts w:hint="eastAsia" w:ascii="宋体" w:hAnsi="宋体" w:cs="宋体"/>
          <w:b/>
          <w:sz w:val="24"/>
          <w:szCs w:val="24"/>
          <w:lang w:eastAsia="zh-CN"/>
        </w:rPr>
        <w:t>：</w:t>
      </w:r>
      <w:r>
        <w:rPr>
          <w:rFonts w:hint="eastAsia" w:ascii="宋体" w:hAnsi="宋体" w:cs="宋体"/>
          <w:b/>
          <w:sz w:val="24"/>
          <w:szCs w:val="24"/>
          <w:lang w:val="en-US" w:eastAsia="zh-CN"/>
        </w:rPr>
        <w:t>沥滘分公司</w:t>
      </w:r>
    </w:p>
    <w:p>
      <w:pPr>
        <w:rPr>
          <w:rFonts w:ascii="宋体" w:hAnsi="宋体" w:cs="宋体"/>
          <w:b/>
          <w:sz w:val="24"/>
          <w:szCs w:val="24"/>
        </w:rPr>
      </w:pPr>
    </w:p>
    <w:p>
      <w:pPr>
        <w:pStyle w:val="2"/>
        <w:rPr>
          <w:rFonts w:hint="default"/>
          <w:highlight w:val="none"/>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bl>
    <w:p>
      <w:pPr>
        <w:pStyle w:val="2"/>
        <w:rPr>
          <w:rFonts w:hint="eastAsia" w:ascii="宋体" w:hAnsi="宋体" w:cs="宋体"/>
          <w:sz w:val="24"/>
          <w:szCs w:val="24"/>
          <w:highlight w:val="none"/>
        </w:rPr>
      </w:pPr>
    </w:p>
    <w:tbl>
      <w:tblPr>
        <w:tblStyle w:val="18"/>
        <w:tblpPr w:leftFromText="180" w:rightFromText="180" w:vertAnchor="text" w:horzAnchor="page" w:tblpX="1104" w:tblpY="717"/>
        <w:tblOverlap w:val="never"/>
        <w:tblW w:w="9384" w:type="dxa"/>
        <w:tblInd w:w="0" w:type="dxa"/>
        <w:shd w:val="clear" w:color="auto" w:fill="auto"/>
        <w:tblLayout w:type="autofit"/>
        <w:tblCellMar>
          <w:top w:w="0" w:type="dxa"/>
          <w:left w:w="0" w:type="dxa"/>
          <w:bottom w:w="0" w:type="dxa"/>
          <w:right w:w="0" w:type="dxa"/>
        </w:tblCellMar>
      </w:tblPr>
      <w:tblGrid>
        <w:gridCol w:w="689"/>
        <w:gridCol w:w="1346"/>
        <w:gridCol w:w="3044"/>
        <w:gridCol w:w="693"/>
        <w:gridCol w:w="1204"/>
        <w:gridCol w:w="1204"/>
        <w:gridCol w:w="1204"/>
      </w:tblGrid>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sz w:val="20"/>
                <w:szCs w:val="20"/>
                <w:highlight w:val="none"/>
              </w:rPr>
              <w:t>综合单价</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kern w:val="0"/>
                <w:sz w:val="20"/>
                <w:szCs w:val="20"/>
                <w:highlight w:val="none"/>
              </w:rPr>
              <w:t>综合总价</w:t>
            </w: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厂区设备设施防腐</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措施项目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高层施工增架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脚手架搭架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hint="eastAsia" w:ascii="宋体" w:hAnsi="宋体" w:cs="宋体"/>
          <w:sz w:val="24"/>
          <w:szCs w:val="24"/>
          <w:highlight w:val="none"/>
        </w:rPr>
      </w:pPr>
    </w:p>
    <w:p>
      <w:pPr>
        <w:spacing w:line="360" w:lineRule="auto"/>
        <w:rPr>
          <w:rFonts w:hint="eastAsia" w:ascii="宋体" w:hAnsi="宋体" w:cs="宋体"/>
          <w:b/>
          <w:bCs/>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bl>
    <w:p>
      <w:pPr>
        <w:pStyle w:val="2"/>
        <w:rPr>
          <w:rFonts w:ascii="宋体" w:hAnsi="宋体" w:cs="宋体"/>
          <w:b/>
          <w:sz w:val="24"/>
          <w:szCs w:val="24"/>
        </w:rPr>
      </w:pPr>
    </w:p>
    <w:p>
      <w:pPr>
        <w:rPr>
          <w:rFonts w:hint="eastAsia" w:ascii="宋体" w:hAnsi="宋体" w:cs="宋体"/>
          <w:b/>
          <w:sz w:val="24"/>
          <w:szCs w:val="24"/>
          <w:lang w:val="en-US" w:eastAsia="zh-CN"/>
        </w:rPr>
      </w:pPr>
      <w:r>
        <w:rPr>
          <w:rFonts w:hint="eastAsia" w:ascii="宋体" w:hAnsi="宋体" w:cs="宋体"/>
          <w:b/>
          <w:sz w:val="24"/>
          <w:szCs w:val="24"/>
        </w:rPr>
        <w:t>项目三</w:t>
      </w:r>
      <w:r>
        <w:rPr>
          <w:rFonts w:hint="eastAsia" w:ascii="宋体" w:hAnsi="宋体" w:cs="宋体"/>
          <w:b/>
          <w:sz w:val="24"/>
          <w:szCs w:val="24"/>
          <w:lang w:eastAsia="zh-CN"/>
        </w:rPr>
        <w:t>：</w:t>
      </w:r>
      <w:r>
        <w:rPr>
          <w:rFonts w:hint="eastAsia" w:ascii="宋体" w:hAnsi="宋体" w:cs="宋体"/>
          <w:b/>
          <w:sz w:val="24"/>
          <w:szCs w:val="24"/>
          <w:lang w:val="en-US" w:eastAsia="zh-CN"/>
        </w:rPr>
        <w:t>猎德分公司</w:t>
      </w:r>
    </w:p>
    <w:p>
      <w:pPr>
        <w:pStyle w:val="2"/>
        <w:rPr>
          <w:rFonts w:hint="default"/>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ascii="宋体" w:hAnsi="宋体" w:cs="宋体"/>
          <w:sz w:val="24"/>
          <w:szCs w:val="24"/>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346"/>
        <w:gridCol w:w="3044"/>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lang w:bidi="ar"/>
              </w:rPr>
            </w:pP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ascii="宋体" w:hAnsi="宋体" w:cs="宋体"/>
                <w:color w:val="000000"/>
                <w:sz w:val="20"/>
                <w:szCs w:val="20"/>
                <w:highlight w:val="yellow"/>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PC耐力板拆除</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1.原有PC耐力板拆除</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10800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拆除废料外运</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1：运距：20Km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2.运输方式：人工从池体搬运至指定对方地点，人工装自卸汽车外运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m3</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44.8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1.规格：PC耐力板</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2.型号：4mm</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5600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1.规格：PC耐力板</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2.型号：4mm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3.只计安装费，不计主材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p>
            <w:pPr>
              <w:widowControl/>
              <w:jc w:val="center"/>
              <w:textAlignment w:val="center"/>
              <w:rPr>
                <w:rFonts w:hint="eastAsia" w:ascii="宋体" w:hAnsi="宋体" w:cs="宋体"/>
                <w:color w:val="000000"/>
                <w:kern w:val="0"/>
                <w:sz w:val="20"/>
                <w:szCs w:val="20"/>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5200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原有骨架上方新增檩条</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1.钢材品种、规格：碳钢方管40*20*2mm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2.金属结构场内运输</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t</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27.44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金属钢骨架刷油</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1.磨光机除锈 管道、外壁</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2.喷无机富锌底漆 一遍</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3.机喷环氧富锌漆 防锈漆一遍</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4.喷环氧富锌底漆（封闭漆）一遍</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4725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爬梯预留孔洞制作、安装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1.名称：爬梯预留孔制作、安装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2.规格700*700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取样口制作、安装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1.名称：取样观察口制作、安装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2.规格：400*400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进风管预留孔洞制作、安装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1.名称：进风管预留孔洞制作、安装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2.规格：500*500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0%；省级文明工地2.</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赶工措施费=（1-δ）*分部分项（人工费+施工机具费）*0.3（0.8≤δ＜1   式中：δ=合同工期/定额工期）</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按经批准的施工组织设计方案计算</w:t>
            </w:r>
          </w:p>
        </w:tc>
      </w:tr>
      <w:tr>
        <w:tblPrEx>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ascii="宋体" w:hAnsi="宋体" w:cs="宋体"/>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ascii="宋体" w:hAnsi="宋体" w:cs="宋体"/>
          <w:sz w:val="24"/>
          <w:szCs w:val="24"/>
        </w:rPr>
      </w:pPr>
    </w:p>
    <w:p>
      <w:pPr>
        <w:spacing w:line="360" w:lineRule="auto"/>
        <w:rPr>
          <w:rFonts w:hint="eastAsia" w:ascii="宋体" w:hAnsi="宋体" w:cs="宋体"/>
          <w:b/>
          <w:bCs/>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ascii="宋体" w:hAnsi="宋体" w:cs="宋体"/>
          <w:b/>
          <w:bCs/>
          <w:sz w:val="24"/>
          <w:szCs w:val="24"/>
        </w:rPr>
      </w:pPr>
      <w:r>
        <w:rPr>
          <w:rFonts w:hint="eastAsia" w:ascii="宋体" w:hAnsi="宋体" w:cs="宋体"/>
          <w:b/>
          <w:bCs/>
          <w:sz w:val="24"/>
          <w:szCs w:val="24"/>
        </w:rPr>
        <w:t>附件5 ：项目投入人员架构表/应急救援物资清单</w:t>
      </w: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cs="宋体"/>
          <w:b/>
          <w:bCs/>
          <w:sz w:val="24"/>
          <w:szCs w:val="24"/>
        </w:rPr>
      </w:pPr>
      <w:r>
        <w:rPr>
          <w:rFonts w:hint="eastAsia" w:ascii="宋体" w:hAnsi="宋体" w:cs="宋体"/>
          <w:b/>
          <w:sz w:val="24"/>
          <w:szCs w:val="24"/>
        </w:rPr>
        <w:t>拟投入工程人员配备响应表</w:t>
      </w:r>
    </w:p>
    <w:tbl>
      <w:tblPr>
        <w:tblStyle w:val="18"/>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b/>
          <w:bCs/>
          <w:sz w:val="24"/>
          <w:szCs w:val="24"/>
        </w:rPr>
        <w:t>注： 本表作为合同附件，其内容必须是真实有效。</w:t>
      </w: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cs="宋体"/>
          <w:b/>
          <w:sz w:val="24"/>
          <w:szCs w:val="24"/>
        </w:rPr>
      </w:pPr>
      <w:r>
        <w:rPr>
          <w:rFonts w:hint="eastAsia" w:ascii="宋体" w:hAnsi="宋体" w:cs="宋体"/>
          <w:b/>
          <w:sz w:val="24"/>
          <w:szCs w:val="24"/>
        </w:rPr>
        <w:t>应急救援物资清单</w:t>
      </w:r>
    </w:p>
    <w:p>
      <w:pPr>
        <w:jc w:val="center"/>
        <w:rPr>
          <w:rFonts w:ascii="宋体" w:hAnsi="宋体" w:cs="宋体"/>
          <w:sz w:val="24"/>
          <w:szCs w:val="24"/>
        </w:rPr>
      </w:pPr>
    </w:p>
    <w:tbl>
      <w:tblPr>
        <w:tblStyle w:val="18"/>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序号</w:t>
            </w:r>
          </w:p>
        </w:tc>
        <w:tc>
          <w:tcPr>
            <w:tcW w:w="5386"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设备/材料名称（规格）</w:t>
            </w:r>
          </w:p>
        </w:tc>
        <w:tc>
          <w:tcPr>
            <w:tcW w:w="1025"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单位</w:t>
            </w:r>
          </w:p>
        </w:tc>
        <w:tc>
          <w:tcPr>
            <w:tcW w:w="982"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1</w:t>
            </w:r>
          </w:p>
        </w:tc>
        <w:tc>
          <w:tcPr>
            <w:tcW w:w="5386"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安全帽</w:t>
            </w:r>
          </w:p>
        </w:tc>
        <w:tc>
          <w:tcPr>
            <w:tcW w:w="1025" w:type="dxa"/>
            <w:vAlign w:val="center"/>
          </w:tcPr>
          <w:p>
            <w:pPr>
              <w:jc w:val="center"/>
              <w:rPr>
                <w:rFonts w:ascii="宋体" w:hAnsi="宋体" w:cs="宋体"/>
                <w:sz w:val="24"/>
                <w:szCs w:val="24"/>
              </w:rPr>
            </w:pPr>
            <w:r>
              <w:rPr>
                <w:rFonts w:hint="eastAsia" w:ascii="宋体" w:hAnsi="宋体" w:cs="宋体"/>
                <w:sz w:val="24"/>
                <w:szCs w:val="24"/>
              </w:rPr>
              <w:t>顶</w:t>
            </w:r>
          </w:p>
        </w:tc>
        <w:tc>
          <w:tcPr>
            <w:tcW w:w="982"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2</w:t>
            </w:r>
          </w:p>
        </w:tc>
        <w:tc>
          <w:tcPr>
            <w:tcW w:w="5386" w:type="dxa"/>
            <w:vAlign w:val="center"/>
          </w:tcPr>
          <w:p>
            <w:pPr>
              <w:jc w:val="center"/>
              <w:rPr>
                <w:rFonts w:ascii="宋体" w:hAnsi="宋体" w:cs="宋体"/>
                <w:sz w:val="24"/>
                <w:szCs w:val="24"/>
              </w:rPr>
            </w:pPr>
            <w:r>
              <w:rPr>
                <w:rFonts w:hint="eastAsia" w:ascii="宋体" w:hAnsi="宋体" w:cs="宋体"/>
                <w:sz w:val="24"/>
                <w:szCs w:val="24"/>
              </w:rPr>
              <w:t>安全带（五点式）</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3</w:t>
            </w:r>
          </w:p>
        </w:tc>
        <w:tc>
          <w:tcPr>
            <w:tcW w:w="5386" w:type="dxa"/>
            <w:vAlign w:val="center"/>
          </w:tcPr>
          <w:p>
            <w:pPr>
              <w:jc w:val="center"/>
              <w:rPr>
                <w:rFonts w:ascii="宋体" w:hAnsi="宋体" w:cs="宋体"/>
                <w:sz w:val="24"/>
                <w:szCs w:val="24"/>
              </w:rPr>
            </w:pPr>
            <w:r>
              <w:rPr>
                <w:rFonts w:hint="eastAsia" w:ascii="宋体" w:hAnsi="宋体" w:cs="宋体"/>
                <w:sz w:val="24"/>
                <w:szCs w:val="24"/>
              </w:rPr>
              <w:t>担架</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4</w:t>
            </w:r>
          </w:p>
        </w:tc>
        <w:tc>
          <w:tcPr>
            <w:tcW w:w="5386" w:type="dxa"/>
            <w:vAlign w:val="center"/>
          </w:tcPr>
          <w:p>
            <w:pPr>
              <w:tabs>
                <w:tab w:val="left" w:pos="1719"/>
              </w:tabs>
              <w:jc w:val="center"/>
              <w:rPr>
                <w:rFonts w:ascii="宋体" w:hAnsi="宋体" w:cs="宋体"/>
                <w:sz w:val="24"/>
                <w:szCs w:val="24"/>
              </w:rPr>
            </w:pPr>
            <w:r>
              <w:rPr>
                <w:rFonts w:hint="eastAsia" w:ascii="宋体" w:hAnsi="宋体" w:cs="宋体"/>
                <w:sz w:val="24"/>
                <w:szCs w:val="24"/>
              </w:rPr>
              <w:t>医药急救箱</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5</w:t>
            </w:r>
          </w:p>
        </w:tc>
        <w:tc>
          <w:tcPr>
            <w:tcW w:w="5386" w:type="dxa"/>
            <w:vAlign w:val="center"/>
          </w:tcPr>
          <w:p>
            <w:pPr>
              <w:jc w:val="center"/>
              <w:rPr>
                <w:rFonts w:ascii="宋体" w:hAnsi="宋体" w:cs="宋体"/>
                <w:sz w:val="24"/>
                <w:szCs w:val="24"/>
              </w:rPr>
            </w:pPr>
            <w:r>
              <w:rPr>
                <w:rFonts w:hint="eastAsia" w:ascii="宋体" w:hAnsi="宋体" w:cs="宋体"/>
                <w:sz w:val="24"/>
                <w:szCs w:val="24"/>
              </w:rPr>
              <w:t>四合一气体检测仪（氧气、CO、硫化氢、可燃气体）</w:t>
            </w:r>
          </w:p>
        </w:tc>
        <w:tc>
          <w:tcPr>
            <w:tcW w:w="1025" w:type="dxa"/>
            <w:vAlign w:val="center"/>
          </w:tcPr>
          <w:p>
            <w:pPr>
              <w:jc w:val="center"/>
              <w:rPr>
                <w:rFonts w:ascii="宋体" w:hAnsi="宋体" w:cs="宋体"/>
                <w:sz w:val="24"/>
                <w:szCs w:val="24"/>
              </w:rPr>
            </w:pPr>
            <w:r>
              <w:rPr>
                <w:rFonts w:hint="eastAsia" w:ascii="宋体" w:hAnsi="宋体" w:cs="宋体"/>
                <w:sz w:val="24"/>
                <w:szCs w:val="24"/>
              </w:rPr>
              <w:t>台</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6</w:t>
            </w:r>
          </w:p>
        </w:tc>
        <w:tc>
          <w:tcPr>
            <w:tcW w:w="5386" w:type="dxa"/>
            <w:vAlign w:val="center"/>
          </w:tcPr>
          <w:p>
            <w:pPr>
              <w:jc w:val="center"/>
              <w:rPr>
                <w:rFonts w:ascii="宋体" w:hAnsi="宋体" w:cs="宋体"/>
                <w:sz w:val="24"/>
                <w:szCs w:val="24"/>
              </w:rPr>
            </w:pPr>
            <w:r>
              <w:rPr>
                <w:rFonts w:hint="eastAsia" w:ascii="宋体" w:hAnsi="宋体" w:cs="宋体"/>
                <w:sz w:val="24"/>
                <w:szCs w:val="24"/>
              </w:rPr>
              <w:t>正压式呼吸器</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7</w:t>
            </w:r>
          </w:p>
        </w:tc>
        <w:tc>
          <w:tcPr>
            <w:tcW w:w="5386" w:type="dxa"/>
            <w:vAlign w:val="center"/>
          </w:tcPr>
          <w:p>
            <w:pPr>
              <w:jc w:val="center"/>
              <w:rPr>
                <w:rFonts w:ascii="宋体" w:hAnsi="宋体" w:cs="宋体"/>
                <w:sz w:val="24"/>
                <w:szCs w:val="24"/>
              </w:rPr>
            </w:pPr>
            <w:r>
              <w:rPr>
                <w:rFonts w:hint="eastAsia" w:ascii="宋体" w:hAnsi="宋体" w:cs="宋体"/>
                <w:sz w:val="24"/>
                <w:szCs w:val="24"/>
              </w:rPr>
              <w:t>轴流风机（配套10米风管）</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8</w:t>
            </w:r>
          </w:p>
        </w:tc>
        <w:tc>
          <w:tcPr>
            <w:tcW w:w="5386" w:type="dxa"/>
            <w:vAlign w:val="center"/>
          </w:tcPr>
          <w:p>
            <w:pPr>
              <w:jc w:val="center"/>
              <w:rPr>
                <w:rFonts w:ascii="宋体" w:hAnsi="宋体" w:cs="宋体"/>
                <w:sz w:val="24"/>
                <w:szCs w:val="24"/>
              </w:rPr>
            </w:pPr>
            <w:r>
              <w:rPr>
                <w:rFonts w:hint="eastAsia" w:ascii="宋体" w:hAnsi="宋体" w:cs="宋体"/>
                <w:sz w:val="24"/>
                <w:szCs w:val="24"/>
              </w:rPr>
              <w:t>救援绳（15米）</w:t>
            </w:r>
          </w:p>
        </w:tc>
        <w:tc>
          <w:tcPr>
            <w:tcW w:w="1025" w:type="dxa"/>
            <w:vAlign w:val="center"/>
          </w:tcPr>
          <w:p>
            <w:pPr>
              <w:jc w:val="center"/>
              <w:rPr>
                <w:rFonts w:ascii="宋体" w:hAnsi="宋体" w:cs="宋体"/>
                <w:sz w:val="24"/>
                <w:szCs w:val="24"/>
              </w:rPr>
            </w:pPr>
            <w:r>
              <w:rPr>
                <w:rFonts w:hint="eastAsia" w:ascii="宋体" w:hAnsi="宋体" w:cs="宋体"/>
                <w:sz w:val="24"/>
                <w:szCs w:val="24"/>
              </w:rPr>
              <w:t>条</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9</w:t>
            </w:r>
          </w:p>
        </w:tc>
        <w:tc>
          <w:tcPr>
            <w:tcW w:w="5386" w:type="dxa"/>
            <w:vAlign w:val="center"/>
          </w:tcPr>
          <w:p>
            <w:pPr>
              <w:jc w:val="center"/>
              <w:rPr>
                <w:rFonts w:ascii="宋体" w:hAnsi="宋体" w:cs="宋体"/>
                <w:sz w:val="24"/>
                <w:szCs w:val="24"/>
              </w:rPr>
            </w:pPr>
            <w:r>
              <w:rPr>
                <w:rFonts w:hint="eastAsia" w:ascii="宋体" w:hAnsi="宋体" w:cs="宋体"/>
                <w:sz w:val="24"/>
                <w:szCs w:val="24"/>
              </w:rPr>
              <w:t>头灯/手电筒</w:t>
            </w:r>
          </w:p>
        </w:tc>
        <w:tc>
          <w:tcPr>
            <w:tcW w:w="1025" w:type="dxa"/>
            <w:vAlign w:val="center"/>
          </w:tcPr>
          <w:p>
            <w:pPr>
              <w:jc w:val="center"/>
              <w:rPr>
                <w:rFonts w:ascii="宋体" w:hAnsi="宋体" w:cs="宋体"/>
                <w:sz w:val="24"/>
                <w:szCs w:val="24"/>
              </w:rPr>
            </w:pPr>
            <w:r>
              <w:rPr>
                <w:rFonts w:hint="eastAsia" w:ascii="宋体" w:hAnsi="宋体" w:cs="宋体"/>
                <w:sz w:val="24"/>
                <w:szCs w:val="24"/>
              </w:rPr>
              <w:t>个</w:t>
            </w:r>
          </w:p>
        </w:tc>
        <w:tc>
          <w:tcPr>
            <w:tcW w:w="982" w:type="dxa"/>
            <w:vAlign w:val="center"/>
          </w:tcPr>
          <w:p>
            <w:pPr>
              <w:jc w:val="center"/>
              <w:rPr>
                <w:rFonts w:ascii="宋体" w:hAnsi="宋体" w:cs="宋体"/>
                <w:sz w:val="24"/>
                <w:szCs w:val="24"/>
              </w:rPr>
            </w:pPr>
            <w:r>
              <w:rPr>
                <w:rFonts w:hint="eastAsia" w:ascii="宋体" w:hAnsi="宋体" w:cs="宋体"/>
                <w:sz w:val="24"/>
                <w:szCs w:val="24"/>
              </w:rPr>
              <w:t>4</w:t>
            </w:r>
          </w:p>
        </w:tc>
      </w:tr>
    </w:tbl>
    <w:p>
      <w:pPr>
        <w:spacing w:line="360" w:lineRule="auto"/>
        <w:jc w:val="left"/>
        <w:rPr>
          <w:rFonts w:ascii="宋体" w:hAnsi="宋体" w:cs="宋体"/>
          <w:b/>
          <w:bCs/>
          <w:szCs w:val="21"/>
        </w:rPr>
      </w:pPr>
    </w:p>
    <w:p>
      <w:pPr>
        <w:spacing w:line="360" w:lineRule="auto"/>
        <w:rPr>
          <w:rFonts w:ascii="宋体"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spacing w:line="360" w:lineRule="auto"/>
        <w:rPr>
          <w:rFonts w:ascii="宋体" w:hAnsi="宋体"/>
          <w:b/>
          <w:sz w:val="20"/>
        </w:rPr>
      </w:pPr>
      <w:r>
        <w:rPr>
          <w:rFonts w:hint="eastAsia" w:ascii="宋体" w:hAnsi="宋体"/>
          <w:b/>
          <w:sz w:val="20"/>
        </w:rPr>
        <w:t xml:space="preserve">附件6 </w:t>
      </w:r>
    </w:p>
    <w:p>
      <w:pPr>
        <w:spacing w:line="360" w:lineRule="auto"/>
        <w:jc w:val="center"/>
        <w:rPr>
          <w:rFonts w:ascii="宋体" w:hAnsi="宋体"/>
          <w:b/>
          <w:sz w:val="20"/>
        </w:rPr>
      </w:pPr>
      <w:r>
        <w:rPr>
          <w:rFonts w:hint="eastAsia"/>
          <w:b/>
          <w:bCs/>
          <w:sz w:val="28"/>
          <w:szCs w:val="28"/>
        </w:rPr>
        <w:t>大坦沙分公司厂区污水廊道墙壁修复及设备设施防腐实施内容</w:t>
      </w:r>
    </w:p>
    <w:p>
      <w:pPr>
        <w:spacing w:line="360" w:lineRule="auto"/>
        <w:ind w:firstLine="560" w:firstLineChars="200"/>
        <w:rPr>
          <w:sz w:val="28"/>
          <w:szCs w:val="28"/>
        </w:rPr>
      </w:pPr>
    </w:p>
    <w:p>
      <w:pPr>
        <w:spacing w:line="360" w:lineRule="auto"/>
        <w:ind w:firstLine="560" w:firstLineChars="200"/>
        <w:rPr>
          <w:sz w:val="28"/>
          <w:szCs w:val="28"/>
        </w:rPr>
      </w:pPr>
      <w:r>
        <w:rPr>
          <w:rFonts w:hint="eastAsia"/>
          <w:sz w:val="28"/>
          <w:szCs w:val="28"/>
        </w:rPr>
        <w:t>1.池体修复</w:t>
      </w:r>
    </w:p>
    <w:p>
      <w:pPr>
        <w:spacing w:line="360" w:lineRule="auto"/>
        <w:ind w:firstLine="560" w:firstLineChars="200"/>
        <w:rPr>
          <w:sz w:val="28"/>
          <w:szCs w:val="28"/>
        </w:rPr>
      </w:pPr>
      <w:r>
        <w:rPr>
          <w:rFonts w:hint="eastAsia"/>
          <w:sz w:val="28"/>
          <w:szCs w:val="28"/>
        </w:rPr>
        <w:t>（1）本次池体修复共分一期平流沉砂池、格栅间及三期1号反应池进水渠闸孔及进水口超越闸孔三处位置，共中一期平流沉砂池采用分两段停水方法，每段工期4天，只修复内壁（1米水上部分），顶部是不锈钢盖板作模板，本次不需修复；格栅间采用超越的方法，工期7天，不涉及停水，内壁（水上部分1.5米）及顶部均需修复，由于池内3.8~8.7米不等，需搭建单排钢脚手架；三期1号反应池进水渠闸孔及进水口超越闸孔为10个 5*1.1米及2个1.8*1.5米井口组成，内壁（水上部分1米）及顶部均需修复。</w:t>
      </w:r>
    </w:p>
    <w:p>
      <w:pPr>
        <w:spacing w:line="360" w:lineRule="auto"/>
        <w:ind w:firstLine="560" w:firstLineChars="200"/>
        <w:rPr>
          <w:sz w:val="28"/>
          <w:szCs w:val="28"/>
        </w:rPr>
      </w:pPr>
      <w:r>
        <w:rPr>
          <w:rFonts w:hint="eastAsia"/>
          <w:sz w:val="28"/>
          <w:szCs w:val="28"/>
        </w:rPr>
        <w:t>（2）超高压喷水处理/湿喷射处理，用于喷射处理至表面无悬挂物，表面处理过程中暴露的表面缺陷(如钢筋外露)，应该以适当的方式打磨处理；池顶及池壁(顶以下1~1.5M)部进行加固修复(钉钢丝网)，池壁(顶以下1~1.5M)喷涂卫盾R3防腐特种砂浆，厚度为2CM；池顶喷喷涂卫盾R3防腐特种砂浆，厚度为3CM。</w:t>
      </w:r>
    </w:p>
    <w:p>
      <w:pPr>
        <w:spacing w:line="360" w:lineRule="auto"/>
        <w:ind w:firstLine="560" w:firstLineChars="200"/>
        <w:rPr>
          <w:sz w:val="28"/>
          <w:szCs w:val="28"/>
        </w:rPr>
      </w:pPr>
      <w:r>
        <w:rPr>
          <w:rFonts w:hint="eastAsia"/>
          <w:sz w:val="28"/>
          <w:szCs w:val="28"/>
        </w:rPr>
        <w:t>2.设备设施防腐</w:t>
      </w:r>
    </w:p>
    <w:p>
      <w:pPr>
        <w:spacing w:line="360" w:lineRule="auto"/>
        <w:ind w:firstLine="560" w:firstLineChars="200"/>
        <w:rPr>
          <w:sz w:val="28"/>
          <w:szCs w:val="28"/>
        </w:rPr>
      </w:pPr>
      <w:r>
        <w:rPr>
          <w:rFonts w:hint="eastAsia"/>
          <w:sz w:val="28"/>
          <w:szCs w:val="28"/>
        </w:rPr>
        <w:t>设备设施防腐不涉及停水，可安排在日常天气好时施工。</w:t>
      </w:r>
    </w:p>
    <w:p>
      <w:pPr>
        <w:spacing w:line="360" w:lineRule="auto"/>
        <w:ind w:firstLine="560" w:firstLineChars="200"/>
        <w:rPr>
          <w:sz w:val="28"/>
          <w:szCs w:val="28"/>
        </w:rPr>
      </w:pPr>
      <w:r>
        <w:rPr>
          <w:rFonts w:hint="eastAsia"/>
          <w:sz w:val="28"/>
          <w:szCs w:val="28"/>
        </w:rPr>
        <w:t>（1）铲除（打磨）表面腐蚀层及表层油漆并清理干净；</w:t>
      </w:r>
    </w:p>
    <w:p>
      <w:pPr>
        <w:spacing w:line="360" w:lineRule="auto"/>
        <w:ind w:firstLine="560" w:firstLineChars="200"/>
        <w:rPr>
          <w:sz w:val="28"/>
          <w:szCs w:val="28"/>
        </w:rPr>
      </w:pPr>
      <w:r>
        <w:rPr>
          <w:rFonts w:hint="eastAsia"/>
          <w:sz w:val="28"/>
          <w:szCs w:val="28"/>
        </w:rPr>
        <w:t>（2）底漆一遍（覆盖表面）；</w:t>
      </w:r>
    </w:p>
    <w:p>
      <w:pPr>
        <w:spacing w:line="360" w:lineRule="auto"/>
        <w:ind w:firstLine="560" w:firstLineChars="200"/>
        <w:rPr>
          <w:sz w:val="28"/>
          <w:szCs w:val="28"/>
        </w:rPr>
      </w:pPr>
      <w:r>
        <w:rPr>
          <w:rFonts w:hint="eastAsia"/>
          <w:sz w:val="28"/>
          <w:szCs w:val="28"/>
        </w:rPr>
        <w:t>（3）面漆两遍；</w:t>
      </w:r>
    </w:p>
    <w:p>
      <w:pPr>
        <w:spacing w:line="360" w:lineRule="auto"/>
        <w:ind w:firstLine="560" w:firstLineChars="200"/>
        <w:rPr>
          <w:sz w:val="20"/>
          <w:szCs w:val="18"/>
        </w:rPr>
      </w:pPr>
      <w:r>
        <w:rPr>
          <w:rFonts w:hint="eastAsia"/>
          <w:sz w:val="28"/>
          <w:szCs w:val="28"/>
        </w:rPr>
        <w:t>（4）底漆、面漆总厚度不少于270μm。</w:t>
      </w:r>
    </w:p>
    <w:p>
      <w:pPr>
        <w:spacing w:line="360" w:lineRule="auto"/>
        <w:ind w:firstLine="560" w:firstLineChars="200"/>
        <w:rPr>
          <w:sz w:val="28"/>
          <w:szCs w:val="28"/>
        </w:rPr>
      </w:pPr>
      <w:r>
        <w:rPr>
          <w:rFonts w:hint="eastAsia"/>
          <w:sz w:val="28"/>
          <w:szCs w:val="28"/>
        </w:rPr>
        <w:t>3.由于池体修复涉及临电及有限空间施工，必须严格按照净水公司安全操作规程进行施工。</w:t>
      </w:r>
    </w:p>
    <w:p>
      <w:pPr>
        <w:spacing w:line="360" w:lineRule="auto"/>
        <w:rPr>
          <w:rFonts w:ascii="宋体" w:hAnsi="宋体"/>
          <w:b/>
          <w:sz w:val="20"/>
        </w:rPr>
      </w:pPr>
    </w:p>
    <w:p>
      <w:pPr>
        <w:spacing w:line="360" w:lineRule="auto"/>
        <w:rPr>
          <w:rFonts w:ascii="宋体" w:hAnsi="宋体"/>
          <w:b/>
          <w:sz w:val="20"/>
        </w:rPr>
      </w:pPr>
      <w:r>
        <w:rPr>
          <w:rFonts w:hint="eastAsia" w:ascii="宋体" w:hAnsi="宋体"/>
          <w:b/>
          <w:sz w:val="20"/>
        </w:rPr>
        <w:t>附件7</w:t>
      </w:r>
    </w:p>
    <w:p>
      <w:pPr>
        <w:spacing w:line="360" w:lineRule="auto"/>
        <w:jc w:val="center"/>
        <w:rPr>
          <w:rFonts w:ascii="宋体" w:hAnsi="宋体"/>
          <w:b/>
          <w:sz w:val="20"/>
        </w:rPr>
      </w:pPr>
      <w:r>
        <w:rPr>
          <w:rFonts w:hint="eastAsia"/>
          <w:b/>
          <w:bCs/>
          <w:sz w:val="28"/>
          <w:szCs w:val="28"/>
        </w:rPr>
        <w:t>沥滘分公司厂区设备设施防腐大修实施内容</w:t>
      </w:r>
    </w:p>
    <w:p>
      <w:pPr>
        <w:spacing w:line="360" w:lineRule="auto"/>
        <w:ind w:firstLine="560" w:firstLineChars="200"/>
        <w:rPr>
          <w:sz w:val="28"/>
          <w:szCs w:val="28"/>
        </w:rPr>
      </w:pPr>
    </w:p>
    <w:p>
      <w:pPr>
        <w:spacing w:line="360" w:lineRule="auto"/>
        <w:ind w:firstLine="560" w:firstLineChars="200"/>
        <w:rPr>
          <w:sz w:val="28"/>
          <w:szCs w:val="28"/>
        </w:rPr>
      </w:pPr>
      <w:r>
        <w:rPr>
          <w:rFonts w:hint="eastAsia"/>
          <w:sz w:val="28"/>
          <w:szCs w:val="28"/>
        </w:rPr>
        <w:t>1.钢铁表面处理，由于钢铁表面处理对防腐施工的寿命的影响极大，必须对钢铁表面进行严格处理。钢铁表面的处理根据要求除锈必须达到GB8923《涂装前钢铁表面除锈等级》，除锈前，应先除油，除去毛刺，和旧的涂层，用电动打磨机用砂轮片除锈。</w:t>
      </w:r>
    </w:p>
    <w:p>
      <w:pPr>
        <w:spacing w:line="360" w:lineRule="auto"/>
        <w:ind w:firstLine="560" w:firstLineChars="200"/>
        <w:rPr>
          <w:sz w:val="28"/>
          <w:szCs w:val="28"/>
        </w:rPr>
      </w:pPr>
      <w:r>
        <w:rPr>
          <w:rFonts w:hint="eastAsia"/>
          <w:sz w:val="28"/>
          <w:szCs w:val="28"/>
        </w:rPr>
        <w:t>2.防腐材料施工内容</w:t>
      </w:r>
    </w:p>
    <w:p>
      <w:pPr>
        <w:spacing w:line="360" w:lineRule="auto"/>
        <w:ind w:firstLine="560" w:firstLineChars="200"/>
        <w:rPr>
          <w:sz w:val="28"/>
          <w:szCs w:val="28"/>
        </w:rPr>
      </w:pPr>
      <w:r>
        <w:rPr>
          <w:rFonts w:hint="eastAsia"/>
          <w:sz w:val="28"/>
          <w:szCs w:val="28"/>
        </w:rPr>
        <w:t>（1）环氧富锌底漆，针对防腐要求高基面，采用电化学防腐机械延长防腐寿命。</w:t>
      </w:r>
    </w:p>
    <w:p>
      <w:pPr>
        <w:spacing w:line="360" w:lineRule="auto"/>
        <w:ind w:firstLine="560" w:firstLineChars="200"/>
        <w:rPr>
          <w:sz w:val="28"/>
          <w:szCs w:val="28"/>
        </w:rPr>
      </w:pPr>
      <w:r>
        <w:rPr>
          <w:rFonts w:hint="eastAsia"/>
          <w:sz w:val="28"/>
          <w:szCs w:val="28"/>
        </w:rPr>
        <w:t>（2）环氧云铁底漆两遍，两遍涂层厚度80-100μm，采用个优异防锈底漆，增强钢结构抗腐蚀寿命。</w:t>
      </w:r>
    </w:p>
    <w:p>
      <w:pPr>
        <w:spacing w:line="360" w:lineRule="auto"/>
        <w:ind w:firstLine="560" w:firstLineChars="200"/>
        <w:rPr>
          <w:sz w:val="28"/>
          <w:szCs w:val="28"/>
        </w:rPr>
      </w:pPr>
      <w:r>
        <w:rPr>
          <w:rFonts w:hint="eastAsia"/>
          <w:sz w:val="28"/>
          <w:szCs w:val="28"/>
        </w:rPr>
        <w:t>（3）881CM外用面漆，或881ZM内用面漆涂层。881YM是用是用于外露的钢铁表面。881CM是用于水池内的防腐涂层。881YM外用面漆的涂层涂刷两遍，涂层厚度要求达到80μm。</w:t>
      </w:r>
    </w:p>
    <w:p>
      <w:pPr>
        <w:spacing w:line="360" w:lineRule="auto"/>
        <w:ind w:left="720"/>
        <w:rPr>
          <w:sz w:val="28"/>
          <w:szCs w:val="28"/>
        </w:rPr>
      </w:pPr>
      <w:r>
        <w:rPr>
          <w:rFonts w:hint="eastAsia"/>
          <w:sz w:val="28"/>
          <w:szCs w:val="28"/>
        </w:rPr>
        <w:t>主要技术指标</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2636"/>
        <w:gridCol w:w="1096"/>
        <w:gridCol w:w="1096"/>
        <w:gridCol w:w="54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项目</w:t>
            </w:r>
          </w:p>
        </w:tc>
        <w:tc>
          <w:tcPr>
            <w:tcW w:w="0" w:type="auto"/>
            <w:vAlign w:val="center"/>
          </w:tcPr>
          <w:p>
            <w:pPr>
              <w:jc w:val="center"/>
              <w:rPr>
                <w:rFonts w:ascii="宋体" w:hAnsi="宋体" w:cs="宋体"/>
                <w:sz w:val="22"/>
                <w:szCs w:val="22"/>
              </w:rPr>
            </w:pPr>
            <w:r>
              <w:rPr>
                <w:rFonts w:hint="eastAsia" w:ascii="宋体" w:hAnsi="宋体" w:cs="宋体"/>
                <w:sz w:val="22"/>
                <w:szCs w:val="22"/>
              </w:rPr>
              <w:t>技术指标</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项目</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外观</w:t>
            </w:r>
          </w:p>
        </w:tc>
        <w:tc>
          <w:tcPr>
            <w:tcW w:w="0" w:type="auto"/>
            <w:vAlign w:val="center"/>
          </w:tcPr>
          <w:p>
            <w:pPr>
              <w:jc w:val="center"/>
              <w:rPr>
                <w:rFonts w:ascii="宋体" w:hAnsi="宋体" w:cs="宋体"/>
                <w:sz w:val="22"/>
                <w:szCs w:val="22"/>
              </w:rPr>
            </w:pPr>
            <w:r>
              <w:rPr>
                <w:rFonts w:hint="eastAsia" w:ascii="宋体" w:hAnsi="宋体" w:cs="宋体"/>
                <w:sz w:val="22"/>
                <w:szCs w:val="22"/>
              </w:rPr>
              <w:t>符合标准色卡，平整光滑</w:t>
            </w:r>
          </w:p>
        </w:tc>
        <w:tc>
          <w:tcPr>
            <w:tcW w:w="0" w:type="auto"/>
            <w:vMerge w:val="restart"/>
            <w:vAlign w:val="center"/>
          </w:tcPr>
          <w:p>
            <w:pPr>
              <w:jc w:val="center"/>
              <w:rPr>
                <w:rFonts w:ascii="宋体" w:hAnsi="宋体" w:cs="宋体"/>
                <w:sz w:val="22"/>
                <w:szCs w:val="22"/>
              </w:rPr>
            </w:pPr>
            <w:r>
              <w:rPr>
                <w:rFonts w:hint="eastAsia" w:ascii="宋体" w:hAnsi="宋体" w:cs="宋体"/>
                <w:sz w:val="22"/>
                <w:szCs w:val="22"/>
              </w:rPr>
              <w:t>耐腐蚀性</w:t>
            </w:r>
          </w:p>
        </w:tc>
        <w:tc>
          <w:tcPr>
            <w:tcW w:w="0" w:type="auto"/>
            <w:vAlign w:val="center"/>
          </w:tcPr>
          <w:p>
            <w:pPr>
              <w:jc w:val="center"/>
              <w:rPr>
                <w:rFonts w:ascii="宋体" w:hAnsi="宋体" w:cs="宋体"/>
                <w:sz w:val="22"/>
                <w:szCs w:val="22"/>
              </w:rPr>
            </w:pPr>
            <w:r>
              <w:rPr>
                <w:rFonts w:hint="eastAsia" w:ascii="宋体" w:hAnsi="宋体" w:cs="宋体"/>
                <w:sz w:val="22"/>
                <w:szCs w:val="22"/>
              </w:rPr>
              <w:t>H</w:t>
            </w:r>
            <w:r>
              <w:rPr>
                <w:rFonts w:hint="eastAsia" w:ascii="宋体" w:hAnsi="宋体" w:cs="宋体"/>
                <w:sz w:val="22"/>
                <w:szCs w:val="22"/>
                <w:vertAlign w:val="subscript"/>
              </w:rPr>
              <w:t>2</w:t>
            </w:r>
            <w:r>
              <w:rPr>
                <w:rFonts w:hint="eastAsia" w:ascii="宋体" w:hAnsi="宋体" w:cs="宋体"/>
                <w:sz w:val="22"/>
                <w:szCs w:val="22"/>
              </w:rPr>
              <w:t>SO</w:t>
            </w:r>
            <w:r>
              <w:rPr>
                <w:rFonts w:hint="eastAsia" w:ascii="宋体" w:hAnsi="宋体" w:cs="宋体"/>
                <w:sz w:val="22"/>
                <w:szCs w:val="22"/>
                <w:vertAlign w:val="subscript"/>
              </w:rPr>
              <w:t>4</w:t>
            </w:r>
            <w:r>
              <w:rPr>
                <w:rFonts w:hint="eastAsia" w:ascii="宋体" w:hAnsi="宋体" w:cs="宋体"/>
                <w:sz w:val="22"/>
                <w:szCs w:val="22"/>
              </w:rPr>
              <w:t xml:space="preserve"> 10%</w:t>
            </w:r>
          </w:p>
        </w:tc>
        <w:tc>
          <w:tcPr>
            <w:tcW w:w="0" w:type="auto"/>
            <w:vAlign w:val="center"/>
          </w:tcPr>
          <w:p>
            <w:pPr>
              <w:jc w:val="center"/>
              <w:rPr>
                <w:rFonts w:ascii="宋体" w:hAnsi="宋体" w:cs="宋体"/>
                <w:sz w:val="22"/>
                <w:szCs w:val="22"/>
              </w:rPr>
            </w:pPr>
            <w:r>
              <w:rPr>
                <w:rFonts w:hint="eastAsia" w:ascii="宋体" w:hAnsi="宋体" w:cs="宋体"/>
                <w:sz w:val="22"/>
                <w:szCs w:val="22"/>
              </w:rPr>
              <w:t>3d</w:t>
            </w:r>
          </w:p>
        </w:tc>
        <w:tc>
          <w:tcPr>
            <w:tcW w:w="0" w:type="auto"/>
            <w:vMerge w:val="restart"/>
            <w:vAlign w:val="center"/>
          </w:tcPr>
          <w:p>
            <w:pPr>
              <w:jc w:val="center"/>
              <w:rPr>
                <w:rFonts w:ascii="宋体" w:hAnsi="宋体" w:cs="宋体"/>
                <w:sz w:val="22"/>
                <w:szCs w:val="22"/>
              </w:rPr>
            </w:pPr>
            <w:r>
              <w:rPr>
                <w:rFonts w:hint="eastAsia" w:ascii="宋体" w:hAnsi="宋体" w:cs="宋体"/>
                <w:sz w:val="22"/>
                <w:szCs w:val="22"/>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柔韧性mm</w:t>
            </w:r>
          </w:p>
        </w:tc>
        <w:tc>
          <w:tcPr>
            <w:tcW w:w="0" w:type="auto"/>
            <w:vAlign w:val="center"/>
          </w:tcPr>
          <w:p>
            <w:pPr>
              <w:jc w:val="center"/>
              <w:rPr>
                <w:rFonts w:ascii="宋体" w:hAnsi="宋体" w:cs="宋体"/>
                <w:sz w:val="22"/>
                <w:szCs w:val="22"/>
              </w:rPr>
            </w:pPr>
            <w:r>
              <w:rPr>
                <w:rFonts w:hint="eastAsia" w:ascii="宋体" w:hAnsi="宋体" w:cs="宋体"/>
                <w:sz w:val="22"/>
                <w:szCs w:val="22"/>
              </w:rPr>
              <w:t>≤2</w:t>
            </w:r>
          </w:p>
        </w:tc>
        <w:tc>
          <w:tcPr>
            <w:tcW w:w="0" w:type="auto"/>
            <w:vMerge w:val="continue"/>
            <w:vAlign w:val="center"/>
          </w:tcPr>
          <w:p>
            <w:pPr>
              <w:jc w:val="center"/>
              <w:rPr>
                <w:rFonts w:ascii="宋体" w:hAnsi="宋体" w:cs="宋体"/>
                <w:sz w:val="22"/>
                <w:szCs w:val="22"/>
              </w:rPr>
            </w:pPr>
          </w:p>
        </w:tc>
        <w:tc>
          <w:tcPr>
            <w:tcW w:w="0" w:type="auto"/>
            <w:vAlign w:val="center"/>
          </w:tcPr>
          <w:p>
            <w:pPr>
              <w:jc w:val="center"/>
              <w:rPr>
                <w:rFonts w:ascii="宋体" w:hAnsi="宋体" w:cs="宋体"/>
                <w:sz w:val="22"/>
                <w:szCs w:val="22"/>
              </w:rPr>
            </w:pPr>
            <w:r>
              <w:rPr>
                <w:rFonts w:hint="eastAsia" w:ascii="宋体" w:hAnsi="宋体" w:cs="宋体"/>
                <w:sz w:val="22"/>
                <w:szCs w:val="22"/>
              </w:rPr>
              <w:t>NaOH 10%</w:t>
            </w:r>
          </w:p>
        </w:tc>
        <w:tc>
          <w:tcPr>
            <w:tcW w:w="0" w:type="auto"/>
            <w:vAlign w:val="center"/>
          </w:tcPr>
          <w:p>
            <w:pPr>
              <w:jc w:val="center"/>
              <w:rPr>
                <w:rFonts w:ascii="宋体" w:hAnsi="宋体" w:cs="宋体"/>
                <w:sz w:val="22"/>
                <w:szCs w:val="22"/>
              </w:rPr>
            </w:pPr>
            <w:r>
              <w:rPr>
                <w:rFonts w:hint="eastAsia" w:ascii="宋体" w:hAnsi="宋体" w:cs="宋体"/>
                <w:sz w:val="22"/>
                <w:szCs w:val="22"/>
              </w:rPr>
              <w:t>3d</w:t>
            </w:r>
          </w:p>
        </w:tc>
        <w:tc>
          <w:tcPr>
            <w:tcW w:w="0" w:type="auto"/>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不挥发份</w:t>
            </w:r>
          </w:p>
        </w:tc>
        <w:tc>
          <w:tcPr>
            <w:tcW w:w="0" w:type="auto"/>
            <w:vAlign w:val="center"/>
          </w:tcPr>
          <w:p>
            <w:pPr>
              <w:jc w:val="center"/>
              <w:rPr>
                <w:rFonts w:ascii="宋体" w:hAnsi="宋体" w:cs="宋体"/>
                <w:sz w:val="22"/>
                <w:szCs w:val="22"/>
              </w:rPr>
            </w:pPr>
            <w:r>
              <w:rPr>
                <w:rFonts w:hint="eastAsia" w:ascii="宋体" w:hAnsi="宋体" w:cs="宋体"/>
                <w:sz w:val="22"/>
                <w:szCs w:val="22"/>
              </w:rPr>
              <w:t>≥70%</w:t>
            </w:r>
          </w:p>
        </w:tc>
        <w:tc>
          <w:tcPr>
            <w:tcW w:w="0" w:type="auto"/>
            <w:vMerge w:val="continue"/>
            <w:vAlign w:val="center"/>
          </w:tcPr>
          <w:p>
            <w:pPr>
              <w:jc w:val="center"/>
              <w:rPr>
                <w:rFonts w:ascii="宋体" w:hAnsi="宋体" w:cs="宋体"/>
                <w:sz w:val="22"/>
                <w:szCs w:val="22"/>
              </w:rPr>
            </w:pPr>
          </w:p>
        </w:tc>
        <w:tc>
          <w:tcPr>
            <w:tcW w:w="0" w:type="auto"/>
            <w:vAlign w:val="center"/>
          </w:tcPr>
          <w:p>
            <w:pPr>
              <w:jc w:val="center"/>
              <w:rPr>
                <w:rFonts w:ascii="宋体" w:hAnsi="宋体" w:cs="宋体"/>
                <w:sz w:val="22"/>
                <w:szCs w:val="22"/>
              </w:rPr>
            </w:pPr>
            <w:r>
              <w:rPr>
                <w:rFonts w:hint="eastAsia" w:ascii="宋体" w:hAnsi="宋体" w:cs="宋体"/>
                <w:sz w:val="22"/>
                <w:szCs w:val="22"/>
              </w:rPr>
              <w:t>HCl 3%</w:t>
            </w:r>
          </w:p>
        </w:tc>
        <w:tc>
          <w:tcPr>
            <w:tcW w:w="0" w:type="auto"/>
            <w:vAlign w:val="center"/>
          </w:tcPr>
          <w:p>
            <w:pPr>
              <w:jc w:val="center"/>
              <w:rPr>
                <w:rFonts w:ascii="宋体" w:hAnsi="宋体" w:cs="宋体"/>
                <w:sz w:val="22"/>
                <w:szCs w:val="22"/>
              </w:rPr>
            </w:pPr>
            <w:r>
              <w:rPr>
                <w:rFonts w:hint="eastAsia" w:ascii="宋体" w:hAnsi="宋体" w:cs="宋体"/>
                <w:sz w:val="22"/>
                <w:szCs w:val="22"/>
              </w:rPr>
              <w:t>10d</w:t>
            </w:r>
          </w:p>
        </w:tc>
        <w:tc>
          <w:tcPr>
            <w:tcW w:w="0" w:type="auto"/>
            <w:vMerge w:val="continue"/>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干燥时间(25度)</w:t>
            </w:r>
          </w:p>
        </w:tc>
        <w:tc>
          <w:tcPr>
            <w:tcW w:w="0" w:type="auto"/>
            <w:vAlign w:val="center"/>
          </w:tcPr>
          <w:p>
            <w:pPr>
              <w:jc w:val="center"/>
              <w:rPr>
                <w:rFonts w:ascii="宋体" w:hAnsi="宋体" w:cs="宋体"/>
                <w:sz w:val="22"/>
                <w:szCs w:val="22"/>
              </w:rPr>
            </w:pPr>
            <w:r>
              <w:rPr>
                <w:rFonts w:hint="eastAsia" w:ascii="宋体" w:hAnsi="宋体" w:cs="宋体"/>
                <w:sz w:val="22"/>
                <w:szCs w:val="22"/>
              </w:rPr>
              <w:t>表干≤6h，实干≥24h</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细度μm</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耐冲击性</w:t>
            </w:r>
          </w:p>
        </w:tc>
        <w:tc>
          <w:tcPr>
            <w:tcW w:w="0" w:type="auto"/>
            <w:vAlign w:val="center"/>
          </w:tcPr>
          <w:p>
            <w:pPr>
              <w:jc w:val="center"/>
              <w:rPr>
                <w:rFonts w:ascii="宋体" w:hAnsi="宋体" w:cs="宋体"/>
                <w:sz w:val="22"/>
                <w:szCs w:val="22"/>
              </w:rPr>
            </w:pPr>
            <w:r>
              <w:rPr>
                <w:rFonts w:hint="eastAsia" w:ascii="宋体" w:hAnsi="宋体" w:cs="宋体"/>
                <w:sz w:val="22"/>
                <w:szCs w:val="22"/>
              </w:rPr>
              <w:t>50kg*cm</w:t>
            </w:r>
          </w:p>
        </w:tc>
        <w:tc>
          <w:tcPr>
            <w:tcW w:w="0" w:type="auto"/>
            <w:gridSpan w:val="2"/>
            <w:vAlign w:val="center"/>
          </w:tcPr>
          <w:p>
            <w:pPr>
              <w:jc w:val="center"/>
              <w:rPr>
                <w:rFonts w:ascii="宋体" w:hAnsi="宋体" w:cs="宋体"/>
                <w:sz w:val="22"/>
                <w:szCs w:val="22"/>
              </w:rPr>
            </w:pPr>
          </w:p>
        </w:tc>
        <w:tc>
          <w:tcPr>
            <w:tcW w:w="0" w:type="auto"/>
            <w:gridSpan w:val="2"/>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jc w:val="center"/>
              <w:rPr>
                <w:rFonts w:ascii="宋体" w:hAnsi="宋体" w:cs="宋体"/>
                <w:sz w:val="22"/>
                <w:szCs w:val="22"/>
              </w:rPr>
            </w:pPr>
            <w:r>
              <w:rPr>
                <w:rFonts w:hint="eastAsia" w:ascii="宋体" w:hAnsi="宋体" w:cs="宋体"/>
                <w:sz w:val="22"/>
                <w:szCs w:val="22"/>
              </w:rPr>
              <w:t>附着力级</w:t>
            </w:r>
          </w:p>
        </w:tc>
        <w:tc>
          <w:tcPr>
            <w:tcW w:w="0" w:type="auto"/>
            <w:vAlign w:val="center"/>
          </w:tcPr>
          <w:p>
            <w:pPr>
              <w:jc w:val="center"/>
              <w:rPr>
                <w:rFonts w:ascii="宋体" w:hAnsi="宋体" w:cs="宋体"/>
                <w:sz w:val="22"/>
                <w:szCs w:val="22"/>
              </w:rPr>
            </w:pPr>
            <w:r>
              <w:rPr>
                <w:rFonts w:hint="eastAsia" w:ascii="宋体" w:hAnsi="宋体" w:cs="宋体"/>
                <w:sz w:val="22"/>
                <w:szCs w:val="22"/>
              </w:rPr>
              <w:t>1</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耐温性(℃)</w:t>
            </w:r>
          </w:p>
        </w:tc>
        <w:tc>
          <w:tcPr>
            <w:tcW w:w="0" w:type="auto"/>
            <w:gridSpan w:val="2"/>
            <w:vAlign w:val="center"/>
          </w:tcPr>
          <w:p>
            <w:pPr>
              <w:jc w:val="center"/>
              <w:rPr>
                <w:rFonts w:ascii="宋体" w:hAnsi="宋体" w:cs="宋体"/>
                <w:sz w:val="22"/>
                <w:szCs w:val="22"/>
              </w:rPr>
            </w:pPr>
            <w:r>
              <w:rPr>
                <w:rFonts w:hint="eastAsia" w:ascii="宋体" w:hAnsi="宋体" w:cs="宋体"/>
                <w:sz w:val="22"/>
                <w:szCs w:val="22"/>
              </w:rPr>
              <w:t>-30~+100</w:t>
            </w:r>
          </w:p>
        </w:tc>
      </w:tr>
    </w:tbl>
    <w:p>
      <w:pPr>
        <w:spacing w:line="360" w:lineRule="auto"/>
        <w:ind w:left="720"/>
        <w:rPr>
          <w:sz w:val="28"/>
          <w:szCs w:val="28"/>
        </w:rPr>
      </w:pPr>
      <w:r>
        <w:rPr>
          <w:rFonts w:hint="eastAsia"/>
          <w:sz w:val="28"/>
          <w:szCs w:val="28"/>
        </w:rPr>
        <w:t>3.实施工序</w:t>
      </w:r>
    </w:p>
    <w:p>
      <w:pPr>
        <w:spacing w:line="360" w:lineRule="auto"/>
        <w:ind w:left="720"/>
        <w:rPr>
          <w:sz w:val="28"/>
          <w:szCs w:val="28"/>
        </w:rPr>
      </w:pPr>
      <w:r>
        <w:rPr>
          <w:rFonts w:hint="eastAsia"/>
          <w:sz w:val="28"/>
          <w:szCs w:val="28"/>
        </w:rPr>
        <w:t>（1）按照厂区的规定维修电源做好电源接线工作。</w:t>
      </w:r>
    </w:p>
    <w:p>
      <w:pPr>
        <w:spacing w:line="360" w:lineRule="auto"/>
        <w:ind w:left="720"/>
        <w:rPr>
          <w:sz w:val="28"/>
          <w:szCs w:val="28"/>
        </w:rPr>
      </w:pPr>
      <w:r>
        <w:rPr>
          <w:rFonts w:hint="eastAsia"/>
          <w:sz w:val="28"/>
          <w:szCs w:val="28"/>
        </w:rPr>
        <w:t>（2）使用电动工具除锈时，工作人员必需做好基本的防护工作。</w:t>
      </w:r>
    </w:p>
    <w:p>
      <w:pPr>
        <w:spacing w:line="360" w:lineRule="auto"/>
        <w:ind w:left="720"/>
        <w:rPr>
          <w:sz w:val="28"/>
          <w:szCs w:val="28"/>
        </w:rPr>
      </w:pPr>
      <w:r>
        <w:rPr>
          <w:rFonts w:hint="eastAsia"/>
          <w:sz w:val="28"/>
          <w:szCs w:val="28"/>
        </w:rPr>
        <w:t>（3）除锈工作完成对现场卫生进行清理并铺好三色布。</w:t>
      </w:r>
    </w:p>
    <w:p>
      <w:pPr>
        <w:spacing w:line="360" w:lineRule="auto"/>
        <w:ind w:left="720"/>
        <w:rPr>
          <w:sz w:val="28"/>
          <w:szCs w:val="28"/>
        </w:rPr>
      </w:pPr>
      <w:r>
        <w:rPr>
          <w:rFonts w:hint="eastAsia"/>
          <w:sz w:val="28"/>
          <w:szCs w:val="28"/>
        </w:rPr>
        <w:t>（4）使用环氧底漆对管道进行涂刷第一遍。</w:t>
      </w:r>
    </w:p>
    <w:p>
      <w:pPr>
        <w:spacing w:line="360" w:lineRule="auto"/>
        <w:ind w:left="720"/>
        <w:rPr>
          <w:sz w:val="28"/>
          <w:szCs w:val="28"/>
        </w:rPr>
      </w:pPr>
      <w:r>
        <w:rPr>
          <w:rFonts w:hint="eastAsia"/>
          <w:sz w:val="28"/>
          <w:szCs w:val="28"/>
        </w:rPr>
        <w:t>（5）待底漆凝固后使用防腐漆进行第二遍的涂刷</w:t>
      </w:r>
    </w:p>
    <w:p>
      <w:pPr>
        <w:spacing w:line="360" w:lineRule="auto"/>
        <w:ind w:left="720"/>
        <w:rPr>
          <w:sz w:val="28"/>
          <w:szCs w:val="28"/>
        </w:rPr>
      </w:pPr>
      <w:r>
        <w:rPr>
          <w:rFonts w:hint="eastAsia"/>
          <w:sz w:val="28"/>
          <w:szCs w:val="28"/>
        </w:rPr>
        <w:t>（6）待防腐漆凝固后使用聚氨酯面漆进行第三遍的涂刷。</w:t>
      </w:r>
    </w:p>
    <w:p>
      <w:pPr>
        <w:spacing w:line="360" w:lineRule="auto"/>
        <w:ind w:left="720"/>
        <w:rPr>
          <w:sz w:val="28"/>
          <w:szCs w:val="28"/>
        </w:rPr>
      </w:pPr>
      <w:r>
        <w:rPr>
          <w:rFonts w:hint="eastAsia"/>
          <w:sz w:val="28"/>
          <w:szCs w:val="28"/>
        </w:rPr>
        <w:t>（7）施工完毕后，装运垃圾，清理现场。组织验收。</w:t>
      </w:r>
    </w:p>
    <w:p>
      <w:pPr>
        <w:spacing w:line="360" w:lineRule="auto"/>
        <w:rPr>
          <w:rFonts w:ascii="宋体" w:hAnsi="宋体"/>
          <w:b/>
          <w:sz w:val="20"/>
        </w:rPr>
      </w:pPr>
    </w:p>
    <w:p>
      <w:pPr>
        <w:spacing w:line="360" w:lineRule="auto"/>
        <w:rPr>
          <w:rFonts w:ascii="宋体" w:hAnsi="宋体"/>
          <w:b/>
          <w:sz w:val="20"/>
        </w:rPr>
      </w:pPr>
      <w:r>
        <w:rPr>
          <w:rFonts w:hint="eastAsia" w:ascii="宋体" w:hAnsi="宋体"/>
          <w:b/>
          <w:sz w:val="20"/>
        </w:rPr>
        <w:t>附件8</w:t>
      </w:r>
    </w:p>
    <w:p>
      <w:pPr>
        <w:spacing w:line="360" w:lineRule="auto"/>
        <w:jc w:val="center"/>
        <w:rPr>
          <w:rFonts w:ascii="宋体" w:hAnsi="宋体"/>
          <w:b/>
          <w:sz w:val="20"/>
        </w:rPr>
      </w:pPr>
      <w:r>
        <w:rPr>
          <w:rFonts w:hint="eastAsia"/>
          <w:b/>
          <w:bCs/>
          <w:sz w:val="28"/>
          <w:szCs w:val="28"/>
        </w:rPr>
        <w:t>猎德分公司一期生化池钢骨架防腐及安装盖板实施内容</w:t>
      </w:r>
    </w:p>
    <w:p>
      <w:pPr>
        <w:spacing w:line="360" w:lineRule="auto"/>
        <w:rPr>
          <w:sz w:val="28"/>
          <w:szCs w:val="28"/>
        </w:rPr>
      </w:pPr>
    </w:p>
    <w:p>
      <w:pPr>
        <w:spacing w:line="360" w:lineRule="auto"/>
        <w:ind w:firstLine="560" w:firstLineChars="200"/>
        <w:rPr>
          <w:sz w:val="28"/>
          <w:szCs w:val="28"/>
        </w:rPr>
      </w:pPr>
      <w:r>
        <w:rPr>
          <w:rFonts w:hint="eastAsia"/>
          <w:sz w:val="28"/>
          <w:szCs w:val="28"/>
        </w:rPr>
        <w:t>作业顺序：拆除池面盖板，每个区域严格按磨光机除锈法同一方向逐条进行除锈；每个池除锈工作完成后，通过涂层法对钢骨架立即进行防腐，喷涂顺序为底漆一遍、防锈漆一遍、封闭漆一遍；防腐工作完成后，将拆卸的可以继续使用的盖板重新安装回池面，损耗的部分拟更换新盖板，并统一加盖成弧形式，用不锈钢螺丝钉、檩条进行固定和连接，最后对每一块已安装耐力板单元进行受力调整，确保耐力板安装后各处位置受力均匀且严密贴合在钢骨架表面。</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施工技术要求：钢骨架除锈按照GB8923-88《涂装前钢材表面锈蚀和除锈等级》，达到St3级，非常彻底手工和动力工具除锈，钢材表面应无可见油脂和污垢，并且无附着不牢的铁锈、氧化皮或油漆涂层等；并且比St2除锈更彻底，底材显露部分的表面有金属光泽。</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防腐漆涂刷要求：1.涂刷无机富锌底漆一遍，厚度不小于70μm；2.涂刷环氧富锌漆一遍，厚度不小于70μm；3.涂刷过氯乙烯防腐漆一遍，厚度不小于80μm。</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PC耐力板质量要求</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1.要求使用的PC耐力板（聚碳酸酯板材）为进口原料生产，厚度必须达到4mm，透明度必须达到85%以上。（3mm厚的透明耐力板，它的透光率为92%，8mm厚的透明耐力板的透光率则为83.3%）</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2.PC耐力板板材面光滑、平整，不得有气泡和颗粒。</w:t>
      </w:r>
    </w:p>
    <w:p>
      <w:pPr>
        <w:pStyle w:val="2"/>
        <w:ind w:firstLine="560" w:firstLineChars="200"/>
        <w:rPr>
          <w:rFonts w:ascii="Times New Roman" w:eastAsia="宋体" w:cs="Times New Roman"/>
          <w:color w:val="auto"/>
          <w:kern w:val="2"/>
          <w:sz w:val="28"/>
          <w:szCs w:val="28"/>
          <w:highlight w:val="none"/>
        </w:rPr>
      </w:pPr>
      <w:r>
        <w:rPr>
          <w:rFonts w:hint="eastAsia" w:ascii="Times New Roman" w:eastAsia="宋体" w:cs="Times New Roman"/>
          <w:color w:val="auto"/>
          <w:kern w:val="2"/>
          <w:sz w:val="28"/>
          <w:szCs w:val="28"/>
          <w:highlight w:val="none"/>
        </w:rPr>
        <w:t>3.对PC耐力板做点燃实验，要求PC耐力板离开火源时自己熄灭。</w:t>
      </w:r>
    </w:p>
    <w:p>
      <w:pPr>
        <w:pStyle w:val="2"/>
        <w:ind w:firstLine="560" w:firstLineChars="200"/>
        <w:rPr>
          <w:rFonts w:ascii="Times New Roman" w:eastAsia="宋体" w:cs="Times New Roman"/>
          <w:color w:val="FF0000"/>
          <w:kern w:val="2"/>
          <w:sz w:val="28"/>
          <w:szCs w:val="28"/>
          <w:highlight w:val="yellow"/>
        </w:rPr>
      </w:pPr>
      <w:r>
        <w:rPr>
          <w:rFonts w:hint="eastAsia" w:ascii="Times New Roman" w:eastAsia="宋体" w:cs="Times New Roman"/>
          <w:color w:val="auto"/>
          <w:kern w:val="2"/>
          <w:sz w:val="28"/>
          <w:szCs w:val="28"/>
          <w:highlight w:val="none"/>
        </w:rPr>
        <w:t>4.要求提供PC耐力板厂家出厂合格证以及第三方检测机构出具的检验报告。（包括但不限于表格中第1、2、4至9项）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2216"/>
        <w:gridCol w:w="6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w:t>
            </w:r>
          </w:p>
        </w:tc>
        <w:tc>
          <w:tcPr>
            <w:tcW w:w="2216" w:type="dxa"/>
            <w:vAlign w:val="center"/>
          </w:tcPr>
          <w:p>
            <w:pPr>
              <w:jc w:val="center"/>
              <w:rPr>
                <w:rFonts w:ascii="宋体" w:hAnsi="宋体" w:cs="宋体"/>
                <w:sz w:val="22"/>
                <w:szCs w:val="22"/>
              </w:rPr>
            </w:pPr>
            <w:r>
              <w:rPr>
                <w:rFonts w:hint="eastAsia" w:ascii="宋体" w:hAnsi="宋体" w:cs="宋体"/>
                <w:sz w:val="22"/>
                <w:szCs w:val="22"/>
              </w:rPr>
              <w:t>厚度</w:t>
            </w:r>
          </w:p>
        </w:tc>
        <w:tc>
          <w:tcPr>
            <w:tcW w:w="6067" w:type="dxa"/>
            <w:vAlign w:val="center"/>
          </w:tcPr>
          <w:p>
            <w:pPr>
              <w:jc w:val="center"/>
              <w:rPr>
                <w:rFonts w:ascii="宋体" w:hAnsi="宋体" w:cs="宋体"/>
                <w:sz w:val="22"/>
                <w:szCs w:val="22"/>
              </w:rPr>
            </w:pPr>
            <w:r>
              <w:rPr>
                <w:rFonts w:hint="eastAsia" w:ascii="宋体" w:hAnsi="宋体" w:cs="宋体"/>
                <w:sz w:val="22"/>
                <w:szCs w:val="22"/>
              </w:rPr>
              <w:t>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2</w:t>
            </w:r>
          </w:p>
        </w:tc>
        <w:tc>
          <w:tcPr>
            <w:tcW w:w="2216" w:type="dxa"/>
            <w:vAlign w:val="center"/>
          </w:tcPr>
          <w:p>
            <w:pPr>
              <w:jc w:val="center"/>
              <w:rPr>
                <w:rFonts w:ascii="宋体" w:hAnsi="宋体" w:cs="宋体"/>
                <w:sz w:val="22"/>
                <w:szCs w:val="22"/>
              </w:rPr>
            </w:pPr>
            <w:r>
              <w:rPr>
                <w:rFonts w:hint="eastAsia" w:ascii="宋体" w:hAnsi="宋体" w:cs="宋体"/>
                <w:sz w:val="22"/>
                <w:szCs w:val="22"/>
              </w:rPr>
              <w:t>颜色</w:t>
            </w:r>
          </w:p>
        </w:tc>
        <w:tc>
          <w:tcPr>
            <w:tcW w:w="6067" w:type="dxa"/>
            <w:vAlign w:val="center"/>
          </w:tcPr>
          <w:p>
            <w:pPr>
              <w:jc w:val="center"/>
              <w:rPr>
                <w:rFonts w:ascii="宋体" w:hAnsi="宋体" w:cs="宋体"/>
                <w:sz w:val="22"/>
                <w:szCs w:val="22"/>
              </w:rPr>
            </w:pPr>
            <w:r>
              <w:rPr>
                <w:rFonts w:hint="eastAsia" w:ascii="宋体" w:hAnsi="宋体" w:cs="宋体"/>
                <w:sz w:val="22"/>
                <w:szCs w:val="22"/>
              </w:rPr>
              <w:t>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3</w:t>
            </w:r>
          </w:p>
        </w:tc>
        <w:tc>
          <w:tcPr>
            <w:tcW w:w="2216" w:type="dxa"/>
            <w:vAlign w:val="center"/>
          </w:tcPr>
          <w:p>
            <w:pPr>
              <w:jc w:val="center"/>
              <w:rPr>
                <w:rFonts w:ascii="宋体" w:hAnsi="宋体" w:cs="宋体"/>
                <w:sz w:val="22"/>
                <w:szCs w:val="22"/>
              </w:rPr>
            </w:pPr>
            <w:r>
              <w:rPr>
                <w:rFonts w:hint="eastAsia" w:ascii="宋体" w:hAnsi="宋体" w:cs="宋体"/>
                <w:sz w:val="22"/>
                <w:szCs w:val="22"/>
              </w:rPr>
              <w:t>外观质量</w:t>
            </w:r>
          </w:p>
        </w:tc>
        <w:tc>
          <w:tcPr>
            <w:tcW w:w="6067" w:type="dxa"/>
            <w:vAlign w:val="center"/>
          </w:tcPr>
          <w:p>
            <w:pPr>
              <w:jc w:val="center"/>
              <w:rPr>
                <w:rFonts w:ascii="宋体" w:hAnsi="宋体" w:cs="宋体"/>
                <w:sz w:val="22"/>
                <w:szCs w:val="22"/>
              </w:rPr>
            </w:pPr>
            <w:r>
              <w:rPr>
                <w:rFonts w:hint="eastAsia" w:ascii="宋体" w:hAnsi="宋体" w:cs="宋体"/>
                <w:sz w:val="22"/>
                <w:szCs w:val="22"/>
              </w:rPr>
              <w:t>板材表面应光滑、平整，无气泡、裂纹和明显的裂纹、弯形、凹陷和色差等影响使用的缺陷。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4</w:t>
            </w:r>
          </w:p>
        </w:tc>
        <w:tc>
          <w:tcPr>
            <w:tcW w:w="2216" w:type="dxa"/>
            <w:vAlign w:val="center"/>
          </w:tcPr>
          <w:p>
            <w:pPr>
              <w:jc w:val="center"/>
              <w:rPr>
                <w:rFonts w:ascii="宋体" w:hAnsi="宋体" w:cs="宋体"/>
                <w:sz w:val="22"/>
                <w:szCs w:val="22"/>
              </w:rPr>
            </w:pPr>
            <w:r>
              <w:rPr>
                <w:rFonts w:hint="eastAsia" w:ascii="宋体" w:hAnsi="宋体" w:cs="宋体"/>
                <w:sz w:val="22"/>
                <w:szCs w:val="22"/>
              </w:rPr>
              <w:t>热变形温度℃</w:t>
            </w:r>
          </w:p>
        </w:tc>
        <w:tc>
          <w:tcPr>
            <w:tcW w:w="6067" w:type="dxa"/>
            <w:vAlign w:val="center"/>
          </w:tcPr>
          <w:p>
            <w:pPr>
              <w:jc w:val="center"/>
              <w:rPr>
                <w:rFonts w:ascii="宋体" w:hAnsi="宋体" w:cs="宋体"/>
                <w:sz w:val="22"/>
                <w:szCs w:val="22"/>
              </w:rPr>
            </w:pPr>
            <w:r>
              <w:rPr>
                <w:rFonts w:hint="eastAsia" w:ascii="宋体" w:hAnsi="宋体" w:cs="宋体"/>
                <w:sz w:val="22"/>
                <w:szCs w:val="22"/>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5</w:t>
            </w:r>
          </w:p>
        </w:tc>
        <w:tc>
          <w:tcPr>
            <w:tcW w:w="2216" w:type="dxa"/>
            <w:vAlign w:val="center"/>
          </w:tcPr>
          <w:p>
            <w:pPr>
              <w:jc w:val="center"/>
              <w:rPr>
                <w:rFonts w:ascii="宋体" w:hAnsi="宋体" w:cs="宋体"/>
                <w:sz w:val="22"/>
                <w:szCs w:val="22"/>
              </w:rPr>
            </w:pPr>
            <w:r>
              <w:rPr>
                <w:rFonts w:hint="eastAsia" w:ascii="宋体" w:hAnsi="宋体" w:cs="宋体"/>
                <w:sz w:val="22"/>
                <w:szCs w:val="22"/>
              </w:rPr>
              <w:t>硬氏硬度HA</w:t>
            </w:r>
          </w:p>
        </w:tc>
        <w:tc>
          <w:tcPr>
            <w:tcW w:w="6067" w:type="dxa"/>
            <w:vAlign w:val="center"/>
          </w:tcPr>
          <w:p>
            <w:pPr>
              <w:jc w:val="center"/>
              <w:rPr>
                <w:rFonts w:ascii="宋体" w:hAnsi="宋体" w:cs="宋体"/>
                <w:sz w:val="22"/>
                <w:szCs w:val="22"/>
              </w:rPr>
            </w:pPr>
            <w:r>
              <w:rPr>
                <w:rFonts w:hint="eastAsia" w:ascii="宋体" w:hAnsi="宋体" w:cs="宋体"/>
                <w:sz w:val="22"/>
                <w:szCs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6</w:t>
            </w:r>
          </w:p>
        </w:tc>
        <w:tc>
          <w:tcPr>
            <w:tcW w:w="2216" w:type="dxa"/>
            <w:vAlign w:val="center"/>
          </w:tcPr>
          <w:p>
            <w:pPr>
              <w:jc w:val="center"/>
              <w:rPr>
                <w:rFonts w:ascii="宋体" w:hAnsi="宋体" w:cs="宋体"/>
                <w:sz w:val="22"/>
                <w:szCs w:val="22"/>
              </w:rPr>
            </w:pPr>
            <w:r>
              <w:rPr>
                <w:rFonts w:hint="eastAsia" w:ascii="宋体" w:hAnsi="宋体" w:cs="宋体"/>
                <w:sz w:val="22"/>
                <w:szCs w:val="22"/>
              </w:rPr>
              <w:t>落锤冲击破坏个数</w:t>
            </w:r>
          </w:p>
        </w:tc>
        <w:tc>
          <w:tcPr>
            <w:tcW w:w="6067" w:type="dxa"/>
            <w:vAlign w:val="center"/>
          </w:tcPr>
          <w:p>
            <w:pPr>
              <w:jc w:val="center"/>
              <w:rPr>
                <w:rFonts w:ascii="宋体" w:hAnsi="宋体" w:cs="宋体"/>
                <w:sz w:val="22"/>
                <w:szCs w:val="22"/>
              </w:rPr>
            </w:pPr>
            <w:r>
              <w:rPr>
                <w:rFonts w:hint="eastAsia" w:ascii="宋体" w:hAnsi="宋体" w:cs="宋体"/>
                <w:sz w:val="22"/>
                <w:szCs w:val="22"/>
              </w:rPr>
              <w:t>破坏个数1/10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7</w:t>
            </w:r>
          </w:p>
        </w:tc>
        <w:tc>
          <w:tcPr>
            <w:tcW w:w="2216" w:type="dxa"/>
            <w:vAlign w:val="center"/>
          </w:tcPr>
          <w:p>
            <w:pPr>
              <w:jc w:val="center"/>
              <w:rPr>
                <w:rFonts w:ascii="宋体" w:hAnsi="宋体" w:cs="宋体"/>
                <w:sz w:val="22"/>
                <w:szCs w:val="22"/>
              </w:rPr>
            </w:pPr>
            <w:r>
              <w:rPr>
                <w:rFonts w:hint="eastAsia" w:ascii="宋体" w:hAnsi="宋体" w:cs="宋体"/>
                <w:sz w:val="22"/>
                <w:szCs w:val="22"/>
              </w:rPr>
              <w:t>拉伸屈服强度Mpa</w:t>
            </w:r>
          </w:p>
        </w:tc>
        <w:tc>
          <w:tcPr>
            <w:tcW w:w="6067" w:type="dxa"/>
            <w:vAlign w:val="center"/>
          </w:tcPr>
          <w:p>
            <w:pPr>
              <w:jc w:val="center"/>
              <w:rPr>
                <w:rFonts w:ascii="宋体" w:hAnsi="宋体" w:cs="宋体"/>
                <w:sz w:val="22"/>
                <w:szCs w:val="22"/>
              </w:rPr>
            </w:pPr>
            <w:r>
              <w:rPr>
                <w:rFonts w:hint="eastAsia" w:ascii="宋体" w:hAnsi="宋体" w:cs="宋体"/>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8</w:t>
            </w:r>
          </w:p>
        </w:tc>
        <w:tc>
          <w:tcPr>
            <w:tcW w:w="2216" w:type="dxa"/>
            <w:vAlign w:val="center"/>
          </w:tcPr>
          <w:p>
            <w:pPr>
              <w:jc w:val="center"/>
              <w:rPr>
                <w:rFonts w:ascii="宋体" w:hAnsi="宋体" w:cs="宋体"/>
                <w:sz w:val="22"/>
                <w:szCs w:val="22"/>
              </w:rPr>
            </w:pPr>
            <w:r>
              <w:rPr>
                <w:rFonts w:hint="eastAsia" w:ascii="宋体" w:hAnsi="宋体" w:cs="宋体"/>
                <w:sz w:val="22"/>
                <w:szCs w:val="22"/>
              </w:rPr>
              <w:t>弯曲强度Mpa</w:t>
            </w:r>
          </w:p>
        </w:tc>
        <w:tc>
          <w:tcPr>
            <w:tcW w:w="6067" w:type="dxa"/>
            <w:vAlign w:val="center"/>
          </w:tcPr>
          <w:p>
            <w:pPr>
              <w:jc w:val="center"/>
              <w:rPr>
                <w:rFonts w:ascii="宋体" w:hAnsi="宋体" w:cs="宋体"/>
                <w:sz w:val="22"/>
                <w:szCs w:val="22"/>
              </w:rPr>
            </w:pPr>
            <w:r>
              <w:rPr>
                <w:rFonts w:hint="eastAsia" w:ascii="宋体" w:hAnsi="宋体" w:cs="宋体"/>
                <w:sz w:val="22"/>
                <w:szCs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9</w:t>
            </w:r>
          </w:p>
        </w:tc>
        <w:tc>
          <w:tcPr>
            <w:tcW w:w="2216" w:type="dxa"/>
            <w:vAlign w:val="center"/>
          </w:tcPr>
          <w:p>
            <w:pPr>
              <w:jc w:val="center"/>
              <w:rPr>
                <w:rFonts w:ascii="宋体" w:hAnsi="宋体" w:cs="宋体"/>
                <w:sz w:val="22"/>
                <w:szCs w:val="22"/>
              </w:rPr>
            </w:pPr>
            <w:r>
              <w:rPr>
                <w:rFonts w:hint="eastAsia" w:ascii="宋体" w:hAnsi="宋体" w:cs="宋体"/>
                <w:sz w:val="22"/>
                <w:szCs w:val="22"/>
              </w:rPr>
              <w:t>透光率（%）</w:t>
            </w:r>
          </w:p>
        </w:tc>
        <w:tc>
          <w:tcPr>
            <w:tcW w:w="6067" w:type="dxa"/>
            <w:vAlign w:val="center"/>
          </w:tcPr>
          <w:p>
            <w:pPr>
              <w:jc w:val="center"/>
              <w:rPr>
                <w:rFonts w:ascii="宋体" w:hAnsi="宋体" w:cs="宋体"/>
                <w:sz w:val="22"/>
                <w:szCs w:val="22"/>
              </w:rPr>
            </w:pPr>
            <w:r>
              <w:rPr>
                <w:rFonts w:hint="eastAsia" w:ascii="宋体" w:hAnsi="宋体" w:cs="宋体"/>
                <w:color w:val="auto"/>
                <w:sz w:val="22"/>
                <w:szCs w:val="22"/>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10</w:t>
            </w:r>
          </w:p>
        </w:tc>
        <w:tc>
          <w:tcPr>
            <w:tcW w:w="2216" w:type="dxa"/>
            <w:vAlign w:val="center"/>
          </w:tcPr>
          <w:p>
            <w:pPr>
              <w:jc w:val="center"/>
              <w:rPr>
                <w:rFonts w:ascii="宋体" w:hAnsi="宋体" w:cs="宋体"/>
                <w:sz w:val="22"/>
                <w:szCs w:val="22"/>
              </w:rPr>
            </w:pPr>
            <w:r>
              <w:rPr>
                <w:rFonts w:hint="eastAsia" w:ascii="宋体" w:hAnsi="宋体" w:cs="宋体"/>
                <w:sz w:val="22"/>
                <w:szCs w:val="22"/>
              </w:rPr>
              <w:t>节能</w:t>
            </w:r>
          </w:p>
        </w:tc>
        <w:tc>
          <w:tcPr>
            <w:tcW w:w="6067" w:type="dxa"/>
            <w:vAlign w:val="center"/>
          </w:tcPr>
          <w:p>
            <w:pPr>
              <w:jc w:val="center"/>
              <w:rPr>
                <w:rFonts w:ascii="宋体" w:hAnsi="宋体" w:cs="宋体"/>
                <w:sz w:val="22"/>
                <w:szCs w:val="22"/>
              </w:rPr>
            </w:pPr>
            <w:r>
              <w:rPr>
                <w:rFonts w:hint="eastAsia" w:ascii="宋体" w:hAnsi="宋体" w:cs="宋体"/>
                <w:sz w:val="22"/>
                <w:szCs w:val="22"/>
              </w:rPr>
              <w:t>节能量是相同厚度玻璃的1.5-1.7倍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11</w:t>
            </w:r>
          </w:p>
        </w:tc>
        <w:tc>
          <w:tcPr>
            <w:tcW w:w="2216" w:type="dxa"/>
            <w:vAlign w:val="center"/>
          </w:tcPr>
          <w:p>
            <w:pPr>
              <w:jc w:val="center"/>
              <w:rPr>
                <w:rFonts w:ascii="宋体" w:hAnsi="宋体" w:cs="宋体"/>
                <w:sz w:val="22"/>
                <w:szCs w:val="22"/>
              </w:rPr>
            </w:pPr>
            <w:r>
              <w:rPr>
                <w:rFonts w:hint="eastAsia" w:ascii="宋体" w:hAnsi="宋体" w:cs="宋体"/>
                <w:sz w:val="22"/>
                <w:szCs w:val="22"/>
              </w:rPr>
              <w:t>重量</w:t>
            </w:r>
          </w:p>
        </w:tc>
        <w:tc>
          <w:tcPr>
            <w:tcW w:w="6067" w:type="dxa"/>
            <w:vAlign w:val="center"/>
          </w:tcPr>
          <w:p>
            <w:pPr>
              <w:jc w:val="center"/>
              <w:rPr>
                <w:rFonts w:ascii="宋体" w:hAnsi="宋体" w:cs="宋体"/>
                <w:sz w:val="22"/>
                <w:szCs w:val="22"/>
              </w:rPr>
            </w:pPr>
            <w:r>
              <w:rPr>
                <w:rFonts w:hint="eastAsia" w:ascii="宋体" w:hAnsi="宋体" w:cs="宋体"/>
                <w:sz w:val="22"/>
                <w:szCs w:val="22"/>
              </w:rPr>
              <w:t>重量为相同厚度玻璃的1/15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12</w:t>
            </w:r>
          </w:p>
        </w:tc>
        <w:tc>
          <w:tcPr>
            <w:tcW w:w="2216" w:type="dxa"/>
            <w:vAlign w:val="center"/>
          </w:tcPr>
          <w:p>
            <w:pPr>
              <w:jc w:val="center"/>
              <w:rPr>
                <w:rFonts w:ascii="宋体" w:hAnsi="宋体" w:cs="宋体"/>
                <w:sz w:val="22"/>
                <w:szCs w:val="22"/>
              </w:rPr>
            </w:pPr>
            <w:r>
              <w:rPr>
                <w:rFonts w:hint="eastAsia" w:ascii="宋体" w:hAnsi="宋体" w:cs="宋体"/>
                <w:sz w:val="22"/>
                <w:szCs w:val="22"/>
              </w:rPr>
              <w:t>冷弯</w:t>
            </w:r>
          </w:p>
        </w:tc>
        <w:tc>
          <w:tcPr>
            <w:tcW w:w="6067" w:type="dxa"/>
            <w:vAlign w:val="center"/>
          </w:tcPr>
          <w:p>
            <w:pPr>
              <w:jc w:val="center"/>
              <w:rPr>
                <w:rFonts w:ascii="宋体" w:hAnsi="宋体" w:cs="宋体"/>
                <w:sz w:val="22"/>
                <w:szCs w:val="22"/>
              </w:rPr>
            </w:pPr>
            <w:r>
              <w:rPr>
                <w:rFonts w:hint="eastAsia" w:ascii="宋体" w:hAnsi="宋体" w:cs="宋体"/>
                <w:sz w:val="22"/>
                <w:szCs w:val="22"/>
              </w:rPr>
              <w:t>安全弯曲半径为其厚度的175倍以上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13</w:t>
            </w:r>
          </w:p>
        </w:tc>
        <w:tc>
          <w:tcPr>
            <w:tcW w:w="2216" w:type="dxa"/>
            <w:vAlign w:val="center"/>
          </w:tcPr>
          <w:p>
            <w:pPr>
              <w:jc w:val="center"/>
              <w:rPr>
                <w:rFonts w:ascii="宋体" w:hAnsi="宋体" w:cs="宋体"/>
                <w:sz w:val="22"/>
                <w:szCs w:val="22"/>
              </w:rPr>
            </w:pPr>
            <w:r>
              <w:rPr>
                <w:rFonts w:hint="eastAsia" w:ascii="宋体" w:hAnsi="宋体" w:cs="宋体"/>
                <w:sz w:val="22"/>
                <w:szCs w:val="22"/>
              </w:rPr>
              <w:t>抗冲击</w:t>
            </w:r>
          </w:p>
        </w:tc>
        <w:tc>
          <w:tcPr>
            <w:tcW w:w="6067" w:type="dxa"/>
            <w:vAlign w:val="center"/>
          </w:tcPr>
          <w:p>
            <w:pPr>
              <w:jc w:val="center"/>
              <w:rPr>
                <w:rFonts w:ascii="宋体" w:hAnsi="宋体" w:cs="宋体"/>
                <w:sz w:val="22"/>
                <w:szCs w:val="22"/>
              </w:rPr>
            </w:pPr>
            <w:r>
              <w:rPr>
                <w:rFonts w:hint="eastAsia" w:ascii="宋体" w:hAnsi="宋体" w:cs="宋体"/>
                <w:sz w:val="22"/>
                <w:szCs w:val="22"/>
              </w:rPr>
              <w:t>抗冲击强度是普通玻璃的300倍，是亚克力板的30倍，钢化玻璃的2倍。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14</w:t>
            </w:r>
          </w:p>
        </w:tc>
        <w:tc>
          <w:tcPr>
            <w:tcW w:w="2216" w:type="dxa"/>
            <w:vAlign w:val="center"/>
          </w:tcPr>
          <w:p>
            <w:pPr>
              <w:jc w:val="center"/>
              <w:rPr>
                <w:rFonts w:ascii="宋体" w:hAnsi="宋体" w:cs="宋体"/>
                <w:sz w:val="22"/>
                <w:szCs w:val="22"/>
              </w:rPr>
            </w:pPr>
            <w:r>
              <w:rPr>
                <w:rFonts w:hint="eastAsia" w:ascii="宋体" w:hAnsi="宋体" w:cs="宋体"/>
                <w:sz w:val="22"/>
                <w:szCs w:val="22"/>
              </w:rPr>
              <w:t>使用温度范围</w:t>
            </w:r>
          </w:p>
        </w:tc>
        <w:tc>
          <w:tcPr>
            <w:tcW w:w="6067" w:type="dxa"/>
            <w:vAlign w:val="center"/>
          </w:tcPr>
          <w:p>
            <w:pPr>
              <w:jc w:val="center"/>
              <w:rPr>
                <w:rFonts w:ascii="宋体" w:hAnsi="宋体" w:cs="宋体"/>
                <w:sz w:val="22"/>
                <w:szCs w:val="22"/>
              </w:rPr>
            </w:pPr>
            <w:r>
              <w:rPr>
                <w:rFonts w:hint="eastAsia" w:ascii="宋体" w:hAnsi="宋体" w:cs="宋体"/>
                <w:sz w:val="22"/>
                <w:szCs w:val="22"/>
              </w:rPr>
              <w:t>在-40℃到+120℃范围内物理性能稳定。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15</w:t>
            </w:r>
          </w:p>
        </w:tc>
        <w:tc>
          <w:tcPr>
            <w:tcW w:w="2216" w:type="dxa"/>
            <w:vAlign w:val="center"/>
          </w:tcPr>
          <w:p>
            <w:pPr>
              <w:jc w:val="center"/>
              <w:rPr>
                <w:rFonts w:ascii="宋体" w:hAnsi="宋体" w:cs="宋体"/>
                <w:sz w:val="22"/>
                <w:szCs w:val="22"/>
              </w:rPr>
            </w:pPr>
            <w:r>
              <w:rPr>
                <w:rFonts w:hint="eastAsia" w:ascii="宋体" w:hAnsi="宋体" w:cs="宋体"/>
                <w:sz w:val="22"/>
                <w:szCs w:val="22"/>
              </w:rPr>
              <w:t>耐候</w:t>
            </w:r>
          </w:p>
        </w:tc>
        <w:tc>
          <w:tcPr>
            <w:tcW w:w="6067" w:type="dxa"/>
            <w:vAlign w:val="center"/>
          </w:tcPr>
          <w:p>
            <w:pPr>
              <w:jc w:val="center"/>
              <w:rPr>
                <w:rFonts w:ascii="宋体" w:hAnsi="宋体" w:cs="宋体"/>
                <w:sz w:val="22"/>
                <w:szCs w:val="22"/>
              </w:rPr>
            </w:pPr>
            <w:r>
              <w:rPr>
                <w:rFonts w:hint="eastAsia" w:ascii="宋体" w:hAnsi="宋体" w:cs="宋体"/>
                <w:sz w:val="22"/>
                <w:szCs w:val="22"/>
              </w:rPr>
              <w:t>人工气候老化试验4000小时，黄边度为2，透光率降低值仅0.6%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16</w:t>
            </w:r>
          </w:p>
        </w:tc>
        <w:tc>
          <w:tcPr>
            <w:tcW w:w="2216" w:type="dxa"/>
            <w:vAlign w:val="center"/>
          </w:tcPr>
          <w:p>
            <w:pPr>
              <w:jc w:val="center"/>
              <w:rPr>
                <w:rFonts w:ascii="宋体" w:hAnsi="宋体" w:cs="宋体"/>
                <w:sz w:val="22"/>
                <w:szCs w:val="22"/>
              </w:rPr>
            </w:pPr>
            <w:r>
              <w:rPr>
                <w:rFonts w:hint="eastAsia" w:ascii="宋体" w:hAnsi="宋体" w:cs="宋体"/>
                <w:sz w:val="22"/>
                <w:szCs w:val="22"/>
              </w:rPr>
              <w:t>难燃</w:t>
            </w:r>
          </w:p>
        </w:tc>
        <w:tc>
          <w:tcPr>
            <w:tcW w:w="6067" w:type="dxa"/>
            <w:vAlign w:val="center"/>
          </w:tcPr>
          <w:p>
            <w:pPr>
              <w:jc w:val="center"/>
              <w:rPr>
                <w:rFonts w:ascii="宋体" w:hAnsi="宋体" w:cs="宋体"/>
                <w:sz w:val="22"/>
                <w:szCs w:val="22"/>
              </w:rPr>
            </w:pPr>
            <w:r>
              <w:rPr>
                <w:rFonts w:hint="eastAsia" w:ascii="宋体" w:hAnsi="宋体" w:cs="宋体"/>
                <w:sz w:val="22"/>
                <w:szCs w:val="22"/>
              </w:rPr>
              <w:t>符合GB8264-1997难燃一级标准，级别：难燃B一级。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17</w:t>
            </w:r>
          </w:p>
        </w:tc>
        <w:tc>
          <w:tcPr>
            <w:tcW w:w="2216" w:type="dxa"/>
            <w:vAlign w:val="center"/>
          </w:tcPr>
          <w:p>
            <w:pPr>
              <w:jc w:val="center"/>
              <w:rPr>
                <w:rFonts w:ascii="宋体" w:hAnsi="宋体" w:cs="宋体"/>
                <w:sz w:val="22"/>
                <w:szCs w:val="22"/>
              </w:rPr>
            </w:pPr>
            <w:r>
              <w:rPr>
                <w:rFonts w:hint="eastAsia" w:ascii="宋体" w:hAnsi="宋体" w:cs="宋体"/>
                <w:sz w:val="22"/>
                <w:szCs w:val="22"/>
              </w:rPr>
              <w:t>隔音</w:t>
            </w:r>
          </w:p>
        </w:tc>
        <w:tc>
          <w:tcPr>
            <w:tcW w:w="6067" w:type="dxa"/>
            <w:vAlign w:val="center"/>
          </w:tcPr>
          <w:p>
            <w:pPr>
              <w:jc w:val="center"/>
              <w:rPr>
                <w:rFonts w:ascii="宋体" w:hAnsi="宋体" w:cs="宋体"/>
                <w:sz w:val="22"/>
                <w:szCs w:val="22"/>
              </w:rPr>
            </w:pPr>
            <w:r>
              <w:rPr>
                <w:rFonts w:hint="eastAsia" w:ascii="宋体" w:hAnsi="宋体" w:cs="宋体"/>
                <w:sz w:val="22"/>
                <w:szCs w:val="22"/>
              </w:rPr>
              <w:t>应有良好的隔音性能，能有效地降低噪音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pPr>
              <w:jc w:val="center"/>
              <w:rPr>
                <w:rFonts w:ascii="宋体" w:hAnsi="宋体" w:cs="宋体"/>
                <w:sz w:val="22"/>
                <w:szCs w:val="22"/>
              </w:rPr>
            </w:pPr>
            <w:r>
              <w:rPr>
                <w:rFonts w:hint="eastAsia" w:ascii="宋体" w:hAnsi="宋体" w:cs="宋体"/>
                <w:sz w:val="22"/>
                <w:szCs w:val="22"/>
              </w:rPr>
              <w:t>18</w:t>
            </w:r>
          </w:p>
        </w:tc>
        <w:tc>
          <w:tcPr>
            <w:tcW w:w="2216" w:type="dxa"/>
            <w:vAlign w:val="center"/>
          </w:tcPr>
          <w:p>
            <w:pPr>
              <w:jc w:val="center"/>
              <w:rPr>
                <w:rFonts w:ascii="宋体" w:hAnsi="宋体" w:cs="宋体"/>
                <w:sz w:val="22"/>
                <w:szCs w:val="22"/>
              </w:rPr>
            </w:pPr>
            <w:r>
              <w:rPr>
                <w:rFonts w:hint="eastAsia" w:ascii="宋体" w:hAnsi="宋体" w:cs="宋体"/>
                <w:sz w:val="22"/>
                <w:szCs w:val="22"/>
              </w:rPr>
              <w:t>抗风</w:t>
            </w:r>
          </w:p>
        </w:tc>
        <w:tc>
          <w:tcPr>
            <w:tcW w:w="6067" w:type="dxa"/>
            <w:vAlign w:val="center"/>
          </w:tcPr>
          <w:p>
            <w:pPr>
              <w:jc w:val="center"/>
              <w:rPr>
                <w:rFonts w:ascii="宋体" w:hAnsi="宋体" w:cs="宋体"/>
                <w:sz w:val="22"/>
                <w:szCs w:val="22"/>
              </w:rPr>
            </w:pPr>
            <w:r>
              <w:rPr>
                <w:rFonts w:hint="eastAsia" w:ascii="宋体" w:hAnsi="宋体" w:cs="宋体"/>
                <w:sz w:val="22"/>
                <w:szCs w:val="22"/>
              </w:rPr>
              <w:t>抗风性能达到国标GB/T7106-86第1级。</w:t>
            </w:r>
          </w:p>
        </w:tc>
      </w:tr>
    </w:tbl>
    <w:p>
      <w:pPr>
        <w:spacing w:line="360" w:lineRule="auto"/>
        <w:ind w:firstLine="560" w:firstLineChars="200"/>
        <w:jc w:val="left"/>
        <w:rPr>
          <w:sz w:val="28"/>
          <w:szCs w:val="28"/>
        </w:rPr>
      </w:pPr>
      <w:r>
        <w:rPr>
          <w:rFonts w:hint="eastAsia"/>
          <w:sz w:val="28"/>
          <w:szCs w:val="28"/>
        </w:rPr>
        <w:t>技术标准</w:t>
      </w:r>
    </w:p>
    <w:p>
      <w:pPr>
        <w:spacing w:line="360" w:lineRule="auto"/>
        <w:ind w:firstLine="560" w:firstLineChars="200"/>
        <w:jc w:val="left"/>
        <w:rPr>
          <w:sz w:val="28"/>
          <w:szCs w:val="28"/>
        </w:rPr>
      </w:pPr>
      <w:r>
        <w:rPr>
          <w:rFonts w:hint="eastAsia"/>
          <w:sz w:val="28"/>
          <w:szCs w:val="28"/>
        </w:rPr>
        <w:t>1.施工承包合同明确的相关技术要求；</w:t>
      </w:r>
    </w:p>
    <w:p>
      <w:pPr>
        <w:spacing w:line="360" w:lineRule="auto"/>
        <w:ind w:firstLine="560" w:firstLineChars="200"/>
        <w:jc w:val="left"/>
        <w:rPr>
          <w:sz w:val="28"/>
          <w:szCs w:val="28"/>
        </w:rPr>
      </w:pPr>
      <w:r>
        <w:rPr>
          <w:rFonts w:hint="eastAsia"/>
          <w:sz w:val="28"/>
          <w:szCs w:val="28"/>
        </w:rPr>
        <w:t>2.《钢结构工程施工质量验收规程》GB50205-2001；</w:t>
      </w:r>
    </w:p>
    <w:p>
      <w:pPr>
        <w:spacing w:line="360" w:lineRule="auto"/>
        <w:ind w:firstLine="560" w:firstLineChars="200"/>
        <w:jc w:val="left"/>
        <w:rPr>
          <w:sz w:val="28"/>
          <w:szCs w:val="28"/>
        </w:rPr>
      </w:pPr>
      <w:r>
        <w:rPr>
          <w:rFonts w:hint="eastAsia"/>
          <w:sz w:val="28"/>
          <w:szCs w:val="28"/>
        </w:rPr>
        <w:t>3.《钢结构焊接规范》GB50661-2011；</w:t>
      </w:r>
    </w:p>
    <w:p>
      <w:pPr>
        <w:spacing w:line="360" w:lineRule="auto"/>
        <w:ind w:firstLine="560" w:firstLineChars="200"/>
        <w:jc w:val="left"/>
        <w:rPr>
          <w:sz w:val="28"/>
          <w:szCs w:val="28"/>
        </w:rPr>
      </w:pPr>
      <w:r>
        <w:rPr>
          <w:rFonts w:hint="eastAsia"/>
          <w:sz w:val="28"/>
          <w:szCs w:val="28"/>
        </w:rPr>
        <w:t>4.《钢结构工程质量检验评定标准》GB50221-95；</w:t>
      </w:r>
    </w:p>
    <w:p>
      <w:pPr>
        <w:spacing w:line="360" w:lineRule="auto"/>
        <w:ind w:firstLine="560" w:firstLineChars="200"/>
        <w:jc w:val="left"/>
        <w:rPr>
          <w:sz w:val="28"/>
          <w:szCs w:val="28"/>
        </w:rPr>
      </w:pPr>
      <w:r>
        <w:rPr>
          <w:rFonts w:hint="eastAsia"/>
          <w:sz w:val="28"/>
          <w:szCs w:val="28"/>
        </w:rPr>
        <w:t>5.《建筑工程施工现场供用电安全规范》GB50194-2014;</w:t>
      </w:r>
    </w:p>
    <w:p>
      <w:pPr>
        <w:spacing w:line="360" w:lineRule="auto"/>
        <w:ind w:firstLine="560" w:firstLineChars="200"/>
        <w:jc w:val="left"/>
        <w:rPr>
          <w:sz w:val="28"/>
          <w:szCs w:val="28"/>
        </w:rPr>
      </w:pPr>
      <w:r>
        <w:rPr>
          <w:rFonts w:hint="eastAsia"/>
          <w:sz w:val="28"/>
          <w:szCs w:val="28"/>
        </w:rPr>
        <w:t>6.《PC耐力板产品性能及安装规范》；</w:t>
      </w:r>
    </w:p>
    <w:p>
      <w:pPr>
        <w:spacing w:line="360" w:lineRule="auto"/>
        <w:ind w:firstLine="560" w:firstLineChars="200"/>
        <w:jc w:val="left"/>
        <w:rPr>
          <w:sz w:val="28"/>
          <w:szCs w:val="28"/>
        </w:rPr>
      </w:pPr>
      <w:r>
        <w:rPr>
          <w:rFonts w:hint="eastAsia"/>
          <w:sz w:val="28"/>
          <w:szCs w:val="28"/>
        </w:rPr>
        <w:t>7.《聚碳酸酯（PC）板材》JG/T116-1999。</w:t>
      </w:r>
    </w:p>
    <w:p>
      <w:pPr>
        <w:pStyle w:val="2"/>
        <w:rPr>
          <w:sz w:val="22"/>
          <w:szCs w:val="22"/>
        </w:rPr>
      </w:pPr>
    </w:p>
    <w:p>
      <w:pPr>
        <w:spacing w:line="360" w:lineRule="auto"/>
        <w:rPr>
          <w:rFonts w:ascii="宋体" w:hAnsi="宋体"/>
          <w:b/>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
        <w:spacing w:line="360" w:lineRule="auto"/>
        <w:jc w:val="center"/>
        <w:rPr>
          <w:rFonts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0"/>
        <w:tabs>
          <w:tab w:val="left" w:pos="1260"/>
        </w:tabs>
        <w:jc w:val="center"/>
        <w:rPr>
          <w:rFonts w:ascii="仿宋_GB2312" w:hAnsi="仿宋_GB2312" w:eastAsia="仿宋_GB2312" w:cs="仿宋_GB2312"/>
          <w:b/>
          <w:spacing w:val="100"/>
          <w:w w:val="110"/>
          <w:kern w:val="0"/>
          <w:sz w:val="28"/>
          <w:szCs w:val="28"/>
          <w:u w:val="single"/>
        </w:rPr>
      </w:pPr>
      <w:r>
        <w:rPr>
          <w:rFonts w:hint="eastAsia" w:ascii="仿宋_GB2312" w:hAnsi="仿宋_GB2312" w:eastAsia="仿宋_GB2312" w:cs="仿宋_GB2312"/>
          <w:b/>
          <w:spacing w:val="100"/>
          <w:w w:val="110"/>
          <w:kern w:val="0"/>
          <w:sz w:val="28"/>
          <w:szCs w:val="28"/>
          <w:u w:val="single"/>
        </w:rPr>
        <w:t>广州市净水有限公司2021年</w:t>
      </w:r>
    </w:p>
    <w:p>
      <w:pPr>
        <w:pStyle w:val="10"/>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rPr>
        <w:t>各分公司防腐大修项目</w:t>
      </w:r>
    </w:p>
    <w:p>
      <w:pPr>
        <w:pStyle w:val="10"/>
        <w:jc w:val="center"/>
        <w:rPr>
          <w:rFonts w:ascii="仿宋_GB2312" w:hAnsi="仿宋_GB2312" w:eastAsia="仿宋_GB2312" w:cs="仿宋_GB2312"/>
          <w:b/>
          <w:sz w:val="28"/>
          <w:szCs w:val="28"/>
        </w:rPr>
      </w:pPr>
    </w:p>
    <w:p>
      <w:pPr>
        <w:pStyle w:val="10"/>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0"/>
        <w:jc w:val="center"/>
        <w:rPr>
          <w:rFonts w:ascii="仿宋_GB2312" w:hAnsi="仿宋_GB2312" w:eastAsia="仿宋_GB2312" w:cs="仿宋_GB2312"/>
          <w:b/>
          <w:sz w:val="28"/>
          <w:szCs w:val="28"/>
        </w:rPr>
      </w:pPr>
    </w:p>
    <w:p>
      <w:pPr>
        <w:pStyle w:val="10"/>
        <w:jc w:val="center"/>
        <w:rPr>
          <w:rFonts w:ascii="仿宋_GB2312" w:hAnsi="仿宋_GB2312" w:eastAsia="仿宋_GB2312" w:cs="仿宋_GB2312"/>
          <w:b/>
          <w:sz w:val="28"/>
          <w:szCs w:val="28"/>
        </w:rPr>
      </w:pPr>
    </w:p>
    <w:p>
      <w:pPr>
        <w:pStyle w:val="10"/>
        <w:spacing w:line="360" w:lineRule="auto"/>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9"/>
        <w:spacing w:line="360" w:lineRule="auto"/>
        <w:ind w:firstLine="420" w:firstLineChars="150"/>
        <w:jc w:val="left"/>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u w:val="single"/>
        </w:rPr>
        <w:t>广州市净水有限公司2021年各分公司防腐大修项目</w:t>
      </w: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spacing w:line="360" w:lineRule="auto"/>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报价报价单位名称：</w:t>
      </w:r>
    </w:p>
    <w:p>
      <w:pPr>
        <w:autoSpaceDE w:val="0"/>
        <w:autoSpaceDN w:val="0"/>
        <w:spacing w:line="240" w:lineRule="atLeast"/>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7"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VnK/a1wAAAAkBAAAPAAAAAAAAAAEAIAAA&#10;ACIAAABkcnMvZG93bnJldi54bWxQSwECFAAUAAAACACHTuJAmKqNmg0CAAATBAAADgAAAAAAAAAB&#10;ACAAAAAmAQAAZHJzL2Uyb0RvYy54bWxQSwUGAAAAAAYABgBZAQAAp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说明：1.法定代表人为企业事业单位、国家机关、社会团体的主要行政负责人。</w:t>
      </w:r>
    </w:p>
    <w:p>
      <w:pPr>
        <w:spacing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2.内容必须填写真实、清楚、涂改无效，不得转让、买卖。</w:t>
      </w:r>
    </w:p>
    <w:p>
      <w:pPr>
        <w:spacing w:line="480" w:lineRule="exact"/>
        <w:ind w:firstLine="720" w:firstLineChars="300"/>
        <w:rPr>
          <w:rFonts w:ascii="仿宋_GB2312" w:hAnsi="仿宋_GB2312" w:eastAsia="仿宋_GB2312" w:cs="仿宋_GB2312"/>
          <w:b/>
          <w:sz w:val="24"/>
          <w:szCs w:val="24"/>
        </w:rPr>
      </w:pPr>
      <w:r>
        <w:rPr>
          <w:rFonts w:hint="eastAsia" w:ascii="仿宋_GB2312" w:hAnsi="仿宋_GB2312" w:eastAsia="仿宋_GB2312" w:cs="仿宋_GB2312"/>
          <w:sz w:val="24"/>
          <w:szCs w:val="24"/>
        </w:rPr>
        <w:t>3.将此证明书提交对方作为合同附件</w:t>
      </w:r>
      <w:r>
        <w:rPr>
          <w:rFonts w:hint="eastAsia" w:ascii="仿宋_GB2312" w:hAnsi="仿宋_GB2312" w:eastAsia="仿宋_GB2312" w:cs="仿宋_GB2312"/>
          <w:b/>
          <w:sz w:val="24"/>
          <w:szCs w:val="24"/>
        </w:rPr>
        <w:t>。</w:t>
      </w:r>
    </w:p>
    <w:p>
      <w:pPr>
        <w:spacing w:line="480" w:lineRule="exact"/>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ascii="仿宋_GB2312" w:hAnsi="仿宋_GB2312" w:eastAsia="仿宋_GB2312" w:cs="仿宋_GB2312"/>
          <w:sz w:val="24"/>
          <w:szCs w:val="24"/>
        </w:rPr>
      </w:pPr>
      <w:r>
        <w:rPr>
          <w:rFonts w:hint="eastAsia" w:ascii="仿宋_GB2312" w:hAnsi="仿宋_GB2312" w:eastAsia="仿宋_GB2312" w:cs="仿宋_GB2312"/>
          <w:sz w:val="24"/>
          <w:szCs w:val="24"/>
        </w:rPr>
        <w:t>5.有效期限：与本公司响应文件成交注的谈判有效期相同，自本单位盖公章之日起生效。</w:t>
      </w:r>
    </w:p>
    <w:p>
      <w:pPr>
        <w:spacing w:line="440" w:lineRule="exact"/>
        <w:ind w:firstLine="736" w:firstLineChars="307"/>
        <w:rPr>
          <w:rFonts w:ascii="仿宋_GB2312" w:hAnsi="仿宋_GB2312" w:eastAsia="仿宋_GB2312" w:cs="仿宋_GB2312"/>
          <w:sz w:val="24"/>
          <w:szCs w:val="24"/>
        </w:rPr>
      </w:pPr>
      <w:r>
        <w:rPr>
          <w:rFonts w:hint="eastAsia" w:ascii="仿宋_GB2312" w:hAnsi="仿宋_GB2312" w:eastAsia="仿宋_GB2312" w:cs="仿宋_GB2312"/>
          <w:sz w:val="24"/>
          <w:szCs w:val="24"/>
        </w:rPr>
        <w:t>6.谈判签字代表为法定代表人，则本表不适用。</w:t>
      </w:r>
    </w:p>
    <w:p>
      <w:pPr>
        <w:spacing w:line="440" w:lineRule="exact"/>
        <w:ind w:firstLine="736" w:firstLineChars="307"/>
        <w:rPr>
          <w:rFonts w:ascii="仿宋_GB2312" w:hAnsi="仿宋_GB2312" w:eastAsia="仿宋_GB2312" w:cs="仿宋_GB2312"/>
          <w:sz w:val="28"/>
          <w:szCs w:val="28"/>
        </w:rPr>
      </w:pPr>
      <w:r>
        <w:rPr>
          <w:rFonts w:hint="eastAsia" w:ascii="仿宋_GB2312" w:hAnsi="仿宋_GB2312" w:cs="仿宋_GB2312"/>
          <w:sz w:val="24"/>
          <w:szCs w:val="24"/>
        </w:rPr>
        <w:t>7.</w:t>
      </w:r>
      <w:r>
        <w:rPr>
          <w:rFonts w:hint="eastAsia" w:ascii="仿宋_GB2312" w:hAnsi="仿宋_GB2312" w:eastAsia="仿宋_GB2312" w:cs="仿宋_GB2312"/>
          <w:sz w:val="24"/>
          <w:szCs w:val="24"/>
        </w:rPr>
        <w:t>提供授权委托人在本单位近三个月社保记录（以加盖社会保险基金管理中心印章的《缴费历史明细表》或《社会保险参保人员证明》为准），否则为无效代理人，询价响应文件无效。</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3619500</wp:posOffset>
                </wp:positionH>
                <wp:positionV relativeFrom="paragraph">
                  <wp:posOffset>635</wp:posOffset>
                </wp:positionV>
                <wp:extent cx="2333625" cy="1584325"/>
                <wp:effectExtent l="4445" t="4445" r="5080" b="11430"/>
                <wp:wrapNone/>
                <wp:docPr id="2"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3" o:spid="_x0000_s1026" o:spt="176" type="#_x0000_t176" style="position:absolute;left:0pt;margin-left:285pt;margin-top:0.05pt;height:124.75pt;width:183.75pt;z-index:251662336;mso-width-relative:page;mso-height-relative:page;" fillcolor="#FFFFFF" filled="t" stroked="t" coordsize="21600,21600" o:gfxdata="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21LDv1wAAAAgBAAAPAAAAAAAAAAEAIAAA&#10;ACIAAABkcnMvZG93bnJldi54bWxQSwECFAAUAAAACACHTuJASmImCQ0CAAATBAAADgAAAAAAAAAB&#10;ACAAAAAmAQAAZHJzL2Uyb0RvYy54bWxQSwUGAAAAAAYABgBZAQAAp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v:textbox>
              </v:shape>
            </w:pict>
          </mc:Fallback>
        </mc:AlternateContent>
      </w:r>
      <w:r>
        <w:rPr>
          <w:rFonts w:ascii="仿宋_GB2312" w:hAnsi="仿宋_GB2312" w:eastAsia="仿宋_GB2312"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10160</wp:posOffset>
                </wp:positionV>
                <wp:extent cx="2333625" cy="1584325"/>
                <wp:effectExtent l="4445" t="4445" r="5080" b="11430"/>
                <wp:wrapNone/>
                <wp:docPr id="8"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自选图形 3" o:spid="_x0000_s1026" o:spt="176" type="#_x0000_t176" style="position:absolute;left:0pt;margin-left:54pt;margin-top:0.8pt;height:124.75pt;width:183.75pt;z-index:251661312;mso-width-relative:page;mso-height-relative:page;" fillcolor="#FFFFFF" filled="t" stroked="t" coordsize="21600,21600" o:gfxdata="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g3Y1wAAAAkBAAAPAAAAAAAAAAEAIAAA&#10;ACIAAABkcnMvZG93bnJldi54bWxQSwECFAAUAAAACACHTuJAH36HfQ0CAAATBAAADgAAAAAAAAAB&#10;ACAAAAAmAQAAZHJzL2Uyb0RvYy54bWxQSwUGAAAAAAYABgBZAQAAp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6"/>
        <w:adjustRightInd w:val="0"/>
        <w:snapToGrid w:val="0"/>
        <w:spacing w:line="200" w:lineRule="atLeast"/>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sz w:val="24"/>
          <w:szCs w:val="24"/>
        </w:rPr>
        <w:t>根据询价人发出的的项目编号为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2.现我方承诺：</w:t>
      </w:r>
      <w:r>
        <w:rPr>
          <w:rFonts w:hint="eastAsia" w:ascii="仿宋_GB2312" w:hAnsi="仿宋_GB2312" w:eastAsia="仿宋_GB2312" w:cs="仿宋_GB2312"/>
          <w:kern w:val="0"/>
          <w:sz w:val="24"/>
          <w:szCs w:val="24"/>
        </w:rPr>
        <w:t>愿以人民币</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元（小写：</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元）的报价，承包本次交易所包含的所有工作，（其中项目一：</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元、项目二：</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元、项目三：</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元、项目三：</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4.我方同意承包意向在询价文件规定的交易有效期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5.如果我方获得承包资格，我方保证将</w:t>
      </w:r>
      <w:r>
        <w:rPr>
          <w:rFonts w:hint="eastAsia" w:ascii="仿宋_GB2312" w:hAnsi="仿宋_GB2312" w:eastAsia="仿宋_GB2312" w:cs="仿宋_GB2312"/>
          <w:kern w:val="0"/>
          <w:sz w:val="24"/>
          <w:szCs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6.如果我方获得承包资格，我方将实行项目经理负责制，我方拟委派的项目负责人为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（证书编号为：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⑷ 本公司及其有隶属关系的机构没有参加本项目的前期工作编写工作。</w:t>
      </w:r>
    </w:p>
    <w:p>
      <w:pPr>
        <w:pStyle w:val="24"/>
        <w:spacing w:line="200" w:lineRule="atLeas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4"/>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szCs w:val="24"/>
        </w:rPr>
      </w:pPr>
      <w:r>
        <w:rPr>
          <w:rFonts w:hint="eastAsia" w:ascii="仿宋_GB2312" w:hAnsi="仿宋_GB2312" w:eastAsia="仿宋_GB2312" w:cs="仿宋_GB2312"/>
          <w:snapToGrid w:val="0"/>
          <w:spacing w:val="4"/>
          <w:kern w:val="0"/>
          <w:sz w:val="24"/>
          <w:szCs w:val="24"/>
        </w:rPr>
        <w:t xml:space="preserve">日    期：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年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月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日    </w:t>
      </w:r>
    </w:p>
    <w:p>
      <w:pPr>
        <w:pStyle w:val="24"/>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8"/>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jc w:val="center"/>
        <w:rPr>
          <w:rFonts w:ascii="仿宋_GB2312" w:hAnsi="仿宋_GB2312" w:eastAsia="仿宋_GB2312"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5工程量报价</w:t>
      </w:r>
    </w:p>
    <w:p>
      <w:pPr>
        <w:jc w:val="left"/>
        <w:rPr>
          <w:rFonts w:ascii="宋体" w:hAnsi="宋体" w:cs="宋体"/>
          <w:b/>
          <w:sz w:val="24"/>
          <w:szCs w:val="24"/>
        </w:rPr>
      </w:pPr>
    </w:p>
    <w:p>
      <w:pPr>
        <w:pStyle w:val="2"/>
        <w:jc w:val="center"/>
        <w:rPr>
          <w:rFonts w:hAnsi="宋体" w:eastAsia="宋体"/>
          <w:b/>
          <w:bCs/>
          <w:szCs w:val="21"/>
        </w:rPr>
      </w:pPr>
      <w:r>
        <w:rPr>
          <w:rFonts w:hint="eastAsia" w:hAnsi="宋体" w:eastAsia="宋体"/>
          <w:b/>
          <w:bCs/>
          <w:szCs w:val="21"/>
        </w:rPr>
        <w:t>项目报价</w:t>
      </w:r>
    </w:p>
    <w:p>
      <w:pPr>
        <w:pStyle w:val="2"/>
        <w:jc w:val="center"/>
        <w:rPr>
          <w:rFonts w:hAnsi="宋体" w:eastAsia="宋体"/>
          <w:b/>
          <w:bCs/>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vAlign w:val="center"/>
          </w:tcPr>
          <w:p>
            <w:pPr>
              <w:pStyle w:val="2"/>
              <w:jc w:val="center"/>
              <w:rPr>
                <w:rFonts w:hAnsi="宋体" w:eastAsia="宋体"/>
              </w:rPr>
            </w:pPr>
            <w:r>
              <w:rPr>
                <w:rFonts w:hint="eastAsia" w:hAnsi="宋体" w:eastAsia="宋体"/>
                <w:b/>
                <w:bCs/>
              </w:rPr>
              <w:t>广州市净水有限公司2021年防腐大修项目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分公司</w:t>
            </w:r>
          </w:p>
        </w:tc>
        <w:tc>
          <w:tcPr>
            <w:tcW w:w="4790" w:type="dxa"/>
            <w:vAlign w:val="center"/>
          </w:tcPr>
          <w:p>
            <w:pPr>
              <w:pStyle w:val="2"/>
              <w:jc w:val="center"/>
              <w:rPr>
                <w:rFonts w:hAnsi="宋体" w:eastAsia="宋体"/>
                <w:b/>
                <w:bCs/>
              </w:rPr>
            </w:pPr>
            <w:r>
              <w:rPr>
                <w:rFonts w:hint="eastAsia" w:hAnsi="宋体" w:eastAsia="宋体"/>
                <w:b/>
                <w:bCs/>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Ansi="宋体" w:cs="宋体"/>
                <w:b/>
                <w:bCs/>
                <w:sz w:val="24"/>
                <w:szCs w:val="24"/>
              </w:rPr>
            </w:pPr>
            <w:r>
              <w:rPr>
                <w:rFonts w:hint="eastAsia" w:hAnsi="宋体" w:cs="宋体"/>
                <w:b/>
                <w:bCs/>
                <w:sz w:val="24"/>
                <w:szCs w:val="24"/>
              </w:rPr>
              <w:t>大坦沙（项目一）</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0"/>
              <w:spacing w:line="360" w:lineRule="auto"/>
              <w:jc w:val="center"/>
              <w:outlineLvl w:val="1"/>
              <w:rPr>
                <w:rFonts w:hAnsi="宋体" w:cs="宋体"/>
                <w:b/>
                <w:bCs/>
                <w:sz w:val="24"/>
                <w:szCs w:val="24"/>
              </w:rPr>
            </w:pPr>
            <w:r>
              <w:rPr>
                <w:rFonts w:hint="eastAsia" w:hAnsi="宋体" w:cs="宋体"/>
                <w:b/>
                <w:bCs/>
                <w:sz w:val="24"/>
                <w:szCs w:val="24"/>
              </w:rPr>
              <w:t>沥滘（项目二）</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猎德（项目三）</w:t>
            </w:r>
          </w:p>
        </w:tc>
        <w:tc>
          <w:tcPr>
            <w:tcW w:w="4790" w:type="dxa"/>
            <w:vAlign w:val="center"/>
          </w:tcPr>
          <w:p>
            <w:pPr>
              <w:pStyle w:val="2"/>
              <w:jc w:val="center"/>
              <w:rPr>
                <w:rFonts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
              <w:jc w:val="center"/>
              <w:rPr>
                <w:rFonts w:hAnsi="宋体" w:eastAsia="宋体"/>
                <w:b/>
                <w:bCs/>
              </w:rPr>
            </w:pPr>
            <w:r>
              <w:rPr>
                <w:rFonts w:hint="eastAsia" w:hAnsi="宋体" w:eastAsia="宋体"/>
                <w:b/>
                <w:bCs/>
              </w:rPr>
              <w:t>合计</w:t>
            </w:r>
          </w:p>
        </w:tc>
        <w:tc>
          <w:tcPr>
            <w:tcW w:w="4790" w:type="dxa"/>
            <w:vAlign w:val="center"/>
          </w:tcPr>
          <w:p>
            <w:pPr>
              <w:pStyle w:val="2"/>
              <w:jc w:val="center"/>
              <w:rPr>
                <w:rFonts w:hAnsi="宋体" w:eastAsia="宋体"/>
              </w:rPr>
            </w:pPr>
          </w:p>
        </w:tc>
      </w:tr>
    </w:tbl>
    <w:p>
      <w:pPr>
        <w:pStyle w:val="10"/>
        <w:spacing w:line="360" w:lineRule="auto"/>
        <w:ind w:firstLine="480" w:firstLineChars="200"/>
        <w:outlineLvl w:val="1"/>
        <w:rPr>
          <w:rFonts w:asciiTheme="minorEastAsia" w:hAnsiTheme="minorEastAsia" w:eastAsiaTheme="minorEastAsia" w:cstheme="minorEastAsia"/>
          <w:sz w:val="24"/>
          <w:u w:val="single"/>
        </w:rPr>
      </w:pPr>
    </w:p>
    <w:p>
      <w:pPr>
        <w:jc w:val="left"/>
        <w:rPr>
          <w:rFonts w:ascii="宋体" w:hAnsi="宋体" w:cs="宋体"/>
          <w:b/>
          <w:sz w:val="24"/>
          <w:szCs w:val="24"/>
        </w:rPr>
      </w:pPr>
    </w:p>
    <w:p>
      <w:pPr>
        <w:jc w:val="left"/>
        <w:rPr>
          <w:rFonts w:hint="eastAsia" w:ascii="宋体" w:hAnsi="宋体" w:cs="宋体"/>
          <w:b/>
          <w:sz w:val="24"/>
          <w:szCs w:val="24"/>
        </w:rPr>
      </w:pPr>
      <w:r>
        <w:rPr>
          <w:rFonts w:hint="eastAsia" w:ascii="宋体" w:hAnsi="宋体" w:cs="宋体"/>
          <w:b/>
          <w:sz w:val="24"/>
          <w:szCs w:val="24"/>
        </w:rPr>
        <w:t>项目一：大坦沙分公司</w:t>
      </w:r>
    </w:p>
    <w:p>
      <w:pPr>
        <w:pStyle w:val="2"/>
        <w:rPr>
          <w:rFonts w:hint="eastAsia"/>
        </w:rPr>
      </w:pPr>
    </w:p>
    <w:tbl>
      <w:tblPr>
        <w:tblStyle w:val="18"/>
        <w:tblW w:w="9429" w:type="dxa"/>
        <w:tblInd w:w="91" w:type="dxa"/>
        <w:shd w:val="clear" w:color="auto" w:fill="auto"/>
        <w:tblLayout w:type="autofit"/>
        <w:tblCellMar>
          <w:top w:w="0" w:type="dxa"/>
          <w:left w:w="108" w:type="dxa"/>
          <w:bottom w:w="0" w:type="dxa"/>
          <w:right w:w="108" w:type="dxa"/>
        </w:tblCellMar>
      </w:tblPr>
      <w:tblGrid>
        <w:gridCol w:w="729"/>
        <w:gridCol w:w="2751"/>
        <w:gridCol w:w="3504"/>
        <w:gridCol w:w="1230"/>
        <w:gridCol w:w="1215"/>
      </w:tblGrid>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7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取费基数</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一、二期细格栅间修复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一、二期平流式沉砂池进水廊道及出水口修复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三期2#反应池进水渠闸孔及进水口超越闸孔修复</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安全及文明施工措施费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暂估价合计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分部分项合计+措施合计+其他项目+增值税销项税额</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5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分部分项人工费+技术措施项目人工费</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ascii="宋体" w:hAnsi="宋体" w:cs="宋体"/>
          <w:b/>
          <w:sz w:val="24"/>
          <w:szCs w:val="24"/>
          <w:lang w:val="en-US" w:eastAsia="zh-CN"/>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173"/>
        <w:gridCol w:w="3217"/>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left"/>
              <w:rPr>
                <w:rFonts w:ascii="宋体" w:hAnsi="宋体" w:cs="宋体"/>
                <w:color w:val="000000"/>
                <w:sz w:val="20"/>
                <w:szCs w:val="20"/>
              </w:rPr>
            </w:pPr>
            <w:r>
              <w:rPr>
                <w:rFonts w:hint="eastAsia"/>
                <w:lang w:eastAsia="zh-CN"/>
              </w:rPr>
              <w:tab/>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一、二期细格栅间修复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5.高压水枪清洗墙面、人工铲除墙面人工 10工日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219.95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4.399</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一、二期平流式沉砂池进水廊道及出水口修复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1.平面抹灰铲除 砖、混凝土面 一般抹灰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6.高压水枪清洗墙面人工 10工日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259.4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lang w:bidi="ar"/>
              </w:rPr>
              <w:t>三期2#反应池进水渠闸孔及进水口超越闸孔修复</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防腐砂浆面层修复</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1.平面抹灰铲除 砖、混凝土面 一般抹灰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2.喷射混凝土 网喷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3.卫盾特种水泥砂浆3cm R3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4.墙面钉(挂)钢(铁)网 铁丝网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5.墙面 人工抹平 墙面设计钉(挂)网者，钉(挂)网部分的墙面 人工*1.2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6.高压水枪清洗墙面人工 15工日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7.打磨外露锈蚀的钢筋人工 20工日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8.在洞内、地下室内、库内或暗室内进行施工</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m²</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284.84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余方弃置</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1.拆除废料外运 人工装自卸汽车运 3km内 实际运距(km):20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仿宋_GB2312" w:hAnsi="仿宋_GB2312" w:eastAsia="仿宋_GB2312" w:cs="仿宋_GB2312"/>
                <w:sz w:val="20"/>
                <w:szCs w:val="20"/>
              </w:rPr>
              <w:t>m³</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5.6968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9384" w:type="dxa"/>
            <w:gridSpan w:val="7"/>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tabs>
                <w:tab w:val="left" w:pos="757"/>
              </w:tabs>
              <w:jc w:val="left"/>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eastAsia="zh-CN" w:bidi="ar"/>
              </w:rPr>
              <w:tab/>
            </w:r>
            <w:r>
              <w:rPr>
                <w:rFonts w:hint="eastAsia" w:ascii="宋体" w:hAnsi="宋体" w:cs="宋体"/>
                <w:color w:val="000000"/>
                <w:kern w:val="0"/>
                <w:sz w:val="20"/>
                <w:szCs w:val="20"/>
                <w:lang w:val="en-US" w:eastAsia="zh-CN" w:bidi="ar"/>
              </w:rPr>
              <w:t>措施费</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综合钢脚手架</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1.搭设高度:8m以内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2.使用有效天数:30天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300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现场组装平台铺设与拆除 钢管平台 50m2</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1.现场组装平台铺设与拆除 钢管平台 100m2 实际面积(m2):50</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座</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洞内通风设施</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1.轴流通风机</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台班</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36</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117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施工监测、监控</w:t>
            </w:r>
          </w:p>
        </w:tc>
        <w:tc>
          <w:tcPr>
            <w:tcW w:w="3217"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1.有毒气体检测：每2小时检测一次，每天工作8小时，工期30天。</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宋体" w:hAnsi="宋体" w:eastAsia="宋体" w:cs="宋体"/>
                <w:i w:val="0"/>
                <w:color w:val="000000"/>
                <w:kern w:val="0"/>
                <w:sz w:val="20"/>
                <w:szCs w:val="20"/>
                <w:u w:val="none"/>
                <w:lang w:val="en-US" w:eastAsia="zh-CN" w:bidi="ar"/>
              </w:rPr>
              <w:t>次</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0"/>
                <w:szCs w:val="20"/>
                <w:u w:val="none"/>
                <w:lang w:val="en-US" w:eastAsia="zh-CN" w:bidi="ar"/>
              </w:rPr>
              <w:t>120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jc w:val="left"/>
        <w:rPr>
          <w:rFonts w:ascii="宋体" w:hAnsi="宋体" w:cs="宋体"/>
          <w:b/>
          <w:sz w:val="24"/>
          <w:szCs w:val="24"/>
        </w:rPr>
      </w:pPr>
    </w:p>
    <w:p>
      <w:pPr>
        <w:pStyle w:val="2"/>
      </w:pPr>
    </w:p>
    <w:tbl>
      <w:tblPr>
        <w:tblStyle w:val="18"/>
        <w:tblW w:w="9414" w:type="dxa"/>
        <w:tblInd w:w="91" w:type="dxa"/>
        <w:shd w:val="clear" w:color="auto" w:fill="auto"/>
        <w:tblLayout w:type="autofit"/>
        <w:tblCellMar>
          <w:top w:w="0" w:type="dxa"/>
          <w:left w:w="108" w:type="dxa"/>
          <w:bottom w:w="0" w:type="dxa"/>
          <w:right w:w="108" w:type="dxa"/>
        </w:tblCellMar>
      </w:tblPr>
      <w:tblGrid>
        <w:gridCol w:w="686"/>
        <w:gridCol w:w="1706"/>
        <w:gridCol w:w="2717"/>
        <w:gridCol w:w="690"/>
        <w:gridCol w:w="1215"/>
        <w:gridCol w:w="2400"/>
      </w:tblGrid>
      <w:tr>
        <w:tblPrEx>
          <w:tblCellMar>
            <w:top w:w="0" w:type="dxa"/>
            <w:left w:w="108" w:type="dxa"/>
            <w:bottom w:w="0" w:type="dxa"/>
            <w:right w:w="108" w:type="dxa"/>
          </w:tblCellMar>
        </w:tblPrEx>
        <w:trPr>
          <w:trHeight w:val="454" w:hRule="atLeast"/>
        </w:trPr>
        <w:tc>
          <w:tcPr>
            <w:tcW w:w="6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7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ascii="宋体" w:hAnsi="宋体" w:cs="宋体"/>
          <w:b/>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p>
      <w:pPr>
        <w:pStyle w:val="2"/>
        <w:rPr>
          <w:rFonts w:ascii="宋体" w:hAnsi="宋体" w:cs="宋体"/>
          <w:b/>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00"/>
        <w:gridCol w:w="1168"/>
      </w:tblGrid>
      <w:tr>
        <w:tblPrEx>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tbl>
      <w:tblPr>
        <w:tblStyle w:val="18"/>
        <w:tblW w:w="9444" w:type="dxa"/>
        <w:tblInd w:w="91" w:type="dxa"/>
        <w:shd w:val="clear" w:color="auto" w:fill="auto"/>
        <w:tblLayout w:type="autofit"/>
        <w:tblCellMar>
          <w:top w:w="0" w:type="dxa"/>
          <w:left w:w="108" w:type="dxa"/>
          <w:bottom w:w="0" w:type="dxa"/>
          <w:right w:w="108" w:type="dxa"/>
        </w:tblCellMar>
      </w:tblPr>
      <w:tblGrid>
        <w:gridCol w:w="714"/>
        <w:gridCol w:w="2766"/>
        <w:gridCol w:w="3504"/>
        <w:gridCol w:w="1245"/>
        <w:gridCol w:w="1215"/>
      </w:tblGrid>
      <w:tr>
        <w:tblPrEx>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5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取费基数</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厂区钢管防腐</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安全及文明施工措施费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暂估价合计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3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分部分项合计+措施合计+其他项目+增值税销项税额</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350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分部分项人工费+技术措施项目人工费</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ascii="宋体" w:hAnsi="宋体" w:cs="宋体"/>
          <w:b/>
          <w:sz w:val="24"/>
          <w:szCs w:val="24"/>
        </w:rPr>
      </w:pPr>
    </w:p>
    <w:p>
      <w:pPr>
        <w:pStyle w:val="2"/>
        <w:rPr>
          <w:rFonts w:ascii="宋体" w:hAnsi="宋体" w:cs="宋体"/>
          <w:b/>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654"/>
        <w:gridCol w:w="1318"/>
        <w:gridCol w:w="3137"/>
        <w:gridCol w:w="690"/>
        <w:gridCol w:w="1200"/>
        <w:gridCol w:w="1215"/>
        <w:gridCol w:w="1200"/>
      </w:tblGrid>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tabs>
                <w:tab w:val="left" w:pos="646"/>
              </w:tabs>
              <w:bidi w:val="0"/>
              <w:jc w:val="left"/>
              <w:rPr>
                <w:rFonts w:hint="eastAsia" w:ascii="宋体" w:hAnsi="宋体" w:eastAsia="宋体" w:cs="宋体"/>
                <w:i w:val="0"/>
                <w:iCs w:val="0"/>
                <w:color w:val="000000"/>
                <w:sz w:val="20"/>
                <w:szCs w:val="20"/>
                <w:u w:val="none"/>
              </w:rPr>
            </w:pPr>
            <w:r>
              <w:rPr>
                <w:rFonts w:hint="eastAsia"/>
                <w:lang w:eastAsia="zh-CN"/>
              </w:rPr>
              <w:tab/>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bidi="ar"/>
              </w:rPr>
              <w:t>项目名称</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项目特征描述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lang w:bidi="ar"/>
              </w:rPr>
              <w:t>工程数量</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sz w:val="20"/>
                <w:szCs w:val="20"/>
              </w:rPr>
              <w:t>综合单价</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84" w:lineRule="auto"/>
              <w:jc w:val="center"/>
              <w:rPr>
                <w:rFonts w:hint="eastAsia" w:ascii="宋体" w:hAnsi="宋体" w:eastAsia="宋体" w:cs="宋体"/>
                <w:i w:val="0"/>
                <w:iCs w:val="0"/>
                <w:color w:val="000000"/>
                <w:sz w:val="20"/>
                <w:szCs w:val="20"/>
                <w:u w:val="none"/>
              </w:rPr>
            </w:pPr>
            <w:r>
              <w:rPr>
                <w:rFonts w:hint="eastAsia" w:ascii="宋体" w:hAnsi="宋体" w:cs="宋体"/>
                <w:kern w:val="0"/>
                <w:sz w:val="20"/>
                <w:szCs w:val="20"/>
              </w:rPr>
              <w:t>综合总价</w:t>
            </w:r>
          </w:p>
        </w:tc>
      </w:tr>
      <w:tr>
        <w:tblPrEx>
          <w:shd w:val="clear" w:color="auto" w:fill="auto"/>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厂区钢管防腐</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管道防腐蚀</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1.动力工具除锈 金属面 轻锈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 红丹环氧防锈底漆 一遍 单价*0.5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3.管道 聚氨酯双组份漆 两遍</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3674</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厂区钢管防腐合计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3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9"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
        <w:rPr>
          <w:rFonts w:ascii="宋体" w:hAnsi="宋体" w:cs="宋体"/>
          <w:b/>
          <w:sz w:val="24"/>
          <w:szCs w:val="24"/>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ascii="宋体" w:hAnsi="宋体" w:cs="宋体"/>
          <w:b/>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jc w:val="left"/>
        <w:rPr>
          <w:rFonts w:ascii="宋体" w:hAnsi="宋体" w:cs="宋体"/>
          <w:b/>
          <w:sz w:val="24"/>
          <w:szCs w:val="24"/>
        </w:rPr>
      </w:pPr>
    </w:p>
    <w:p>
      <w:pPr>
        <w:pStyle w:val="2"/>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2"/>
        <w:ind w:firstLine="280" w:firstLineChars="100"/>
      </w:pPr>
      <w:r>
        <w:rPr>
          <w:rFonts w:hint="eastAsia" w:ascii="仿宋_GB2312" w:hAnsi="仿宋_GB2312" w:eastAsia="仿宋_GB2312" w:cs="仿宋_GB2312"/>
          <w:color w:val="000000"/>
          <w:sz w:val="28"/>
          <w:szCs w:val="28"/>
          <w:highlight w:val="none"/>
          <w:lang w:val="en-US" w:eastAsia="zh-CN"/>
        </w:rPr>
        <w:t>日期：</w:t>
      </w: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eastAsia" w:ascii="宋体" w:hAnsi="宋体" w:cs="宋体"/>
          <w:b/>
          <w:sz w:val="24"/>
          <w:szCs w:val="24"/>
        </w:rPr>
      </w:pPr>
    </w:p>
    <w:p>
      <w:pPr>
        <w:jc w:val="left"/>
        <w:rPr>
          <w:rFonts w:hint="default" w:ascii="宋体" w:hAnsi="宋体" w:eastAsia="宋体" w:cs="宋体"/>
          <w:b/>
          <w:sz w:val="24"/>
          <w:szCs w:val="24"/>
          <w:lang w:val="en-US" w:eastAsia="zh-CN"/>
        </w:rPr>
      </w:pPr>
      <w:r>
        <w:rPr>
          <w:rFonts w:hint="eastAsia" w:ascii="宋体" w:hAnsi="宋体" w:cs="宋体"/>
          <w:b/>
          <w:sz w:val="24"/>
          <w:szCs w:val="24"/>
        </w:rPr>
        <w:t>项目二</w:t>
      </w:r>
      <w:r>
        <w:rPr>
          <w:rFonts w:hint="eastAsia" w:ascii="宋体" w:hAnsi="宋体" w:cs="宋体"/>
          <w:b/>
          <w:sz w:val="24"/>
          <w:szCs w:val="24"/>
          <w:lang w:eastAsia="zh-CN"/>
        </w:rPr>
        <w:t>：</w:t>
      </w:r>
      <w:r>
        <w:rPr>
          <w:rFonts w:hint="eastAsia" w:ascii="宋体" w:hAnsi="宋体" w:cs="宋体"/>
          <w:b/>
          <w:sz w:val="24"/>
          <w:szCs w:val="24"/>
          <w:lang w:val="en-US" w:eastAsia="zh-CN"/>
        </w:rPr>
        <w:t>沥滘分公司</w:t>
      </w:r>
    </w:p>
    <w:p>
      <w:pPr>
        <w:rPr>
          <w:rFonts w:ascii="宋体" w:hAnsi="宋体" w:cs="宋体"/>
          <w:b/>
          <w:sz w:val="24"/>
          <w:szCs w:val="24"/>
        </w:rPr>
      </w:pPr>
    </w:p>
    <w:p>
      <w:pPr>
        <w:pStyle w:val="2"/>
        <w:rPr>
          <w:rFonts w:hint="default"/>
          <w:highlight w:val="none"/>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highlight w:val="none"/>
                <w:u w:val="none"/>
                <w:lang w:val="en-US" w:eastAsia="zh-CN"/>
              </w:rPr>
            </w:pPr>
          </w:p>
        </w:tc>
      </w:tr>
    </w:tbl>
    <w:p>
      <w:pPr>
        <w:pStyle w:val="2"/>
        <w:rPr>
          <w:rFonts w:hint="eastAsia" w:ascii="宋体" w:hAnsi="宋体" w:cs="宋体"/>
          <w:sz w:val="24"/>
          <w:szCs w:val="24"/>
          <w:highlight w:val="none"/>
        </w:rPr>
      </w:pPr>
    </w:p>
    <w:tbl>
      <w:tblPr>
        <w:tblStyle w:val="18"/>
        <w:tblpPr w:leftFromText="180" w:rightFromText="180" w:vertAnchor="text" w:horzAnchor="page" w:tblpX="1104" w:tblpY="717"/>
        <w:tblOverlap w:val="never"/>
        <w:tblW w:w="9384" w:type="dxa"/>
        <w:tblInd w:w="0" w:type="dxa"/>
        <w:shd w:val="clear" w:color="auto" w:fill="auto"/>
        <w:tblLayout w:type="autofit"/>
        <w:tblCellMar>
          <w:top w:w="0" w:type="dxa"/>
          <w:left w:w="0" w:type="dxa"/>
          <w:bottom w:w="0" w:type="dxa"/>
          <w:right w:w="0" w:type="dxa"/>
        </w:tblCellMar>
      </w:tblPr>
      <w:tblGrid>
        <w:gridCol w:w="689"/>
        <w:gridCol w:w="1346"/>
        <w:gridCol w:w="3044"/>
        <w:gridCol w:w="693"/>
        <w:gridCol w:w="1204"/>
        <w:gridCol w:w="1204"/>
        <w:gridCol w:w="1204"/>
      </w:tblGrid>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sz w:val="20"/>
                <w:szCs w:val="20"/>
                <w:highlight w:val="none"/>
              </w:rPr>
              <w:t>综合单价</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384" w:lineRule="auto"/>
              <w:jc w:val="center"/>
              <w:rPr>
                <w:rFonts w:ascii="宋体" w:hAnsi="宋体" w:cs="宋体"/>
                <w:color w:val="000000"/>
                <w:kern w:val="0"/>
                <w:sz w:val="20"/>
                <w:szCs w:val="20"/>
                <w:highlight w:val="none"/>
                <w:lang w:bidi="ar"/>
              </w:rPr>
            </w:pPr>
            <w:r>
              <w:rPr>
                <w:rFonts w:hint="eastAsia" w:ascii="宋体" w:hAnsi="宋体" w:cs="宋体"/>
                <w:kern w:val="0"/>
                <w:sz w:val="20"/>
                <w:szCs w:val="20"/>
                <w:highlight w:val="none"/>
              </w:rPr>
              <w:t>综合总价</w:t>
            </w: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厂区设备设施防腐</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kern w:val="0"/>
                <w:sz w:val="20"/>
                <w:szCs w:val="20"/>
                <w:highlight w:val="none"/>
                <w:lang w:val="en-US" w:eastAsia="zh-CN"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措施项目</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0"/>
                <w:szCs w:val="20"/>
                <w:highlight w:val="none"/>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高层施工增架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w:t>
            </w:r>
          </w:p>
        </w:tc>
        <w:tc>
          <w:tcPr>
            <w:tcW w:w="13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脚手架搭架</w:t>
            </w:r>
          </w:p>
        </w:tc>
        <w:tc>
          <w:tcPr>
            <w:tcW w:w="30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69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项</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c>
          <w:tcPr>
            <w:tcW w:w="12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0"/>
                <w:szCs w:val="20"/>
                <w:highlight w:val="none"/>
                <w:lang w:bidi="ar"/>
              </w:rPr>
            </w:pPr>
          </w:p>
        </w:tc>
      </w:tr>
      <w:tr>
        <w:tblPrEx>
          <w:shd w:val="clear" w:color="auto" w:fill="auto"/>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cs="宋体"/>
                <w:color w:val="000000"/>
                <w:kern w:val="0"/>
                <w:sz w:val="24"/>
                <w:szCs w:val="24"/>
                <w:highlight w:val="none"/>
                <w:lang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hint="eastAsia" w:ascii="宋体" w:hAnsi="宋体" w:cs="宋体"/>
          <w:sz w:val="24"/>
          <w:szCs w:val="24"/>
          <w:highlight w:val="none"/>
        </w:rPr>
      </w:pPr>
    </w:p>
    <w:p>
      <w:pPr>
        <w:spacing w:line="360" w:lineRule="auto"/>
        <w:rPr>
          <w:rFonts w:hint="eastAsia" w:ascii="宋体" w:hAnsi="宋体" w:cs="宋体"/>
          <w:b/>
          <w:bCs/>
          <w:sz w:val="24"/>
          <w:szCs w:val="24"/>
          <w:highlight w:val="none"/>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color w:val="000000"/>
                <w:kern w:val="0"/>
                <w:sz w:val="18"/>
                <w:szCs w:val="18"/>
                <w:highlight w:val="none"/>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p>
        </w:tc>
      </w:tr>
    </w:tbl>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2"/>
        <w:ind w:firstLine="280" w:firstLineChars="100"/>
        <w:rPr>
          <w:rFonts w:ascii="宋体" w:hAnsi="宋体" w:cs="宋体"/>
          <w:b/>
          <w:sz w:val="24"/>
          <w:szCs w:val="24"/>
        </w:rPr>
      </w:pPr>
      <w:r>
        <w:rPr>
          <w:rFonts w:hint="eastAsia" w:ascii="仿宋_GB2312" w:hAnsi="仿宋_GB2312" w:eastAsia="仿宋_GB2312" w:cs="仿宋_GB2312"/>
          <w:color w:val="000000"/>
          <w:sz w:val="28"/>
          <w:szCs w:val="28"/>
          <w:highlight w:val="none"/>
          <w:lang w:val="en-US" w:eastAsia="zh-CN"/>
        </w:rPr>
        <w:t>日期：</w:t>
      </w: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lang w:val="en-US" w:eastAsia="zh-CN"/>
        </w:rPr>
      </w:pPr>
      <w:r>
        <w:rPr>
          <w:rFonts w:hint="eastAsia" w:ascii="宋体" w:hAnsi="宋体" w:cs="宋体"/>
          <w:b/>
          <w:sz w:val="24"/>
          <w:szCs w:val="24"/>
        </w:rPr>
        <w:t>项目三</w:t>
      </w:r>
      <w:r>
        <w:rPr>
          <w:rFonts w:hint="eastAsia" w:ascii="宋体" w:hAnsi="宋体" w:cs="宋体"/>
          <w:b/>
          <w:sz w:val="24"/>
          <w:szCs w:val="24"/>
          <w:lang w:eastAsia="zh-CN"/>
        </w:rPr>
        <w:t>：</w:t>
      </w:r>
      <w:r>
        <w:rPr>
          <w:rFonts w:hint="eastAsia" w:ascii="宋体" w:hAnsi="宋体" w:cs="宋体"/>
          <w:b/>
          <w:sz w:val="24"/>
          <w:szCs w:val="24"/>
          <w:lang w:val="en-US" w:eastAsia="zh-CN"/>
        </w:rPr>
        <w:t>猎德分公司</w:t>
      </w:r>
    </w:p>
    <w:p>
      <w:pPr>
        <w:pStyle w:val="2"/>
        <w:rPr>
          <w:rFonts w:hint="default"/>
          <w:lang w:val="en-US" w:eastAsia="zh-CN"/>
        </w:rPr>
      </w:pPr>
    </w:p>
    <w:tbl>
      <w:tblPr>
        <w:tblStyle w:val="18"/>
        <w:tblW w:w="9356" w:type="dxa"/>
        <w:tblInd w:w="91" w:type="dxa"/>
        <w:shd w:val="clear" w:color="auto" w:fill="auto"/>
        <w:tblLayout w:type="autofit"/>
        <w:tblCellMar>
          <w:top w:w="0" w:type="dxa"/>
          <w:left w:w="108" w:type="dxa"/>
          <w:bottom w:w="0" w:type="dxa"/>
          <w:right w:w="108" w:type="dxa"/>
        </w:tblCellMar>
      </w:tblPr>
      <w:tblGrid>
        <w:gridCol w:w="714"/>
        <w:gridCol w:w="6467"/>
        <w:gridCol w:w="2175"/>
      </w:tblGrid>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措施合计</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预算包干费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工程优质费</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概算幅度差</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索赔费用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现场签证费用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税前工程造价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增值税销项税额</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总造价</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7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21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ascii="宋体" w:hAnsi="宋体" w:cs="宋体"/>
          <w:sz w:val="24"/>
          <w:szCs w:val="24"/>
        </w:rPr>
      </w:pPr>
    </w:p>
    <w:tbl>
      <w:tblPr>
        <w:tblStyle w:val="18"/>
        <w:tblpPr w:leftFromText="180" w:rightFromText="180" w:vertAnchor="text" w:horzAnchor="page" w:tblpX="1104" w:tblpY="717"/>
        <w:tblOverlap w:val="never"/>
        <w:tblW w:w="9384" w:type="dxa"/>
        <w:tblInd w:w="0" w:type="dxa"/>
        <w:tblLayout w:type="autofit"/>
        <w:tblCellMar>
          <w:top w:w="0" w:type="dxa"/>
          <w:left w:w="0" w:type="dxa"/>
          <w:bottom w:w="0" w:type="dxa"/>
          <w:right w:w="0" w:type="dxa"/>
        </w:tblCellMar>
      </w:tblPr>
      <w:tblGrid>
        <w:gridCol w:w="689"/>
        <w:gridCol w:w="1346"/>
        <w:gridCol w:w="3044"/>
        <w:gridCol w:w="693"/>
        <w:gridCol w:w="1204"/>
        <w:gridCol w:w="1204"/>
        <w:gridCol w:w="1204"/>
      </w:tblGrid>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tabs>
                <w:tab w:val="left" w:pos="646"/>
              </w:tabs>
              <w:bidi w:val="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序号</w:t>
            </w:r>
          </w:p>
        </w:tc>
        <w:tc>
          <w:tcPr>
            <w:tcW w:w="1346"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304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项目特征描述</w:t>
            </w:r>
          </w:p>
        </w:tc>
        <w:tc>
          <w:tcPr>
            <w:tcW w:w="693"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sz w:val="20"/>
                <w:szCs w:val="20"/>
              </w:rPr>
              <w:t>综合单价</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spacing w:line="384" w:lineRule="auto"/>
              <w:jc w:val="center"/>
              <w:rPr>
                <w:rFonts w:ascii="宋体" w:hAnsi="宋体" w:cs="宋体"/>
                <w:color w:val="000000"/>
                <w:kern w:val="0"/>
                <w:sz w:val="20"/>
                <w:szCs w:val="20"/>
                <w:lang w:bidi="ar"/>
              </w:rPr>
            </w:pPr>
            <w:r>
              <w:rPr>
                <w:rFonts w:hint="eastAsia" w:ascii="宋体" w:hAnsi="宋体" w:cs="宋体"/>
                <w:kern w:val="0"/>
                <w:sz w:val="20"/>
                <w:szCs w:val="20"/>
              </w:rPr>
              <w:t>综合总价</w:t>
            </w: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整个项目</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left"/>
              <w:textAlignment w:val="center"/>
              <w:rPr>
                <w:rFonts w:hint="eastAsia" w:ascii="宋体" w:hAnsi="宋体" w:cs="宋体"/>
                <w:color w:val="000000"/>
                <w:kern w:val="0"/>
                <w:sz w:val="20"/>
                <w:szCs w:val="20"/>
                <w:lang w:bidi="ar"/>
              </w:rPr>
            </w:pP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ascii="宋体" w:hAnsi="宋体" w:cs="宋体"/>
                <w:color w:val="000000"/>
                <w:sz w:val="20"/>
                <w:szCs w:val="20"/>
                <w:highlight w:val="yellow"/>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PC耐力板拆除</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1.原有PC耐力板拆除</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10800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拆除废料外运</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1：运距：20Km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2.运输方式：人工从池体搬运至指定对方地点，人工装自卸汽车外运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m3</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44.8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1.规格：PC耐力板</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2.型号：4mm</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5600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PC耐力板安装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1.规格：PC耐力板</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2.型号：4mm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3.只计安装费，不计主材</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p>
            <w:pPr>
              <w:widowControl/>
              <w:jc w:val="center"/>
              <w:textAlignment w:val="center"/>
              <w:rPr>
                <w:rFonts w:hint="eastAsia" w:ascii="宋体" w:hAnsi="宋体" w:cs="宋体"/>
                <w:color w:val="000000"/>
                <w:kern w:val="0"/>
                <w:sz w:val="20"/>
                <w:szCs w:val="20"/>
                <w:lang w:val="en-US" w:eastAsia="zh-CN" w:bidi="ar"/>
              </w:rPr>
            </w:pP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5200</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原有骨架上方新增檩条</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1.钢材品种、规格：碳钢方管40*20*2mm</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2.金属结构场内运输</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t</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27.44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金属钢骨架刷油</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1.磨光机除锈 管道、外壁</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2.喷无机富锌底漆 一遍</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3.机喷环氧富锌漆 防锈漆一遍</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4.喷环氧富锌底漆（封闭漆）一遍</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m2</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4725</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0"/>
                <w:szCs w:val="20"/>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爬梯预留孔洞制作、安装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1.名称：爬梯预留孔制作、安装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2.规格700*700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14</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取样口制作、安装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1.名称：取样观察口制作、安装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2.规格：400*400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89"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346"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进风管预留孔洞制作、安装</w:t>
            </w:r>
          </w:p>
        </w:tc>
        <w:tc>
          <w:tcPr>
            <w:tcW w:w="304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1.名称：进风管预留孔洞制作、安装</w:t>
            </w:r>
          </w:p>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2.规格：500*500</w:t>
            </w:r>
          </w:p>
        </w:tc>
        <w:tc>
          <w:tcPr>
            <w:tcW w:w="693"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1204" w:type="dxa"/>
            <w:tcBorders>
              <w:top w:val="single" w:color="auto" w:sz="4" w:space="0"/>
              <w:left w:val="single" w:color="auto" w:sz="4" w:space="0"/>
              <w:bottom w:val="single" w:color="auto" w:sz="4" w:space="0"/>
              <w:right w:val="single" w:color="auto" w:sz="4" w:space="0"/>
            </w:tcBorders>
            <w:shd w:val="clear" w:color="FFFFFF" w:fill="auto"/>
            <w:tcMar>
              <w:top w:w="12" w:type="dxa"/>
              <w:left w:w="12" w:type="dxa"/>
              <w:right w:w="12" w:type="dxa"/>
            </w:tcMar>
            <w:vAlign w:val="center"/>
          </w:tcPr>
          <w:p>
            <w:pPr>
              <w:widowControl/>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28</w:t>
            </w: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c>
          <w:tcPr>
            <w:tcW w:w="1204" w:type="dxa"/>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r>
        <w:tblPrEx>
          <w:tblCellMar>
            <w:top w:w="0" w:type="dxa"/>
            <w:left w:w="0" w:type="dxa"/>
            <w:bottom w:w="0" w:type="dxa"/>
            <w:right w:w="0" w:type="dxa"/>
          </w:tblCellMar>
        </w:tblPrEx>
        <w:trPr>
          <w:trHeight w:val="454" w:hRule="atLeast"/>
        </w:trPr>
        <w:tc>
          <w:tcPr>
            <w:tcW w:w="6976" w:type="dxa"/>
            <w:gridSpan w:val="5"/>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408" w:type="dxa"/>
            <w:gridSpan w:val="2"/>
            <w:tcBorders>
              <w:top w:val="single" w:color="auto" w:sz="4" w:space="0"/>
              <w:left w:val="single" w:color="auto" w:sz="4" w:space="0"/>
              <w:bottom w:val="single" w:color="auto" w:sz="4" w:space="0"/>
              <w:right w:val="single" w:color="auto" w:sz="4" w:space="0"/>
            </w:tcBorders>
            <w:shd w:val="clear" w:color="FFFFFF" w:fill="FFFFFF"/>
            <w:tcMar>
              <w:top w:w="12" w:type="dxa"/>
              <w:left w:w="12" w:type="dxa"/>
              <w:right w:w="12" w:type="dxa"/>
            </w:tcMar>
            <w:vAlign w:val="center"/>
          </w:tcPr>
          <w:p>
            <w:pPr>
              <w:widowControl/>
              <w:jc w:val="right"/>
              <w:textAlignment w:val="center"/>
              <w:rPr>
                <w:rFonts w:ascii="宋体" w:hAnsi="宋体" w:cs="宋体"/>
                <w:color w:val="000000"/>
                <w:kern w:val="0"/>
                <w:sz w:val="24"/>
                <w:szCs w:val="24"/>
                <w:lang w:bidi="ar"/>
              </w:rPr>
            </w:pPr>
          </w:p>
        </w:tc>
      </w:tr>
    </w:tbl>
    <w:p>
      <w:pPr>
        <w:pStyle w:val="2"/>
        <w:rPr>
          <w:rFonts w:hint="eastAsia" w:ascii="宋体" w:hAnsi="宋体" w:cs="宋体"/>
          <w:sz w:val="24"/>
          <w:szCs w:val="24"/>
        </w:rPr>
      </w:pPr>
    </w:p>
    <w:p>
      <w:pPr>
        <w:pStyle w:val="2"/>
        <w:rPr>
          <w:rFonts w:hint="eastAsia" w:ascii="宋体" w:hAnsi="宋体" w:cs="宋体"/>
          <w:sz w:val="24"/>
          <w:szCs w:val="24"/>
        </w:rPr>
      </w:pPr>
    </w:p>
    <w:p>
      <w:pPr>
        <w:pStyle w:val="2"/>
        <w:rPr>
          <w:rFonts w:hint="eastAsia" w:ascii="宋体" w:hAnsi="宋体" w:cs="宋体"/>
          <w:sz w:val="24"/>
          <w:szCs w:val="24"/>
        </w:rPr>
      </w:pPr>
    </w:p>
    <w:tbl>
      <w:tblPr>
        <w:tblStyle w:val="18"/>
        <w:tblW w:w="9414" w:type="dxa"/>
        <w:tblInd w:w="91" w:type="dxa"/>
        <w:shd w:val="clear" w:color="auto" w:fill="auto"/>
        <w:tblLayout w:type="fixed"/>
        <w:tblCellMar>
          <w:top w:w="0" w:type="dxa"/>
          <w:left w:w="108" w:type="dxa"/>
          <w:bottom w:w="0" w:type="dxa"/>
          <w:right w:w="108" w:type="dxa"/>
        </w:tblCellMar>
      </w:tblPr>
      <w:tblGrid>
        <w:gridCol w:w="685"/>
        <w:gridCol w:w="1708"/>
        <w:gridCol w:w="2716"/>
        <w:gridCol w:w="690"/>
        <w:gridCol w:w="1215"/>
        <w:gridCol w:w="2400"/>
      </w:tblGrid>
      <w:tr>
        <w:tblPrEx>
          <w:tblCellMar>
            <w:top w:w="0" w:type="dxa"/>
            <w:left w:w="108" w:type="dxa"/>
            <w:bottom w:w="0" w:type="dxa"/>
            <w:right w:w="108" w:type="dxa"/>
          </w:tblCellMar>
        </w:tblPrEx>
        <w:trPr>
          <w:trHeight w:val="454"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4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0%；省级文明工地2.</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shd w:val="clear" w:color="auto" w:fill="auto"/>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赶工措施费=（1-δ）*分部分项（人工费+施工机具费）*0.3（0.8≤δ＜1   式中：δ=合同工期/定额工期）</w:t>
            </w:r>
          </w:p>
        </w:tc>
      </w:tr>
      <w:tr>
        <w:tblPrEx>
          <w:tblCellMar>
            <w:top w:w="0" w:type="dxa"/>
            <w:left w:w="108" w:type="dxa"/>
            <w:bottom w:w="0" w:type="dxa"/>
            <w:right w:w="108" w:type="dxa"/>
          </w:tblCellMar>
        </w:tblPrEx>
        <w:trPr>
          <w:trHeight w:val="454"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27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按经批准的施工组织设计方案计算</w:t>
            </w:r>
          </w:p>
        </w:tc>
      </w:tr>
      <w:tr>
        <w:tblPrEx>
          <w:tblCellMar>
            <w:top w:w="0" w:type="dxa"/>
            <w:left w:w="108" w:type="dxa"/>
            <w:bottom w:w="0" w:type="dxa"/>
            <w:right w:w="108" w:type="dxa"/>
          </w:tblCellMar>
        </w:tblPrEx>
        <w:trPr>
          <w:trHeight w:val="454" w:hRule="atLeast"/>
        </w:trPr>
        <w:tc>
          <w:tcPr>
            <w:tcW w:w="701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24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ascii="宋体" w:hAnsi="宋体" w:cs="宋体"/>
          <w:sz w:val="24"/>
          <w:szCs w:val="24"/>
        </w:rPr>
      </w:pPr>
    </w:p>
    <w:tbl>
      <w:tblPr>
        <w:tblStyle w:val="18"/>
        <w:tblpPr w:leftFromText="180" w:rightFromText="180" w:vertAnchor="text" w:horzAnchor="page" w:tblpX="1190" w:tblpY="324"/>
        <w:tblOverlap w:val="never"/>
        <w:tblW w:w="9414" w:type="dxa"/>
        <w:tblInd w:w="0" w:type="dxa"/>
        <w:shd w:val="clear" w:color="auto" w:fill="auto"/>
        <w:tblLayout w:type="autofit"/>
        <w:tblCellMar>
          <w:top w:w="0" w:type="dxa"/>
          <w:left w:w="108" w:type="dxa"/>
          <w:bottom w:w="0" w:type="dxa"/>
          <w:right w:w="108" w:type="dxa"/>
        </w:tblCellMar>
      </w:tblPr>
      <w:tblGrid>
        <w:gridCol w:w="699"/>
        <w:gridCol w:w="4425"/>
        <w:gridCol w:w="1905"/>
        <w:gridCol w:w="2385"/>
      </w:tblGrid>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3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6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4" w:hRule="atLeast"/>
        </w:trPr>
        <w:tc>
          <w:tcPr>
            <w:tcW w:w="702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ascii="宋体" w:hAnsi="宋体" w:cs="宋体"/>
          <w:sz w:val="24"/>
          <w:szCs w:val="24"/>
        </w:rPr>
      </w:pPr>
    </w:p>
    <w:p>
      <w:pPr>
        <w:spacing w:line="360" w:lineRule="auto"/>
        <w:rPr>
          <w:rFonts w:hint="eastAsia" w:ascii="宋体" w:hAnsi="宋体" w:cs="宋体"/>
          <w:b/>
          <w:bCs/>
          <w:sz w:val="24"/>
          <w:szCs w:val="24"/>
        </w:rPr>
      </w:pPr>
    </w:p>
    <w:tbl>
      <w:tblPr>
        <w:tblStyle w:val="18"/>
        <w:tblW w:w="9414" w:type="dxa"/>
        <w:tblInd w:w="91" w:type="dxa"/>
        <w:shd w:val="clear" w:color="auto" w:fill="auto"/>
        <w:tblLayout w:type="autofit"/>
        <w:tblCellMar>
          <w:top w:w="0" w:type="dxa"/>
          <w:left w:w="108" w:type="dxa"/>
          <w:bottom w:w="0" w:type="dxa"/>
          <w:right w:w="108" w:type="dxa"/>
        </w:tblCellMar>
      </w:tblPr>
      <w:tblGrid>
        <w:gridCol w:w="716"/>
        <w:gridCol w:w="2494"/>
        <w:gridCol w:w="3836"/>
        <w:gridCol w:w="1260"/>
        <w:gridCol w:w="1108"/>
      </w:tblGrid>
      <w:tr>
        <w:tblPrEx>
          <w:tblCellMar>
            <w:top w:w="0" w:type="dxa"/>
            <w:left w:w="108" w:type="dxa"/>
            <w:bottom w:w="0" w:type="dxa"/>
            <w:right w:w="108" w:type="dxa"/>
          </w:tblCellMar>
        </w:tblPrEx>
        <w:trPr>
          <w:trHeight w:val="454" w:hRule="atLeast"/>
        </w:trPr>
        <w:tc>
          <w:tcPr>
            <w:tcW w:w="71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9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shd w:val="clear" w:color="auto" w:fill="auto"/>
          <w:tblCellMar>
            <w:top w:w="0" w:type="dxa"/>
            <w:left w:w="108" w:type="dxa"/>
            <w:bottom w:w="0" w:type="dxa"/>
            <w:right w:w="108" w:type="dxa"/>
          </w:tblCellMar>
        </w:tblPrEx>
        <w:trPr>
          <w:trHeight w:val="454" w:hRule="atLeast"/>
        </w:trPr>
        <w:tc>
          <w:tcPr>
            <w:tcW w:w="7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增值税销项税额</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54" w:hRule="atLeast"/>
        </w:trPr>
        <w:tc>
          <w:tcPr>
            <w:tcW w:w="704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2"/>
        <w:ind w:firstLine="280" w:firstLineChars="100"/>
      </w:pPr>
      <w:r>
        <w:rPr>
          <w:rFonts w:hint="eastAsia" w:ascii="仿宋_GB2312" w:hAnsi="仿宋_GB2312" w:eastAsia="仿宋_GB2312" w:cs="仿宋_GB2312"/>
          <w:color w:val="000000"/>
          <w:sz w:val="28"/>
          <w:szCs w:val="28"/>
          <w:highlight w:val="none"/>
          <w:lang w:val="en-US" w:eastAsia="zh-CN"/>
        </w:rPr>
        <w:t>日期：</w:t>
      </w:r>
    </w:p>
    <w:p>
      <w:pPr>
        <w:pStyle w:val="2"/>
        <w:jc w:val="center"/>
        <w:rPr>
          <w:rFonts w:hint="eastAsia" w:ascii="仿宋_GB2312" w:hAnsi="仿宋_GB2312" w:cs="仿宋_GB2312"/>
          <w:b/>
          <w:color w:val="auto"/>
          <w:kern w:val="2"/>
          <w:sz w:val="28"/>
          <w:szCs w:val="28"/>
        </w:rPr>
      </w:pPr>
    </w:p>
    <w:p>
      <w:pPr>
        <w:pStyle w:val="2"/>
        <w:jc w:val="center"/>
        <w:rPr>
          <w:rFonts w:hint="eastAsia" w:ascii="仿宋_GB2312" w:hAnsi="仿宋_GB2312" w:cs="仿宋_GB2312"/>
          <w:b/>
          <w:color w:val="auto"/>
          <w:kern w:val="2"/>
          <w:sz w:val="28"/>
          <w:szCs w:val="28"/>
        </w:rPr>
      </w:pPr>
    </w:p>
    <w:p>
      <w:pPr>
        <w:pStyle w:val="2"/>
        <w:jc w:val="center"/>
        <w:rPr>
          <w:rFonts w:hint="eastAsia" w:ascii="仿宋_GB2312" w:hAnsi="仿宋_GB2312" w:cs="仿宋_GB2312"/>
          <w:b/>
          <w:color w:val="auto"/>
          <w:kern w:val="2"/>
          <w:sz w:val="28"/>
          <w:szCs w:val="28"/>
        </w:rPr>
      </w:pPr>
    </w:p>
    <w:p>
      <w:pPr>
        <w:pStyle w:val="2"/>
        <w:jc w:val="center"/>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6 项目人员、单位情况</w:t>
      </w:r>
    </w:p>
    <w:sectPr>
      <w:headerReference r:id="rId6" w:type="default"/>
      <w:footerReference r:id="rId7"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50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50</w:t>
                    </w:r>
                    <w:r>
                      <w:rPr>
                        <w:lang w:val="zh-CN"/>
                      </w:rP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D435FC61"/>
    <w:multiLevelType w:val="singleLevel"/>
    <w:tmpl w:val="D435FC61"/>
    <w:lvl w:ilvl="0" w:tentative="0">
      <w:start w:val="2"/>
      <w:numFmt w:val="decimal"/>
      <w:suff w:val="nothing"/>
      <w:lvlText w:val="%1、"/>
      <w:lvlJc w:val="left"/>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07E"/>
    <w:rsid w:val="00041B68"/>
    <w:rsid w:val="00052162"/>
    <w:rsid w:val="000D07B7"/>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7091C"/>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96EB0"/>
    <w:rsid w:val="003A005D"/>
    <w:rsid w:val="003A12D5"/>
    <w:rsid w:val="003D2CAD"/>
    <w:rsid w:val="004059DD"/>
    <w:rsid w:val="00410FFE"/>
    <w:rsid w:val="00414C19"/>
    <w:rsid w:val="004344B9"/>
    <w:rsid w:val="00463643"/>
    <w:rsid w:val="004761B3"/>
    <w:rsid w:val="0049583D"/>
    <w:rsid w:val="004A2191"/>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A67CC"/>
    <w:rsid w:val="00CA7558"/>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2732391"/>
    <w:rsid w:val="027A5F7E"/>
    <w:rsid w:val="02907F30"/>
    <w:rsid w:val="02D33308"/>
    <w:rsid w:val="030705B6"/>
    <w:rsid w:val="03F97C93"/>
    <w:rsid w:val="05087E50"/>
    <w:rsid w:val="066B50E3"/>
    <w:rsid w:val="06F253F2"/>
    <w:rsid w:val="07DF75F9"/>
    <w:rsid w:val="081A1750"/>
    <w:rsid w:val="08862B6E"/>
    <w:rsid w:val="088D2514"/>
    <w:rsid w:val="08E72BD3"/>
    <w:rsid w:val="09036FEC"/>
    <w:rsid w:val="09B207F9"/>
    <w:rsid w:val="09D95598"/>
    <w:rsid w:val="0A4E2763"/>
    <w:rsid w:val="0B021542"/>
    <w:rsid w:val="0B856175"/>
    <w:rsid w:val="0BFC473C"/>
    <w:rsid w:val="0C451D45"/>
    <w:rsid w:val="0D035730"/>
    <w:rsid w:val="0D6A4E6F"/>
    <w:rsid w:val="0D6D5D30"/>
    <w:rsid w:val="0E7956F8"/>
    <w:rsid w:val="0E871FE6"/>
    <w:rsid w:val="0EA30516"/>
    <w:rsid w:val="0EA43D46"/>
    <w:rsid w:val="0F842EAC"/>
    <w:rsid w:val="0F8D020F"/>
    <w:rsid w:val="0FB45D3D"/>
    <w:rsid w:val="0FDE6640"/>
    <w:rsid w:val="1014696E"/>
    <w:rsid w:val="10565C33"/>
    <w:rsid w:val="1072146B"/>
    <w:rsid w:val="10B74C3E"/>
    <w:rsid w:val="115427F3"/>
    <w:rsid w:val="1175003C"/>
    <w:rsid w:val="11A021F8"/>
    <w:rsid w:val="11AD4E09"/>
    <w:rsid w:val="12BD684D"/>
    <w:rsid w:val="13C808EC"/>
    <w:rsid w:val="14050774"/>
    <w:rsid w:val="14075E94"/>
    <w:rsid w:val="141168EE"/>
    <w:rsid w:val="14194D6B"/>
    <w:rsid w:val="144B02A3"/>
    <w:rsid w:val="1457366A"/>
    <w:rsid w:val="14E57AA8"/>
    <w:rsid w:val="155278BD"/>
    <w:rsid w:val="156E33B1"/>
    <w:rsid w:val="16732FEB"/>
    <w:rsid w:val="16984B18"/>
    <w:rsid w:val="176E7480"/>
    <w:rsid w:val="1865185A"/>
    <w:rsid w:val="187F72BD"/>
    <w:rsid w:val="18A93985"/>
    <w:rsid w:val="194C5F03"/>
    <w:rsid w:val="1A1A69C3"/>
    <w:rsid w:val="1B972F4C"/>
    <w:rsid w:val="1CC362EC"/>
    <w:rsid w:val="1E5828D6"/>
    <w:rsid w:val="1E7D07B8"/>
    <w:rsid w:val="1E8A1A2E"/>
    <w:rsid w:val="1EA82186"/>
    <w:rsid w:val="1F516372"/>
    <w:rsid w:val="1FD430C8"/>
    <w:rsid w:val="205572AD"/>
    <w:rsid w:val="20AA4C2F"/>
    <w:rsid w:val="20D33A0F"/>
    <w:rsid w:val="20DB3B4A"/>
    <w:rsid w:val="20E33285"/>
    <w:rsid w:val="20F17276"/>
    <w:rsid w:val="22551E62"/>
    <w:rsid w:val="230D1610"/>
    <w:rsid w:val="23A52A88"/>
    <w:rsid w:val="24121125"/>
    <w:rsid w:val="24260853"/>
    <w:rsid w:val="249D5E4D"/>
    <w:rsid w:val="24E01D00"/>
    <w:rsid w:val="250B3654"/>
    <w:rsid w:val="25426026"/>
    <w:rsid w:val="25C24F65"/>
    <w:rsid w:val="269221D6"/>
    <w:rsid w:val="269C0568"/>
    <w:rsid w:val="27563635"/>
    <w:rsid w:val="27567996"/>
    <w:rsid w:val="27B45138"/>
    <w:rsid w:val="27DF3432"/>
    <w:rsid w:val="283A4D4A"/>
    <w:rsid w:val="28810946"/>
    <w:rsid w:val="28CD6757"/>
    <w:rsid w:val="295733FB"/>
    <w:rsid w:val="2B52084C"/>
    <w:rsid w:val="2B5E7FE2"/>
    <w:rsid w:val="2BB36041"/>
    <w:rsid w:val="2BCA23E3"/>
    <w:rsid w:val="2D3A0A05"/>
    <w:rsid w:val="2D413713"/>
    <w:rsid w:val="2D6119E0"/>
    <w:rsid w:val="2DE41F76"/>
    <w:rsid w:val="2EC64439"/>
    <w:rsid w:val="2FDA6411"/>
    <w:rsid w:val="308974AE"/>
    <w:rsid w:val="30F44624"/>
    <w:rsid w:val="31510AA0"/>
    <w:rsid w:val="323D713F"/>
    <w:rsid w:val="325B51AB"/>
    <w:rsid w:val="33766BFC"/>
    <w:rsid w:val="348D5599"/>
    <w:rsid w:val="352765C3"/>
    <w:rsid w:val="35AC782A"/>
    <w:rsid w:val="360E19E5"/>
    <w:rsid w:val="36497307"/>
    <w:rsid w:val="36C903F0"/>
    <w:rsid w:val="37152C21"/>
    <w:rsid w:val="37590E1D"/>
    <w:rsid w:val="37BD636B"/>
    <w:rsid w:val="384F6BCF"/>
    <w:rsid w:val="38A319F3"/>
    <w:rsid w:val="392F3EDF"/>
    <w:rsid w:val="39704948"/>
    <w:rsid w:val="397D7CAF"/>
    <w:rsid w:val="39DD52FC"/>
    <w:rsid w:val="3ACF151E"/>
    <w:rsid w:val="3B8E0546"/>
    <w:rsid w:val="3BC61B12"/>
    <w:rsid w:val="3DBA77ED"/>
    <w:rsid w:val="3E3402C7"/>
    <w:rsid w:val="3E373913"/>
    <w:rsid w:val="3F34383F"/>
    <w:rsid w:val="3F344F84"/>
    <w:rsid w:val="40D560F5"/>
    <w:rsid w:val="415E1BCB"/>
    <w:rsid w:val="42E57412"/>
    <w:rsid w:val="42ED5017"/>
    <w:rsid w:val="43714570"/>
    <w:rsid w:val="43E251C4"/>
    <w:rsid w:val="44906FE6"/>
    <w:rsid w:val="44C2005E"/>
    <w:rsid w:val="44FE0999"/>
    <w:rsid w:val="45E235E0"/>
    <w:rsid w:val="46721C9D"/>
    <w:rsid w:val="46F6477A"/>
    <w:rsid w:val="4703068E"/>
    <w:rsid w:val="47FB7699"/>
    <w:rsid w:val="48241D53"/>
    <w:rsid w:val="48DF209C"/>
    <w:rsid w:val="4A0465FC"/>
    <w:rsid w:val="4B937695"/>
    <w:rsid w:val="4C967497"/>
    <w:rsid w:val="4D6E7C93"/>
    <w:rsid w:val="4D84644B"/>
    <w:rsid w:val="4DB53509"/>
    <w:rsid w:val="4DF57B76"/>
    <w:rsid w:val="4E0C3F18"/>
    <w:rsid w:val="4E3605DF"/>
    <w:rsid w:val="4EA5057F"/>
    <w:rsid w:val="4F105D44"/>
    <w:rsid w:val="4FE552FD"/>
    <w:rsid w:val="500028CE"/>
    <w:rsid w:val="50802EF9"/>
    <w:rsid w:val="51A32C5C"/>
    <w:rsid w:val="51A61200"/>
    <w:rsid w:val="51A8007B"/>
    <w:rsid w:val="52625629"/>
    <w:rsid w:val="53211D72"/>
    <w:rsid w:val="54981814"/>
    <w:rsid w:val="549C451F"/>
    <w:rsid w:val="54C93027"/>
    <w:rsid w:val="5587270E"/>
    <w:rsid w:val="559E664E"/>
    <w:rsid w:val="560F58BD"/>
    <w:rsid w:val="56513CD0"/>
    <w:rsid w:val="56A11110"/>
    <w:rsid w:val="58C240F5"/>
    <w:rsid w:val="58F45795"/>
    <w:rsid w:val="59637E84"/>
    <w:rsid w:val="59786976"/>
    <w:rsid w:val="5A1E1B66"/>
    <w:rsid w:val="5A2F5485"/>
    <w:rsid w:val="5AFB4DC0"/>
    <w:rsid w:val="5B602D42"/>
    <w:rsid w:val="5BB167FD"/>
    <w:rsid w:val="5BE80ED6"/>
    <w:rsid w:val="5C0803F9"/>
    <w:rsid w:val="5C842DC1"/>
    <w:rsid w:val="5D0C5FA0"/>
    <w:rsid w:val="5F8D7DD2"/>
    <w:rsid w:val="617E34BB"/>
    <w:rsid w:val="619264D9"/>
    <w:rsid w:val="62446327"/>
    <w:rsid w:val="64500F04"/>
    <w:rsid w:val="66007D67"/>
    <w:rsid w:val="663F0B50"/>
    <w:rsid w:val="66CA0B26"/>
    <w:rsid w:val="67E50312"/>
    <w:rsid w:val="67ED0982"/>
    <w:rsid w:val="68FA60D7"/>
    <w:rsid w:val="69281626"/>
    <w:rsid w:val="69C61397"/>
    <w:rsid w:val="6A68609B"/>
    <w:rsid w:val="6A8C1663"/>
    <w:rsid w:val="6ABF0D9A"/>
    <w:rsid w:val="6C105A58"/>
    <w:rsid w:val="6C2E6265"/>
    <w:rsid w:val="6C62671C"/>
    <w:rsid w:val="6CD759A9"/>
    <w:rsid w:val="6D095C70"/>
    <w:rsid w:val="6D4B1F5D"/>
    <w:rsid w:val="6D8238A7"/>
    <w:rsid w:val="6E0F5BF9"/>
    <w:rsid w:val="6E8F7310"/>
    <w:rsid w:val="6EE164EE"/>
    <w:rsid w:val="6F483FA1"/>
    <w:rsid w:val="6F6957B8"/>
    <w:rsid w:val="6F9F3300"/>
    <w:rsid w:val="714F12B6"/>
    <w:rsid w:val="71884AB7"/>
    <w:rsid w:val="731E7F79"/>
    <w:rsid w:val="732E3907"/>
    <w:rsid w:val="739771C4"/>
    <w:rsid w:val="73D16993"/>
    <w:rsid w:val="742130DF"/>
    <w:rsid w:val="74C95BCE"/>
    <w:rsid w:val="75011284"/>
    <w:rsid w:val="75200B56"/>
    <w:rsid w:val="75435570"/>
    <w:rsid w:val="77046DA9"/>
    <w:rsid w:val="77120E84"/>
    <w:rsid w:val="775F2577"/>
    <w:rsid w:val="781A002A"/>
    <w:rsid w:val="79030FA2"/>
    <w:rsid w:val="796075AF"/>
    <w:rsid w:val="79A971C1"/>
    <w:rsid w:val="7A026DB8"/>
    <w:rsid w:val="7B1227F8"/>
    <w:rsid w:val="7BCD5077"/>
    <w:rsid w:val="7C00467F"/>
    <w:rsid w:val="7C42096C"/>
    <w:rsid w:val="7C711C34"/>
    <w:rsid w:val="7CD7133D"/>
    <w:rsid w:val="7CF168C4"/>
    <w:rsid w:val="7D001691"/>
    <w:rsid w:val="7D72325C"/>
    <w:rsid w:val="7D9D7924"/>
    <w:rsid w:val="7DDE038D"/>
    <w:rsid w:val="7E6150E3"/>
    <w:rsid w:val="7E9633BF"/>
    <w:rsid w:val="7F04016F"/>
    <w:rsid w:val="7F4A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Body Text"/>
    <w:basedOn w:val="1"/>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29"/>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30"/>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rPr>
  </w:style>
  <w:style w:type="paragraph" w:styleId="14">
    <w:name w:val="header"/>
    <w:basedOn w:val="1"/>
    <w:link w:val="2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7">
    <w:name w:val="Body Text First Indent"/>
    <w:basedOn w:val="8"/>
    <w:unhideWhenUsed/>
    <w:qFormat/>
    <w:uiPriority w:val="99"/>
    <w:pPr>
      <w:spacing w:after="120"/>
      <w:ind w:firstLine="420"/>
    </w:pPr>
    <w:rPr>
      <w:sz w:val="21"/>
    </w:rPr>
  </w:style>
  <w:style w:type="table" w:styleId="1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1">
    <w:name w:val="Strong"/>
    <w:basedOn w:val="20"/>
    <w:qFormat/>
    <w:uiPriority w:val="22"/>
    <w:rPr>
      <w:b/>
      <w:bCs/>
    </w:rPr>
  </w:style>
  <w:style w:type="character" w:styleId="22">
    <w:name w:val="page number"/>
    <w:basedOn w:val="20"/>
    <w:unhideWhenUsed/>
    <w:qFormat/>
    <w:uiPriority w:val="0"/>
  </w:style>
  <w:style w:type="character" w:styleId="23">
    <w:name w:val="Hyperlink"/>
    <w:basedOn w:val="20"/>
    <w:unhideWhenUsed/>
    <w:qFormat/>
    <w:uiPriority w:val="99"/>
    <w:rPr>
      <w:color w:val="0000FF"/>
      <w:u w:val="single"/>
    </w:rPr>
  </w:style>
  <w:style w:type="paragraph" w:customStyle="1" w:styleId="24">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5">
    <w:name w:val="Char"/>
    <w:basedOn w:val="1"/>
    <w:qFormat/>
    <w:uiPriority w:val="0"/>
    <w:pPr>
      <w:spacing w:line="480" w:lineRule="exact"/>
    </w:pPr>
    <w:rPr>
      <w:sz w:val="24"/>
      <w:szCs w:val="24"/>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页脚 Char"/>
    <w:basedOn w:val="20"/>
    <w:link w:val="13"/>
    <w:qFormat/>
    <w:uiPriority w:val="99"/>
    <w:rPr>
      <w:sz w:val="18"/>
    </w:rPr>
  </w:style>
  <w:style w:type="character" w:customStyle="1" w:styleId="28">
    <w:name w:val="页眉 Char"/>
    <w:link w:val="14"/>
    <w:qFormat/>
    <w:uiPriority w:val="99"/>
    <w:rPr>
      <w:kern w:val="2"/>
      <w:sz w:val="18"/>
    </w:rPr>
  </w:style>
  <w:style w:type="character" w:customStyle="1" w:styleId="29">
    <w:name w:val="纯文本 Char"/>
    <w:basedOn w:val="20"/>
    <w:link w:val="10"/>
    <w:qFormat/>
    <w:uiPriority w:val="0"/>
    <w:rPr>
      <w:rFonts w:ascii="宋体" w:hAnsi="Courier New" w:cs="Courier New"/>
      <w:sz w:val="21"/>
      <w:szCs w:val="21"/>
    </w:rPr>
  </w:style>
  <w:style w:type="character" w:customStyle="1" w:styleId="30">
    <w:name w:val="批注框文本 Char"/>
    <w:basedOn w:val="20"/>
    <w:link w:val="12"/>
    <w:semiHidden/>
    <w:qFormat/>
    <w:uiPriority w:val="99"/>
    <w:rPr>
      <w:kern w:val="2"/>
      <w:sz w:val="18"/>
      <w:szCs w:val="18"/>
    </w:rPr>
  </w:style>
  <w:style w:type="character" w:customStyle="1" w:styleId="31">
    <w:name w:val="标题 1 Char"/>
    <w:basedOn w:val="20"/>
    <w:link w:val="3"/>
    <w:qFormat/>
    <w:uiPriority w:val="0"/>
    <w:rPr>
      <w:b/>
      <w:bCs/>
      <w:kern w:val="44"/>
      <w:sz w:val="44"/>
      <w:szCs w:val="44"/>
    </w:rPr>
  </w:style>
  <w:style w:type="character" w:customStyle="1" w:styleId="32">
    <w:name w:val="页眉 Char1"/>
    <w:basedOn w:val="20"/>
    <w:qFormat/>
    <w:uiPriority w:val="99"/>
    <w:rPr>
      <w:rFonts w:ascii="Calibri" w:hAnsi="Calibri" w:eastAsia="Calibri" w:cs="Calibri"/>
      <w:color w:val="000000"/>
      <w:sz w:val="18"/>
      <w:szCs w:val="18"/>
    </w:rPr>
  </w:style>
  <w:style w:type="character" w:customStyle="1" w:styleId="33">
    <w:name w:val="页脚 Char2"/>
    <w:basedOn w:val="20"/>
    <w:qFormat/>
    <w:uiPriority w:val="99"/>
    <w:rPr>
      <w:rFonts w:ascii="Calibri" w:hAnsi="Calibri" w:eastAsia="Calibri" w:cs="Calibri"/>
      <w:color w:val="000000"/>
      <w:sz w:val="18"/>
      <w:szCs w:val="18"/>
    </w:rPr>
  </w:style>
  <w:style w:type="character" w:customStyle="1" w:styleId="34">
    <w:name w:val="纯文本 Char4"/>
    <w:basedOn w:val="20"/>
    <w:qFormat/>
    <w:uiPriority w:val="0"/>
    <w:rPr>
      <w:rFonts w:ascii="宋体" w:hAnsi="Courier New" w:eastAsia="宋体" w:cs="Times New Roman"/>
      <w:sz w:val="24"/>
      <w:szCs w:val="20"/>
    </w:rPr>
  </w:style>
  <w:style w:type="paragraph" w:styleId="35">
    <w:name w:val="No Spacing"/>
    <w:qFormat/>
    <w:uiPriority w:val="1"/>
    <w:rPr>
      <w:rFonts w:ascii="Calibri" w:hAnsi="Calibri" w:eastAsia="宋体" w:cs="Times New Roman"/>
      <w:sz w:val="22"/>
      <w:szCs w:val="22"/>
      <w:lang w:val="en-US" w:eastAsia="zh-CN" w:bidi="ar-SA"/>
    </w:rPr>
  </w:style>
  <w:style w:type="paragraph" w:customStyle="1" w:styleId="36">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7">
    <w:name w:val="List Paragraph"/>
    <w:basedOn w:val="1"/>
    <w:qFormat/>
    <w:uiPriority w:val="99"/>
    <w:pPr>
      <w:ind w:firstLine="420" w:firstLineChars="200"/>
    </w:pPr>
  </w:style>
  <w:style w:type="table" w:customStyle="1" w:styleId="38">
    <w:name w:val="网格型1"/>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F1CFD-4072-4809-8CD9-64D0089ED52D}">
  <ds:schemaRefs/>
</ds:datastoreItem>
</file>

<file path=docProps/app.xml><?xml version="1.0" encoding="utf-8"?>
<Properties xmlns="http://schemas.openxmlformats.org/officeDocument/2006/extended-properties" xmlns:vt="http://schemas.openxmlformats.org/officeDocument/2006/docPropsVTypes">
  <Template>Normal</Template>
  <Pages>59</Pages>
  <Words>5026</Words>
  <Characters>28651</Characters>
  <Lines>238</Lines>
  <Paragraphs>67</Paragraphs>
  <TotalTime>17</TotalTime>
  <ScaleCrop>false</ScaleCrop>
  <LinksUpToDate>false</LinksUpToDate>
  <CharactersWithSpaces>33610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2021-04-19T06:32:00Z</cp:lastPrinted>
  <dcterms:modified xsi:type="dcterms:W3CDTF">2021-05-07T01:29:53Z</dcterms:modified>
  <dc:title>询价文件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50E591EBC6A0470B932057A5EF785CFF</vt:lpwstr>
  </property>
</Properties>
</file>