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1600" w:lineRule="atLeast"/>
        <w:jc w:val="center"/>
        <w:rPr>
          <w:rFonts w:cs="仿宋" w:asciiTheme="majorEastAsia" w:hAnsiTheme="majorEastAsia" w:eastAsiaTheme="majorEastAsia"/>
          <w:spacing w:val="100"/>
          <w:sz w:val="72"/>
          <w:szCs w:val="72"/>
        </w:rPr>
      </w:pPr>
      <w:r>
        <w:rPr>
          <w:rFonts w:hint="eastAsia" w:ascii="仿宋" w:hAnsi="仿宋" w:eastAsia="仿宋" w:cs="仿宋"/>
          <w:b/>
          <w:bCs/>
          <w:spacing w:val="100"/>
          <w:sz w:val="72"/>
          <w:szCs w:val="72"/>
        </w:rPr>
        <w:t>询价文件</w:t>
      </w:r>
    </w:p>
    <w:p>
      <w:pPr>
        <w:spacing w:line="500" w:lineRule="exact"/>
        <w:jc w:val="center"/>
        <w:rPr>
          <w:rFonts w:cs="仿宋_GB2312" w:asciiTheme="majorEastAsia" w:hAnsiTheme="majorEastAsia" w:eastAsiaTheme="majorEastAsia"/>
          <w:b/>
          <w:bCs/>
        </w:rPr>
      </w:pPr>
    </w:p>
    <w:p>
      <w:pPr>
        <w:spacing w:line="500" w:lineRule="exact"/>
        <w:jc w:val="center"/>
        <w:rPr>
          <w:rFonts w:cs="仿宋_GB2312" w:asciiTheme="majorEastAsia" w:hAnsiTheme="majorEastAsia" w:eastAsiaTheme="majorEastAsia"/>
          <w:bCs/>
        </w:rPr>
      </w:pPr>
    </w:p>
    <w:p>
      <w:pPr>
        <w:spacing w:line="360" w:lineRule="auto"/>
        <w:ind w:firstLine="640" w:firstLineChars="200"/>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项目编号：</w:t>
      </w:r>
      <w:r>
        <w:rPr>
          <w:rFonts w:hint="eastAsia" w:ascii="仿宋_GB2312" w:hAnsi="仿宋_GB2312" w:eastAsia="仿宋_GB2312" w:cs="仿宋_GB2312"/>
          <w:b/>
          <w:bCs/>
          <w:sz w:val="32"/>
          <w:szCs w:val="32"/>
          <w:lang w:val="en-US" w:eastAsia="zh-CN"/>
        </w:rPr>
        <w:t>XE-20210425-1</w:t>
      </w:r>
    </w:p>
    <w:p>
      <w:pPr>
        <w:spacing w:line="360" w:lineRule="auto"/>
        <w:ind w:left="2238" w:leftChars="304" w:hanging="1600" w:hangingChars="500"/>
        <w:jc w:val="left"/>
        <w:rPr>
          <w:rFonts w:cs="仿宋_GB2312" w:asciiTheme="majorEastAsia" w:hAnsiTheme="majorEastAsia" w:eastAsiaTheme="majorEastAsia"/>
          <w:bCs/>
          <w:sz w:val="2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DOCVARIABLE  采购编号  \* MERGEFORMAT </w:instrTex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t>项目名称：广州市净水有限公司污水处理过程精细化控制研究项目仪表采购</w:t>
      </w:r>
      <w:r>
        <w:rPr>
          <w:rFonts w:hint="eastAsia" w:cs="仿宋_GB2312" w:asciiTheme="majorEastAsia" w:hAnsiTheme="majorEastAsia" w:eastAsiaTheme="majorEastAsia"/>
          <w:bCs/>
          <w:sz w:val="22"/>
        </w:rPr>
        <w:fldChar w:fldCharType="begin"/>
      </w:r>
      <w:r>
        <w:rPr>
          <w:rFonts w:cs="仿宋_GB2312" w:asciiTheme="majorEastAsia" w:hAnsiTheme="majorEastAsia" w:eastAsiaTheme="majorEastAsia"/>
          <w:bCs/>
          <w:sz w:val="22"/>
        </w:rPr>
        <w:instrText xml:space="preserve"> DOCVARIABLE  项目名称  \* MERGEFORMAT </w:instrText>
      </w:r>
      <w:r>
        <w:rPr>
          <w:rFonts w:hint="eastAsia" w:cs="仿宋_GB2312" w:asciiTheme="majorEastAsia" w:hAnsiTheme="majorEastAsia" w:eastAsiaTheme="majorEastAsia"/>
          <w:bCs/>
          <w:sz w:val="22"/>
        </w:rPr>
        <w:fldChar w:fldCharType="end"/>
      </w:r>
    </w:p>
    <w:p>
      <w:pPr>
        <w:spacing w:line="500" w:lineRule="exact"/>
        <w:jc w:val="center"/>
        <w:rPr>
          <w:rFonts w:cs="仿宋_GB2312" w:asciiTheme="majorEastAsia" w:hAnsiTheme="majorEastAsia" w:eastAsiaTheme="majorEastAsia"/>
          <w:b/>
          <w:bCs/>
        </w:rPr>
      </w:pPr>
    </w:p>
    <w:p>
      <w:pPr>
        <w:spacing w:line="500" w:lineRule="exact"/>
        <w:jc w:val="center"/>
        <w:rPr>
          <w:rFonts w:cs="仿宋_GB2312" w:asciiTheme="majorEastAsia" w:hAnsiTheme="majorEastAsia" w:eastAsiaTheme="majorEastAsia"/>
          <w:b/>
          <w:bCs/>
        </w:rPr>
      </w:pPr>
    </w:p>
    <w:p>
      <w:pPr>
        <w:spacing w:line="500" w:lineRule="exact"/>
        <w:jc w:val="center"/>
        <w:rPr>
          <w:rFonts w:cs="仿宋_GB2312" w:asciiTheme="majorEastAsia" w:hAnsiTheme="majorEastAsia" w:eastAsiaTheme="majorEastAsia"/>
          <w:b/>
          <w:bCs/>
          <w:sz w:val="72"/>
        </w:rPr>
      </w:pPr>
    </w:p>
    <w:p>
      <w:pPr>
        <w:spacing w:line="360" w:lineRule="auto"/>
        <w:jc w:val="center"/>
        <w:rPr>
          <w:rFonts w:cs="仿宋_GB2312" w:asciiTheme="majorEastAsia" w:hAnsiTheme="majorEastAsia" w:eastAsiaTheme="majorEastAsia"/>
          <w:b/>
          <w:sz w:val="28"/>
        </w:rPr>
      </w:pPr>
    </w:p>
    <w:p>
      <w:pPr>
        <w:spacing w:line="360" w:lineRule="auto"/>
        <w:jc w:val="center"/>
        <w:rPr>
          <w:rFonts w:cs="仿宋_GB2312" w:asciiTheme="majorEastAsia" w:hAnsiTheme="majorEastAsia" w:eastAsiaTheme="majorEastAsia"/>
          <w:b/>
          <w:sz w:val="28"/>
        </w:rPr>
      </w:pPr>
    </w:p>
    <w:p>
      <w:pPr>
        <w:spacing w:line="360" w:lineRule="auto"/>
        <w:jc w:val="center"/>
        <w:rPr>
          <w:rFonts w:cs="仿宋_GB2312" w:asciiTheme="majorEastAsia" w:hAnsiTheme="majorEastAsia" w:eastAsiaTheme="majorEastAsia"/>
          <w:b/>
          <w:sz w:val="28"/>
        </w:rPr>
      </w:pPr>
    </w:p>
    <w:p>
      <w:pPr>
        <w:spacing w:line="360" w:lineRule="auto"/>
        <w:jc w:val="center"/>
        <w:rPr>
          <w:rFonts w:cs="仿宋_GB2312" w:asciiTheme="majorEastAsia" w:hAnsiTheme="majorEastAsia" w:eastAsiaTheme="majorEastAsia"/>
          <w:b/>
          <w:sz w:val="28"/>
        </w:rPr>
      </w:pPr>
    </w:p>
    <w:p>
      <w:pPr>
        <w:spacing w:line="360" w:lineRule="auto"/>
        <w:jc w:val="center"/>
        <w:rPr>
          <w:rFonts w:cs="仿宋_GB2312" w:asciiTheme="majorEastAsia" w:hAnsiTheme="majorEastAsia" w:eastAsiaTheme="majorEastAsia"/>
          <w:b/>
          <w:sz w:val="28"/>
        </w:rPr>
      </w:pPr>
    </w:p>
    <w:p>
      <w:pPr>
        <w:spacing w:line="360" w:lineRule="auto"/>
        <w:jc w:val="center"/>
        <w:rPr>
          <w:rFonts w:cs="仿宋_GB2312" w:asciiTheme="majorEastAsia" w:hAnsiTheme="majorEastAsia" w:eastAsiaTheme="majorEastAsia"/>
          <w:b/>
          <w:sz w:val="28"/>
        </w:rPr>
      </w:pPr>
    </w:p>
    <w:p>
      <w:pPr>
        <w:spacing w:line="360" w:lineRule="auto"/>
        <w:jc w:val="center"/>
        <w:rPr>
          <w:rFonts w:cs="仿宋_GB2312" w:asciiTheme="majorEastAsia" w:hAnsiTheme="majorEastAsia" w:eastAsiaTheme="majorEastAsia"/>
          <w:b/>
          <w:sz w:val="28"/>
        </w:rPr>
      </w:pPr>
    </w:p>
    <w:p>
      <w:pPr>
        <w:spacing w:line="360" w:lineRule="auto"/>
        <w:jc w:val="center"/>
        <w:rPr>
          <w:rFonts w:cs="仿宋_GB2312" w:asciiTheme="majorEastAsia" w:hAnsiTheme="majorEastAsia" w:eastAsiaTheme="majorEastAsia"/>
          <w:b/>
          <w:sz w:val="28"/>
        </w:rPr>
      </w:pPr>
    </w:p>
    <w:p>
      <w:pPr>
        <w:spacing w:line="360" w:lineRule="auto"/>
        <w:jc w:val="center"/>
        <w:rPr>
          <w:rFonts w:cs="仿宋_GB2312" w:asciiTheme="majorEastAsia" w:hAnsiTheme="majorEastAsia" w:eastAsiaTheme="majorEastAsia"/>
          <w:b/>
          <w:bCs/>
          <w:sz w:val="28"/>
        </w:rPr>
      </w:pPr>
    </w:p>
    <w:p>
      <w:pPr>
        <w:spacing w:line="360" w:lineRule="auto"/>
        <w:jc w:val="center"/>
        <w:rPr>
          <w:rFonts w:ascii="仿宋" w:hAnsi="仿宋" w:eastAsia="仿宋" w:cs="仿宋"/>
          <w:b/>
          <w:bCs/>
          <w:sz w:val="36"/>
        </w:rPr>
      </w:pPr>
      <w:r>
        <w:rPr>
          <w:rFonts w:hint="eastAsia" w:ascii="仿宋" w:hAnsi="仿宋" w:eastAsia="仿宋" w:cs="仿宋"/>
          <w:b/>
          <w:bCs/>
          <w:sz w:val="36"/>
        </w:rPr>
        <w:t>广州市净水有限公司编制</w:t>
      </w:r>
    </w:p>
    <w:p>
      <w:pPr>
        <w:spacing w:line="360" w:lineRule="auto"/>
        <w:jc w:val="center"/>
        <w:rPr>
          <w:rFonts w:ascii="仿宋" w:hAnsi="仿宋" w:eastAsia="仿宋" w:cs="仿宋"/>
          <w:b/>
          <w:bCs/>
          <w:sz w:val="28"/>
          <w:szCs w:val="28"/>
        </w:rPr>
      </w:pPr>
      <w:r>
        <w:rPr>
          <w:rFonts w:hint="eastAsia" w:ascii="仿宋" w:hAnsi="仿宋" w:eastAsia="仿宋" w:cs="仿宋"/>
          <w:sz w:val="28"/>
          <w:szCs w:val="28"/>
        </w:rPr>
        <w:t xml:space="preserve"> </w:t>
      </w:r>
    </w:p>
    <w:p>
      <w:pPr>
        <w:spacing w:line="360" w:lineRule="auto"/>
        <w:jc w:val="center"/>
        <w:rPr>
          <w:rFonts w:cs="仿宋_GB2312" w:asciiTheme="majorEastAsia" w:hAnsiTheme="majorEastAsia" w:eastAsiaTheme="majorEastAsia"/>
          <w:b/>
          <w:bCs/>
          <w:sz w:val="28"/>
        </w:rPr>
      </w:pPr>
      <w:r>
        <w:rPr>
          <w:rFonts w:hint="eastAsia" w:ascii="仿宋" w:hAnsi="仿宋" w:eastAsia="仿宋" w:cs="仿宋"/>
          <w:b/>
          <w:bCs/>
          <w:sz w:val="28"/>
        </w:rPr>
        <w:t>发布日期：2021年</w:t>
      </w:r>
      <w:r>
        <w:rPr>
          <w:rFonts w:hint="eastAsia" w:ascii="仿宋" w:hAnsi="仿宋" w:eastAsia="仿宋" w:cs="仿宋"/>
          <w:b/>
          <w:bCs/>
          <w:sz w:val="28"/>
          <w:lang w:val="en-US" w:eastAsia="zh-CN"/>
        </w:rPr>
        <w:t>4</w:t>
      </w:r>
      <w:r>
        <w:rPr>
          <w:rFonts w:hint="eastAsia" w:ascii="仿宋" w:hAnsi="仿宋" w:eastAsia="仿宋" w:cs="仿宋"/>
          <w:b/>
          <w:bCs/>
          <w:sz w:val="28"/>
        </w:rPr>
        <w:t>月</w:t>
      </w:r>
      <w:r>
        <w:rPr>
          <w:rFonts w:hint="eastAsia" w:ascii="仿宋" w:hAnsi="仿宋" w:eastAsia="仿宋" w:cs="仿宋"/>
          <w:b/>
          <w:bCs/>
          <w:sz w:val="28"/>
          <w:lang w:val="en-US" w:eastAsia="zh-CN"/>
        </w:rPr>
        <w:t>25</w:t>
      </w:r>
      <w:r>
        <w:rPr>
          <w:rFonts w:hint="eastAsia" w:ascii="仿宋" w:hAnsi="仿宋" w:eastAsia="仿宋" w:cs="仿宋"/>
          <w:b/>
          <w:bCs/>
          <w:sz w:val="28"/>
        </w:rPr>
        <w:t>日</w:t>
      </w:r>
    </w:p>
    <w:p>
      <w:pPr>
        <w:rPr>
          <w:rFonts w:cs="仿宋_GB2312" w:asciiTheme="majorEastAsia" w:hAnsiTheme="majorEastAsia" w:eastAsiaTheme="majorEastAsia"/>
        </w:rPr>
      </w:pPr>
    </w:p>
    <w:p>
      <w:pPr>
        <w:jc w:val="center"/>
        <w:rPr>
          <w:rFonts w:cs="仿宋_GB2312" w:asciiTheme="majorEastAsia" w:hAnsiTheme="majorEastAsia" w:eastAsiaTheme="majorEastAsia"/>
          <w:b/>
          <w:kern w:val="0"/>
          <w:sz w:val="32"/>
          <w:szCs w:val="32"/>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jc w:val="center"/>
        <w:rPr>
          <w:rFonts w:cs="仿宋_GB2312" w:asciiTheme="majorEastAsia" w:hAnsiTheme="majorEastAsia" w:eastAsiaTheme="majorEastAsia"/>
          <w:b/>
          <w:bCs/>
          <w:caps/>
          <w:sz w:val="28"/>
          <w:szCs w:val="28"/>
        </w:rPr>
      </w:pPr>
      <w:r>
        <w:rPr>
          <w:rFonts w:hint="eastAsia" w:cs="仿宋_GB2312" w:asciiTheme="majorEastAsia" w:hAnsiTheme="majorEastAsia" w:eastAsiaTheme="majorEastAsia"/>
          <w:b/>
          <w:kern w:val="0"/>
          <w:sz w:val="32"/>
          <w:szCs w:val="32"/>
        </w:rPr>
        <w:t>目</w:t>
      </w:r>
      <w:r>
        <w:rPr>
          <w:rFonts w:cs="仿宋_GB2312" w:asciiTheme="majorEastAsia" w:hAnsiTheme="majorEastAsia" w:eastAsiaTheme="majorEastAsia"/>
          <w:b/>
          <w:kern w:val="0"/>
          <w:sz w:val="32"/>
          <w:szCs w:val="32"/>
        </w:rPr>
        <w:t xml:space="preserve">      </w:t>
      </w:r>
      <w:r>
        <w:rPr>
          <w:rFonts w:hint="eastAsia" w:cs="仿宋_GB2312" w:asciiTheme="majorEastAsia" w:hAnsiTheme="majorEastAsia" w:eastAsiaTheme="majorEastAsia"/>
          <w:b/>
          <w:kern w:val="0"/>
          <w:sz w:val="32"/>
          <w:szCs w:val="32"/>
        </w:rPr>
        <w:t>录</w:t>
      </w:r>
      <w:r>
        <w:rPr>
          <w:rFonts w:cs="仿宋_GB2312" w:asciiTheme="majorEastAsia" w:hAnsiTheme="majorEastAsia" w:eastAsiaTheme="majorEastAsia"/>
          <w:b/>
          <w:bCs/>
          <w:caps/>
          <w:sz w:val="28"/>
          <w:szCs w:val="28"/>
        </w:rPr>
        <w:br w:type="textWrapping"/>
      </w:r>
    </w:p>
    <w:p>
      <w:pPr>
        <w:pStyle w:val="20"/>
        <w:tabs>
          <w:tab w:val="right" w:leader="dot" w:pos="9174"/>
        </w:tabs>
        <w:spacing w:line="360" w:lineRule="auto"/>
        <w:rPr>
          <w:rFonts w:ascii="仿宋" w:hAnsi="仿宋" w:eastAsia="仿宋" w:cs="仿宋"/>
          <w:sz w:val="28"/>
          <w:szCs w:val="28"/>
        </w:rPr>
      </w:pPr>
      <w:r>
        <w:rPr>
          <w:rFonts w:hint="eastAsia" w:ascii="仿宋" w:hAnsi="仿宋" w:eastAsia="仿宋" w:cs="仿宋"/>
          <w:sz w:val="28"/>
          <w:szCs w:val="28"/>
        </w:rPr>
        <w:t>第一部分  报价邀请函</w:t>
      </w:r>
    </w:p>
    <w:p>
      <w:pPr>
        <w:rPr>
          <w:rFonts w:ascii="仿宋" w:hAnsi="仿宋" w:eastAsia="仿宋" w:cs="仿宋"/>
          <w:sz w:val="28"/>
          <w:szCs w:val="28"/>
        </w:rPr>
      </w:pPr>
      <w:r>
        <w:rPr>
          <w:rFonts w:hint="eastAsia" w:ascii="仿宋" w:hAnsi="仿宋" w:eastAsia="仿宋" w:cs="仿宋"/>
          <w:sz w:val="28"/>
          <w:szCs w:val="28"/>
        </w:rPr>
        <w:t>第二部分  项目内容</w:t>
      </w:r>
    </w:p>
    <w:p>
      <w:pPr>
        <w:rPr>
          <w:rFonts w:ascii="仿宋" w:hAnsi="仿宋" w:eastAsia="仿宋" w:cs="仿宋"/>
          <w:sz w:val="28"/>
          <w:szCs w:val="28"/>
        </w:rPr>
      </w:pPr>
      <w:r>
        <w:rPr>
          <w:rFonts w:hint="eastAsia" w:ascii="仿宋" w:hAnsi="仿宋" w:eastAsia="仿宋" w:cs="仿宋"/>
          <w:sz w:val="28"/>
          <w:szCs w:val="28"/>
        </w:rPr>
        <w:t>第三部分  报价须知</w:t>
      </w:r>
    </w:p>
    <w:p>
      <w:pPr>
        <w:rPr>
          <w:rFonts w:ascii="仿宋" w:hAnsi="仿宋" w:eastAsia="仿宋" w:cs="仿宋"/>
          <w:sz w:val="28"/>
          <w:szCs w:val="28"/>
        </w:rPr>
      </w:pPr>
      <w:r>
        <w:rPr>
          <w:rFonts w:hint="eastAsia" w:ascii="仿宋" w:hAnsi="仿宋" w:eastAsia="仿宋" w:cs="仿宋"/>
          <w:sz w:val="28"/>
          <w:szCs w:val="28"/>
        </w:rPr>
        <w:t>第四部分  合同书格式</w:t>
      </w:r>
    </w:p>
    <w:p>
      <w:pPr>
        <w:rPr>
          <w:rFonts w:ascii="仿宋" w:hAnsi="仿宋" w:eastAsia="仿宋" w:cs="仿宋"/>
          <w:sz w:val="28"/>
          <w:szCs w:val="28"/>
        </w:rPr>
      </w:pPr>
      <w:r>
        <w:rPr>
          <w:rFonts w:hint="eastAsia" w:ascii="仿宋" w:hAnsi="仿宋" w:eastAsia="仿宋" w:cs="仿宋"/>
          <w:sz w:val="28"/>
          <w:szCs w:val="28"/>
        </w:rPr>
        <w:t>第五部分  响应文件格式</w:t>
      </w:r>
    </w:p>
    <w:p>
      <w:pPr>
        <w:rPr>
          <w:rFonts w:cs="仿宋_GB2312" w:asciiTheme="majorEastAsia" w:hAnsiTheme="majorEastAsia" w:eastAsiaTheme="majorEastAsia"/>
          <w:sz w:val="28"/>
          <w:szCs w:val="28"/>
        </w:rPr>
      </w:pPr>
      <w:r>
        <w:rPr>
          <w:rFonts w:hint="eastAsia" w:ascii="仿宋" w:hAnsi="仿宋" w:eastAsia="仿宋" w:cs="仿宋"/>
          <w:sz w:val="28"/>
          <w:szCs w:val="28"/>
        </w:rPr>
        <w:t>附件：评分办法</w:t>
      </w:r>
    </w:p>
    <w:p>
      <w:pPr>
        <w:jc w:val="center"/>
        <w:rPr>
          <w:rFonts w:cs="仿宋_GB2312" w:asciiTheme="majorEastAsia" w:hAnsiTheme="majorEastAsia" w:eastAsiaTheme="majorEastAsia"/>
          <w:b/>
          <w:kern w:val="0"/>
          <w:sz w:val="32"/>
          <w:szCs w:val="32"/>
        </w:rPr>
      </w:pPr>
    </w:p>
    <w:p>
      <w:pPr>
        <w:jc w:val="center"/>
        <w:rPr>
          <w:rFonts w:cs="仿宋_GB2312" w:asciiTheme="majorEastAsia" w:hAnsiTheme="majorEastAsia" w:eastAsiaTheme="majorEastAsia"/>
          <w:b/>
          <w:kern w:val="0"/>
          <w:sz w:val="32"/>
          <w:szCs w:val="32"/>
        </w:rPr>
      </w:pPr>
    </w:p>
    <w:p>
      <w:pPr>
        <w:jc w:val="center"/>
        <w:rPr>
          <w:rFonts w:cs="仿宋_GB2312" w:asciiTheme="majorEastAsia" w:hAnsiTheme="majorEastAsia" w:eastAsiaTheme="majorEastAsia"/>
          <w:b/>
          <w:kern w:val="0"/>
          <w:sz w:val="32"/>
          <w:szCs w:val="32"/>
        </w:rPr>
      </w:pPr>
    </w:p>
    <w:p>
      <w:pPr>
        <w:jc w:val="center"/>
        <w:rPr>
          <w:rFonts w:cs="仿宋_GB2312" w:asciiTheme="majorEastAsia" w:hAnsiTheme="majorEastAsia" w:eastAsiaTheme="majorEastAsia"/>
          <w:b/>
          <w:kern w:val="0"/>
          <w:sz w:val="32"/>
          <w:szCs w:val="32"/>
        </w:rPr>
      </w:pPr>
    </w:p>
    <w:p>
      <w:pPr>
        <w:jc w:val="center"/>
        <w:rPr>
          <w:rFonts w:cs="仿宋_GB2312" w:asciiTheme="majorEastAsia" w:hAnsiTheme="majorEastAsia" w:eastAsiaTheme="majorEastAsia"/>
          <w:b/>
          <w:kern w:val="0"/>
          <w:sz w:val="32"/>
          <w:szCs w:val="32"/>
        </w:rPr>
      </w:pPr>
    </w:p>
    <w:p>
      <w:pPr>
        <w:jc w:val="center"/>
        <w:rPr>
          <w:rFonts w:cs="仿宋_GB2312" w:asciiTheme="majorEastAsia" w:hAnsiTheme="majorEastAsia" w:eastAsiaTheme="majorEastAsia"/>
          <w:b/>
          <w:kern w:val="0"/>
          <w:sz w:val="32"/>
          <w:szCs w:val="32"/>
        </w:rPr>
      </w:pPr>
    </w:p>
    <w:p>
      <w:pPr>
        <w:jc w:val="center"/>
        <w:rPr>
          <w:rFonts w:cs="仿宋_GB2312" w:asciiTheme="majorEastAsia" w:hAnsiTheme="majorEastAsia" w:eastAsiaTheme="majorEastAsia"/>
          <w:b/>
          <w:kern w:val="0"/>
          <w:sz w:val="32"/>
          <w:szCs w:val="32"/>
        </w:rPr>
      </w:pPr>
    </w:p>
    <w:p>
      <w:pPr>
        <w:jc w:val="center"/>
        <w:rPr>
          <w:rFonts w:cs="仿宋_GB2312" w:asciiTheme="majorEastAsia" w:hAnsiTheme="majorEastAsia" w:eastAsiaTheme="majorEastAsia"/>
          <w:b/>
          <w:kern w:val="0"/>
          <w:sz w:val="32"/>
          <w:szCs w:val="32"/>
        </w:rPr>
      </w:pPr>
    </w:p>
    <w:p>
      <w:pPr>
        <w:jc w:val="center"/>
        <w:rPr>
          <w:rFonts w:cs="仿宋_GB2312" w:asciiTheme="majorEastAsia" w:hAnsiTheme="majorEastAsia" w:eastAsiaTheme="majorEastAsia"/>
          <w:b/>
          <w:kern w:val="0"/>
          <w:sz w:val="32"/>
          <w:szCs w:val="32"/>
        </w:rPr>
      </w:pPr>
    </w:p>
    <w:p>
      <w:pPr>
        <w:jc w:val="center"/>
        <w:rPr>
          <w:rFonts w:cs="仿宋_GB2312" w:asciiTheme="majorEastAsia" w:hAnsiTheme="majorEastAsia" w:eastAsiaTheme="majorEastAsia"/>
          <w:b/>
          <w:kern w:val="0"/>
          <w:sz w:val="32"/>
          <w:szCs w:val="32"/>
        </w:rPr>
      </w:pPr>
    </w:p>
    <w:p>
      <w:pPr>
        <w:jc w:val="center"/>
        <w:rPr>
          <w:rFonts w:cs="仿宋_GB2312" w:asciiTheme="majorEastAsia" w:hAnsiTheme="majorEastAsia" w:eastAsiaTheme="majorEastAsia"/>
          <w:b/>
          <w:kern w:val="0"/>
          <w:sz w:val="32"/>
          <w:szCs w:val="32"/>
        </w:rPr>
      </w:pPr>
    </w:p>
    <w:p>
      <w:pPr>
        <w:jc w:val="center"/>
        <w:rPr>
          <w:rFonts w:cs="仿宋_GB2312" w:asciiTheme="majorEastAsia" w:hAnsiTheme="majorEastAsia" w:eastAsiaTheme="majorEastAsia"/>
          <w:b/>
          <w:kern w:val="0"/>
          <w:sz w:val="32"/>
          <w:szCs w:val="32"/>
        </w:rPr>
      </w:pPr>
    </w:p>
    <w:p>
      <w:pPr>
        <w:rPr>
          <w:rFonts w:cs="仿宋_GB2312" w:asciiTheme="majorEastAsia" w:hAnsiTheme="majorEastAsia" w:eastAsiaTheme="majorEastAsia"/>
          <w:b/>
          <w:kern w:val="0"/>
          <w:sz w:val="32"/>
          <w:szCs w:val="32"/>
        </w:rPr>
      </w:pPr>
    </w:p>
    <w:p>
      <w:pPr>
        <w:pStyle w:val="12"/>
        <w:rPr>
          <w:rFonts w:asciiTheme="majorEastAsia" w:hAnsiTheme="majorEastAsia" w:eastAsiaTheme="majorEastAsia"/>
        </w:rPr>
      </w:pPr>
    </w:p>
    <w:p>
      <w:pPr>
        <w:jc w:val="center"/>
        <w:rPr>
          <w:rFonts w:cs="仿宋_GB2312" w:asciiTheme="majorEastAsia" w:hAnsiTheme="majorEastAsia" w:eastAsiaTheme="majorEastAsia"/>
          <w:b/>
          <w:kern w:val="0"/>
          <w:sz w:val="32"/>
          <w:szCs w:val="32"/>
        </w:rPr>
        <w:sectPr>
          <w:footerReference r:id="rId6" w:type="default"/>
          <w:pgSz w:w="11906" w:h="16838"/>
          <w:pgMar w:top="1134" w:right="1134" w:bottom="1134" w:left="1701" w:header="851" w:footer="992" w:gutter="0"/>
          <w:pgNumType w:fmt="upperRoman" w:start="1"/>
          <w:cols w:space="720" w:num="1"/>
          <w:docGrid w:type="linesAndChars" w:linePitch="312" w:charSpace="0"/>
        </w:sectPr>
      </w:pPr>
    </w:p>
    <w:p>
      <w:pPr>
        <w:jc w:val="center"/>
        <w:rPr>
          <w:rFonts w:ascii="仿宋" w:hAnsi="仿宋" w:eastAsia="仿宋" w:cs="仿宋"/>
          <w:b/>
          <w:kern w:val="0"/>
          <w:sz w:val="32"/>
          <w:szCs w:val="32"/>
        </w:rPr>
      </w:pPr>
      <w:r>
        <w:rPr>
          <w:rFonts w:hint="eastAsia" w:ascii="仿宋" w:hAnsi="仿宋" w:eastAsia="仿宋" w:cs="仿宋"/>
          <w:b/>
          <w:kern w:val="0"/>
          <w:sz w:val="32"/>
          <w:szCs w:val="32"/>
        </w:rPr>
        <w:t>第一部分 报价邀请函</w:t>
      </w:r>
    </w:p>
    <w:p>
      <w:pPr>
        <w:rPr>
          <w:rFonts w:ascii="仿宋" w:hAnsi="仿宋" w:eastAsia="仿宋" w:cs="仿宋"/>
          <w:kern w:val="0"/>
          <w:sz w:val="32"/>
          <w:szCs w:val="32"/>
        </w:rPr>
      </w:pPr>
    </w:p>
    <w:p>
      <w:pPr>
        <w:rPr>
          <w:rFonts w:ascii="仿宋" w:hAnsi="仿宋" w:eastAsia="仿宋" w:cs="仿宋"/>
          <w:kern w:val="0"/>
          <w:sz w:val="28"/>
          <w:szCs w:val="28"/>
        </w:rPr>
      </w:pPr>
      <w:r>
        <w:rPr>
          <w:rFonts w:hint="eastAsia" w:ascii="仿宋" w:hAnsi="仿宋" w:eastAsia="仿宋" w:cs="仿宋"/>
          <w:kern w:val="0"/>
          <w:sz w:val="28"/>
          <w:szCs w:val="28"/>
        </w:rPr>
        <w:t>各报价单位:</w:t>
      </w:r>
    </w:p>
    <w:p>
      <w:pPr>
        <w:ind w:firstLine="560" w:firstLineChars="200"/>
        <w:rPr>
          <w:rFonts w:ascii="仿宋" w:hAnsi="仿宋" w:eastAsia="仿宋" w:cs="仿宋"/>
          <w:sz w:val="28"/>
          <w:szCs w:val="28"/>
          <w:u w:val="single"/>
        </w:rPr>
      </w:pPr>
      <w:r>
        <w:rPr>
          <w:rFonts w:hint="eastAsia" w:ascii="仿宋" w:hAnsi="仿宋" w:eastAsia="仿宋" w:cs="仿宋"/>
          <w:sz w:val="28"/>
          <w:szCs w:val="28"/>
        </w:rPr>
        <w:t>现我公司对</w:t>
      </w:r>
      <w:r>
        <w:rPr>
          <w:rFonts w:hint="eastAsia" w:ascii="仿宋" w:hAnsi="仿宋" w:eastAsia="仿宋" w:cs="仿宋"/>
          <w:sz w:val="28"/>
          <w:szCs w:val="28"/>
          <w:u w:val="single"/>
        </w:rPr>
        <w:t>污水处理过程精细化控制研究项目仪表采购</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的报价单位参加。</w:t>
      </w:r>
    </w:p>
    <w:p>
      <w:pPr>
        <w:autoSpaceDE w:val="0"/>
        <w:autoSpaceDN w:val="0"/>
        <w:ind w:firstLine="560" w:firstLineChars="200"/>
        <w:rPr>
          <w:rFonts w:ascii="仿宋" w:hAnsi="仿宋" w:eastAsia="仿宋" w:cs="仿宋"/>
          <w:sz w:val="28"/>
          <w:szCs w:val="28"/>
          <w:u w:val="single"/>
        </w:rPr>
      </w:pPr>
      <w:r>
        <w:rPr>
          <w:rFonts w:hint="eastAsia" w:ascii="仿宋" w:hAnsi="仿宋" w:eastAsia="仿宋" w:cs="仿宋"/>
          <w:sz w:val="28"/>
          <w:szCs w:val="28"/>
          <w:lang w:val="zh-CN"/>
        </w:rPr>
        <w:t>一、</w:t>
      </w:r>
      <w:r>
        <w:rPr>
          <w:rFonts w:hint="eastAsia" w:ascii="仿宋" w:hAnsi="仿宋" w:eastAsia="仿宋" w:cs="仿宋"/>
          <w:sz w:val="28"/>
          <w:szCs w:val="28"/>
        </w:rPr>
        <w:t>资金计划：科研资金</w:t>
      </w:r>
    </w:p>
    <w:p>
      <w:pPr>
        <w:autoSpaceDE w:val="0"/>
        <w:autoSpaceDN w:val="0"/>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zh-CN"/>
        </w:rPr>
        <w:t>二、</w:t>
      </w:r>
      <w:r>
        <w:rPr>
          <w:rFonts w:hint="eastAsia" w:ascii="仿宋" w:hAnsi="仿宋" w:eastAsia="仿宋" w:cs="仿宋"/>
          <w:sz w:val="28"/>
          <w:szCs w:val="28"/>
        </w:rPr>
        <w:t>项目编号：</w:t>
      </w:r>
      <w:r>
        <w:rPr>
          <w:rFonts w:hint="eastAsia" w:ascii="仿宋" w:hAnsi="仿宋" w:eastAsia="仿宋" w:cs="仿宋"/>
          <w:sz w:val="28"/>
          <w:szCs w:val="28"/>
          <w:lang w:val="en-US" w:eastAsia="zh-CN"/>
        </w:rPr>
        <w:t>XE-20210425-1</w:t>
      </w:r>
    </w:p>
    <w:p>
      <w:pPr>
        <w:numPr>
          <w:ilvl w:val="0"/>
          <w:numId w:val="1"/>
        </w:numPr>
        <w:autoSpaceDE w:val="0"/>
        <w:autoSpaceDN w:val="0"/>
        <w:ind w:firstLine="560"/>
        <w:jc w:val="left"/>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u w:val="single"/>
        </w:rPr>
        <w:t>广州市净水有限公司污水处理过程精细化控制研究项目仪表采购</w:t>
      </w:r>
    </w:p>
    <w:p>
      <w:pPr>
        <w:numPr>
          <w:ilvl w:val="0"/>
          <w:numId w:val="1"/>
        </w:numPr>
        <w:autoSpaceDE w:val="0"/>
        <w:autoSpaceDN w:val="0"/>
        <w:ind w:firstLine="560"/>
        <w:rPr>
          <w:rFonts w:ascii="仿宋" w:hAnsi="仿宋" w:eastAsia="仿宋" w:cs="仿宋"/>
          <w:sz w:val="28"/>
          <w:szCs w:val="28"/>
        </w:rPr>
      </w:pPr>
      <w:r>
        <w:rPr>
          <w:rFonts w:hint="eastAsia" w:ascii="仿宋" w:hAnsi="仿宋" w:eastAsia="仿宋" w:cs="仿宋"/>
          <w:sz w:val="28"/>
          <w:szCs w:val="28"/>
        </w:rPr>
        <w:t>最高限价：1,984,857.00元（人民币）</w:t>
      </w:r>
    </w:p>
    <w:p>
      <w:pPr>
        <w:numPr>
          <w:ilvl w:val="0"/>
          <w:numId w:val="1"/>
        </w:numPr>
        <w:autoSpaceDE w:val="0"/>
        <w:autoSpaceDN w:val="0"/>
        <w:ind w:firstLine="560" w:firstLineChars="200"/>
        <w:rPr>
          <w:rFonts w:ascii="仿宋" w:hAnsi="仿宋" w:eastAsia="仿宋" w:cs="仿宋"/>
          <w:sz w:val="28"/>
          <w:szCs w:val="28"/>
        </w:rPr>
      </w:pPr>
      <w:r>
        <w:rPr>
          <w:rFonts w:hint="eastAsia" w:ascii="仿宋" w:hAnsi="仿宋" w:eastAsia="仿宋" w:cs="仿宋"/>
          <w:sz w:val="28"/>
          <w:szCs w:val="28"/>
        </w:rPr>
        <w:t>项目内容及需求：</w:t>
      </w:r>
    </w:p>
    <w:p>
      <w:pPr>
        <w:ind w:firstLine="588" w:firstLineChars="21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rPr>
        <w:t xml:space="preserve"> </w:t>
      </w:r>
      <w:r>
        <w:rPr>
          <w:rFonts w:hint="eastAsia" w:ascii="仿宋" w:hAnsi="仿宋" w:eastAsia="仿宋" w:cs="仿宋"/>
          <w:sz w:val="28"/>
          <w:szCs w:val="28"/>
        </w:rPr>
        <w:t>新增氨氮在线分析仪、硝酸盐氮分析仪、磷酸盐分析仪、预处理系统等，在生化处理过程段实现在线监测系统配置及数据可视化，用于沥滘净水厂、京溪净水厂进行污水处理精细化控制研究，并要求提供标准数据接口，将仪表数据共享至公司平台。具体清单如下：</w:t>
      </w:r>
    </w:p>
    <w:tbl>
      <w:tblPr>
        <w:tblStyle w:val="27"/>
        <w:tblW w:w="9354" w:type="dxa"/>
        <w:tblInd w:w="0" w:type="dxa"/>
        <w:tblLayout w:type="autofit"/>
        <w:tblCellMar>
          <w:top w:w="0" w:type="dxa"/>
          <w:left w:w="108" w:type="dxa"/>
          <w:bottom w:w="0" w:type="dxa"/>
          <w:right w:w="108" w:type="dxa"/>
        </w:tblCellMar>
      </w:tblPr>
      <w:tblGrid>
        <w:gridCol w:w="2494"/>
        <w:gridCol w:w="794"/>
        <w:gridCol w:w="794"/>
        <w:gridCol w:w="5272"/>
      </w:tblGrid>
      <w:tr>
        <w:tblPrEx>
          <w:tblCellMar>
            <w:top w:w="0" w:type="dxa"/>
            <w:left w:w="108" w:type="dxa"/>
            <w:bottom w:w="0" w:type="dxa"/>
            <w:right w:w="108" w:type="dxa"/>
          </w:tblCellMar>
        </w:tblPrEx>
        <w:trPr>
          <w:trHeight w:val="390" w:hRule="atLeast"/>
        </w:trPr>
        <w:tc>
          <w:tcPr>
            <w:tcW w:w="24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新增配置名称</w:t>
            </w:r>
          </w:p>
        </w:tc>
        <w:tc>
          <w:tcPr>
            <w:tcW w:w="7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单位</w:t>
            </w:r>
          </w:p>
        </w:tc>
        <w:tc>
          <w:tcPr>
            <w:tcW w:w="7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数量</w:t>
            </w:r>
          </w:p>
        </w:tc>
        <w:tc>
          <w:tcPr>
            <w:tcW w:w="5272" w:type="dxa"/>
            <w:tcBorders>
              <w:top w:val="single" w:color="auto" w:sz="8" w:space="0"/>
              <w:left w:val="nil"/>
              <w:bottom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备注</w:t>
            </w:r>
          </w:p>
        </w:tc>
      </w:tr>
      <w:tr>
        <w:tblPrEx>
          <w:tblCellMar>
            <w:top w:w="0" w:type="dxa"/>
            <w:left w:w="108" w:type="dxa"/>
            <w:bottom w:w="0" w:type="dxa"/>
            <w:right w:w="108" w:type="dxa"/>
          </w:tblCellMar>
        </w:tblPrEx>
        <w:trPr>
          <w:trHeight w:val="390"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氨氮在线分析仪</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台</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5272" w:type="dxa"/>
            <w:tcBorders>
              <w:top w:val="nil"/>
              <w:left w:val="nil"/>
              <w:bottom w:val="single" w:color="auto" w:sz="8"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水杨酸分光光度法/纳氏试剂比色法</w:t>
            </w:r>
          </w:p>
        </w:tc>
      </w:tr>
      <w:tr>
        <w:tblPrEx>
          <w:tblCellMar>
            <w:top w:w="0" w:type="dxa"/>
            <w:left w:w="108" w:type="dxa"/>
            <w:bottom w:w="0" w:type="dxa"/>
            <w:right w:w="108" w:type="dxa"/>
          </w:tblCellMar>
        </w:tblPrEx>
        <w:trPr>
          <w:trHeight w:val="390"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硝酸盐氮分析仪</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台</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5272" w:type="dxa"/>
            <w:tcBorders>
              <w:top w:val="nil"/>
              <w:left w:val="nil"/>
              <w:bottom w:val="single" w:color="auto" w:sz="8"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紫外分光光度法</w:t>
            </w:r>
          </w:p>
        </w:tc>
      </w:tr>
      <w:tr>
        <w:tblPrEx>
          <w:tblCellMar>
            <w:top w:w="0" w:type="dxa"/>
            <w:left w:w="108" w:type="dxa"/>
            <w:bottom w:w="0" w:type="dxa"/>
            <w:right w:w="108" w:type="dxa"/>
          </w:tblCellMar>
        </w:tblPrEx>
        <w:trPr>
          <w:trHeight w:val="390"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磷酸盐分析仪</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台</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5272" w:type="dxa"/>
            <w:tcBorders>
              <w:top w:val="nil"/>
              <w:left w:val="nil"/>
              <w:bottom w:val="single" w:color="auto" w:sz="8"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钼酸铵分光光度法</w:t>
            </w:r>
          </w:p>
        </w:tc>
      </w:tr>
      <w:tr>
        <w:tblPrEx>
          <w:tblCellMar>
            <w:top w:w="0" w:type="dxa"/>
            <w:left w:w="108" w:type="dxa"/>
            <w:bottom w:w="0" w:type="dxa"/>
            <w:right w:w="108" w:type="dxa"/>
          </w:tblCellMar>
        </w:tblPrEx>
        <w:trPr>
          <w:trHeight w:val="390"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采水单元</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套</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28</w:t>
            </w:r>
          </w:p>
        </w:tc>
        <w:tc>
          <w:tcPr>
            <w:tcW w:w="5272" w:type="dxa"/>
            <w:tcBorders>
              <w:top w:val="nil"/>
              <w:left w:val="nil"/>
              <w:bottom w:val="single" w:color="auto" w:sz="8"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浮动取样，双管双泵等</w:t>
            </w:r>
          </w:p>
        </w:tc>
      </w:tr>
      <w:tr>
        <w:tblPrEx>
          <w:tblCellMar>
            <w:top w:w="0" w:type="dxa"/>
            <w:left w:w="108" w:type="dxa"/>
            <w:bottom w:w="0" w:type="dxa"/>
            <w:right w:w="108" w:type="dxa"/>
          </w:tblCellMar>
        </w:tblPrEx>
        <w:trPr>
          <w:trHeight w:val="765"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预处理及配水单元</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套</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5272" w:type="dxa"/>
            <w:tcBorders>
              <w:top w:val="nil"/>
              <w:left w:val="nil"/>
              <w:bottom w:val="single" w:color="auto" w:sz="8"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对水样进行预处理、为仪表提供样水（含超声波均化及清洗装置、气洗装置、沉砂静置装置、样水杯、管路、水阀等）</w:t>
            </w:r>
          </w:p>
        </w:tc>
      </w:tr>
      <w:tr>
        <w:tblPrEx>
          <w:tblCellMar>
            <w:top w:w="0" w:type="dxa"/>
            <w:left w:w="108" w:type="dxa"/>
            <w:bottom w:w="0" w:type="dxa"/>
            <w:right w:w="108" w:type="dxa"/>
          </w:tblCellMar>
        </w:tblPrEx>
        <w:trPr>
          <w:trHeight w:val="765"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数据采集与传输、系统控制单元</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套</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5272" w:type="dxa"/>
            <w:tcBorders>
              <w:top w:val="nil"/>
              <w:left w:val="nil"/>
              <w:bottom w:val="single" w:color="auto" w:sz="8"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数据采集、传输和系统采配水控制等</w:t>
            </w:r>
          </w:p>
        </w:tc>
      </w:tr>
      <w:tr>
        <w:tblPrEx>
          <w:tblCellMar>
            <w:top w:w="0" w:type="dxa"/>
            <w:left w:w="108" w:type="dxa"/>
            <w:bottom w:w="0" w:type="dxa"/>
            <w:right w:w="108" w:type="dxa"/>
          </w:tblCellMar>
        </w:tblPrEx>
        <w:trPr>
          <w:trHeight w:val="390"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一体化柜</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台</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5272" w:type="dxa"/>
            <w:tcBorders>
              <w:top w:val="nil"/>
              <w:left w:val="nil"/>
              <w:bottom w:val="single" w:color="auto" w:sz="8"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占地不大于2平方</w:t>
            </w:r>
          </w:p>
        </w:tc>
      </w:tr>
    </w:tbl>
    <w:p>
      <w:pPr>
        <w:ind w:firstLine="588" w:firstLineChars="210"/>
        <w:rPr>
          <w:rFonts w:ascii="仿宋" w:hAnsi="仿宋" w:eastAsia="仿宋" w:cs="仿宋"/>
          <w:sz w:val="28"/>
          <w:szCs w:val="28"/>
        </w:rPr>
      </w:pPr>
      <w:r>
        <w:rPr>
          <w:rFonts w:hint="eastAsia" w:ascii="仿宋" w:hAnsi="仿宋" w:eastAsia="仿宋" w:cs="仿宋"/>
          <w:sz w:val="28"/>
          <w:szCs w:val="28"/>
        </w:rPr>
        <w:t>2.报价人所提供的数据采集传输仪，须与已有监测仪器能匹配使用，并提供原厂商质量保证承诺书和售后服务承诺书及设备易损件的明细、价格、供应渠道和售后服务年限。</w:t>
      </w:r>
    </w:p>
    <w:p>
      <w:pPr>
        <w:ind w:firstLine="588" w:firstLineChars="210"/>
        <w:rPr>
          <w:rFonts w:ascii="仿宋" w:hAnsi="仿宋" w:eastAsia="仿宋" w:cs="仿宋"/>
          <w:sz w:val="28"/>
          <w:szCs w:val="28"/>
        </w:rPr>
      </w:pPr>
      <w:r>
        <w:rPr>
          <w:rFonts w:hint="eastAsia" w:ascii="仿宋" w:hAnsi="仿宋" w:eastAsia="仿宋" w:cs="仿宋"/>
          <w:sz w:val="28"/>
          <w:szCs w:val="28"/>
        </w:rPr>
        <w:t>3.报价人需提供数据采集、处理、分析系统，根据HJ212-2017传输标准，收集监测数值，并进行处理及分析，同时应提供标准数据接口，将仪表数据共享至广州市净水有限公司平台。</w:t>
      </w:r>
    </w:p>
    <w:p>
      <w:pPr>
        <w:pStyle w:val="2"/>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ascii="仿宋" w:hAnsi="仿宋" w:eastAsia="仿宋" w:cs="仿宋"/>
          <w:color w:val="auto"/>
          <w:sz w:val="28"/>
          <w:szCs w:val="28"/>
        </w:rPr>
        <w:t>4</w:t>
      </w:r>
      <w:r>
        <w:rPr>
          <w:rFonts w:hint="eastAsia" w:ascii="仿宋" w:hAnsi="仿宋" w:eastAsia="仿宋" w:cs="仿宋"/>
          <w:color w:val="auto"/>
          <w:sz w:val="28"/>
          <w:szCs w:val="28"/>
        </w:rPr>
        <w:t>.中选人需按照询价人的要求就预处理等系统在使用期间免费进行联合开发、调整，成果共享，为方便调试、调整，中选人须根据询价人要求长期派驻驻厂工程师至少一名。</w:t>
      </w:r>
    </w:p>
    <w:p>
      <w:pPr>
        <w:ind w:firstLine="588" w:firstLineChars="21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．中选人需与甲方签订保密协议，对项目实施过程中获取的广州市净水有限公司及所属净水厂所有运行数据、参数、经营信息保密。</w:t>
      </w:r>
    </w:p>
    <w:p>
      <w:pPr>
        <w:ind w:firstLine="560" w:firstLineChars="200"/>
        <w:rPr>
          <w:rFonts w:ascii="仿宋" w:hAnsi="仿宋" w:eastAsia="仿宋" w:cs="仿宋"/>
          <w:sz w:val="28"/>
          <w:szCs w:val="28"/>
        </w:rPr>
      </w:pPr>
      <w:r>
        <w:rPr>
          <w:rFonts w:hint="eastAsia" w:ascii="仿宋" w:hAnsi="仿宋" w:eastAsia="仿宋" w:cs="仿宋"/>
          <w:sz w:val="28"/>
          <w:szCs w:val="28"/>
          <w:lang w:val="zh-CN"/>
        </w:rPr>
        <w:t>六</w:t>
      </w:r>
      <w:r>
        <w:rPr>
          <w:rFonts w:hint="eastAsia" w:ascii="仿宋" w:hAnsi="仿宋" w:eastAsia="仿宋" w:cs="仿宋"/>
          <w:sz w:val="28"/>
          <w:szCs w:val="28"/>
        </w:rPr>
        <w:t>、报价单位资格要求：</w:t>
      </w:r>
    </w:p>
    <w:p>
      <w:pPr>
        <w:autoSpaceDE w:val="0"/>
        <w:autoSpaceDN w:val="0"/>
        <w:ind w:firstLine="560" w:firstLineChars="200"/>
        <w:rPr>
          <w:rFonts w:ascii="仿宋" w:hAnsi="仿宋" w:eastAsia="仿宋" w:cs="仿宋"/>
          <w:sz w:val="28"/>
          <w:szCs w:val="28"/>
          <w:u w:val="single"/>
        </w:rPr>
      </w:pPr>
      <w:r>
        <w:rPr>
          <w:rFonts w:hint="eastAsia" w:ascii="仿宋" w:hAnsi="仿宋" w:eastAsia="仿宋" w:cs="仿宋"/>
          <w:sz w:val="28"/>
          <w:szCs w:val="28"/>
          <w:u w:val="single"/>
        </w:rPr>
        <w:t>1.具有独立承担民事责任能力的中华人民共和国境内注册的法人且能开具增值税发票。</w:t>
      </w:r>
    </w:p>
    <w:p>
      <w:pPr>
        <w:autoSpaceDE w:val="0"/>
        <w:autoSpaceDN w:val="0"/>
        <w:ind w:firstLine="560" w:firstLineChars="200"/>
        <w:rPr>
          <w:rFonts w:ascii="仿宋" w:hAnsi="仿宋" w:eastAsia="仿宋" w:cs="仿宋"/>
          <w:sz w:val="28"/>
          <w:szCs w:val="28"/>
        </w:rPr>
      </w:pPr>
      <w:r>
        <w:rPr>
          <w:rFonts w:hint="eastAsia" w:ascii="仿宋" w:hAnsi="仿宋" w:eastAsia="仿宋" w:cs="仿宋"/>
          <w:sz w:val="28"/>
          <w:szCs w:val="28"/>
          <w:u w:val="single"/>
        </w:rPr>
        <w:t>2．</w:t>
      </w:r>
      <w:bookmarkStart w:id="0" w:name="OLE_LINK2"/>
      <w:bookmarkStart w:id="1" w:name="OLE_LINK1"/>
      <w:r>
        <w:rPr>
          <w:rFonts w:hint="eastAsia" w:ascii="仿宋" w:hAnsi="仿宋" w:eastAsia="仿宋" w:cs="仿宋"/>
          <w:sz w:val="28"/>
          <w:szCs w:val="28"/>
          <w:u w:val="single"/>
        </w:rPr>
        <w:t>2018年1月1日至今，最少具有一项合同金额不少于人民币100万元在线仪器仪表的销售和安装业绩（须提供合同复印件，包括但不限于项目名称、金额及实施内容、合同双方签字盖章、签订日期，并加盖单位公章）。</w:t>
      </w:r>
    </w:p>
    <w:bookmarkEnd w:id="0"/>
    <w:bookmarkEnd w:id="1"/>
    <w:p>
      <w:pPr>
        <w:autoSpaceDE w:val="0"/>
        <w:autoSpaceDN w:val="0"/>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_GB2312" w:hAnsi="仿宋" w:eastAsia="仿宋_GB2312" w:cs="仿宋_GB2312"/>
          <w:sz w:val="28"/>
          <w:szCs w:val="28"/>
          <w:u w:val="single"/>
          <w:lang w:val="zh-CN"/>
        </w:rPr>
        <w:t>报价单位须为</w:t>
      </w:r>
      <w:r>
        <w:rPr>
          <w:rFonts w:hint="eastAsia" w:ascii="仿宋_GB2312" w:hAnsi="仿宋" w:eastAsia="仿宋_GB2312" w:cs="仿宋_GB2312"/>
          <w:sz w:val="28"/>
          <w:szCs w:val="28"/>
          <w:u w:val="single"/>
        </w:rPr>
        <w:t>询价设备</w:t>
      </w:r>
      <w:r>
        <w:rPr>
          <w:rFonts w:hint="eastAsia" w:ascii="仿宋_GB2312" w:hAnsi="仿宋" w:eastAsia="仿宋_GB2312" w:cs="仿宋_GB2312"/>
          <w:sz w:val="28"/>
          <w:szCs w:val="28"/>
          <w:u w:val="single"/>
          <w:lang w:val="zh-CN"/>
        </w:rPr>
        <w:t>的制造商（需提供制造商说明文件原件或证明文件复印件，</w:t>
      </w:r>
      <w:r>
        <w:rPr>
          <w:rFonts w:hint="eastAsia" w:ascii="仿宋" w:hAnsi="仿宋" w:eastAsia="仿宋" w:cs="仿宋"/>
          <w:sz w:val="28"/>
          <w:szCs w:val="28"/>
          <w:u w:val="single"/>
        </w:rPr>
        <w:t>并加盖单位公章</w:t>
      </w:r>
      <w:r>
        <w:rPr>
          <w:rFonts w:hint="eastAsia" w:ascii="仿宋_GB2312" w:hAnsi="仿宋" w:eastAsia="仿宋_GB2312" w:cs="仿宋_GB2312"/>
          <w:sz w:val="28"/>
          <w:szCs w:val="28"/>
          <w:u w:val="single"/>
          <w:lang w:val="zh-CN"/>
        </w:rPr>
        <w:t>）。</w:t>
      </w:r>
    </w:p>
    <w:p>
      <w:pPr>
        <w:autoSpaceDE w:val="0"/>
        <w:autoSpaceDN w:val="0"/>
        <w:ind w:firstLine="560" w:firstLineChars="200"/>
        <w:rPr>
          <w:rFonts w:ascii="仿宋" w:hAnsi="仿宋" w:eastAsia="仿宋" w:cs="仿宋"/>
        </w:rPr>
      </w:pPr>
      <w:r>
        <w:rPr>
          <w:rFonts w:hint="eastAsia" w:ascii="仿宋" w:hAnsi="仿宋" w:eastAsia="仿宋" w:cs="仿宋"/>
          <w:sz w:val="28"/>
          <w:szCs w:val="28"/>
          <w:u w:val="single"/>
        </w:rPr>
        <w:t>4.本项目不接受联合体报价。</w:t>
      </w:r>
    </w:p>
    <w:p>
      <w:pPr>
        <w:ind w:firstLine="588" w:firstLineChars="210"/>
        <w:rPr>
          <w:rFonts w:ascii="仿宋" w:hAnsi="仿宋" w:eastAsia="仿宋" w:cs="仿宋"/>
          <w:sz w:val="28"/>
          <w:szCs w:val="28"/>
        </w:rPr>
      </w:pPr>
      <w:r>
        <w:rPr>
          <w:rFonts w:hint="eastAsia" w:ascii="仿宋" w:hAnsi="仿宋" w:eastAsia="仿宋" w:cs="仿宋"/>
          <w:sz w:val="28"/>
          <w:szCs w:val="28"/>
        </w:rPr>
        <w:t>七</w:t>
      </w:r>
      <w:r>
        <w:rPr>
          <w:rFonts w:hint="eastAsia" w:ascii="仿宋" w:hAnsi="仿宋" w:eastAsia="仿宋" w:cs="仿宋"/>
          <w:sz w:val="28"/>
          <w:szCs w:val="28"/>
          <w:lang w:val="zh-CN"/>
        </w:rPr>
        <w:t>、</w:t>
      </w:r>
      <w:r>
        <w:rPr>
          <w:rFonts w:hint="eastAsia" w:ascii="仿宋" w:hAnsi="仿宋" w:eastAsia="仿宋" w:cs="仿宋"/>
          <w:sz w:val="28"/>
          <w:szCs w:val="28"/>
        </w:rPr>
        <w:t>现场踏勘</w:t>
      </w:r>
      <w:r>
        <w:rPr>
          <w:rFonts w:ascii="仿宋" w:hAnsi="仿宋" w:eastAsia="仿宋" w:cs="仿宋"/>
          <w:sz w:val="28"/>
          <w:szCs w:val="28"/>
        </w:rPr>
        <w:t>(答疑会)时间、地点</w:t>
      </w:r>
      <w:r>
        <w:rPr>
          <w:rFonts w:hint="eastAsia" w:ascii="仿宋" w:hAnsi="仿宋" w:eastAsia="仿宋" w:cs="仿宋"/>
          <w:sz w:val="28"/>
          <w:szCs w:val="28"/>
        </w:rPr>
        <w:t>：</w:t>
      </w:r>
    </w:p>
    <w:p>
      <w:pPr>
        <w:ind w:firstLine="588" w:firstLineChars="210"/>
        <w:rPr>
          <w:rFonts w:ascii="仿宋" w:hAnsi="仿宋" w:eastAsia="仿宋" w:cs="仿宋"/>
          <w:sz w:val="28"/>
          <w:szCs w:val="28"/>
        </w:rPr>
      </w:pPr>
      <w:r>
        <w:rPr>
          <w:rFonts w:hint="eastAsia" w:ascii="仿宋" w:hAnsi="仿宋" w:eastAsia="仿宋" w:cs="仿宋"/>
          <w:sz w:val="28"/>
          <w:szCs w:val="28"/>
        </w:rPr>
        <w:t>为保证拟采购的设备能满足现场安装要求，以上拟采购设备项目需在提交报价文件前进行现场踏勘，未进行现场踏勘而报价的，一律视为无效报价，提交报价文件时需附上现场踏勘委派书（需求单位及报价单位均需盖章）复印件。由本项目承办单位在现场踏勘回执（见附件现场踏勘委派书）盖章确认。</w:t>
      </w:r>
    </w:p>
    <w:p>
      <w:pPr>
        <w:ind w:firstLine="588" w:firstLineChars="21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w:t>
      </w:r>
      <w:r>
        <w:rPr>
          <w:rFonts w:hint="eastAsia" w:ascii="仿宋" w:hAnsi="仿宋" w:eastAsia="仿宋" w:cs="仿宋"/>
          <w:sz w:val="28"/>
          <w:szCs w:val="28"/>
        </w:rPr>
        <w:t>现场踏勘</w:t>
      </w:r>
      <w:r>
        <w:rPr>
          <w:rFonts w:ascii="仿宋" w:hAnsi="仿宋" w:eastAsia="仿宋" w:cs="仿宋"/>
          <w:sz w:val="28"/>
          <w:szCs w:val="28"/>
        </w:rPr>
        <w:t>(答疑会)集合时间：</w:t>
      </w:r>
      <w:r>
        <w:rPr>
          <w:rFonts w:ascii="仿宋" w:hAnsi="仿宋" w:eastAsia="仿宋" w:cs="仿宋"/>
          <w:sz w:val="28"/>
          <w:szCs w:val="28"/>
          <w:u w:val="single"/>
        </w:rPr>
        <w:t>2021</w:t>
      </w:r>
      <w:r>
        <w:rPr>
          <w:rFonts w:hint="eastAsia" w:ascii="仿宋" w:hAnsi="仿宋" w:eastAsia="仿宋" w:cs="仿宋"/>
          <w:sz w:val="28"/>
          <w:szCs w:val="28"/>
          <w:u w:val="single"/>
        </w:rPr>
        <w:t>年</w:t>
      </w:r>
      <w:r>
        <w:rPr>
          <w:rFonts w:ascii="仿宋" w:hAnsi="仿宋" w:eastAsia="仿宋" w:cs="仿宋"/>
          <w:sz w:val="28"/>
          <w:szCs w:val="28"/>
          <w:u w:val="single"/>
        </w:rPr>
        <w:t>4</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27</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14</w:t>
      </w:r>
      <w:r>
        <w:rPr>
          <w:rFonts w:ascii="仿宋" w:hAnsi="仿宋" w:eastAsia="仿宋" w:cs="仿宋"/>
          <w:sz w:val="28"/>
          <w:szCs w:val="28"/>
          <w:u w:val="single"/>
        </w:rPr>
        <w:t>时30分</w:t>
      </w:r>
      <w:r>
        <w:rPr>
          <w:rFonts w:hint="eastAsia" w:ascii="仿宋" w:hAnsi="仿宋" w:eastAsia="仿宋" w:cs="仿宋"/>
          <w:sz w:val="28"/>
          <w:szCs w:val="28"/>
          <w:u w:val="single"/>
        </w:rPr>
        <w:t>至1</w:t>
      </w:r>
      <w:r>
        <w:rPr>
          <w:rFonts w:ascii="仿宋" w:hAnsi="仿宋" w:eastAsia="仿宋" w:cs="仿宋"/>
          <w:sz w:val="28"/>
          <w:szCs w:val="28"/>
          <w:u w:val="single"/>
        </w:rPr>
        <w:t>5</w:t>
      </w:r>
      <w:r>
        <w:rPr>
          <w:rFonts w:hint="eastAsia" w:ascii="仿宋" w:hAnsi="仿宋" w:eastAsia="仿宋" w:cs="仿宋"/>
          <w:sz w:val="28"/>
          <w:szCs w:val="28"/>
          <w:u w:val="single"/>
        </w:rPr>
        <w:t>时0</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分整，逾时不再接待。</w:t>
      </w:r>
    </w:p>
    <w:p>
      <w:pPr>
        <w:ind w:firstLine="588" w:firstLineChars="21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w:t>
      </w:r>
      <w:r>
        <w:rPr>
          <w:rFonts w:hint="eastAsia" w:ascii="仿宋" w:hAnsi="仿宋" w:eastAsia="仿宋" w:cs="仿宋"/>
          <w:sz w:val="28"/>
          <w:szCs w:val="28"/>
        </w:rPr>
        <w:t>现场踏勘</w:t>
      </w:r>
      <w:r>
        <w:rPr>
          <w:rFonts w:ascii="仿宋" w:hAnsi="仿宋" w:eastAsia="仿宋" w:cs="仿宋"/>
          <w:sz w:val="28"/>
          <w:szCs w:val="28"/>
        </w:rPr>
        <w:t>(答疑会)集合地点：</w:t>
      </w:r>
      <w:r>
        <w:rPr>
          <w:rFonts w:ascii="仿宋" w:hAnsi="仿宋" w:eastAsia="仿宋" w:cs="仿宋"/>
          <w:sz w:val="28"/>
          <w:szCs w:val="28"/>
          <w:u w:val="single"/>
        </w:rPr>
        <w:t>广州市净水有限公司</w:t>
      </w:r>
      <w:r>
        <w:rPr>
          <w:rFonts w:hint="eastAsia" w:ascii="仿宋" w:hAnsi="仿宋" w:eastAsia="仿宋" w:cs="仿宋"/>
          <w:sz w:val="28"/>
          <w:szCs w:val="28"/>
          <w:u w:val="single"/>
        </w:rPr>
        <w:t>沥滘分公司（广州市海珠区南洲路1375号）</w:t>
      </w:r>
      <w:r>
        <w:rPr>
          <w:rFonts w:ascii="仿宋" w:hAnsi="仿宋" w:eastAsia="仿宋" w:cs="仿宋"/>
          <w:sz w:val="28"/>
          <w:szCs w:val="28"/>
        </w:rPr>
        <w:t>。</w:t>
      </w:r>
    </w:p>
    <w:p>
      <w:pPr>
        <w:ind w:firstLine="588" w:firstLineChars="21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现场踏勘</w:t>
      </w:r>
      <w:r>
        <w:rPr>
          <w:rFonts w:ascii="仿宋" w:hAnsi="仿宋" w:eastAsia="仿宋" w:cs="仿宋"/>
          <w:sz w:val="28"/>
          <w:szCs w:val="28"/>
        </w:rPr>
        <w:t>(答疑会)</w:t>
      </w:r>
      <w:r>
        <w:rPr>
          <w:rFonts w:hint="eastAsia" w:ascii="仿宋" w:hAnsi="仿宋" w:eastAsia="仿宋" w:cs="仿宋"/>
          <w:sz w:val="28"/>
          <w:szCs w:val="28"/>
        </w:rPr>
        <w:t>时间：</w:t>
      </w:r>
      <w:r>
        <w:rPr>
          <w:rFonts w:ascii="仿宋" w:hAnsi="仿宋" w:eastAsia="仿宋" w:cs="仿宋"/>
          <w:sz w:val="28"/>
          <w:szCs w:val="28"/>
          <w:u w:val="single"/>
        </w:rPr>
        <w:t>2021</w:t>
      </w:r>
      <w:r>
        <w:rPr>
          <w:rFonts w:hint="eastAsia" w:ascii="仿宋" w:hAnsi="仿宋" w:eastAsia="仿宋" w:cs="仿宋"/>
          <w:sz w:val="28"/>
          <w:szCs w:val="28"/>
          <w:u w:val="single"/>
        </w:rPr>
        <w:t>年</w:t>
      </w:r>
      <w:r>
        <w:rPr>
          <w:rFonts w:ascii="仿宋" w:hAnsi="仿宋" w:eastAsia="仿宋" w:cs="仿宋"/>
          <w:sz w:val="28"/>
          <w:szCs w:val="28"/>
          <w:u w:val="single"/>
        </w:rPr>
        <w:t>4</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27</w:t>
      </w:r>
      <w:r>
        <w:rPr>
          <w:rFonts w:hint="eastAsia" w:ascii="仿宋" w:hAnsi="仿宋" w:eastAsia="仿宋" w:cs="仿宋"/>
          <w:sz w:val="28"/>
          <w:szCs w:val="28"/>
          <w:u w:val="single"/>
        </w:rPr>
        <w:t>日</w:t>
      </w:r>
      <w:r>
        <w:rPr>
          <w:rFonts w:ascii="仿宋" w:hAnsi="仿宋" w:eastAsia="仿宋" w:cs="仿宋"/>
          <w:sz w:val="28"/>
          <w:szCs w:val="28"/>
          <w:u w:val="single"/>
        </w:rPr>
        <w:t>15时0</w:t>
      </w:r>
      <w:r>
        <w:rPr>
          <w:rFonts w:hint="eastAsia" w:ascii="仿宋" w:hAnsi="仿宋" w:eastAsia="仿宋" w:cs="仿宋"/>
          <w:sz w:val="28"/>
          <w:szCs w:val="28"/>
          <w:u w:val="single"/>
          <w:lang w:val="en-US" w:eastAsia="zh-CN"/>
        </w:rPr>
        <w:t>0</w:t>
      </w:r>
      <w:r>
        <w:rPr>
          <w:rFonts w:ascii="仿宋" w:hAnsi="仿宋" w:eastAsia="仿宋" w:cs="仿宋"/>
          <w:sz w:val="28"/>
          <w:szCs w:val="28"/>
          <w:u w:val="single"/>
        </w:rPr>
        <w:t>分</w:t>
      </w:r>
      <w:r>
        <w:rPr>
          <w:rFonts w:hint="eastAsia" w:ascii="仿宋" w:hAnsi="仿宋" w:eastAsia="仿宋" w:cs="仿宋"/>
          <w:sz w:val="28"/>
          <w:szCs w:val="28"/>
          <w:u w:val="single"/>
        </w:rPr>
        <w:t>至1</w:t>
      </w:r>
      <w:r>
        <w:rPr>
          <w:rFonts w:ascii="仿宋" w:hAnsi="仿宋" w:eastAsia="仿宋" w:cs="仿宋"/>
          <w:sz w:val="28"/>
          <w:szCs w:val="28"/>
          <w:u w:val="single"/>
        </w:rPr>
        <w:t>6</w:t>
      </w:r>
      <w:r>
        <w:rPr>
          <w:rFonts w:hint="eastAsia" w:ascii="仿宋" w:hAnsi="仿宋" w:eastAsia="仿宋" w:cs="仿宋"/>
          <w:sz w:val="28"/>
          <w:szCs w:val="28"/>
          <w:u w:val="single"/>
        </w:rPr>
        <w:t>时</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0分整，合计1小时</w:t>
      </w:r>
      <w:r>
        <w:rPr>
          <w:rFonts w:hint="eastAsia" w:ascii="仿宋" w:hAnsi="仿宋" w:eastAsia="仿宋" w:cs="仿宋"/>
          <w:sz w:val="28"/>
          <w:szCs w:val="28"/>
        </w:rPr>
        <w:t>。</w:t>
      </w:r>
    </w:p>
    <w:p>
      <w:pPr>
        <w:ind w:firstLine="588" w:firstLineChars="210"/>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取现场踏勘</w:t>
      </w:r>
      <w:r>
        <w:rPr>
          <w:rFonts w:ascii="仿宋" w:hAnsi="仿宋" w:eastAsia="仿宋" w:cs="仿宋"/>
          <w:sz w:val="28"/>
          <w:szCs w:val="28"/>
        </w:rPr>
        <w:t>(答疑会)</w:t>
      </w:r>
      <w:r>
        <w:rPr>
          <w:rFonts w:hint="eastAsia" w:ascii="仿宋" w:hAnsi="仿宋" w:eastAsia="仿宋" w:cs="仿宋"/>
          <w:sz w:val="28"/>
          <w:szCs w:val="28"/>
        </w:rPr>
        <w:t>回执：因办公地点不同，按规定公章无法携带，故须在</w:t>
      </w:r>
      <w:r>
        <w:rPr>
          <w:rFonts w:ascii="仿宋" w:hAnsi="仿宋" w:eastAsia="仿宋" w:cs="仿宋"/>
          <w:sz w:val="28"/>
          <w:szCs w:val="28"/>
          <w:u w:val="single"/>
        </w:rPr>
        <w:t>2021</w:t>
      </w:r>
      <w:r>
        <w:rPr>
          <w:rFonts w:hint="eastAsia" w:ascii="仿宋" w:hAnsi="仿宋" w:eastAsia="仿宋" w:cs="仿宋"/>
          <w:sz w:val="28"/>
          <w:szCs w:val="28"/>
          <w:u w:val="single"/>
        </w:rPr>
        <w:t>年</w:t>
      </w:r>
      <w:r>
        <w:rPr>
          <w:rFonts w:ascii="仿宋" w:hAnsi="仿宋" w:eastAsia="仿宋" w:cs="仿宋"/>
          <w:sz w:val="28"/>
          <w:szCs w:val="28"/>
          <w:u w:val="single"/>
        </w:rPr>
        <w:t>4</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28</w:t>
      </w:r>
      <w:r>
        <w:rPr>
          <w:rFonts w:hint="eastAsia" w:ascii="仿宋" w:hAnsi="仿宋" w:eastAsia="仿宋" w:cs="仿宋"/>
          <w:sz w:val="28"/>
          <w:szCs w:val="28"/>
          <w:u w:val="single"/>
        </w:rPr>
        <w:t>日</w:t>
      </w:r>
      <w:r>
        <w:rPr>
          <w:rFonts w:ascii="仿宋" w:hAnsi="仿宋" w:eastAsia="仿宋" w:cs="仿宋"/>
          <w:sz w:val="28"/>
          <w:szCs w:val="28"/>
          <w:u w:val="single"/>
        </w:rPr>
        <w:t>10时</w:t>
      </w:r>
      <w:r>
        <w:rPr>
          <w:rFonts w:hint="eastAsia" w:ascii="仿宋" w:hAnsi="仿宋" w:eastAsia="仿宋" w:cs="仿宋"/>
          <w:sz w:val="28"/>
          <w:szCs w:val="28"/>
          <w:u w:val="single"/>
        </w:rPr>
        <w:t>3</w:t>
      </w:r>
      <w:r>
        <w:rPr>
          <w:rFonts w:ascii="仿宋" w:hAnsi="仿宋" w:eastAsia="仿宋" w:cs="仿宋"/>
          <w:sz w:val="28"/>
          <w:szCs w:val="28"/>
          <w:u w:val="single"/>
        </w:rPr>
        <w:t>0分</w:t>
      </w:r>
      <w:r>
        <w:rPr>
          <w:rFonts w:hint="eastAsia" w:ascii="仿宋" w:hAnsi="仿宋" w:eastAsia="仿宋" w:cs="仿宋"/>
          <w:sz w:val="28"/>
          <w:szCs w:val="28"/>
          <w:u w:val="single"/>
        </w:rPr>
        <w:t>至1</w:t>
      </w:r>
      <w:r>
        <w:rPr>
          <w:rFonts w:ascii="仿宋" w:hAnsi="仿宋" w:eastAsia="仿宋" w:cs="仿宋"/>
          <w:sz w:val="28"/>
          <w:szCs w:val="28"/>
          <w:u w:val="single"/>
        </w:rPr>
        <w:t>1</w:t>
      </w:r>
      <w:r>
        <w:rPr>
          <w:rFonts w:hint="eastAsia" w:ascii="仿宋" w:hAnsi="仿宋" w:eastAsia="仿宋" w:cs="仿宋"/>
          <w:sz w:val="28"/>
          <w:szCs w:val="28"/>
          <w:u w:val="single"/>
        </w:rPr>
        <w:t>时</w:t>
      </w:r>
      <w:r>
        <w:rPr>
          <w:rFonts w:ascii="仿宋" w:hAnsi="仿宋" w:eastAsia="仿宋" w:cs="仿宋"/>
          <w:sz w:val="28"/>
          <w:szCs w:val="28"/>
          <w:u w:val="single"/>
        </w:rPr>
        <w:t>30</w:t>
      </w:r>
      <w:r>
        <w:rPr>
          <w:rFonts w:hint="eastAsia" w:ascii="仿宋" w:hAnsi="仿宋" w:eastAsia="仿宋" w:cs="仿宋"/>
          <w:sz w:val="28"/>
          <w:szCs w:val="28"/>
          <w:u w:val="single"/>
        </w:rPr>
        <w:t>分整，携带有效证件至广州市净水有限公司技术中心二楼（</w:t>
      </w:r>
      <w:r>
        <w:rPr>
          <w:rFonts w:ascii="仿宋" w:hAnsi="仿宋" w:eastAsia="仿宋" w:cs="仿宋"/>
          <w:sz w:val="28"/>
          <w:szCs w:val="28"/>
          <w:u w:val="single"/>
        </w:rPr>
        <w:t>广州市荔湾区桥中南路10号</w:t>
      </w:r>
      <w:r>
        <w:rPr>
          <w:rFonts w:hint="eastAsia" w:ascii="仿宋" w:hAnsi="仿宋" w:eastAsia="仿宋" w:cs="仿宋"/>
          <w:sz w:val="28"/>
          <w:szCs w:val="28"/>
          <w:u w:val="single"/>
        </w:rPr>
        <w:t>）领取回执。</w:t>
      </w:r>
    </w:p>
    <w:p>
      <w:pPr>
        <w:ind w:firstLine="588" w:firstLineChars="210"/>
        <w:rPr>
          <w:rFonts w:ascii="仿宋" w:hAnsi="仿宋" w:eastAsia="仿宋" w:cs="仿宋"/>
          <w:sz w:val="28"/>
          <w:szCs w:val="28"/>
        </w:rPr>
      </w:pPr>
      <w:r>
        <w:rPr>
          <w:rFonts w:hint="eastAsia" w:ascii="仿宋" w:hAnsi="仿宋" w:eastAsia="仿宋" w:cs="仿宋"/>
          <w:sz w:val="28"/>
          <w:szCs w:val="28"/>
        </w:rPr>
        <w:t>现场踏勘要求：报价单位凭借《现场踏勘书》踏勘现场，完全了解项目地点、环境、内容和要求，其中，中、高风险地区人员需提供健康体检证明（7天有效期内核酸检测报告）。</w:t>
      </w:r>
    </w:p>
    <w:p>
      <w:pPr>
        <w:ind w:firstLine="588" w:firstLineChars="210"/>
        <w:rPr>
          <w:rFonts w:ascii="仿宋" w:hAnsi="仿宋" w:eastAsia="仿宋" w:cs="仿宋"/>
          <w:sz w:val="28"/>
          <w:szCs w:val="28"/>
        </w:rPr>
      </w:pPr>
      <w:r>
        <w:rPr>
          <w:rFonts w:hint="eastAsia" w:ascii="仿宋" w:hAnsi="仿宋" w:eastAsia="仿宋" w:cs="仿宋"/>
          <w:sz w:val="28"/>
          <w:szCs w:val="28"/>
        </w:rPr>
        <w:t>八、询价文件的获取：在2021年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分前，在广州市净水有限公司门户网站免费下载。</w:t>
      </w:r>
    </w:p>
    <w:p>
      <w:pPr>
        <w:ind w:firstLine="588" w:firstLineChars="210"/>
        <w:rPr>
          <w:rFonts w:ascii="仿宋" w:hAnsi="仿宋" w:eastAsia="仿宋" w:cs="仿宋"/>
          <w:sz w:val="28"/>
          <w:szCs w:val="28"/>
        </w:rPr>
      </w:pPr>
      <w:r>
        <w:rPr>
          <w:rFonts w:hint="eastAsia" w:ascii="仿宋" w:hAnsi="仿宋" w:eastAsia="仿宋" w:cs="仿宋"/>
          <w:sz w:val="28"/>
          <w:szCs w:val="28"/>
        </w:rPr>
        <w:t>九、询价响应文件递交时间：202</w:t>
      </w:r>
      <w:r>
        <w:rPr>
          <w:rFonts w:ascii="仿宋" w:hAnsi="仿宋" w:eastAsia="仿宋" w:cs="仿宋"/>
          <w:sz w:val="28"/>
          <w:szCs w:val="28"/>
        </w:rPr>
        <w:t>1</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时</w:t>
      </w:r>
      <w:r>
        <w:rPr>
          <w:rFonts w:hint="eastAsia" w:ascii="仿宋" w:hAnsi="仿宋" w:eastAsia="仿宋" w:cs="仿宋"/>
          <w:sz w:val="28"/>
          <w:szCs w:val="28"/>
          <w:lang w:val="en-US" w:eastAsia="zh-CN"/>
        </w:rPr>
        <w:t>30</w:t>
      </w:r>
      <w:r>
        <w:rPr>
          <w:rFonts w:hint="eastAsia" w:ascii="仿宋" w:hAnsi="仿宋" w:eastAsia="仿宋" w:cs="仿宋"/>
          <w:sz w:val="28"/>
          <w:szCs w:val="28"/>
        </w:rPr>
        <w:t>分至</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分；询价响应文件截止时间：202</w:t>
      </w:r>
      <w:r>
        <w:rPr>
          <w:rFonts w:ascii="仿宋" w:hAnsi="仿宋" w:eastAsia="仿宋" w:cs="仿宋"/>
          <w:sz w:val="28"/>
          <w:szCs w:val="28"/>
        </w:rPr>
        <w:t>1</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r>
        <w:rPr>
          <w:rFonts w:hint="eastAsia" w:ascii="仿宋" w:hAnsi="仿宋" w:eastAsia="仿宋" w:cs="仿宋_GB2312"/>
          <w:color w:val="auto"/>
          <w:sz w:val="28"/>
          <w:szCs w:val="28"/>
          <w:highlight w:val="none"/>
        </w:rPr>
        <w:t>授权委托人递交响应文件时须附上在本单位近三个月社保记录，否则询价响应文件无效。</w:t>
      </w:r>
    </w:p>
    <w:p>
      <w:pPr>
        <w:ind w:firstLine="588" w:firstLineChars="210"/>
        <w:rPr>
          <w:rFonts w:ascii="仿宋" w:hAnsi="仿宋" w:eastAsia="仿宋" w:cs="仿宋"/>
          <w:sz w:val="28"/>
          <w:szCs w:val="28"/>
        </w:rPr>
      </w:pPr>
      <w:r>
        <w:rPr>
          <w:rFonts w:hint="eastAsia" w:ascii="仿宋" w:hAnsi="仿宋" w:eastAsia="仿宋" w:cs="仿宋"/>
          <w:sz w:val="28"/>
          <w:szCs w:val="28"/>
        </w:rPr>
        <w:t xml:space="preserve">十、询价响应文件送达地点：广州市净水有限公司              </w:t>
      </w:r>
    </w:p>
    <w:p>
      <w:pPr>
        <w:ind w:firstLine="588" w:firstLineChars="210"/>
        <w:rPr>
          <w:rFonts w:ascii="仿宋" w:hAnsi="仿宋" w:eastAsia="仿宋" w:cs="仿宋"/>
          <w:sz w:val="28"/>
          <w:szCs w:val="28"/>
        </w:rPr>
      </w:pPr>
      <w:r>
        <w:rPr>
          <w:rFonts w:hint="eastAsia" w:ascii="仿宋" w:hAnsi="仿宋" w:eastAsia="仿宋" w:cs="仿宋"/>
          <w:sz w:val="28"/>
          <w:szCs w:val="28"/>
        </w:rPr>
        <w:t>十一、评审时间：202</w:t>
      </w:r>
      <w:r>
        <w:rPr>
          <w:rFonts w:ascii="仿宋" w:hAnsi="仿宋" w:eastAsia="仿宋" w:cs="仿宋"/>
          <w:sz w:val="28"/>
          <w:szCs w:val="28"/>
        </w:rPr>
        <w:t>1</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p>
    <w:p>
      <w:pPr>
        <w:ind w:firstLine="588" w:firstLineChars="210"/>
        <w:rPr>
          <w:rFonts w:ascii="仿宋" w:hAnsi="仿宋" w:eastAsia="仿宋" w:cs="仿宋"/>
          <w:sz w:val="28"/>
          <w:szCs w:val="28"/>
        </w:rPr>
      </w:pPr>
      <w:r>
        <w:rPr>
          <w:rFonts w:hint="eastAsia" w:ascii="仿宋" w:hAnsi="仿宋" w:eastAsia="仿宋" w:cs="仿宋"/>
          <w:sz w:val="28"/>
          <w:szCs w:val="28"/>
        </w:rPr>
        <w:t>十二、评审地点：</w:t>
      </w:r>
      <w:r>
        <w:rPr>
          <w:rFonts w:hint="eastAsia" w:ascii="仿宋" w:hAnsi="仿宋" w:eastAsia="仿宋" w:cs="仿宋"/>
          <w:sz w:val="28"/>
          <w:szCs w:val="28"/>
          <w:lang w:val="zh-CN"/>
        </w:rPr>
        <w:t>广州市临江大道501号广州市净水有限公司六楼招标办</w:t>
      </w:r>
      <w:r>
        <w:rPr>
          <w:rFonts w:hint="eastAsia" w:ascii="仿宋" w:hAnsi="仿宋" w:eastAsia="仿宋" w:cs="仿宋"/>
          <w:sz w:val="28"/>
          <w:szCs w:val="28"/>
        </w:rPr>
        <w:t xml:space="preserve"> </w:t>
      </w:r>
    </w:p>
    <w:p>
      <w:pPr>
        <w:ind w:firstLine="588" w:firstLineChars="210"/>
        <w:rPr>
          <w:rFonts w:ascii="仿宋" w:hAnsi="仿宋" w:eastAsia="仿宋" w:cs="仿宋"/>
          <w:sz w:val="28"/>
          <w:szCs w:val="28"/>
        </w:rPr>
      </w:pPr>
      <w:r>
        <w:rPr>
          <w:rFonts w:hint="eastAsia" w:ascii="仿宋" w:hAnsi="仿宋" w:eastAsia="仿宋" w:cs="仿宋"/>
          <w:sz w:val="28"/>
          <w:szCs w:val="28"/>
        </w:rPr>
        <w:t>十三、联系方式</w:t>
      </w:r>
    </w:p>
    <w:p>
      <w:pPr>
        <w:snapToGrid w:val="0"/>
        <w:spacing w:line="360" w:lineRule="auto"/>
        <w:ind w:firstLine="630" w:firstLineChars="225"/>
        <w:rPr>
          <w:rFonts w:ascii="仿宋" w:hAnsi="仿宋" w:eastAsia="仿宋" w:cs="仿宋"/>
          <w:kern w:val="0"/>
          <w:sz w:val="28"/>
          <w:szCs w:val="28"/>
        </w:rPr>
      </w:pPr>
      <w:r>
        <w:rPr>
          <w:rFonts w:hint="eastAsia" w:ascii="仿宋" w:hAnsi="仿宋" w:eastAsia="仿宋" w:cs="仿宋"/>
          <w:kern w:val="0"/>
          <w:sz w:val="28"/>
          <w:szCs w:val="28"/>
        </w:rPr>
        <w:t>询价人：广州市净水有限公司</w:t>
      </w:r>
    </w:p>
    <w:p>
      <w:pPr>
        <w:snapToGrid w:val="0"/>
        <w:spacing w:line="360" w:lineRule="auto"/>
        <w:ind w:firstLine="630" w:firstLineChars="225"/>
        <w:rPr>
          <w:rFonts w:ascii="仿宋" w:hAnsi="仿宋" w:eastAsia="仿宋" w:cs="仿宋"/>
          <w:kern w:val="0"/>
          <w:sz w:val="28"/>
          <w:szCs w:val="28"/>
        </w:rPr>
      </w:pPr>
      <w:r>
        <w:rPr>
          <w:rFonts w:hint="eastAsia" w:ascii="仿宋" w:hAnsi="仿宋" w:eastAsia="仿宋" w:cs="仿宋"/>
          <w:kern w:val="0"/>
          <w:sz w:val="28"/>
          <w:szCs w:val="28"/>
        </w:rPr>
        <w:t xml:space="preserve">联系地址：广州市天河区临江大道501号            </w:t>
      </w:r>
    </w:p>
    <w:p>
      <w:pPr>
        <w:snapToGrid w:val="0"/>
        <w:spacing w:line="360" w:lineRule="auto"/>
        <w:ind w:firstLine="630" w:firstLineChars="225"/>
        <w:rPr>
          <w:rFonts w:ascii="仿宋" w:hAnsi="仿宋" w:eastAsia="仿宋" w:cs="仿宋"/>
          <w:kern w:val="0"/>
          <w:sz w:val="28"/>
          <w:szCs w:val="28"/>
        </w:rPr>
      </w:pPr>
      <w:r>
        <w:rPr>
          <w:rFonts w:hint="eastAsia" w:ascii="仿宋" w:hAnsi="仿宋" w:eastAsia="仿宋" w:cs="仿宋"/>
          <w:kern w:val="0"/>
          <w:sz w:val="28"/>
          <w:szCs w:val="28"/>
        </w:rPr>
        <w:t>联系人：</w:t>
      </w:r>
      <w:r>
        <w:rPr>
          <w:rFonts w:hint="eastAsia" w:ascii="仿宋" w:hAnsi="仿宋" w:eastAsia="仿宋" w:cs="仿宋"/>
          <w:kern w:val="0"/>
          <w:sz w:val="28"/>
          <w:szCs w:val="28"/>
          <w:lang w:val="en-US" w:eastAsia="zh-CN"/>
        </w:rPr>
        <w:t>黄工</w:t>
      </w:r>
      <w:r>
        <w:rPr>
          <w:rFonts w:hint="eastAsia" w:ascii="仿宋" w:hAnsi="仿宋" w:eastAsia="仿宋" w:cs="仿宋"/>
          <w:kern w:val="0"/>
          <w:sz w:val="28"/>
          <w:szCs w:val="28"/>
        </w:rPr>
        <w:t xml:space="preserve">                联系方式：020-62315524</w:t>
      </w:r>
    </w:p>
    <w:p>
      <w:pPr>
        <w:ind w:firstLine="4340" w:firstLineChars="1550"/>
        <w:rPr>
          <w:rFonts w:ascii="仿宋" w:hAnsi="仿宋" w:eastAsia="仿宋" w:cs="仿宋"/>
          <w:sz w:val="28"/>
          <w:szCs w:val="28"/>
        </w:rPr>
      </w:pPr>
    </w:p>
    <w:p>
      <w:pPr>
        <w:ind w:firstLine="4340" w:firstLineChars="1550"/>
        <w:rPr>
          <w:rFonts w:ascii="仿宋" w:hAnsi="仿宋" w:eastAsia="仿宋" w:cs="仿宋"/>
          <w:sz w:val="28"/>
          <w:szCs w:val="28"/>
        </w:rPr>
      </w:pPr>
      <w:r>
        <w:rPr>
          <w:rFonts w:hint="eastAsia" w:ascii="仿宋" w:hAnsi="仿宋" w:eastAsia="仿宋" w:cs="仿宋"/>
          <w:sz w:val="28"/>
          <w:szCs w:val="28"/>
        </w:rPr>
        <w:t xml:space="preserve">         </w:t>
      </w:r>
    </w:p>
    <w:p>
      <w:pPr>
        <w:ind w:firstLine="5320" w:firstLineChars="1900"/>
        <w:rPr>
          <w:rFonts w:ascii="仿宋" w:hAnsi="仿宋" w:eastAsia="仿宋" w:cs="仿宋"/>
          <w:sz w:val="28"/>
          <w:szCs w:val="28"/>
          <w:u w:val="single"/>
        </w:rPr>
      </w:pPr>
      <w:r>
        <w:rPr>
          <w:rFonts w:hint="eastAsia" w:ascii="仿宋" w:hAnsi="仿宋" w:eastAsia="仿宋" w:cs="仿宋"/>
          <w:sz w:val="28"/>
          <w:szCs w:val="28"/>
        </w:rPr>
        <w:t>广州市净水有限公司</w:t>
      </w:r>
    </w:p>
    <w:p>
      <w:pPr>
        <w:wordWrap w:val="0"/>
        <w:snapToGrid w:val="0"/>
        <w:spacing w:line="360" w:lineRule="auto"/>
        <w:ind w:right="840"/>
        <w:jc w:val="righ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w:t>
      </w:r>
      <w:r>
        <w:rPr>
          <w:rFonts w:ascii="仿宋" w:hAnsi="仿宋" w:eastAsia="仿宋" w:cs="仿宋"/>
          <w:sz w:val="28"/>
          <w:szCs w:val="28"/>
        </w:rPr>
        <w:t>1</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　　</w:t>
      </w:r>
    </w:p>
    <w:p>
      <w:pPr>
        <w:widowControl/>
        <w:jc w:val="left"/>
        <w:rPr>
          <w:rFonts w:ascii="仿宋" w:hAnsi="仿宋" w:eastAsia="仿宋" w:cs="仿宋"/>
          <w:sz w:val="28"/>
          <w:szCs w:val="28"/>
        </w:rPr>
      </w:pPr>
      <w:r>
        <w:rPr>
          <w:rFonts w:ascii="仿宋" w:hAnsi="仿宋" w:eastAsia="仿宋" w:cs="仿宋"/>
          <w:sz w:val="28"/>
          <w:szCs w:val="28"/>
        </w:rPr>
        <w:br w:type="page"/>
      </w:r>
    </w:p>
    <w:p>
      <w:pPr>
        <w:spacing w:line="480" w:lineRule="auto"/>
        <w:jc w:val="center"/>
        <w:rPr>
          <w:rFonts w:ascii="仿宋_GB2312" w:hAnsi="Times New Roman" w:eastAsia="仿宋_GB2312"/>
          <w:b/>
          <w:sz w:val="28"/>
          <w:szCs w:val="28"/>
        </w:rPr>
      </w:pPr>
      <w:r>
        <w:rPr>
          <w:rFonts w:hint="eastAsia" w:ascii="仿宋_GB2312" w:eastAsia="仿宋_GB2312"/>
          <w:b/>
          <w:sz w:val="28"/>
          <w:szCs w:val="28"/>
        </w:rPr>
        <w:t>现场踏勘委派书</w:t>
      </w:r>
    </w:p>
    <w:p>
      <w:pPr>
        <w:spacing w:line="360" w:lineRule="auto"/>
        <w:rPr>
          <w:rFonts w:ascii="宋体" w:hAnsi="宋体"/>
          <w:szCs w:val="21"/>
        </w:rPr>
      </w:pPr>
      <w:r>
        <w:rPr>
          <w:rFonts w:hint="eastAsia" w:ascii="宋体" w:hAnsi="宋体"/>
        </w:rPr>
        <w:t xml:space="preserve"> </w:t>
      </w:r>
    </w:p>
    <w:p>
      <w:pPr>
        <w:spacing w:line="360" w:lineRule="auto"/>
        <w:rPr>
          <w:rFonts w:ascii="仿宋_GB2312" w:hAnsi="Times New Roman" w:eastAsia="仿宋_GB2312"/>
          <w:sz w:val="28"/>
          <w:szCs w:val="28"/>
        </w:rPr>
      </w:pPr>
      <w:r>
        <w:rPr>
          <w:rFonts w:hint="eastAsia" w:ascii="仿宋_GB2312" w:eastAsia="仿宋_GB2312"/>
          <w:sz w:val="28"/>
          <w:szCs w:val="28"/>
        </w:rPr>
        <w:t>致：广州市净水有限公司</w:t>
      </w:r>
    </w:p>
    <w:p>
      <w:pPr>
        <w:spacing w:line="360" w:lineRule="auto"/>
        <w:rPr>
          <w:rFonts w:ascii="仿宋_GB2312" w:eastAsia="仿宋_GB2312"/>
          <w:b/>
          <w:sz w:val="28"/>
          <w:szCs w:val="28"/>
        </w:rPr>
      </w:pPr>
      <w:r>
        <w:rPr>
          <w:rFonts w:hint="eastAsia" w:ascii="仿宋_GB2312" w:eastAsia="仿宋_GB2312"/>
          <w:b/>
          <w:sz w:val="28"/>
          <w:szCs w:val="28"/>
        </w:rPr>
        <w:t xml:space="preserve"> </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我公司（单位）</w:t>
      </w:r>
      <w:r>
        <w:rPr>
          <w:rFonts w:hint="eastAsia" w:ascii="仿宋_GB2312" w:eastAsia="仿宋_GB2312"/>
          <w:sz w:val="28"/>
          <w:szCs w:val="28"/>
          <w:u w:val="single"/>
        </w:rPr>
        <w:t xml:space="preserve">      </w:t>
      </w:r>
      <w:r>
        <w:rPr>
          <w:rFonts w:hint="eastAsia" w:ascii="仿宋_GB2312" w:eastAsia="仿宋_GB2312"/>
          <w:i/>
          <w:sz w:val="28"/>
          <w:szCs w:val="28"/>
          <w:u w:val="single"/>
        </w:rPr>
        <w:t xml:space="preserve">（报价单位名称）     </w:t>
      </w:r>
      <w:r>
        <w:rPr>
          <w:rFonts w:hint="eastAsia" w:ascii="仿宋_GB2312" w:eastAsia="仿宋_GB2312"/>
          <w:sz w:val="28"/>
          <w:szCs w:val="28"/>
        </w:rPr>
        <w:t>现委派</w:t>
      </w:r>
      <w:r>
        <w:rPr>
          <w:rFonts w:hint="eastAsia" w:ascii="仿宋_GB2312" w:eastAsia="仿宋_GB2312"/>
          <w:sz w:val="28"/>
          <w:szCs w:val="28"/>
          <w:u w:val="single"/>
        </w:rPr>
        <w:t xml:space="preserve">    </w:t>
      </w:r>
      <w:r>
        <w:rPr>
          <w:rFonts w:hint="eastAsia" w:ascii="仿宋_GB2312" w:eastAsia="仿宋_GB2312"/>
          <w:i/>
          <w:sz w:val="28"/>
          <w:szCs w:val="28"/>
          <w:u w:val="single"/>
        </w:rPr>
        <w:t xml:space="preserve">（姓名、职务、身份证号）    </w:t>
      </w:r>
      <w:r>
        <w:rPr>
          <w:rFonts w:hint="eastAsia" w:ascii="仿宋_GB2312" w:eastAsia="仿宋_GB2312"/>
          <w:sz w:val="28"/>
          <w:szCs w:val="28"/>
        </w:rPr>
        <w:t>处理本项目</w:t>
      </w:r>
      <w:r>
        <w:rPr>
          <w:rFonts w:hint="eastAsia" w:ascii="仿宋_GB2312" w:eastAsia="仿宋_GB2312"/>
          <w:sz w:val="28"/>
          <w:szCs w:val="28"/>
          <w:u w:val="single"/>
        </w:rPr>
        <w:t>污水处理过程精细化控制研究项目仪表采购</w:t>
      </w:r>
      <w:r>
        <w:rPr>
          <w:rFonts w:hint="eastAsia" w:ascii="仿宋_GB2312" w:eastAsia="仿宋_GB2312"/>
          <w:sz w:val="28"/>
          <w:szCs w:val="28"/>
        </w:rPr>
        <w:t>，项目编号：</w:t>
      </w:r>
      <w:r>
        <w:rPr>
          <w:rFonts w:hint="eastAsia" w:ascii="仿宋_GB2312" w:eastAsia="仿宋_GB2312"/>
          <w:sz w:val="28"/>
          <w:szCs w:val="28"/>
          <w:u w:val="single"/>
        </w:rPr>
        <w:t xml:space="preserve">            </w:t>
      </w:r>
      <w:r>
        <w:rPr>
          <w:rFonts w:hint="eastAsia" w:ascii="仿宋_GB2312" w:eastAsia="仿宋_GB2312"/>
          <w:sz w:val="28"/>
          <w:szCs w:val="28"/>
        </w:rPr>
        <w:t>的现场踏勘事宜。</w:t>
      </w:r>
    </w:p>
    <w:p>
      <w:pPr>
        <w:spacing w:line="360" w:lineRule="auto"/>
        <w:ind w:firstLine="540"/>
        <w:rPr>
          <w:rFonts w:ascii="仿宋_GB2312" w:eastAsia="仿宋_GB2312"/>
          <w:sz w:val="28"/>
          <w:szCs w:val="28"/>
        </w:rPr>
      </w:pPr>
      <w:r>
        <w:rPr>
          <w:rFonts w:hint="eastAsia" w:ascii="仿宋_GB2312" w:eastAsia="仿宋_GB2312"/>
          <w:sz w:val="28"/>
          <w:szCs w:val="28"/>
        </w:rPr>
        <w:t>特此声明！</w:t>
      </w:r>
    </w:p>
    <w:p>
      <w:pPr>
        <w:adjustRightInd w:val="0"/>
        <w:snapToGrid w:val="0"/>
        <w:spacing w:line="360" w:lineRule="auto"/>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报价单位法定代表人（或法定代表人授权代表）签字：</w:t>
      </w:r>
      <w:r>
        <w:rPr>
          <w:rFonts w:hint="eastAsia" w:ascii="仿宋_GB2312" w:eastAsia="仿宋_GB2312"/>
          <w:sz w:val="28"/>
          <w:szCs w:val="28"/>
          <w:u w:val="single"/>
        </w:rPr>
        <w:t xml:space="preserve">                   </w:t>
      </w:r>
    </w:p>
    <w:p>
      <w:pPr>
        <w:adjustRightInd w:val="0"/>
        <w:snapToGrid w:val="0"/>
        <w:spacing w:line="360" w:lineRule="auto"/>
        <w:ind w:firstLine="560" w:firstLineChars="200"/>
        <w:rPr>
          <w:rFonts w:ascii="仿宋_GB2312" w:eastAsia="仿宋_GB2312"/>
          <w:sz w:val="28"/>
          <w:szCs w:val="28"/>
          <w:u w:val="single"/>
        </w:rPr>
      </w:pPr>
      <w:r>
        <w:rPr>
          <w:rFonts w:hint="eastAsia" w:ascii="仿宋_GB2312" w:eastAsia="仿宋_GB2312"/>
          <w:sz w:val="28"/>
          <w:szCs w:val="28"/>
        </w:rPr>
        <w:t>报价单位名称（签章）：</w:t>
      </w:r>
      <w:r>
        <w:rPr>
          <w:rFonts w:hint="eastAsia" w:ascii="仿宋_GB2312" w:eastAsia="仿宋_GB2312"/>
          <w:sz w:val="28"/>
          <w:szCs w:val="28"/>
          <w:u w:val="single"/>
        </w:rPr>
        <w:t xml:space="preserve">                        </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日期：   年   月   日</w:t>
      </w:r>
    </w:p>
    <w:p>
      <w:pPr>
        <w:spacing w:line="360" w:lineRule="auto"/>
        <w:rPr>
          <w:rFonts w:ascii="仿宋_GB2312" w:eastAsia="仿宋_GB2312"/>
          <w:sz w:val="28"/>
          <w:szCs w:val="28"/>
        </w:rPr>
      </w:pPr>
    </w:p>
    <w:p>
      <w:pPr>
        <w:spacing w:line="360" w:lineRule="auto"/>
        <w:rPr>
          <w:rFonts w:ascii="仿宋_GB2312" w:eastAsia="仿宋_GB2312"/>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0" w:type="dxa"/>
          </w:tcPr>
          <w:p>
            <w:pPr>
              <w:spacing w:line="360" w:lineRule="auto"/>
              <w:rPr>
                <w:rFonts w:ascii="仿宋_GB2312" w:eastAsia="仿宋_GB2312"/>
                <w:sz w:val="28"/>
                <w:szCs w:val="28"/>
              </w:rPr>
            </w:pPr>
            <w:r>
              <w:rPr>
                <w:rFonts w:hint="eastAsia" w:ascii="仿宋_GB2312" w:eastAsia="仿宋_GB2312"/>
                <w:sz w:val="28"/>
                <w:szCs w:val="28"/>
              </w:rPr>
              <w:t>沥</w:t>
            </w:r>
            <w:r>
              <w:rPr>
                <w:rFonts w:hint="eastAsia" w:ascii="微软雅黑" w:hAnsi="微软雅黑" w:eastAsia="微软雅黑" w:cs="微软雅黑"/>
                <w:sz w:val="28"/>
                <w:szCs w:val="28"/>
              </w:rPr>
              <w:t>滘</w:t>
            </w:r>
            <w:r>
              <w:rPr>
                <w:rFonts w:hint="eastAsia" w:ascii="仿宋_GB2312" w:hAnsi="仿宋_GB2312" w:eastAsia="仿宋_GB2312" w:cs="仿宋_GB2312"/>
                <w:sz w:val="28"/>
                <w:szCs w:val="28"/>
              </w:rPr>
              <w:t>分公司（盖章</w:t>
            </w:r>
            <w:r>
              <w:rPr>
                <w:rFonts w:hint="eastAsia" w:ascii="仿宋_GB2312" w:eastAsia="仿宋_GB2312"/>
                <w:sz w:val="28"/>
                <w:szCs w:val="28"/>
              </w:rPr>
              <w:t>）</w:t>
            </w:r>
          </w:p>
        </w:tc>
        <w:tc>
          <w:tcPr>
            <w:tcW w:w="4531" w:type="dxa"/>
          </w:tcPr>
          <w:p>
            <w:pPr>
              <w:spacing w:line="360" w:lineRule="auto"/>
              <w:rPr>
                <w:rFonts w:ascii="仿宋_GB2312" w:eastAsia="仿宋_GB2312"/>
                <w:sz w:val="28"/>
                <w:szCs w:val="28"/>
              </w:rPr>
            </w:pPr>
            <w:r>
              <w:rPr>
                <w:rFonts w:hint="eastAsia" w:ascii="仿宋_GB2312" w:eastAsia="仿宋_GB2312"/>
                <w:sz w:val="28"/>
                <w:szCs w:val="28"/>
              </w:rPr>
              <w:t>技术中心（盖章）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spacing w:line="360" w:lineRule="auto"/>
              <w:rPr>
                <w:rFonts w:ascii="仿宋_GB2312" w:eastAsia="仿宋_GB2312"/>
                <w:sz w:val="28"/>
                <w:szCs w:val="28"/>
              </w:rPr>
            </w:pPr>
            <w:r>
              <w:rPr>
                <w:rFonts w:hint="eastAsia" w:ascii="仿宋_GB2312" w:eastAsia="仿宋_GB2312"/>
                <w:sz w:val="28"/>
                <w:szCs w:val="28"/>
              </w:rPr>
              <w:t>经办人：</w:t>
            </w:r>
          </w:p>
        </w:tc>
        <w:tc>
          <w:tcPr>
            <w:tcW w:w="4531" w:type="dxa"/>
          </w:tcPr>
          <w:p>
            <w:pPr>
              <w:spacing w:line="360" w:lineRule="auto"/>
              <w:rPr>
                <w:rFonts w:ascii="仿宋_GB2312" w:eastAsia="仿宋_GB2312"/>
                <w:sz w:val="28"/>
                <w:szCs w:val="28"/>
              </w:rPr>
            </w:pPr>
            <w:r>
              <w:rPr>
                <w:rFonts w:hint="eastAsia" w:ascii="仿宋_GB2312" w:eastAsia="仿宋_GB2312"/>
                <w:sz w:val="28"/>
                <w:szCs w:val="28"/>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spacing w:line="360" w:lineRule="auto"/>
              <w:rPr>
                <w:rFonts w:ascii="仿宋_GB2312" w:eastAsia="仿宋_GB2312"/>
                <w:sz w:val="28"/>
                <w:szCs w:val="28"/>
              </w:rPr>
            </w:pPr>
            <w:r>
              <w:rPr>
                <w:rFonts w:hint="eastAsia" w:ascii="仿宋_GB2312" w:eastAsia="仿宋_GB2312"/>
                <w:sz w:val="28"/>
                <w:szCs w:val="28"/>
              </w:rPr>
              <w:t>联系方式：</w:t>
            </w:r>
          </w:p>
        </w:tc>
        <w:tc>
          <w:tcPr>
            <w:tcW w:w="4531" w:type="dxa"/>
          </w:tcPr>
          <w:p>
            <w:pPr>
              <w:spacing w:line="360" w:lineRule="auto"/>
              <w:rPr>
                <w:rFonts w:ascii="仿宋_GB2312" w:eastAsia="仿宋_GB2312"/>
                <w:sz w:val="28"/>
                <w:szCs w:val="28"/>
              </w:rPr>
            </w:pPr>
            <w:r>
              <w:rPr>
                <w:rFonts w:hint="eastAsia" w:ascii="仿宋_GB2312" w:eastAsia="仿宋_GB2312"/>
                <w:sz w:val="28"/>
                <w:szCs w:val="28"/>
              </w:rPr>
              <w:t>联系方式：</w:t>
            </w:r>
          </w:p>
        </w:tc>
      </w:tr>
    </w:tbl>
    <w:p>
      <w:pPr>
        <w:spacing w:line="360" w:lineRule="auto"/>
        <w:rPr>
          <w:rFonts w:ascii="仿宋_GB2312" w:eastAsia="仿宋_GB2312"/>
          <w:sz w:val="28"/>
          <w:szCs w:val="28"/>
        </w:rPr>
      </w:pPr>
    </w:p>
    <w:p>
      <w:pPr>
        <w:snapToGrid w:val="0"/>
        <w:spacing w:line="360" w:lineRule="auto"/>
        <w:ind w:right="1960"/>
        <w:rPr>
          <w:rFonts w:ascii="仿宋" w:hAnsi="仿宋" w:eastAsia="仿宋" w:cs="仿宋"/>
          <w:sz w:val="28"/>
          <w:szCs w:val="28"/>
        </w:rPr>
      </w:pPr>
    </w:p>
    <w:p>
      <w:pPr>
        <w:wordWrap w:val="0"/>
        <w:snapToGrid w:val="0"/>
        <w:spacing w:line="360" w:lineRule="auto"/>
        <w:ind w:right="840"/>
        <w:jc w:val="right"/>
        <w:rPr>
          <w:rFonts w:ascii="仿宋" w:hAnsi="仿宋" w:eastAsia="仿宋" w:cs="仿宋"/>
          <w:sz w:val="28"/>
          <w:szCs w:val="28"/>
        </w:rPr>
        <w:sectPr>
          <w:footerReference r:id="rId7" w:type="default"/>
          <w:pgSz w:w="11906" w:h="16838"/>
          <w:pgMar w:top="1134" w:right="1134" w:bottom="1134" w:left="1701" w:header="851" w:footer="992" w:gutter="0"/>
          <w:pgNumType w:start="1"/>
          <w:cols w:space="720" w:num="1"/>
          <w:docGrid w:type="linesAndChars" w:linePitch="312" w:charSpace="0"/>
        </w:sectPr>
      </w:pPr>
    </w:p>
    <w:p>
      <w:pPr>
        <w:pStyle w:val="14"/>
        <w:adjustRightInd w:val="0"/>
        <w:snapToGrid w:val="0"/>
        <w:spacing w:line="300" w:lineRule="auto"/>
        <w:jc w:val="center"/>
        <w:rPr>
          <w:rFonts w:ascii="仿宋" w:hAnsi="仿宋" w:eastAsia="仿宋" w:cs="仿宋"/>
          <w:b/>
          <w:sz w:val="32"/>
          <w:szCs w:val="32"/>
          <w:lang w:val="zh-CN"/>
        </w:rPr>
      </w:pPr>
      <w:r>
        <w:rPr>
          <w:rFonts w:hint="eastAsia" w:ascii="仿宋" w:hAnsi="仿宋" w:eastAsia="仿宋" w:cs="仿宋"/>
          <w:b/>
          <w:sz w:val="32"/>
          <w:szCs w:val="32"/>
          <w:lang w:val="zh-CN"/>
        </w:rPr>
        <w:t>第二部分 项目内容</w:t>
      </w:r>
    </w:p>
    <w:p>
      <w:pPr>
        <w:rPr>
          <w:rFonts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b/>
          <w:bCs/>
          <w:sz w:val="28"/>
          <w:szCs w:val="28"/>
        </w:rPr>
        <w:t>项目情况介绍</w:t>
      </w:r>
    </w:p>
    <w:p>
      <w:pPr>
        <w:ind w:firstLine="560" w:firstLineChars="200"/>
        <w:rPr>
          <w:rFonts w:ascii="仿宋" w:hAnsi="仿宋" w:eastAsia="仿宋" w:cs="仿宋"/>
          <w:sz w:val="28"/>
          <w:szCs w:val="28"/>
        </w:rPr>
      </w:pPr>
      <w:r>
        <w:rPr>
          <w:rFonts w:hint="eastAsia" w:ascii="仿宋" w:hAnsi="仿宋" w:eastAsia="仿宋" w:cs="仿宋"/>
          <w:sz w:val="28"/>
          <w:szCs w:val="28"/>
        </w:rPr>
        <w:t>2020年12月12日，国家主席习近平在纪念《巴黎协定》签订5周年的气候雄心峰会上发表“继往开来，开启全球应对气候变化新征程”的重要讲话，承诺到2030年，中国单位国内生产总值二氧化碳排放将比2005年下降65%以上，努力争取2060年前实现“碳中和”。这是中国致力于自身生态文明建设的战略举措，也是中国愿为人类社会发展做出新贡献的重大宣示。但是，面临日益复杂的国际形势，中国如何规划完善低碳发展路径，通过何种手段实现“碳中和”，是一项非常紧迫和充满挑战的任务。</w:t>
      </w:r>
    </w:p>
    <w:p>
      <w:pPr>
        <w:ind w:firstLine="560" w:firstLineChars="200"/>
        <w:rPr>
          <w:rFonts w:ascii="仿宋" w:hAnsi="仿宋" w:eastAsia="仿宋" w:cs="仿宋"/>
          <w:sz w:val="28"/>
          <w:szCs w:val="28"/>
        </w:rPr>
      </w:pPr>
      <w:r>
        <w:rPr>
          <w:rFonts w:hint="eastAsia" w:ascii="仿宋" w:hAnsi="仿宋" w:eastAsia="仿宋" w:cs="仿宋"/>
          <w:sz w:val="28"/>
          <w:szCs w:val="28"/>
        </w:rPr>
        <w:t>污水处理行业对全球温室气体的总贡献率虽然仅占2%～5%，但亦不可小觑，同样也面临着碳减排甚至碳中和的压力。污水处理实现碳中和途径无外乎也是直接利用清洁能源或间接通过特殊手段补偿碳排放。清洁能源包括太阳能、风能、潮汐能等，但清洁能源受地理位置、场地、光照等限制不适用于大多数污水处理厂；因此，污水处理碳减排只能从营养物去除过程或污水潜能入手，通过减少能耗、药耗使用或挖掘污水蕴含能量来实现。因此广州净水公司开展污水处理过程精细化控制研究工作，通过在生化池面加装氮、磷指标仪表，实时监控各功能段脱氮除磷的反应进程，将工艺参数控制在反应最佳条件，尽可能提升生物脱氮除磷效率，保障出水稳定达标的前提下做到降低药耗、节能减排。</w:t>
      </w:r>
    </w:p>
    <w:p>
      <w:pPr>
        <w:ind w:firstLine="560" w:firstLineChars="200"/>
        <w:rPr>
          <w:rFonts w:ascii="仿宋" w:hAnsi="仿宋" w:eastAsia="仿宋" w:cs="仿宋"/>
          <w:sz w:val="28"/>
          <w:szCs w:val="28"/>
        </w:rPr>
      </w:pPr>
      <w:r>
        <w:rPr>
          <w:rFonts w:hint="eastAsia" w:ascii="仿宋" w:hAnsi="仿宋" w:eastAsia="仿宋" w:cs="仿宋"/>
          <w:sz w:val="28"/>
          <w:szCs w:val="28"/>
        </w:rPr>
        <w:t>为实现污水处理过程段的精细化调控，选取沥滘和京溪两个净水厂的生化处理段作为试点，与项目中选单位就预处理、在线仪表等系统在使用期间进行联合开发、调整，以进行实时获取水面数据，从而实现提前调控，实现净水出水达到目标值，更好的符合国家出水标准要求。</w:t>
      </w:r>
    </w:p>
    <w:p>
      <w:pPr>
        <w:numPr>
          <w:ilvl w:val="255"/>
          <w:numId w:val="0"/>
        </w:numPr>
        <w:rPr>
          <w:rFonts w:ascii="仿宋" w:hAnsi="仿宋" w:eastAsia="仿宋" w:cs="仿宋"/>
          <w:sz w:val="28"/>
          <w:szCs w:val="28"/>
        </w:rPr>
      </w:pPr>
      <w:r>
        <w:rPr>
          <w:rFonts w:hint="eastAsia" w:ascii="仿宋" w:hAnsi="仿宋" w:eastAsia="仿宋" w:cs="仿宋"/>
          <w:b/>
          <w:bCs/>
          <w:sz w:val="28"/>
          <w:szCs w:val="28"/>
        </w:rPr>
        <w:t>二、项目技术要求</w:t>
      </w:r>
    </w:p>
    <w:p>
      <w:pPr>
        <w:pStyle w:val="5"/>
        <w:rPr>
          <w:rFonts w:ascii="仿宋" w:hAnsi="仿宋" w:eastAsia="仿宋" w:cs="仿宋"/>
          <w:sz w:val="28"/>
          <w:szCs w:val="28"/>
        </w:rPr>
      </w:pPr>
      <w:r>
        <w:rPr>
          <w:rFonts w:hint="eastAsia" w:ascii="仿宋" w:hAnsi="仿宋" w:eastAsia="仿宋" w:cs="仿宋"/>
          <w:sz w:val="28"/>
          <w:szCs w:val="28"/>
        </w:rPr>
        <w:t>（一）此次项目所需设备清单及要求如下</w:t>
      </w:r>
    </w:p>
    <w:tbl>
      <w:tblPr>
        <w:tblStyle w:val="27"/>
        <w:tblW w:w="9354" w:type="dxa"/>
        <w:tblInd w:w="0" w:type="dxa"/>
        <w:tblLayout w:type="autofit"/>
        <w:tblCellMar>
          <w:top w:w="0" w:type="dxa"/>
          <w:left w:w="108" w:type="dxa"/>
          <w:bottom w:w="0" w:type="dxa"/>
          <w:right w:w="108" w:type="dxa"/>
        </w:tblCellMar>
      </w:tblPr>
      <w:tblGrid>
        <w:gridCol w:w="2494"/>
        <w:gridCol w:w="794"/>
        <w:gridCol w:w="794"/>
        <w:gridCol w:w="5272"/>
      </w:tblGrid>
      <w:tr>
        <w:tblPrEx>
          <w:tblCellMar>
            <w:top w:w="0" w:type="dxa"/>
            <w:left w:w="108" w:type="dxa"/>
            <w:bottom w:w="0" w:type="dxa"/>
            <w:right w:w="108" w:type="dxa"/>
          </w:tblCellMar>
        </w:tblPrEx>
        <w:trPr>
          <w:trHeight w:val="390" w:hRule="atLeast"/>
        </w:trPr>
        <w:tc>
          <w:tcPr>
            <w:tcW w:w="24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bookmarkStart w:id="2" w:name="_Toc488152900"/>
            <w:bookmarkStart w:id="3" w:name="_Toc18895"/>
            <w:r>
              <w:rPr>
                <w:rFonts w:hint="eastAsia" w:ascii="仿宋" w:hAnsi="仿宋" w:eastAsia="仿宋" w:cs="宋体"/>
                <w:kern w:val="0"/>
                <w:sz w:val="28"/>
                <w:szCs w:val="28"/>
              </w:rPr>
              <w:t>新增配置名称</w:t>
            </w:r>
          </w:p>
        </w:tc>
        <w:tc>
          <w:tcPr>
            <w:tcW w:w="7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单位</w:t>
            </w:r>
          </w:p>
        </w:tc>
        <w:tc>
          <w:tcPr>
            <w:tcW w:w="7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数量</w:t>
            </w:r>
          </w:p>
        </w:tc>
        <w:tc>
          <w:tcPr>
            <w:tcW w:w="5272" w:type="dxa"/>
            <w:tcBorders>
              <w:top w:val="single" w:color="auto" w:sz="8" w:space="0"/>
              <w:left w:val="nil"/>
              <w:bottom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备注</w:t>
            </w:r>
          </w:p>
        </w:tc>
      </w:tr>
      <w:tr>
        <w:tblPrEx>
          <w:tblCellMar>
            <w:top w:w="0" w:type="dxa"/>
            <w:left w:w="108" w:type="dxa"/>
            <w:bottom w:w="0" w:type="dxa"/>
            <w:right w:w="108" w:type="dxa"/>
          </w:tblCellMar>
        </w:tblPrEx>
        <w:trPr>
          <w:trHeight w:val="390"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氨氮在线分析仪</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台</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5272" w:type="dxa"/>
            <w:tcBorders>
              <w:top w:val="nil"/>
              <w:left w:val="nil"/>
              <w:bottom w:val="single" w:color="auto" w:sz="8"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水杨酸分光光度法/纳氏试剂比色法</w:t>
            </w:r>
          </w:p>
        </w:tc>
      </w:tr>
      <w:tr>
        <w:tblPrEx>
          <w:tblCellMar>
            <w:top w:w="0" w:type="dxa"/>
            <w:left w:w="108" w:type="dxa"/>
            <w:bottom w:w="0" w:type="dxa"/>
            <w:right w:w="108" w:type="dxa"/>
          </w:tblCellMar>
        </w:tblPrEx>
        <w:trPr>
          <w:trHeight w:val="390"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硝酸盐氮分析仪</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台</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5272" w:type="dxa"/>
            <w:tcBorders>
              <w:top w:val="nil"/>
              <w:left w:val="nil"/>
              <w:bottom w:val="single" w:color="auto" w:sz="8"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紫外分光光度法</w:t>
            </w:r>
          </w:p>
        </w:tc>
      </w:tr>
      <w:tr>
        <w:tblPrEx>
          <w:tblCellMar>
            <w:top w:w="0" w:type="dxa"/>
            <w:left w:w="108" w:type="dxa"/>
            <w:bottom w:w="0" w:type="dxa"/>
            <w:right w:w="108" w:type="dxa"/>
          </w:tblCellMar>
        </w:tblPrEx>
        <w:trPr>
          <w:trHeight w:val="390"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磷酸盐分析仪</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台</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5272" w:type="dxa"/>
            <w:tcBorders>
              <w:top w:val="nil"/>
              <w:left w:val="nil"/>
              <w:bottom w:val="single" w:color="auto" w:sz="8"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钼酸铵分光光度法</w:t>
            </w:r>
          </w:p>
        </w:tc>
      </w:tr>
      <w:tr>
        <w:tblPrEx>
          <w:tblCellMar>
            <w:top w:w="0" w:type="dxa"/>
            <w:left w:w="108" w:type="dxa"/>
            <w:bottom w:w="0" w:type="dxa"/>
            <w:right w:w="108" w:type="dxa"/>
          </w:tblCellMar>
        </w:tblPrEx>
        <w:trPr>
          <w:trHeight w:val="390"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采水单元</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套</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28</w:t>
            </w:r>
          </w:p>
        </w:tc>
        <w:tc>
          <w:tcPr>
            <w:tcW w:w="5272" w:type="dxa"/>
            <w:tcBorders>
              <w:top w:val="nil"/>
              <w:left w:val="nil"/>
              <w:bottom w:val="single" w:color="auto" w:sz="8"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浮动取样，双管双泵等</w:t>
            </w:r>
          </w:p>
        </w:tc>
      </w:tr>
      <w:tr>
        <w:tblPrEx>
          <w:tblCellMar>
            <w:top w:w="0" w:type="dxa"/>
            <w:left w:w="108" w:type="dxa"/>
            <w:bottom w:w="0" w:type="dxa"/>
            <w:right w:w="108" w:type="dxa"/>
          </w:tblCellMar>
        </w:tblPrEx>
        <w:trPr>
          <w:trHeight w:val="765"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预处理及配水单元</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套</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5272" w:type="dxa"/>
            <w:tcBorders>
              <w:top w:val="nil"/>
              <w:left w:val="nil"/>
              <w:bottom w:val="single" w:color="auto" w:sz="8"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对水样进行预处理、为仪表提供样水（含超声波均化及清洗装置、气洗装置、沉砂静置装置、样水杯、管路、水阀等）</w:t>
            </w:r>
          </w:p>
        </w:tc>
      </w:tr>
      <w:tr>
        <w:tblPrEx>
          <w:tblCellMar>
            <w:top w:w="0" w:type="dxa"/>
            <w:left w:w="108" w:type="dxa"/>
            <w:bottom w:w="0" w:type="dxa"/>
            <w:right w:w="108" w:type="dxa"/>
          </w:tblCellMar>
        </w:tblPrEx>
        <w:trPr>
          <w:trHeight w:val="765"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数据采集与传输、系统控制单元</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套</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5272" w:type="dxa"/>
            <w:tcBorders>
              <w:top w:val="nil"/>
              <w:left w:val="nil"/>
              <w:bottom w:val="single" w:color="auto" w:sz="8"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数据采集、传输和系统采配水控制等</w:t>
            </w:r>
          </w:p>
        </w:tc>
      </w:tr>
      <w:tr>
        <w:tblPrEx>
          <w:tblCellMar>
            <w:top w:w="0" w:type="dxa"/>
            <w:left w:w="108" w:type="dxa"/>
            <w:bottom w:w="0" w:type="dxa"/>
            <w:right w:w="108" w:type="dxa"/>
          </w:tblCellMar>
        </w:tblPrEx>
        <w:trPr>
          <w:trHeight w:val="390"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一体化柜</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台</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7</w:t>
            </w:r>
          </w:p>
        </w:tc>
        <w:tc>
          <w:tcPr>
            <w:tcW w:w="5272" w:type="dxa"/>
            <w:tcBorders>
              <w:top w:val="nil"/>
              <w:left w:val="nil"/>
              <w:bottom w:val="single" w:color="auto" w:sz="8" w:space="0"/>
            </w:tcBorders>
            <w:shd w:val="clear" w:color="auto" w:fill="auto"/>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占地不大于2平方</w:t>
            </w:r>
          </w:p>
        </w:tc>
      </w:tr>
    </w:tbl>
    <w:p>
      <w:pPr>
        <w:ind w:firstLine="588" w:firstLineChars="21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.报价人所提供的数据采集传输仪，须与已有监测仪器能匹配使用，并提供原厂商质量保证承诺书和售后服务承诺书及设备易损件的明细、价格、供应渠道和售后服务年限。</w:t>
      </w:r>
    </w:p>
    <w:p>
      <w:pPr>
        <w:ind w:firstLine="588" w:firstLineChars="21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.报价人需提供数据采集、处理、分析系统，根据HJ212-2017传输标准，收集监测数值，并进行处理及分析，同时应提供标准数据接口，将仪表数据共享至广州市净水有限公司平台。</w:t>
      </w:r>
    </w:p>
    <w:p>
      <w:pPr>
        <w:pStyle w:val="2"/>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▲3.中选人需按照询价人的要求就预处理等系统在使用期间免费进行联合开发、调整，成果共享，为方便调试、调整，中选人须根据询价人要求长期派驻驻厂工程师至少一名。</w:t>
      </w:r>
    </w:p>
    <w:p>
      <w:pPr>
        <w:pStyle w:val="2"/>
        <w:ind w:firstLine="560" w:firstLineChars="200"/>
        <w:rPr>
          <w:rFonts w:ascii="仿宋" w:hAnsi="仿宋" w:eastAsia="仿宋" w:cs="仿宋"/>
          <w:color w:val="auto"/>
          <w:kern w:val="2"/>
          <w:sz w:val="28"/>
          <w:szCs w:val="28"/>
        </w:rPr>
      </w:pPr>
      <w:r>
        <w:rPr>
          <w:rFonts w:hint="eastAsia" w:ascii="仿宋" w:hAnsi="仿宋" w:eastAsia="仿宋" w:cs="仿宋"/>
          <w:color w:val="auto"/>
          <w:kern w:val="2"/>
          <w:sz w:val="28"/>
          <w:szCs w:val="28"/>
        </w:rPr>
        <w:t>4．中选人需与甲方签订保密协议，对项目实施过程中获取的广州市净水有限公司及所属净水厂所有运行数据、参数、经营信息保密。</w:t>
      </w:r>
    </w:p>
    <w:p>
      <w:pPr>
        <w:pStyle w:val="5"/>
        <w:rPr>
          <w:rFonts w:ascii="仿宋" w:hAnsi="仿宋" w:eastAsia="仿宋" w:cs="仿宋"/>
          <w:sz w:val="28"/>
          <w:szCs w:val="28"/>
        </w:rPr>
      </w:pPr>
      <w:r>
        <w:rPr>
          <w:rFonts w:hint="eastAsia" w:ascii="仿宋" w:hAnsi="仿宋" w:eastAsia="仿宋" w:cs="仿宋"/>
          <w:sz w:val="28"/>
          <w:szCs w:val="28"/>
        </w:rPr>
        <w:t>（二）主要产品技术规格和参数</w:t>
      </w:r>
    </w:p>
    <w:p>
      <w:pPr>
        <w:pStyle w:val="6"/>
        <w:numPr>
          <w:ilvl w:val="0"/>
          <w:numId w:val="2"/>
        </w:numPr>
        <w:spacing w:line="288" w:lineRule="auto"/>
        <w:rPr>
          <w:rFonts w:ascii="仿宋" w:hAnsi="仿宋" w:eastAsia="仿宋" w:cs="仿宋"/>
        </w:rPr>
      </w:pPr>
      <w:r>
        <w:rPr>
          <w:rFonts w:hint="eastAsia" w:ascii="仿宋" w:hAnsi="仿宋" w:eastAsia="仿宋" w:cs="仿宋"/>
        </w:rPr>
        <w:t>氨氮在线分析仪</w:t>
      </w:r>
    </w:p>
    <w:p>
      <w:pPr>
        <w:pStyle w:val="7"/>
        <w:numPr>
          <w:ilvl w:val="255"/>
          <w:numId w:val="0"/>
        </w:numPr>
        <w:spacing w:line="288" w:lineRule="auto"/>
        <w:rPr>
          <w:rFonts w:ascii="仿宋" w:hAnsi="仿宋" w:eastAsia="仿宋" w:cs="仿宋"/>
        </w:rPr>
      </w:pPr>
      <w:bookmarkStart w:id="4" w:name="_Toc488152902"/>
      <w:r>
        <w:rPr>
          <w:rFonts w:hint="eastAsia" w:ascii="仿宋" w:hAnsi="仿宋" w:eastAsia="仿宋" w:cs="仿宋"/>
        </w:rPr>
        <w:t>1.1 功能要求</w:t>
      </w:r>
      <w:bookmarkEnd w:id="4"/>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仪器体积小，运输方便，安装灵活；</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平台化和模块设计，易于维护和快速修复，通常模块达95%以上；</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整套管路系统采用防腐材料，并且前向维护，故障率低，维护量少，使用寿命长；</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采用进口触摸屏，中文界面显示，完善的用户权限管理；</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支持RS-232、RS-485通讯端口、4～20mA模拟输出；</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▲光电计量功能，蠕动泵提供动力，光电液位检测，实现计量；</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▲采用多通切阀系统,实现多通道实时切换；</w:t>
      </w:r>
    </w:p>
    <w:p>
      <w:pPr>
        <w:numPr>
          <w:ilvl w:val="0"/>
          <w:numId w:val="3"/>
        </w:numPr>
        <w:spacing w:line="288" w:lineRule="auto"/>
        <w:ind w:left="0" w:firstLine="560" w:firstLineChars="200"/>
        <w:jc w:val="left"/>
        <w:rPr>
          <w:rFonts w:ascii="仿宋" w:hAnsi="仿宋" w:eastAsia="仿宋" w:cs="仿宋"/>
        </w:rPr>
      </w:pPr>
      <w:r>
        <w:rPr>
          <w:rFonts w:hint="eastAsia" w:ascii="仿宋" w:hAnsi="仿宋" w:eastAsia="仿宋" w:cs="仿宋"/>
          <w:kern w:val="0"/>
          <w:sz w:val="28"/>
          <w:szCs w:val="28"/>
        </w:rPr>
        <w:t>▲具有自动标定、测量、清洗以及标样核查功能</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▲具有试剂余量不足告警功能</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▲具有智能量程选择功能</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▲具有仪表开门记录功能</w:t>
      </w:r>
    </w:p>
    <w:p>
      <w:pPr>
        <w:numPr>
          <w:ilvl w:val="0"/>
          <w:numId w:val="3"/>
        </w:numPr>
        <w:spacing w:line="288" w:lineRule="auto"/>
        <w:ind w:left="0" w:firstLine="560" w:firstLineChars="200"/>
        <w:jc w:val="left"/>
      </w:pPr>
      <w:r>
        <w:rPr>
          <w:rFonts w:hint="eastAsia" w:ascii="仿宋" w:hAnsi="仿宋" w:eastAsia="仿宋" w:cs="仿宋"/>
          <w:kern w:val="0"/>
          <w:sz w:val="28"/>
          <w:szCs w:val="28"/>
        </w:rPr>
        <w:t>▲可根据现场水样情况配置</w:t>
      </w:r>
      <w:r>
        <w:rPr>
          <w:rFonts w:hint="eastAsia" w:ascii="仿宋" w:hAnsi="仿宋" w:eastAsia="仿宋" w:cs="仿宋"/>
          <w:sz w:val="28"/>
          <w:szCs w:val="28"/>
        </w:rPr>
        <w:t>水杨酸分光光度法/纳氏试剂比色法</w:t>
      </w:r>
      <w:r>
        <w:rPr>
          <w:rFonts w:hint="eastAsia" w:ascii="仿宋" w:hAnsi="仿宋" w:eastAsia="仿宋" w:cs="仿宋"/>
          <w:kern w:val="0"/>
          <w:sz w:val="28"/>
          <w:szCs w:val="28"/>
        </w:rPr>
        <w:t>的氨氮在线分析仪。</w:t>
      </w:r>
    </w:p>
    <w:p>
      <w:pPr>
        <w:pStyle w:val="7"/>
        <w:numPr>
          <w:ilvl w:val="255"/>
          <w:numId w:val="0"/>
        </w:numPr>
        <w:spacing w:line="288" w:lineRule="auto"/>
        <w:rPr>
          <w:rFonts w:ascii="仿宋" w:hAnsi="仿宋" w:eastAsia="仿宋" w:cs="仿宋"/>
        </w:rPr>
      </w:pPr>
      <w:bookmarkStart w:id="5" w:name="_Toc488152903"/>
      <w:r>
        <w:rPr>
          <w:rFonts w:hint="eastAsia" w:ascii="仿宋" w:hAnsi="仿宋" w:eastAsia="仿宋" w:cs="仿宋"/>
        </w:rPr>
        <w:t>1.2 技术参数</w:t>
      </w:r>
      <w:bookmarkEnd w:id="5"/>
      <w:r>
        <w:rPr>
          <w:rFonts w:hint="eastAsia" w:ascii="仿宋" w:hAnsi="仿宋" w:eastAsia="仿宋" w:cs="仿宋"/>
        </w:rPr>
        <w:t>要求</w:t>
      </w:r>
    </w:p>
    <w:tbl>
      <w:tblPr>
        <w:tblStyle w:val="2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测量方法</w:t>
            </w:r>
          </w:p>
        </w:tc>
        <w:tc>
          <w:tcPr>
            <w:tcW w:w="5244" w:type="dxa"/>
            <w:vAlign w:val="center"/>
          </w:tcPr>
          <w:p>
            <w:pPr>
              <w:tabs>
                <w:tab w:val="left" w:pos="2049"/>
              </w:tabs>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sz w:val="28"/>
                <w:szCs w:val="28"/>
              </w:rPr>
              <w:t>水杨酸分光光度法/纳氏试剂比色法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测量范围</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0～8mg/L, 0～80mg/L,0～300 mg/L（更多量程可扩展），可在一定范围内实现不同量程之间的自动切换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检出限</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0.02mg/L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重复性</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零点漂移</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量程漂移</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定量下限</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实际废水样品比对实验</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最小测量周期</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一次测量试剂消耗量</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1.4ml（试剂更换时间：》30d）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平均无故障运行时间</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≥1440h/次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电源要求</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220VAC</w:t>
            </w:r>
            <w:r>
              <w:rPr>
                <w:rFonts w:hint="eastAsia" w:ascii="仿宋" w:hAnsi="仿宋" w:eastAsia="仿宋" w:cs="仿宋"/>
                <w:kern w:val="0"/>
                <w:sz w:val="28"/>
                <w:szCs w:val="28"/>
              </w:rPr>
              <w:object>
                <v:shape id="_x0000_i1025" o:spt="75" type="#_x0000_t75" style="height:12pt;width:11.2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ascii="仿宋" w:hAnsi="仿宋" w:eastAsia="仿宋" w:cs="仿宋"/>
                <w:kern w:val="0"/>
                <w:sz w:val="28"/>
                <w:szCs w:val="28"/>
              </w:rPr>
              <w:t>10%/50～60Hz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模拟输出及通讯</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4～20mA  RS-232/RS-485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工作环境</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5～45℃，RH≤90%</w:t>
            </w:r>
          </w:p>
        </w:tc>
      </w:tr>
    </w:tbl>
    <w:p>
      <w:pPr>
        <w:rPr>
          <w:rFonts w:ascii="仿宋" w:hAnsi="仿宋" w:eastAsia="仿宋" w:cs="仿宋"/>
        </w:rPr>
      </w:pPr>
    </w:p>
    <w:p>
      <w:pPr>
        <w:pStyle w:val="6"/>
        <w:numPr>
          <w:ilvl w:val="0"/>
          <w:numId w:val="2"/>
        </w:numPr>
        <w:spacing w:line="288" w:lineRule="auto"/>
        <w:rPr>
          <w:rFonts w:ascii="仿宋" w:hAnsi="仿宋" w:eastAsia="仿宋" w:cs="仿宋"/>
        </w:rPr>
      </w:pPr>
      <w:r>
        <w:rPr>
          <w:rFonts w:hint="eastAsia" w:ascii="仿宋" w:hAnsi="仿宋" w:eastAsia="仿宋" w:cs="仿宋"/>
        </w:rPr>
        <w:t>硝酸盐氮分析仪</w:t>
      </w:r>
    </w:p>
    <w:p>
      <w:pPr>
        <w:pStyle w:val="7"/>
        <w:numPr>
          <w:ilvl w:val="255"/>
          <w:numId w:val="0"/>
        </w:numPr>
        <w:spacing w:line="288" w:lineRule="auto"/>
        <w:rPr>
          <w:rFonts w:ascii="仿宋" w:hAnsi="仿宋" w:eastAsia="仿宋" w:cs="仿宋"/>
        </w:rPr>
      </w:pPr>
      <w:r>
        <w:rPr>
          <w:rFonts w:hint="eastAsia" w:ascii="仿宋" w:hAnsi="仿宋" w:eastAsia="仿宋" w:cs="仿宋"/>
        </w:rPr>
        <w:t>2.1 功能要求</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仪表微型化，集成度高，便于运输和安装</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平台化和模块化设计，易于维护和快速修复，通用模块达95%以上</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试剂消耗少，试剂余量监控及预警，整体更换试剂，及时提示，方便更换试剂</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整套管路系统采用防腐蚀材料，并且前向维护，故障率低，维护量少，使用寿命延长</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具备网络化质控功能，远程标样核查，仪表状态远程监控及软件远程在线升级</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微量计量保证试剂消耗低，节约运营成本</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自动/手动/网络远程测量、清洗与校准</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故障报警、试剂余量预警、上电自检、断电保护功能</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支持4-20mA、RS232、RS485通讯接口以及MODBUS通讯方式</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采用进口触摸屏，中文界面显示，完善的用户权限管理</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 xml:space="preserve">▲高精度计量功能，采用蠕动泵光电计量方式，避免活塞泵和注射泵带来的高维护量； </w:t>
      </w:r>
    </w:p>
    <w:p>
      <w:pPr>
        <w:numPr>
          <w:ilvl w:val="0"/>
          <w:numId w:val="3"/>
        </w:numPr>
        <w:spacing w:line="288" w:lineRule="auto"/>
        <w:ind w:left="0" w:firstLine="560" w:firstLineChars="200"/>
        <w:jc w:val="left"/>
      </w:pPr>
      <w:r>
        <w:rPr>
          <w:rFonts w:hint="eastAsia" w:ascii="仿宋" w:hAnsi="仿宋" w:eastAsia="仿宋" w:cs="仿宋"/>
          <w:kern w:val="0"/>
          <w:sz w:val="28"/>
          <w:szCs w:val="28"/>
        </w:rPr>
        <w:t xml:space="preserve">▲采用多通切阀系统,实现多通道实时切换； </w:t>
      </w:r>
    </w:p>
    <w:p>
      <w:pPr>
        <w:numPr>
          <w:ilvl w:val="0"/>
          <w:numId w:val="3"/>
        </w:numPr>
        <w:spacing w:line="288"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▲具有自动标定、测量、清洗以及标样核查功能</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▲具有试剂余量不足告警功能</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▲具有仪表自检功能</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▲具有超标留样功能</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▲具有废液分离功能</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▲具有远程操作和远程在线升级功能</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▲具有智能量程选择功能</w:t>
      </w:r>
    </w:p>
    <w:p>
      <w:pPr>
        <w:numPr>
          <w:ilvl w:val="0"/>
          <w:numId w:val="3"/>
        </w:numPr>
        <w:spacing w:line="288" w:lineRule="auto"/>
        <w:ind w:left="0"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▲具有仪表开门记录功能</w:t>
      </w:r>
    </w:p>
    <w:p>
      <w:pPr>
        <w:pStyle w:val="7"/>
        <w:numPr>
          <w:ilvl w:val="255"/>
          <w:numId w:val="0"/>
        </w:numPr>
        <w:spacing w:line="288" w:lineRule="auto"/>
        <w:rPr>
          <w:rFonts w:ascii="仿宋" w:hAnsi="仿宋" w:eastAsia="仿宋" w:cs="仿宋"/>
        </w:rPr>
      </w:pPr>
      <w:r>
        <w:rPr>
          <w:rFonts w:hint="eastAsia" w:ascii="仿宋" w:hAnsi="仿宋" w:eastAsia="仿宋" w:cs="仿宋"/>
        </w:rPr>
        <w:t>2.2 技术参数要求</w:t>
      </w:r>
    </w:p>
    <w:tbl>
      <w:tblPr>
        <w:tblStyle w:val="2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测量方法</w:t>
            </w:r>
          </w:p>
        </w:tc>
        <w:tc>
          <w:tcPr>
            <w:tcW w:w="5244" w:type="dxa"/>
            <w:vAlign w:val="center"/>
          </w:tcPr>
          <w:p>
            <w:pPr>
              <w:tabs>
                <w:tab w:val="left" w:pos="2049"/>
              </w:tabs>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紫外分光光度法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测量范围</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0~2.0/10.0/50.0mg/L（可扩展）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定量下限</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0.15mg/L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检测限</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重复性</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精密度</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准确度</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平均无故障连续运行时间</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object>
                <v:shape id="_x0000_i1026" o:spt="75" type="#_x0000_t75" style="height:10.5pt;width:9.7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hint="eastAsia" w:ascii="仿宋" w:hAnsi="仿宋" w:eastAsia="仿宋" w:cs="仿宋"/>
                <w:kern w:val="0"/>
                <w:sz w:val="28"/>
                <w:szCs w:val="28"/>
              </w:rPr>
              <w:t>1440h/次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零点漂移</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量程漂移</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实际水样对比试验</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测量间隔时间</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间隔测量（1～9999 min）、整点测量、手动/远程触发测量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校准模式</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自动校准（可设置校准间隔）、手动/远程触发校准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电源要求</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220VAC±10%/50±0.5Hz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模拟输出及通讯</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4～20mA  RS-232/RS-485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工作环境</w:t>
            </w:r>
          </w:p>
        </w:tc>
        <w:tc>
          <w:tcPr>
            <w:tcW w:w="524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5～45℃，RH≤90%</w:t>
            </w:r>
          </w:p>
        </w:tc>
      </w:tr>
    </w:tbl>
    <w:p>
      <w:pPr>
        <w:pStyle w:val="6"/>
        <w:numPr>
          <w:ilvl w:val="0"/>
          <w:numId w:val="2"/>
        </w:numPr>
        <w:spacing w:line="288" w:lineRule="auto"/>
        <w:rPr>
          <w:rFonts w:ascii="仿宋" w:hAnsi="仿宋" w:eastAsia="仿宋" w:cs="仿宋"/>
        </w:rPr>
      </w:pPr>
      <w:r>
        <w:rPr>
          <w:rFonts w:hint="eastAsia" w:ascii="仿宋" w:hAnsi="仿宋" w:eastAsia="仿宋" w:cs="仿宋"/>
        </w:rPr>
        <w:t>磷酸盐分析仪</w:t>
      </w:r>
    </w:p>
    <w:p>
      <w:pPr>
        <w:pStyle w:val="7"/>
        <w:numPr>
          <w:ilvl w:val="0"/>
          <w:numId w:val="4"/>
        </w:numPr>
        <w:spacing w:line="288" w:lineRule="auto"/>
        <w:rPr>
          <w:rFonts w:ascii="仿宋" w:hAnsi="仿宋" w:eastAsia="仿宋" w:cs="仿宋"/>
        </w:rPr>
      </w:pPr>
      <w:r>
        <w:rPr>
          <w:rFonts w:hint="eastAsia" w:ascii="仿宋" w:hAnsi="仿宋" w:eastAsia="仿宋" w:cs="仿宋"/>
        </w:rPr>
        <w:t>功能要求</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采用特定掩蔽剂组合，可使水样中少量的砷、铬离子不干扰测定</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仪表微型化，集成度高，体积只有电脑主机大小，便于运输和安装</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平台化和模块化设计，易于维护和快速修复</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试剂消耗少，试剂余量监控及预警，整体更换试剂，及时提示客户方便更换试剂</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整套管路系统采用防腐蚀材料，并且前向维护，故障率低，维护量少，使用寿命延长</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具备网络化质控功能，远程标样核查，仪表状态远程监控及软件远程在线升级</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微量计量保证试剂消耗低，节约运营成本</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自动/手动/网络远程测量、清洗与校准</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故障报警、试剂余量预警、上电自检、断电保护功能</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支持4-20mA、RS232、RS485通讯接口以及MODBUS通讯方式</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采用进口触摸屏，中文界面显示，完善的用户权限管理</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 xml:space="preserve">▲高精度计量功能，采用蠕动泵光电计量方式，避免活塞泵和注射泵带来的高维护量； </w:t>
      </w:r>
    </w:p>
    <w:p>
      <w:pPr>
        <w:numPr>
          <w:ilvl w:val="0"/>
          <w:numId w:val="5"/>
        </w:numPr>
        <w:spacing w:line="288" w:lineRule="auto"/>
        <w:ind w:leftChars="200" w:firstLine="420"/>
        <w:jc w:val="left"/>
      </w:pPr>
      <w:r>
        <w:rPr>
          <w:rFonts w:hint="eastAsia" w:ascii="仿宋" w:hAnsi="仿宋" w:eastAsia="仿宋" w:cs="仿宋"/>
          <w:kern w:val="0"/>
          <w:sz w:val="28"/>
          <w:szCs w:val="28"/>
        </w:rPr>
        <w:t xml:space="preserve">▲采用多通切阀系统,实现多通道实时切换； </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▲具有自动标定、测量、清洗以及标样核查功能</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▲具有试剂余量不足告警功能</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▲具有仪表自检功能</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▲具有超标留样功能</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▲具有废液分离功能</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▲具有远程操作和远程在线升级功能</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▲具有智能量程选择功能</w:t>
      </w:r>
    </w:p>
    <w:p>
      <w:pPr>
        <w:numPr>
          <w:ilvl w:val="0"/>
          <w:numId w:val="5"/>
        </w:numPr>
        <w:spacing w:line="288" w:lineRule="auto"/>
        <w:ind w:leftChars="200" w:firstLine="420"/>
        <w:jc w:val="left"/>
        <w:rPr>
          <w:rFonts w:ascii="仿宋" w:hAnsi="仿宋" w:eastAsia="仿宋" w:cs="仿宋"/>
          <w:kern w:val="0"/>
          <w:sz w:val="28"/>
          <w:szCs w:val="28"/>
        </w:rPr>
      </w:pPr>
      <w:r>
        <w:rPr>
          <w:rFonts w:hint="eastAsia" w:ascii="仿宋" w:hAnsi="仿宋" w:eastAsia="仿宋" w:cs="仿宋"/>
          <w:kern w:val="0"/>
          <w:sz w:val="28"/>
          <w:szCs w:val="28"/>
        </w:rPr>
        <w:t>▲具有仪表开门记录功能</w:t>
      </w:r>
    </w:p>
    <w:p>
      <w:pPr>
        <w:pStyle w:val="7"/>
        <w:numPr>
          <w:ilvl w:val="0"/>
          <w:numId w:val="4"/>
        </w:numPr>
        <w:spacing w:line="288" w:lineRule="auto"/>
        <w:rPr>
          <w:rFonts w:ascii="仿宋" w:hAnsi="仿宋" w:eastAsia="仿宋" w:cs="仿宋"/>
        </w:rPr>
      </w:pPr>
      <w:r>
        <w:rPr>
          <w:rFonts w:hint="eastAsia" w:ascii="仿宋" w:hAnsi="仿宋" w:eastAsia="仿宋" w:cs="仿宋"/>
        </w:rPr>
        <w:t>技术参数要求</w:t>
      </w:r>
    </w:p>
    <w:tbl>
      <w:tblPr>
        <w:tblStyle w:val="27"/>
        <w:tblW w:w="8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5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测量方法</w:t>
            </w:r>
          </w:p>
        </w:tc>
        <w:tc>
          <w:tcPr>
            <w:tcW w:w="5474" w:type="dxa"/>
          </w:tcPr>
          <w:p>
            <w:pPr>
              <w:tabs>
                <w:tab w:val="left" w:pos="2049"/>
              </w:tabs>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钼酸铵分光光度法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测量范围</w:t>
            </w:r>
          </w:p>
        </w:tc>
        <w:tc>
          <w:tcPr>
            <w:tcW w:w="5474" w:type="dxa"/>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0~2.0/10.0/50.0mg/L（可扩展）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重复性</w:t>
            </w:r>
          </w:p>
        </w:tc>
        <w:tc>
          <w:tcPr>
            <w:tcW w:w="5474" w:type="dxa"/>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精密度</w:t>
            </w:r>
          </w:p>
        </w:tc>
        <w:tc>
          <w:tcPr>
            <w:tcW w:w="5474" w:type="dxa"/>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准确度</w:t>
            </w:r>
          </w:p>
        </w:tc>
        <w:tc>
          <w:tcPr>
            <w:tcW w:w="5474" w:type="dxa"/>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平均无故障连续运行时间</w:t>
            </w:r>
          </w:p>
        </w:tc>
        <w:tc>
          <w:tcPr>
            <w:tcW w:w="5474" w:type="dxa"/>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≥1440 h/次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零点漂移</w:t>
            </w:r>
          </w:p>
        </w:tc>
        <w:tc>
          <w:tcPr>
            <w:tcW w:w="5474" w:type="dxa"/>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量程漂移</w:t>
            </w:r>
          </w:p>
        </w:tc>
        <w:tc>
          <w:tcPr>
            <w:tcW w:w="5474" w:type="dxa"/>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vAlign w:val="bottom"/>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定量下限</w:t>
            </w:r>
          </w:p>
        </w:tc>
        <w:tc>
          <w:tcPr>
            <w:tcW w:w="5474" w:type="dxa"/>
            <w:vAlign w:val="bottom"/>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0.015mg/L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vAlign w:val="bottom"/>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检出限</w:t>
            </w:r>
          </w:p>
        </w:tc>
        <w:tc>
          <w:tcPr>
            <w:tcW w:w="5474" w:type="dxa"/>
            <w:vAlign w:val="bottom"/>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0.005mg/L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实际废水样品比对实验</w:t>
            </w:r>
          </w:p>
        </w:tc>
        <w:tc>
          <w:tcPr>
            <w:tcW w:w="5474" w:type="dxa"/>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测量间隔时间</w:t>
            </w:r>
          </w:p>
        </w:tc>
        <w:tc>
          <w:tcPr>
            <w:tcW w:w="547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间隔测量（1～9999 min）、整点测量、手动/远程触发测量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校准模式</w:t>
            </w:r>
          </w:p>
        </w:tc>
        <w:tc>
          <w:tcPr>
            <w:tcW w:w="547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自动校准（可设置校准间隔）、手动/远程触发校准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电源要求</w:t>
            </w:r>
          </w:p>
        </w:tc>
        <w:tc>
          <w:tcPr>
            <w:tcW w:w="547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220VAC±10%/50±0.5Hz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模拟输出及通讯</w:t>
            </w:r>
          </w:p>
        </w:tc>
        <w:tc>
          <w:tcPr>
            <w:tcW w:w="547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4～20mA  RS-232/RS-485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1"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工作环境</w:t>
            </w:r>
          </w:p>
        </w:tc>
        <w:tc>
          <w:tcPr>
            <w:tcW w:w="5474" w:type="dxa"/>
            <w:vAlign w:val="center"/>
          </w:tcPr>
          <w:p>
            <w:pPr>
              <w:adjustRightInd w:val="0"/>
              <w:snapToGrid w:val="0"/>
              <w:spacing w:line="288" w:lineRule="auto"/>
              <w:jc w:val="center"/>
              <w:rPr>
                <w:rFonts w:ascii="仿宋" w:hAnsi="仿宋" w:eastAsia="仿宋" w:cs="仿宋"/>
                <w:kern w:val="0"/>
                <w:sz w:val="28"/>
                <w:szCs w:val="28"/>
              </w:rPr>
            </w:pPr>
            <w:r>
              <w:rPr>
                <w:rFonts w:hint="eastAsia" w:ascii="仿宋" w:hAnsi="仿宋" w:eastAsia="仿宋" w:cs="仿宋"/>
                <w:kern w:val="0"/>
                <w:sz w:val="28"/>
                <w:szCs w:val="28"/>
              </w:rPr>
              <w:t>5～45℃，RH≤90%</w:t>
            </w:r>
          </w:p>
        </w:tc>
      </w:tr>
    </w:tbl>
    <w:p>
      <w:pPr>
        <w:pStyle w:val="5"/>
        <w:rPr>
          <w:rFonts w:ascii="仿宋" w:hAnsi="仿宋" w:eastAsia="仿宋" w:cs="仿宋"/>
          <w:sz w:val="28"/>
          <w:szCs w:val="28"/>
        </w:rPr>
      </w:pPr>
      <w:r>
        <w:rPr>
          <w:rFonts w:hint="eastAsia" w:ascii="仿宋" w:hAnsi="仿宋" w:eastAsia="仿宋" w:cs="仿宋"/>
          <w:sz w:val="28"/>
          <w:szCs w:val="28"/>
        </w:rPr>
        <w:t>（三）水污染源在线监测系统集成</w:t>
      </w:r>
    </w:p>
    <w:p>
      <w:pPr>
        <w:pStyle w:val="6"/>
        <w:numPr>
          <w:ilvl w:val="0"/>
          <w:numId w:val="6"/>
        </w:numPr>
        <w:rPr>
          <w:rFonts w:ascii="仿宋" w:hAnsi="仿宋" w:eastAsia="仿宋" w:cs="仿宋"/>
        </w:rPr>
      </w:pPr>
      <w:r>
        <w:rPr>
          <w:rFonts w:hint="eastAsia" w:ascii="仿宋" w:hAnsi="仿宋" w:eastAsia="仿宋" w:cs="仿宋"/>
        </w:rPr>
        <w:t>一体化柜</w:t>
      </w:r>
    </w:p>
    <w:p>
      <w:pPr>
        <w:pStyle w:val="7"/>
        <w:numPr>
          <w:ilvl w:val="0"/>
          <w:numId w:val="7"/>
        </w:numPr>
        <w:rPr>
          <w:rFonts w:ascii="仿宋" w:hAnsi="仿宋" w:eastAsia="仿宋" w:cs="仿宋"/>
        </w:rPr>
      </w:pPr>
      <w:r>
        <w:rPr>
          <w:rFonts w:hint="eastAsia" w:ascii="仿宋" w:hAnsi="仿宋" w:eastAsia="仿宋" w:cs="仿宋"/>
        </w:rPr>
        <w:t>总体原则</w:t>
      </w:r>
    </w:p>
    <w:p>
      <w:pPr>
        <w:rPr>
          <w:rFonts w:ascii="仿宋" w:hAnsi="仿宋" w:eastAsia="仿宋" w:cs="仿宋"/>
          <w:sz w:val="28"/>
          <w:szCs w:val="28"/>
        </w:rPr>
      </w:pPr>
      <w:r>
        <w:rPr>
          <w:rFonts w:hint="eastAsia" w:ascii="仿宋" w:hAnsi="仿宋" w:eastAsia="仿宋" w:cs="仿宋"/>
          <w:sz w:val="28"/>
          <w:szCs w:val="28"/>
        </w:rPr>
        <w:t>（1）材质：碳钢喷塑。</w:t>
      </w:r>
    </w:p>
    <w:p>
      <w:pPr>
        <w:rPr>
          <w:rFonts w:ascii="仿宋" w:hAnsi="仿宋" w:eastAsia="仿宋" w:cs="仿宋"/>
          <w:sz w:val="28"/>
          <w:szCs w:val="28"/>
        </w:rPr>
      </w:pPr>
      <w:r>
        <w:rPr>
          <w:rFonts w:hint="eastAsia" w:ascii="仿宋" w:hAnsi="仿宋" w:eastAsia="仿宋" w:cs="仿宋"/>
          <w:sz w:val="28"/>
          <w:szCs w:val="28"/>
        </w:rPr>
        <w:t>（2）站房占地面积≤2平方米。</w:t>
      </w:r>
    </w:p>
    <w:p>
      <w:pPr>
        <w:rPr>
          <w:rFonts w:ascii="仿宋" w:hAnsi="仿宋" w:eastAsia="仿宋" w:cs="仿宋"/>
          <w:sz w:val="28"/>
          <w:szCs w:val="28"/>
        </w:rPr>
      </w:pPr>
      <w:r>
        <w:rPr>
          <w:rFonts w:hint="eastAsia" w:ascii="仿宋" w:hAnsi="仿宋" w:eastAsia="仿宋" w:cs="仿宋"/>
          <w:sz w:val="28"/>
          <w:szCs w:val="28"/>
        </w:rPr>
        <w:t>（3）站房的其他设施：</w:t>
      </w:r>
    </w:p>
    <w:p>
      <w:pPr>
        <w:ind w:firstLine="560" w:firstLineChars="200"/>
        <w:rPr>
          <w:rFonts w:ascii="仿宋" w:hAnsi="仿宋" w:eastAsia="仿宋" w:cs="仿宋"/>
          <w:sz w:val="28"/>
          <w:szCs w:val="28"/>
        </w:rPr>
      </w:pPr>
      <w:r>
        <w:rPr>
          <w:rFonts w:hint="eastAsia" w:ascii="仿宋" w:hAnsi="仿宋" w:eastAsia="仿宋" w:cs="仿宋"/>
          <w:sz w:val="28"/>
          <w:szCs w:val="28"/>
        </w:rPr>
        <w:t>保温：机柜柜体需采用石英棉填充保温。</w:t>
      </w:r>
    </w:p>
    <w:p>
      <w:pPr>
        <w:ind w:firstLine="560" w:firstLineChars="200"/>
        <w:rPr>
          <w:rFonts w:ascii="仿宋" w:hAnsi="仿宋" w:eastAsia="仿宋" w:cs="仿宋"/>
          <w:sz w:val="28"/>
          <w:szCs w:val="28"/>
        </w:rPr>
      </w:pPr>
      <w:r>
        <w:rPr>
          <w:rFonts w:hint="eastAsia" w:ascii="仿宋" w:hAnsi="仿宋" w:eastAsia="仿宋" w:cs="仿宋"/>
          <w:sz w:val="28"/>
          <w:szCs w:val="28"/>
        </w:rPr>
        <w:t>密封：排水口，接线口都配备密封垫圈，在线缆和水管连接好后，将相应的开孔使用密封圈填满。同时门体配有密封条，在门关闭后，整个箱体实现全密封。</w:t>
      </w:r>
    </w:p>
    <w:p>
      <w:pPr>
        <w:pStyle w:val="7"/>
        <w:numPr>
          <w:ilvl w:val="0"/>
          <w:numId w:val="7"/>
        </w:numPr>
        <w:rPr>
          <w:rFonts w:ascii="仿宋" w:hAnsi="仿宋" w:eastAsia="仿宋" w:cs="仿宋"/>
        </w:rPr>
      </w:pPr>
      <w:r>
        <w:rPr>
          <w:rFonts w:hint="eastAsia" w:ascii="仿宋" w:hAnsi="仿宋" w:eastAsia="仿宋" w:cs="仿宋"/>
        </w:rPr>
        <w:t>相关要求布置</w:t>
      </w:r>
    </w:p>
    <w:p>
      <w:pPr>
        <w:tabs>
          <w:tab w:val="left" w:pos="420"/>
        </w:tabs>
        <w:rPr>
          <w:rFonts w:ascii="仿宋" w:hAnsi="仿宋" w:eastAsia="仿宋" w:cs="仿宋"/>
          <w:sz w:val="28"/>
          <w:szCs w:val="28"/>
        </w:rPr>
      </w:pPr>
      <w:r>
        <w:rPr>
          <w:rFonts w:hint="eastAsia" w:ascii="仿宋" w:hAnsi="仿宋" w:eastAsia="仿宋" w:cs="仿宋"/>
          <w:sz w:val="28"/>
          <w:szCs w:val="28"/>
        </w:rPr>
        <w:t>（1）监测一体化柜不应位于通讯盲区，应能够实现数据传输。</w:t>
      </w:r>
    </w:p>
    <w:p>
      <w:pPr>
        <w:tabs>
          <w:tab w:val="left" w:pos="420"/>
        </w:tabs>
        <w:rPr>
          <w:rFonts w:ascii="仿宋" w:hAnsi="仿宋" w:eastAsia="仿宋" w:cs="仿宋"/>
          <w:sz w:val="28"/>
          <w:szCs w:val="28"/>
        </w:rPr>
      </w:pPr>
      <w:r>
        <w:rPr>
          <w:rFonts w:hint="eastAsia" w:ascii="仿宋" w:hAnsi="仿宋" w:eastAsia="仿宋" w:cs="仿宋"/>
          <w:sz w:val="28"/>
          <w:szCs w:val="28"/>
        </w:rPr>
        <w:t>（2）监测一体化柜的设置应避免对企业安全生产和环境造成影响。</w:t>
      </w:r>
    </w:p>
    <w:p>
      <w:pPr>
        <w:pStyle w:val="6"/>
        <w:numPr>
          <w:ilvl w:val="0"/>
          <w:numId w:val="6"/>
        </w:numPr>
        <w:rPr>
          <w:rFonts w:ascii="仿宋" w:hAnsi="仿宋" w:eastAsia="仿宋" w:cs="仿宋"/>
        </w:rPr>
      </w:pPr>
      <w:r>
        <w:rPr>
          <w:rFonts w:hint="eastAsia" w:ascii="仿宋" w:hAnsi="仿宋" w:eastAsia="仿宋" w:cs="仿宋"/>
        </w:rPr>
        <w:t>采配水单元</w:t>
      </w:r>
    </w:p>
    <w:p>
      <w:pPr>
        <w:pStyle w:val="7"/>
        <w:numPr>
          <w:ilvl w:val="0"/>
          <w:numId w:val="8"/>
        </w:numPr>
        <w:rPr>
          <w:rFonts w:ascii="仿宋" w:hAnsi="仿宋" w:eastAsia="仿宋" w:cs="仿宋"/>
        </w:rPr>
      </w:pPr>
      <w:r>
        <w:rPr>
          <w:rFonts w:hint="eastAsia" w:ascii="仿宋" w:hAnsi="仿宋" w:eastAsia="仿宋" w:cs="仿宋"/>
        </w:rPr>
        <w:t>水质自动采样单元总体原则</w:t>
      </w:r>
    </w:p>
    <w:p>
      <w:pPr>
        <w:tabs>
          <w:tab w:val="left" w:pos="420"/>
        </w:tabs>
        <w:rPr>
          <w:rFonts w:ascii="仿宋" w:hAnsi="仿宋" w:eastAsia="仿宋" w:cs="仿宋"/>
          <w:sz w:val="28"/>
          <w:szCs w:val="28"/>
        </w:rPr>
      </w:pPr>
      <w:r>
        <w:rPr>
          <w:rFonts w:hint="eastAsia" w:ascii="仿宋" w:hAnsi="仿宋" w:eastAsia="仿宋" w:cs="仿宋"/>
          <w:sz w:val="28"/>
          <w:szCs w:val="28"/>
        </w:rPr>
        <w:t>（1）水质自动采样单元的构造应保证将水样不变质地输送到各水质分析仪，应有必要的防冻和防腐设施。</w:t>
      </w:r>
    </w:p>
    <w:p>
      <w:pPr>
        <w:tabs>
          <w:tab w:val="left" w:pos="420"/>
        </w:tabs>
        <w:rPr>
          <w:rFonts w:ascii="仿宋" w:hAnsi="仿宋" w:eastAsia="仿宋" w:cs="仿宋"/>
          <w:sz w:val="28"/>
          <w:szCs w:val="28"/>
        </w:rPr>
      </w:pPr>
      <w:r>
        <w:rPr>
          <w:rFonts w:hint="eastAsia" w:ascii="仿宋" w:hAnsi="仿宋" w:eastAsia="仿宋" w:cs="仿宋"/>
          <w:sz w:val="28"/>
          <w:szCs w:val="28"/>
        </w:rPr>
        <w:t>（2）水质自动采样单元应设置混合水样的人工比对采样口。</w:t>
      </w:r>
    </w:p>
    <w:p>
      <w:pPr>
        <w:tabs>
          <w:tab w:val="left" w:pos="420"/>
        </w:tabs>
        <w:rPr>
          <w:rFonts w:ascii="仿宋" w:hAnsi="仿宋" w:eastAsia="仿宋" w:cs="仿宋"/>
          <w:sz w:val="28"/>
          <w:szCs w:val="28"/>
        </w:rPr>
      </w:pPr>
      <w:r>
        <w:rPr>
          <w:rFonts w:hint="eastAsia" w:ascii="仿宋" w:hAnsi="仿宋" w:eastAsia="仿宋" w:cs="仿宋"/>
          <w:sz w:val="28"/>
          <w:szCs w:val="28"/>
        </w:rPr>
        <w:t>（3）水质自动采样单元的管路宜设置为明管，并标注水流方向。</w:t>
      </w:r>
    </w:p>
    <w:p>
      <w:pPr>
        <w:tabs>
          <w:tab w:val="left" w:pos="420"/>
        </w:tabs>
        <w:rPr>
          <w:rFonts w:ascii="仿宋" w:hAnsi="仿宋" w:eastAsia="仿宋" w:cs="仿宋"/>
          <w:sz w:val="28"/>
          <w:szCs w:val="28"/>
        </w:rPr>
      </w:pPr>
      <w:r>
        <w:rPr>
          <w:rFonts w:hint="eastAsia" w:ascii="仿宋" w:hAnsi="仿宋" w:eastAsia="仿宋" w:cs="仿宋"/>
          <w:sz w:val="28"/>
          <w:szCs w:val="28"/>
        </w:rPr>
        <w:t>（4）水质自动采样单元的管材应采用优质的聚氯乙烯（PVC）、三丙聚丙烯（PPR）等不影响分析结果的硬管。</w:t>
      </w:r>
    </w:p>
    <w:p>
      <w:pPr>
        <w:tabs>
          <w:tab w:val="left" w:pos="420"/>
        </w:tabs>
        <w:rPr>
          <w:rFonts w:ascii="仿宋" w:hAnsi="仿宋" w:eastAsia="仿宋" w:cs="仿宋"/>
          <w:sz w:val="28"/>
          <w:szCs w:val="28"/>
        </w:rPr>
      </w:pPr>
      <w:r>
        <w:rPr>
          <w:rFonts w:hint="eastAsia" w:ascii="仿宋" w:hAnsi="仿宋" w:eastAsia="仿宋" w:cs="仿宋"/>
          <w:sz w:val="28"/>
          <w:szCs w:val="28"/>
        </w:rPr>
        <w:t>（5）采样泵应根据采样流量、水质自动采样单元的水头损失及水位差合理选择。应使用寿命长、易维护的，不易堵塞并且对水质参数没有影响的采样泵，安装位置应便于采样泵的维护。</w:t>
      </w:r>
    </w:p>
    <w:p>
      <w:pPr>
        <w:pStyle w:val="7"/>
        <w:numPr>
          <w:ilvl w:val="0"/>
          <w:numId w:val="8"/>
        </w:numPr>
        <w:rPr>
          <w:rFonts w:ascii="仿宋" w:hAnsi="仿宋" w:eastAsia="仿宋" w:cs="仿宋"/>
        </w:rPr>
      </w:pPr>
      <w:r>
        <w:rPr>
          <w:rFonts w:hint="eastAsia" w:ascii="仿宋" w:hAnsi="仿宋" w:eastAsia="仿宋" w:cs="仿宋"/>
        </w:rPr>
        <w:t>采水技术要求</w:t>
      </w:r>
    </w:p>
    <w:p>
      <w:pPr>
        <w:tabs>
          <w:tab w:val="left" w:pos="420"/>
        </w:tabs>
        <w:rPr>
          <w:rFonts w:ascii="仿宋" w:hAnsi="仿宋" w:eastAsia="仿宋" w:cs="仿宋"/>
          <w:sz w:val="28"/>
          <w:szCs w:val="28"/>
        </w:rPr>
      </w:pPr>
      <w:r>
        <w:rPr>
          <w:rFonts w:hint="eastAsia" w:ascii="仿宋" w:hAnsi="仿宋" w:eastAsia="仿宋" w:cs="仿宋"/>
          <w:sz w:val="28"/>
          <w:szCs w:val="28"/>
        </w:rPr>
        <w:t>（1）采水部分应持续保证有水，防止水泵干抽。</w:t>
      </w:r>
    </w:p>
    <w:p>
      <w:pPr>
        <w:tabs>
          <w:tab w:val="left" w:pos="420"/>
        </w:tabs>
        <w:rPr>
          <w:rFonts w:ascii="仿宋" w:hAnsi="仿宋" w:eastAsia="仿宋" w:cs="仿宋"/>
          <w:sz w:val="28"/>
          <w:szCs w:val="28"/>
        </w:rPr>
      </w:pPr>
      <w:r>
        <w:rPr>
          <w:rFonts w:hint="eastAsia" w:ascii="仿宋" w:hAnsi="仿宋" w:eastAsia="仿宋" w:cs="仿宋"/>
          <w:sz w:val="28"/>
          <w:szCs w:val="28"/>
        </w:rPr>
        <w:t>（2）监测点位应避开有腐蚀性气体、较强的电磁干扰和振动的地方，应易于到达。</w:t>
      </w:r>
    </w:p>
    <w:p>
      <w:pPr>
        <w:tabs>
          <w:tab w:val="left" w:pos="420"/>
        </w:tabs>
        <w:rPr>
          <w:rFonts w:ascii="仿宋" w:hAnsi="仿宋" w:eastAsia="仿宋" w:cs="仿宋"/>
          <w:sz w:val="28"/>
          <w:szCs w:val="28"/>
        </w:rPr>
      </w:pPr>
      <w:r>
        <w:rPr>
          <w:rFonts w:hint="eastAsia" w:ascii="仿宋" w:hAnsi="仿宋" w:eastAsia="仿宋" w:cs="仿宋"/>
          <w:sz w:val="28"/>
          <w:szCs w:val="28"/>
        </w:rPr>
        <w:t>（3）采样点到一体化柜距离应不超过50m。</w:t>
      </w:r>
    </w:p>
    <w:p>
      <w:pPr>
        <w:tabs>
          <w:tab w:val="left" w:pos="420"/>
        </w:tabs>
        <w:rPr>
          <w:rFonts w:ascii="仿宋" w:hAnsi="仿宋" w:eastAsia="仿宋" w:cs="仿宋"/>
          <w:sz w:val="28"/>
          <w:szCs w:val="28"/>
        </w:rPr>
      </w:pPr>
      <w:r>
        <w:rPr>
          <w:rFonts w:hint="eastAsia" w:ascii="仿宋" w:hAnsi="仿宋" w:eastAsia="仿宋" w:cs="仿宋"/>
          <w:sz w:val="28"/>
          <w:szCs w:val="28"/>
        </w:rPr>
        <w:t>（4）采样点位应有足够的工作空间和安全措施，便于采样和维护操作。</w:t>
      </w:r>
    </w:p>
    <w:p>
      <w:pPr>
        <w:tabs>
          <w:tab w:val="left" w:pos="420"/>
        </w:tabs>
        <w:rPr>
          <w:rFonts w:ascii="仿宋" w:hAnsi="仿宋" w:eastAsia="仿宋" w:cs="仿宋"/>
          <w:sz w:val="28"/>
          <w:szCs w:val="28"/>
        </w:rPr>
      </w:pPr>
      <w:r>
        <w:rPr>
          <w:rFonts w:hint="eastAsia" w:ascii="仿宋" w:hAnsi="仿宋" w:eastAsia="仿宋" w:cs="仿宋"/>
          <w:sz w:val="28"/>
          <w:szCs w:val="28"/>
        </w:rPr>
        <w:t>（5）采样泵应根据采样流量、采水单元的水头损失及水位差合理选择。</w:t>
      </w:r>
    </w:p>
    <w:p>
      <w:pPr>
        <w:tabs>
          <w:tab w:val="left" w:pos="420"/>
        </w:tabs>
        <w:rPr>
          <w:rFonts w:ascii="仿宋" w:hAnsi="仿宋" w:eastAsia="仿宋" w:cs="仿宋"/>
          <w:sz w:val="28"/>
          <w:szCs w:val="28"/>
        </w:rPr>
      </w:pPr>
      <w:r>
        <w:rPr>
          <w:rFonts w:hint="eastAsia" w:ascii="仿宋" w:hAnsi="仿宋" w:eastAsia="仿宋" w:cs="仿宋"/>
          <w:sz w:val="28"/>
          <w:szCs w:val="28"/>
        </w:rPr>
        <w:t>（6）安装管路应管线美观，尽量保持横平竖直。</w:t>
      </w:r>
    </w:p>
    <w:p>
      <w:pPr>
        <w:tabs>
          <w:tab w:val="left" w:pos="420"/>
        </w:tabs>
        <w:rPr>
          <w:rFonts w:ascii="仿宋" w:hAnsi="仿宋" w:eastAsia="仿宋" w:cs="仿宋"/>
          <w:sz w:val="28"/>
          <w:szCs w:val="28"/>
        </w:rPr>
      </w:pPr>
      <w:r>
        <w:rPr>
          <w:rFonts w:hint="eastAsia" w:ascii="仿宋" w:hAnsi="仿宋" w:eastAsia="仿宋" w:cs="仿宋"/>
          <w:sz w:val="28"/>
          <w:szCs w:val="28"/>
        </w:rPr>
        <w:t>（7）采样管材应适用外部环境要求。</w:t>
      </w:r>
    </w:p>
    <w:p>
      <w:pPr>
        <w:pStyle w:val="7"/>
        <w:numPr>
          <w:ilvl w:val="0"/>
          <w:numId w:val="8"/>
        </w:numPr>
        <w:rPr>
          <w:rFonts w:ascii="仿宋" w:hAnsi="仿宋" w:eastAsia="仿宋" w:cs="仿宋"/>
        </w:rPr>
      </w:pPr>
      <w:r>
        <w:rPr>
          <w:rFonts w:hint="eastAsia" w:ascii="仿宋" w:hAnsi="仿宋" w:eastAsia="仿宋" w:cs="仿宋"/>
        </w:rPr>
        <w:t>水样预处理部分</w:t>
      </w:r>
    </w:p>
    <w:p>
      <w:pPr>
        <w:tabs>
          <w:tab w:val="left" w:pos="420"/>
        </w:tabs>
        <w:rPr>
          <w:rFonts w:ascii="仿宋" w:hAnsi="仿宋" w:eastAsia="仿宋" w:cs="仿宋"/>
          <w:sz w:val="28"/>
          <w:szCs w:val="28"/>
        </w:rPr>
      </w:pPr>
      <w:r>
        <w:rPr>
          <w:rFonts w:hint="eastAsia" w:ascii="仿宋" w:hAnsi="仿宋" w:eastAsia="仿宋" w:cs="仿宋"/>
          <w:sz w:val="28"/>
          <w:szCs w:val="28"/>
        </w:rPr>
        <w:t>（1）水样预处理应在不失去水样的代表性的前提下。</w:t>
      </w:r>
    </w:p>
    <w:p>
      <w:pPr>
        <w:tabs>
          <w:tab w:val="left" w:pos="420"/>
        </w:tabs>
        <w:rPr>
          <w:rFonts w:ascii="仿宋" w:hAnsi="仿宋" w:eastAsia="仿宋" w:cs="仿宋"/>
          <w:sz w:val="28"/>
          <w:szCs w:val="28"/>
        </w:rPr>
      </w:pPr>
      <w:r>
        <w:rPr>
          <w:rFonts w:hint="eastAsia" w:ascii="仿宋" w:hAnsi="仿宋" w:eastAsia="仿宋" w:cs="仿宋"/>
          <w:sz w:val="28"/>
          <w:szCs w:val="28"/>
        </w:rPr>
        <w:t>（2）采用串并联结合结构，管道上设调节阀门，调节流量，满足对水量的需求。</w:t>
      </w:r>
    </w:p>
    <w:p>
      <w:pPr>
        <w:tabs>
          <w:tab w:val="left" w:pos="420"/>
        </w:tabs>
        <w:rPr>
          <w:rFonts w:ascii="仿宋" w:hAnsi="仿宋" w:eastAsia="仿宋" w:cs="仿宋"/>
          <w:sz w:val="28"/>
          <w:szCs w:val="28"/>
        </w:rPr>
      </w:pPr>
      <w:r>
        <w:rPr>
          <w:rFonts w:hint="eastAsia" w:ascii="仿宋" w:hAnsi="仿宋" w:eastAsia="仿宋" w:cs="仿宋"/>
          <w:sz w:val="28"/>
          <w:szCs w:val="28"/>
        </w:rPr>
        <w:t>（3）水样预处理单元应具自清洗功能，降低日常维护工作量。</w:t>
      </w:r>
    </w:p>
    <w:p>
      <w:pPr>
        <w:pStyle w:val="6"/>
        <w:numPr>
          <w:ilvl w:val="0"/>
          <w:numId w:val="6"/>
        </w:numPr>
        <w:rPr>
          <w:rFonts w:ascii="仿宋" w:hAnsi="仿宋" w:eastAsia="仿宋" w:cs="仿宋"/>
        </w:rPr>
      </w:pPr>
      <w:r>
        <w:rPr>
          <w:rFonts w:hint="eastAsia" w:ascii="仿宋" w:hAnsi="仿宋" w:eastAsia="仿宋" w:cs="仿宋"/>
        </w:rPr>
        <w:t>数据采集传输控制单元</w:t>
      </w:r>
    </w:p>
    <w:p>
      <w:pPr>
        <w:tabs>
          <w:tab w:val="left" w:pos="420"/>
        </w:tabs>
        <w:rPr>
          <w:rFonts w:ascii="仿宋" w:hAnsi="仿宋" w:eastAsia="仿宋" w:cs="仿宋"/>
          <w:sz w:val="28"/>
          <w:szCs w:val="28"/>
        </w:rPr>
      </w:pPr>
      <w:r>
        <w:rPr>
          <w:rFonts w:hint="eastAsia" w:ascii="仿宋" w:hAnsi="仿宋" w:eastAsia="仿宋" w:cs="仿宋"/>
          <w:sz w:val="28"/>
          <w:szCs w:val="28"/>
        </w:rPr>
        <w:t>（1）数据控制单元应可协调统一运行水污染源在线监测系统，采集、储存、显示监测数据及运行日志，向监控中心平台上传污染源监测数据。</w:t>
      </w:r>
    </w:p>
    <w:p>
      <w:pPr>
        <w:tabs>
          <w:tab w:val="left" w:pos="420"/>
        </w:tabs>
        <w:rPr>
          <w:rFonts w:ascii="仿宋" w:hAnsi="仿宋" w:eastAsia="仿宋" w:cs="仿宋"/>
          <w:sz w:val="28"/>
          <w:szCs w:val="28"/>
        </w:rPr>
      </w:pPr>
      <w:r>
        <w:rPr>
          <w:rFonts w:hint="eastAsia" w:ascii="仿宋" w:hAnsi="仿宋" w:eastAsia="仿宋" w:cs="仿宋"/>
          <w:sz w:val="28"/>
          <w:szCs w:val="28"/>
        </w:rPr>
        <w:t>（2）数据控制单元可控制水质自动采样单元采样、送样及留样等操作。</w:t>
      </w:r>
    </w:p>
    <w:p>
      <w:pPr>
        <w:tabs>
          <w:tab w:val="left" w:pos="420"/>
        </w:tabs>
        <w:rPr>
          <w:rFonts w:ascii="仿宋" w:hAnsi="仿宋" w:eastAsia="仿宋" w:cs="仿宋"/>
          <w:sz w:val="28"/>
          <w:szCs w:val="28"/>
        </w:rPr>
      </w:pPr>
      <w:r>
        <w:rPr>
          <w:rFonts w:hint="eastAsia" w:ascii="仿宋" w:hAnsi="仿宋" w:eastAsia="仿宋" w:cs="仿宋"/>
          <w:sz w:val="28"/>
          <w:szCs w:val="28"/>
        </w:rPr>
        <w:t>（3）数据控制单元触发水污染源在线监测仪器进行测量、标液核查和校准等操作。</w:t>
      </w:r>
    </w:p>
    <w:p>
      <w:pPr>
        <w:tabs>
          <w:tab w:val="left" w:pos="420"/>
        </w:tabs>
        <w:rPr>
          <w:rFonts w:ascii="仿宋" w:hAnsi="仿宋" w:eastAsia="仿宋" w:cs="仿宋"/>
          <w:sz w:val="28"/>
          <w:szCs w:val="28"/>
        </w:rPr>
      </w:pPr>
      <w:r>
        <w:rPr>
          <w:rFonts w:hint="eastAsia" w:ascii="仿宋" w:hAnsi="仿宋" w:eastAsia="仿宋" w:cs="仿宋"/>
          <w:sz w:val="28"/>
          <w:szCs w:val="28"/>
        </w:rPr>
        <w:t>（4）数据控制单元读取各个水污染源在线监测仪器的测量数据，并实现实时数据、小时均值和日均值等项目的查询与显示，并通过数据采集传输仪上传至监控中心平台。</w:t>
      </w:r>
    </w:p>
    <w:p>
      <w:pPr>
        <w:tabs>
          <w:tab w:val="left" w:pos="420"/>
        </w:tabs>
        <w:rPr>
          <w:rFonts w:ascii="仿宋" w:hAnsi="仿宋" w:eastAsia="仿宋" w:cs="仿宋"/>
          <w:sz w:val="28"/>
          <w:szCs w:val="28"/>
        </w:rPr>
      </w:pPr>
      <w:r>
        <w:rPr>
          <w:rFonts w:hint="eastAsia" w:ascii="仿宋" w:hAnsi="仿宋" w:eastAsia="仿宋" w:cs="仿宋"/>
          <w:sz w:val="28"/>
          <w:szCs w:val="28"/>
        </w:rPr>
        <w:t>（5）数据控制单元记录并上传的污染源监测数据，上报数据应带有时间和数据状态标识。</w:t>
      </w:r>
    </w:p>
    <w:p>
      <w:pPr>
        <w:tabs>
          <w:tab w:val="left" w:pos="420"/>
        </w:tabs>
        <w:rPr>
          <w:rFonts w:ascii="仿宋" w:hAnsi="仿宋" w:eastAsia="仿宋" w:cs="仿宋"/>
          <w:sz w:val="28"/>
          <w:szCs w:val="28"/>
        </w:rPr>
      </w:pPr>
      <w:r>
        <w:rPr>
          <w:rFonts w:hint="eastAsia" w:ascii="仿宋" w:hAnsi="仿宋" w:eastAsia="仿宋" w:cs="仿宋"/>
          <w:sz w:val="28"/>
          <w:szCs w:val="28"/>
        </w:rPr>
        <w:t>（6）数据控制单元可生成、显示各水污染源在线监测仪器监测数据的日统计表、月统计表和年统计表。</w:t>
      </w:r>
    </w:p>
    <w:p>
      <w:pPr>
        <w:pStyle w:val="5"/>
        <w:rPr>
          <w:rFonts w:ascii="仿宋" w:hAnsi="仿宋" w:eastAsia="仿宋" w:cs="仿宋"/>
          <w:sz w:val="28"/>
          <w:szCs w:val="28"/>
        </w:rPr>
      </w:pPr>
      <w:r>
        <w:rPr>
          <w:rFonts w:hint="eastAsia" w:ascii="仿宋" w:hAnsi="仿宋" w:eastAsia="仿宋" w:cs="仿宋"/>
          <w:sz w:val="28"/>
          <w:szCs w:val="28"/>
        </w:rPr>
        <w:t>（四）数据服务</w:t>
      </w:r>
    </w:p>
    <w:p>
      <w:pPr>
        <w:pStyle w:val="6"/>
        <w:numPr>
          <w:ilvl w:val="0"/>
          <w:numId w:val="9"/>
        </w:numPr>
        <w:rPr>
          <w:rFonts w:ascii="仿宋" w:hAnsi="仿宋" w:eastAsia="仿宋" w:cs="仿宋"/>
        </w:rPr>
      </w:pPr>
      <w:r>
        <w:rPr>
          <w:rFonts w:hint="eastAsia" w:ascii="仿宋" w:hAnsi="仿宋" w:eastAsia="仿宋" w:cs="仿宋"/>
        </w:rPr>
        <w:t>数据传输(含采集运维)</w:t>
      </w:r>
    </w:p>
    <w:p>
      <w:pPr>
        <w:rPr>
          <w:rFonts w:ascii="仿宋" w:hAnsi="仿宋" w:eastAsia="仿宋" w:cs="仿宋"/>
          <w:sz w:val="28"/>
          <w:szCs w:val="28"/>
        </w:rPr>
      </w:pPr>
      <w:r>
        <w:rPr>
          <w:rFonts w:hint="eastAsia" w:ascii="仿宋" w:hAnsi="仿宋" w:eastAsia="仿宋" w:cs="仿宋"/>
          <w:sz w:val="28"/>
          <w:szCs w:val="28"/>
        </w:rPr>
        <w:t>（1）系统应稳定可靠，具备自检及死机自动恢复功能</w:t>
      </w:r>
    </w:p>
    <w:p>
      <w:pPr>
        <w:rPr>
          <w:rFonts w:ascii="仿宋" w:hAnsi="仿宋" w:eastAsia="仿宋" w:cs="仿宋"/>
          <w:sz w:val="28"/>
          <w:szCs w:val="28"/>
        </w:rPr>
      </w:pPr>
      <w:r>
        <w:rPr>
          <w:rFonts w:hint="eastAsia" w:ascii="仿宋" w:hAnsi="仿宋" w:eastAsia="仿宋" w:cs="仿宋"/>
          <w:sz w:val="28"/>
          <w:szCs w:val="28"/>
        </w:rPr>
        <w:t>（2）数据传输频率应不低于国家要求，并可根据管理要求远程设定传输频次；</w:t>
      </w:r>
    </w:p>
    <w:p>
      <w:pPr>
        <w:rPr>
          <w:rFonts w:ascii="仿宋" w:hAnsi="仿宋" w:eastAsia="仿宋" w:cs="仿宋"/>
          <w:sz w:val="28"/>
          <w:szCs w:val="28"/>
        </w:rPr>
      </w:pPr>
      <w:r>
        <w:rPr>
          <w:rFonts w:hint="eastAsia" w:ascii="仿宋" w:hAnsi="仿宋" w:eastAsia="仿宋" w:cs="仿宋"/>
          <w:sz w:val="28"/>
          <w:szCs w:val="28"/>
        </w:rPr>
        <w:t>（3）支持数据断点续传；能按要求接受、处理和反馈远程控制命令。</w:t>
      </w:r>
    </w:p>
    <w:p>
      <w:pPr>
        <w:rPr>
          <w:rFonts w:ascii="仿宋" w:hAnsi="仿宋" w:eastAsia="仿宋" w:cs="仿宋"/>
          <w:sz w:val="28"/>
          <w:szCs w:val="28"/>
        </w:rPr>
      </w:pPr>
      <w:r>
        <w:rPr>
          <w:rFonts w:hint="eastAsia" w:ascii="仿宋" w:hAnsi="仿宋" w:eastAsia="仿宋" w:cs="仿宋"/>
          <w:sz w:val="28"/>
          <w:szCs w:val="28"/>
        </w:rPr>
        <w:t>（4）报价人应提供可接入相关监管平台的数据传输服务</w:t>
      </w:r>
    </w:p>
    <w:p>
      <w:pPr>
        <w:rPr>
          <w:rFonts w:ascii="仿宋" w:hAnsi="仿宋" w:eastAsia="仿宋" w:cs="仿宋"/>
          <w:sz w:val="28"/>
          <w:szCs w:val="28"/>
        </w:rPr>
      </w:pPr>
      <w:r>
        <w:rPr>
          <w:rFonts w:hint="eastAsia" w:ascii="仿宋" w:hAnsi="仿宋" w:eastAsia="仿宋" w:cs="仿宋"/>
          <w:sz w:val="28"/>
          <w:szCs w:val="28"/>
        </w:rPr>
        <w:t>（5）数据采集传输包括现场数据传输和监控中心数据采集。</w:t>
      </w:r>
    </w:p>
    <w:p>
      <w:pPr>
        <w:rPr>
          <w:rFonts w:ascii="仿宋" w:hAnsi="仿宋" w:eastAsia="仿宋" w:cs="仿宋"/>
          <w:sz w:val="28"/>
          <w:szCs w:val="28"/>
        </w:rPr>
      </w:pPr>
      <w:r>
        <w:rPr>
          <w:rFonts w:hint="eastAsia" w:ascii="仿宋" w:hAnsi="仿宋" w:eastAsia="仿宋" w:cs="仿宋"/>
          <w:sz w:val="28"/>
          <w:szCs w:val="28"/>
        </w:rPr>
        <w:t>（6）现场采集要求传输包括氨氮、硝酸盐氮、磷酸盐在内的仪表数据。</w:t>
      </w:r>
    </w:p>
    <w:p>
      <w:pPr>
        <w:rPr>
          <w:rFonts w:ascii="仿宋" w:hAnsi="仿宋" w:eastAsia="仿宋" w:cs="仿宋"/>
          <w:sz w:val="28"/>
          <w:szCs w:val="28"/>
        </w:rPr>
      </w:pPr>
      <w:r>
        <w:rPr>
          <w:rFonts w:hint="eastAsia" w:ascii="仿宋" w:hAnsi="仿宋" w:eastAsia="仿宋" w:cs="仿宋"/>
          <w:sz w:val="28"/>
          <w:szCs w:val="28"/>
        </w:rPr>
        <w:t>（7）应定期对现场数据采集装置维护巡检，确保数据采集装置采集的数据准确、可靠、具有代表性。</w:t>
      </w:r>
    </w:p>
    <w:p>
      <w:pPr>
        <w:rPr>
          <w:rFonts w:ascii="仿宋" w:hAnsi="仿宋" w:eastAsia="仿宋" w:cs="仿宋"/>
          <w:sz w:val="28"/>
          <w:szCs w:val="28"/>
        </w:rPr>
      </w:pPr>
      <w:r>
        <w:rPr>
          <w:rFonts w:hint="eastAsia" w:ascii="仿宋" w:hAnsi="仿宋" w:eastAsia="仿宋" w:cs="仿宋"/>
          <w:sz w:val="28"/>
          <w:szCs w:val="28"/>
        </w:rPr>
        <w:t>（8）采集运维内容包括但不限于：硬件设施维护、现场网络检查、数据传输频次等</w:t>
      </w:r>
    </w:p>
    <w:p>
      <w:pPr>
        <w:pStyle w:val="6"/>
        <w:numPr>
          <w:ilvl w:val="0"/>
          <w:numId w:val="9"/>
        </w:numPr>
        <w:rPr>
          <w:rFonts w:ascii="仿宋" w:hAnsi="仿宋" w:eastAsia="仿宋" w:cs="仿宋"/>
        </w:rPr>
      </w:pPr>
      <w:r>
        <w:rPr>
          <w:rFonts w:hint="eastAsia" w:ascii="仿宋" w:hAnsi="仿宋" w:eastAsia="仿宋" w:cs="仿宋"/>
        </w:rPr>
        <w:t>数据报表</w:t>
      </w:r>
    </w:p>
    <w:p>
      <w:pPr>
        <w:ind w:firstLine="560" w:firstLineChars="200"/>
        <w:rPr>
          <w:rFonts w:ascii="仿宋" w:hAnsi="仿宋" w:eastAsia="仿宋" w:cs="仿宋"/>
          <w:sz w:val="28"/>
          <w:szCs w:val="28"/>
        </w:rPr>
      </w:pPr>
      <w:r>
        <w:rPr>
          <w:rFonts w:hint="eastAsia" w:ascii="仿宋" w:hAnsi="仿宋" w:eastAsia="仿宋" w:cs="仿宋"/>
          <w:sz w:val="28"/>
          <w:szCs w:val="28"/>
        </w:rPr>
        <w:t>系统需提供多种类型的报表生成与导出功能，主要包括水质日报、水质周报、水质月报、水质年报。既可生成单个参数的水质报表，又能生成5个参数的水质综合报表，报表可导出成EXCLE、PDF格式。</w:t>
      </w:r>
    </w:p>
    <w:p>
      <w:pPr>
        <w:pStyle w:val="6"/>
        <w:numPr>
          <w:ilvl w:val="0"/>
          <w:numId w:val="9"/>
        </w:numPr>
        <w:rPr>
          <w:rFonts w:ascii="仿宋" w:hAnsi="仿宋" w:eastAsia="仿宋" w:cs="仿宋"/>
        </w:rPr>
      </w:pPr>
      <w:r>
        <w:rPr>
          <w:rFonts w:hint="eastAsia" w:ascii="仿宋" w:hAnsi="仿宋" w:eastAsia="仿宋" w:cs="仿宋"/>
        </w:rPr>
        <w:t>趋势分析</w:t>
      </w:r>
    </w:p>
    <w:p>
      <w:pPr>
        <w:ind w:firstLine="280" w:firstLineChars="100"/>
        <w:rPr>
          <w:rFonts w:ascii="仿宋" w:hAnsi="仿宋" w:eastAsia="仿宋" w:cs="仿宋"/>
          <w:sz w:val="28"/>
          <w:szCs w:val="28"/>
        </w:rPr>
      </w:pPr>
      <w:r>
        <w:rPr>
          <w:rFonts w:hint="eastAsia" w:ascii="仿宋" w:hAnsi="仿宋" w:eastAsia="仿宋" w:cs="仿宋"/>
          <w:sz w:val="28"/>
          <w:szCs w:val="28"/>
        </w:rPr>
        <w:t>（1）系统可以以折线图的方式查看单个监测点位多个监测项在一定时间段内的数据变化趋势或者查看多个监测点位同一监测项在一定时间段内的数据变化趋势；从而了解不同监测点位间的水质对比情况或单个监测点位不同监测因子间的关联关系。</w:t>
      </w:r>
    </w:p>
    <w:p>
      <w:pPr>
        <w:ind w:firstLine="280" w:firstLineChars="100"/>
        <w:rPr>
          <w:rFonts w:ascii="仿宋" w:hAnsi="仿宋" w:eastAsia="仿宋" w:cs="仿宋"/>
          <w:b/>
          <w:bCs/>
          <w:sz w:val="28"/>
          <w:szCs w:val="28"/>
        </w:rPr>
      </w:pPr>
      <w:r>
        <w:rPr>
          <w:rFonts w:hint="eastAsia" w:ascii="仿宋" w:hAnsi="仿宋" w:eastAsia="仿宋" w:cs="仿宋"/>
          <w:sz w:val="28"/>
          <w:szCs w:val="28"/>
        </w:rPr>
        <w:t>（2）系统需提供每个监测点位的各监测因子浓度值的查询功能。可按周、月、年的评价周期对监测点位监测因子浓度变化进行评价，评价标准可根据业务需要自行设置。</w:t>
      </w:r>
      <w:bookmarkEnd w:id="2"/>
      <w:bookmarkEnd w:id="3"/>
      <w:r>
        <w:rPr>
          <w:rFonts w:hint="eastAsia" w:ascii="仿宋" w:hAnsi="仿宋" w:eastAsia="仿宋" w:cs="仿宋"/>
          <w:b/>
          <w:bCs/>
          <w:sz w:val="28"/>
          <w:szCs w:val="28"/>
        </w:rPr>
        <w:br w:type="page"/>
      </w:r>
    </w:p>
    <w:p>
      <w:pPr>
        <w:numPr>
          <w:ilvl w:val="255"/>
          <w:numId w:val="0"/>
        </w:numPr>
        <w:rPr>
          <w:rFonts w:ascii="仿宋" w:hAnsi="仿宋" w:eastAsia="仿宋" w:cs="仿宋"/>
          <w:b/>
          <w:bCs/>
          <w:sz w:val="28"/>
          <w:szCs w:val="28"/>
        </w:rPr>
      </w:pPr>
      <w:r>
        <w:rPr>
          <w:rFonts w:hint="eastAsia" w:ascii="仿宋" w:hAnsi="仿宋" w:eastAsia="仿宋" w:cs="仿宋"/>
          <w:b/>
          <w:bCs/>
          <w:sz w:val="28"/>
          <w:szCs w:val="28"/>
        </w:rPr>
        <w:t>三、项目商务要求</w:t>
      </w:r>
    </w:p>
    <w:p>
      <w:pPr>
        <w:numPr>
          <w:ilvl w:val="255"/>
          <w:numId w:val="0"/>
        </w:numPr>
        <w:ind w:firstLine="560" w:firstLineChars="200"/>
        <w:rPr>
          <w:rFonts w:ascii="仿宋" w:hAnsi="仿宋" w:eastAsia="仿宋" w:cs="仿宋"/>
          <w:sz w:val="28"/>
          <w:szCs w:val="28"/>
        </w:rPr>
      </w:pPr>
      <w:r>
        <w:rPr>
          <w:rFonts w:hint="eastAsia" w:ascii="仿宋" w:hAnsi="仿宋" w:eastAsia="仿宋" w:cs="仿宋"/>
          <w:sz w:val="28"/>
          <w:szCs w:val="28"/>
        </w:rPr>
        <w:t>（1）承包方式</w:t>
      </w:r>
    </w:p>
    <w:p>
      <w:pPr>
        <w:numPr>
          <w:ilvl w:val="255"/>
          <w:numId w:val="0"/>
        </w:numPr>
        <w:ind w:firstLine="560" w:firstLineChars="200"/>
        <w:rPr>
          <w:rFonts w:ascii="仿宋" w:hAnsi="仿宋" w:eastAsia="仿宋" w:cs="仿宋"/>
          <w:sz w:val="28"/>
          <w:szCs w:val="28"/>
        </w:rPr>
      </w:pPr>
      <w:r>
        <w:rPr>
          <w:rFonts w:hint="eastAsia" w:ascii="仿宋" w:hAnsi="仿宋" w:eastAsia="仿宋" w:cs="仿宋"/>
          <w:sz w:val="28"/>
          <w:szCs w:val="28"/>
        </w:rPr>
        <w:t>承包方式为总价包干。</w:t>
      </w:r>
    </w:p>
    <w:p>
      <w:pPr>
        <w:ind w:firstLine="588" w:firstLineChars="210"/>
        <w:rPr>
          <w:rFonts w:ascii="仿宋" w:hAnsi="仿宋" w:eastAsia="仿宋" w:cs="仿宋"/>
          <w:sz w:val="28"/>
          <w:szCs w:val="28"/>
        </w:rPr>
      </w:pPr>
      <w:r>
        <w:rPr>
          <w:rFonts w:hint="eastAsia" w:ascii="仿宋" w:hAnsi="仿宋" w:eastAsia="仿宋" w:cs="仿宋"/>
          <w:sz w:val="28"/>
          <w:szCs w:val="28"/>
        </w:rPr>
        <w:t>（2）运输及包装方式的要求：</w:t>
      </w:r>
    </w:p>
    <w:p>
      <w:pPr>
        <w:ind w:firstLine="588" w:firstLineChars="210"/>
        <w:rPr>
          <w:rFonts w:ascii="仿宋" w:hAnsi="仿宋" w:eastAsia="仿宋" w:cs="仿宋"/>
          <w:sz w:val="28"/>
          <w:szCs w:val="28"/>
        </w:rPr>
      </w:pPr>
      <w:r>
        <w:rPr>
          <w:rFonts w:hint="eastAsia" w:ascii="仿宋" w:hAnsi="仿宋" w:eastAsia="仿宋" w:cs="仿宋"/>
          <w:sz w:val="28"/>
          <w:szCs w:val="28"/>
        </w:rPr>
        <w:t>货物运输由报价人承担，确保货物有原厂出厂包装，并根据货物类型进行必要性的加固保护，由采购方项目业务负责人和报价人项目业务负责人共同开箱检验。</w:t>
      </w:r>
    </w:p>
    <w:p>
      <w:pPr>
        <w:ind w:firstLine="588" w:firstLineChars="210"/>
        <w:rPr>
          <w:rFonts w:ascii="仿宋" w:hAnsi="仿宋" w:eastAsia="仿宋" w:cs="仿宋"/>
          <w:sz w:val="28"/>
          <w:szCs w:val="28"/>
        </w:rPr>
      </w:pPr>
      <w:r>
        <w:rPr>
          <w:rFonts w:hint="eastAsia" w:ascii="仿宋" w:hAnsi="仿宋" w:eastAsia="仿宋" w:cs="仿宋"/>
          <w:sz w:val="28"/>
          <w:szCs w:val="28"/>
        </w:rPr>
        <w:t>（3）随货物必须配备的技术文件清单</w:t>
      </w:r>
    </w:p>
    <w:p>
      <w:pPr>
        <w:ind w:firstLine="588" w:firstLineChars="210"/>
        <w:rPr>
          <w:rFonts w:ascii="仿宋" w:hAnsi="仿宋" w:eastAsia="仿宋" w:cs="仿宋"/>
          <w:sz w:val="28"/>
          <w:szCs w:val="28"/>
        </w:rPr>
      </w:pPr>
      <w:r>
        <w:rPr>
          <w:rFonts w:hint="eastAsia" w:ascii="仿宋" w:hAnsi="仿宋" w:eastAsia="仿宋" w:cs="仿宋"/>
          <w:sz w:val="28"/>
          <w:szCs w:val="28"/>
        </w:rPr>
        <w:t>3.1 设备原厂的说明书、合格证书、售后服务承诺书等（中文版本）。</w:t>
      </w:r>
    </w:p>
    <w:p>
      <w:pPr>
        <w:ind w:firstLine="588" w:firstLineChars="210"/>
        <w:rPr>
          <w:rFonts w:ascii="仿宋" w:hAnsi="仿宋" w:eastAsia="仿宋" w:cs="仿宋"/>
          <w:sz w:val="28"/>
          <w:szCs w:val="28"/>
        </w:rPr>
      </w:pPr>
      <w:r>
        <w:rPr>
          <w:rFonts w:hint="eastAsia" w:ascii="仿宋" w:hAnsi="仿宋" w:eastAsia="仿宋" w:cs="仿宋"/>
          <w:sz w:val="28"/>
          <w:szCs w:val="28"/>
        </w:rPr>
        <w:t>（4）交货地点和日期</w:t>
      </w:r>
    </w:p>
    <w:p>
      <w:pPr>
        <w:ind w:firstLine="588" w:firstLineChars="210"/>
        <w:rPr>
          <w:rFonts w:ascii="仿宋" w:hAnsi="仿宋" w:eastAsia="仿宋" w:cs="仿宋"/>
          <w:sz w:val="28"/>
          <w:szCs w:val="28"/>
        </w:rPr>
      </w:pPr>
      <w:r>
        <w:rPr>
          <w:rFonts w:hint="eastAsia" w:ascii="仿宋" w:hAnsi="仿宋" w:eastAsia="仿宋" w:cs="仿宋"/>
          <w:sz w:val="28"/>
          <w:szCs w:val="28"/>
        </w:rPr>
        <w:t>4.1交货地点：广州市净水有限公司沥滘分公司、京溪分公司</w:t>
      </w:r>
    </w:p>
    <w:p>
      <w:pPr>
        <w:ind w:firstLine="588" w:firstLineChars="210"/>
        <w:rPr>
          <w:rFonts w:ascii="仿宋" w:hAnsi="仿宋" w:eastAsia="仿宋" w:cs="仿宋"/>
          <w:sz w:val="28"/>
          <w:szCs w:val="28"/>
        </w:rPr>
      </w:pPr>
      <w:r>
        <w:rPr>
          <w:rFonts w:hint="eastAsia" w:ascii="仿宋" w:hAnsi="仿宋" w:eastAsia="仿宋" w:cs="仿宋"/>
          <w:sz w:val="28"/>
          <w:szCs w:val="28"/>
        </w:rPr>
        <w:t>4.2 日期：在合同签订之日起35天内全部交货至各使用地点，并且完成设备安装、调试和联网完毕，进行系统试运行（连续正常运行30天，不包含在系统安装调试期内）。</w:t>
      </w:r>
    </w:p>
    <w:p>
      <w:pPr>
        <w:ind w:firstLine="588" w:firstLineChars="210"/>
        <w:rPr>
          <w:rFonts w:ascii="仿宋" w:hAnsi="仿宋" w:eastAsia="仿宋" w:cs="仿宋"/>
          <w:sz w:val="28"/>
          <w:szCs w:val="28"/>
        </w:rPr>
      </w:pPr>
      <w:r>
        <w:rPr>
          <w:rFonts w:hint="eastAsia" w:ascii="仿宋" w:hAnsi="仿宋" w:eastAsia="仿宋" w:cs="仿宋"/>
          <w:sz w:val="28"/>
          <w:szCs w:val="28"/>
        </w:rPr>
        <w:t>（5）完成系统试运行后30天内，配合完成广州净水公司验收。</w:t>
      </w:r>
    </w:p>
    <w:p>
      <w:pPr>
        <w:ind w:firstLine="560" w:firstLineChars="200"/>
        <w:rPr>
          <w:rFonts w:ascii="仿宋" w:hAnsi="仿宋" w:eastAsia="仿宋" w:cs="仿宋"/>
          <w:sz w:val="28"/>
          <w:szCs w:val="28"/>
        </w:rPr>
      </w:pPr>
      <w:r>
        <w:rPr>
          <w:rFonts w:hint="eastAsia" w:ascii="仿宋" w:hAnsi="仿宋" w:eastAsia="仿宋" w:cs="仿宋"/>
          <w:sz w:val="28"/>
          <w:szCs w:val="28"/>
        </w:rPr>
        <w:t>（6）质量保证期期限及发生问题的处理意见</w:t>
      </w:r>
    </w:p>
    <w:p>
      <w:pPr>
        <w:ind w:firstLine="588" w:firstLineChars="210"/>
        <w:rPr>
          <w:rFonts w:ascii="仿宋" w:hAnsi="仿宋" w:eastAsia="仿宋" w:cs="仿宋"/>
          <w:sz w:val="28"/>
          <w:szCs w:val="28"/>
        </w:rPr>
      </w:pPr>
      <w:r>
        <w:rPr>
          <w:rFonts w:hint="eastAsia" w:ascii="仿宋" w:hAnsi="仿宋" w:eastAsia="仿宋" w:cs="仿宋"/>
          <w:sz w:val="28"/>
          <w:szCs w:val="28"/>
        </w:rPr>
        <w:t>6.1 质量保证期期限：完成验收后1年；</w:t>
      </w:r>
    </w:p>
    <w:p>
      <w:pPr>
        <w:ind w:firstLine="588" w:firstLineChars="210"/>
        <w:rPr>
          <w:rFonts w:ascii="仿宋" w:hAnsi="仿宋" w:eastAsia="仿宋" w:cs="仿宋"/>
          <w:sz w:val="28"/>
          <w:szCs w:val="28"/>
        </w:rPr>
      </w:pPr>
      <w:r>
        <w:rPr>
          <w:rFonts w:hint="eastAsia" w:ascii="仿宋" w:hAnsi="仿宋" w:eastAsia="仿宋" w:cs="仿宋"/>
          <w:sz w:val="28"/>
          <w:szCs w:val="28"/>
        </w:rPr>
        <w:t>6.2 发生问题的处理意见：以合同结算价的5%作为质量保证金，若报价人对质量保证期内发生问题未能及时妥善处理，则不予退还质量保证金。</w:t>
      </w:r>
    </w:p>
    <w:p>
      <w:pPr>
        <w:ind w:firstLine="588" w:firstLineChars="210"/>
        <w:rPr>
          <w:rFonts w:ascii="仿宋" w:hAnsi="仿宋" w:eastAsia="仿宋" w:cs="仿宋"/>
          <w:sz w:val="28"/>
          <w:szCs w:val="28"/>
        </w:rPr>
      </w:pPr>
      <w:r>
        <w:rPr>
          <w:rFonts w:hint="eastAsia" w:ascii="仿宋" w:hAnsi="仿宋" w:eastAsia="仿宋" w:cs="仿宋"/>
          <w:sz w:val="28"/>
          <w:szCs w:val="28"/>
        </w:rPr>
        <w:t>（7）付款方式和时间安排</w:t>
      </w:r>
    </w:p>
    <w:p>
      <w:pPr>
        <w:ind w:firstLine="588" w:firstLineChars="210"/>
        <w:rPr>
          <w:rFonts w:ascii="仿宋" w:hAnsi="仿宋" w:eastAsia="仿宋" w:cs="仿宋"/>
          <w:sz w:val="28"/>
          <w:szCs w:val="28"/>
        </w:rPr>
      </w:pPr>
      <w:r>
        <w:rPr>
          <w:rFonts w:hint="eastAsia" w:ascii="仿宋" w:hAnsi="仿宋" w:eastAsia="仿宋" w:cs="仿宋"/>
          <w:sz w:val="28"/>
          <w:szCs w:val="28"/>
        </w:rPr>
        <w:t>7.1 合同签订且到货后，经开箱验收合格且乙方提供全额增值税专用发票后，支付至合同暂定总价的50%；</w:t>
      </w:r>
    </w:p>
    <w:p>
      <w:pPr>
        <w:ind w:firstLine="588" w:firstLineChars="210"/>
        <w:rPr>
          <w:rFonts w:ascii="仿宋" w:hAnsi="仿宋" w:eastAsia="仿宋" w:cs="仿宋"/>
          <w:sz w:val="28"/>
          <w:szCs w:val="28"/>
        </w:rPr>
      </w:pPr>
      <w:r>
        <w:rPr>
          <w:rFonts w:hint="eastAsia" w:ascii="仿宋" w:hAnsi="仿宋" w:eastAsia="仿宋" w:cs="仿宋"/>
          <w:sz w:val="28"/>
          <w:szCs w:val="28"/>
        </w:rPr>
        <w:t>7.2 货物到达，完成设备安装、调试和联网完毕，且乙方提供全额增值税专用发票后，支付至合同结算价的75%；</w:t>
      </w:r>
    </w:p>
    <w:p>
      <w:pPr>
        <w:ind w:firstLine="588" w:firstLineChars="210"/>
        <w:rPr>
          <w:rFonts w:ascii="仿宋" w:hAnsi="仿宋" w:eastAsia="仿宋" w:cs="仿宋"/>
          <w:sz w:val="28"/>
          <w:szCs w:val="28"/>
        </w:rPr>
      </w:pPr>
      <w:r>
        <w:rPr>
          <w:rFonts w:hint="eastAsia" w:ascii="仿宋" w:hAnsi="仿宋" w:eastAsia="仿宋" w:cs="仿宋"/>
          <w:sz w:val="28"/>
          <w:szCs w:val="28"/>
        </w:rPr>
        <w:t>7.3 设备安装后顺利通过自主验收及工程项目验收合格，且乙方提供全额增值税专用发票后，支付至合同结算价的95%（含预付款）（若审核价低于合同暂定总价，则以审核价作为合同结算价，否则以合同暂定总价为合同结算价），合同结算价的5%作为质保金留存。</w:t>
      </w:r>
    </w:p>
    <w:p>
      <w:pPr>
        <w:ind w:firstLine="588" w:firstLineChars="210"/>
        <w:rPr>
          <w:rFonts w:ascii="仿宋" w:hAnsi="仿宋" w:eastAsia="仿宋" w:cs="仿宋"/>
          <w:sz w:val="28"/>
          <w:szCs w:val="28"/>
        </w:rPr>
      </w:pPr>
      <w:r>
        <w:rPr>
          <w:rFonts w:hint="eastAsia" w:ascii="仿宋" w:hAnsi="仿宋" w:eastAsia="仿宋" w:cs="仿宋"/>
          <w:sz w:val="28"/>
          <w:szCs w:val="28"/>
        </w:rPr>
        <w:t>7.4 质保期满后，甲方支付合同结算价的5％（质保金）的余款给乙方。质量保证期期限为甲方验收后1年。</w:t>
      </w:r>
    </w:p>
    <w:p>
      <w:pPr>
        <w:numPr>
          <w:ilvl w:val="255"/>
          <w:numId w:val="0"/>
        </w:numPr>
        <w:ind w:firstLine="560" w:firstLineChars="200"/>
        <w:rPr>
          <w:rFonts w:ascii="仿宋" w:hAnsi="仿宋" w:eastAsia="仿宋" w:cs="仿宋"/>
          <w:sz w:val="28"/>
          <w:szCs w:val="28"/>
        </w:rPr>
      </w:pPr>
      <w:r>
        <w:rPr>
          <w:rFonts w:hint="eastAsia" w:ascii="仿宋" w:hAnsi="仿宋" w:eastAsia="仿宋" w:cs="仿宋"/>
          <w:sz w:val="28"/>
          <w:szCs w:val="28"/>
        </w:rPr>
        <w:t>（8）售后服务</w:t>
      </w:r>
    </w:p>
    <w:p>
      <w:pPr>
        <w:ind w:firstLine="588" w:firstLineChars="210"/>
        <w:rPr>
          <w:rFonts w:ascii="仿宋" w:hAnsi="仿宋" w:eastAsia="仿宋" w:cs="仿宋"/>
          <w:sz w:val="28"/>
          <w:szCs w:val="28"/>
        </w:rPr>
      </w:pPr>
      <w:r>
        <w:rPr>
          <w:rFonts w:hint="eastAsia" w:ascii="仿宋" w:hAnsi="仿宋" w:eastAsia="仿宋" w:cs="仿宋"/>
          <w:sz w:val="28"/>
          <w:szCs w:val="28"/>
        </w:rPr>
        <w:t>8.1.所投货物从本项目验收合格之日起承诺不少于1年的全免费售后服务质量保证期,保质保用期内非采购人的人为原因而出现产品质量及安装问题，由中选人负责包修、包换或包退，并承担因此而产生的一切费用。</w:t>
      </w:r>
    </w:p>
    <w:p>
      <w:pPr>
        <w:ind w:firstLine="588" w:firstLineChars="210"/>
        <w:rPr>
          <w:rFonts w:ascii="仿宋" w:hAnsi="仿宋" w:eastAsia="仿宋" w:cs="仿宋"/>
          <w:sz w:val="28"/>
          <w:szCs w:val="28"/>
        </w:rPr>
      </w:pPr>
      <w:r>
        <w:rPr>
          <w:rFonts w:hint="eastAsia" w:ascii="仿宋" w:hAnsi="仿宋" w:eastAsia="仿宋" w:cs="仿宋"/>
          <w:sz w:val="28"/>
          <w:szCs w:val="28"/>
        </w:rPr>
        <w:t>8.2.能够提供快速、良好的维修服务。具有专业的工程师跟踪服务，并保证长期良好的售后服务和零配件供应，以满足用户单位要求，提供24小时的全方位技术支持和售后服务。所供货物须按厂家承诺实行“三包”，若发现本次采购的货物本身存在缺陷，中选人须无条件退货或更换同类产品。</w:t>
      </w:r>
    </w:p>
    <w:p>
      <w:pPr>
        <w:ind w:firstLine="588" w:firstLineChars="210"/>
        <w:rPr>
          <w:rFonts w:ascii="仿宋" w:hAnsi="仿宋" w:eastAsia="仿宋" w:cs="仿宋"/>
          <w:sz w:val="28"/>
          <w:szCs w:val="28"/>
        </w:rPr>
      </w:pPr>
      <w:r>
        <w:rPr>
          <w:rFonts w:hint="eastAsia" w:ascii="仿宋" w:hAnsi="仿宋" w:eastAsia="仿宋" w:cs="仿宋"/>
          <w:sz w:val="28"/>
          <w:szCs w:val="28"/>
        </w:rPr>
        <w:t>8.3.在保用的期限内，本次采购的货物出现非采购人责任造成的故障的，供应商无偿为采购人维修或更换相应货物，并保证设备的正常使用。响应时间：采购人反馈产品质量、故障、事故问题时，30分钟内予以响应,需到现场维修时，6小时内到达现场维修，一般情况在24小时内须排除故障，特殊情况需与采购人说明情况，并提供代用货物，保证设备的正常工作使用</w:t>
      </w:r>
    </w:p>
    <w:p>
      <w:pPr>
        <w:ind w:firstLine="588" w:firstLineChars="210"/>
        <w:rPr>
          <w:rFonts w:ascii="仿宋" w:hAnsi="仿宋" w:eastAsia="仿宋" w:cs="仿宋"/>
          <w:sz w:val="28"/>
          <w:szCs w:val="28"/>
        </w:rPr>
      </w:pPr>
      <w:r>
        <w:rPr>
          <w:rFonts w:hint="eastAsia" w:ascii="仿宋" w:hAnsi="仿宋" w:eastAsia="仿宋" w:cs="仿宋"/>
          <w:sz w:val="28"/>
          <w:szCs w:val="28"/>
        </w:rPr>
        <w:t>（9）技术支持</w:t>
      </w:r>
    </w:p>
    <w:p>
      <w:pPr>
        <w:ind w:firstLine="588" w:firstLineChars="210"/>
        <w:rPr>
          <w:rFonts w:ascii="仿宋" w:hAnsi="仿宋" w:eastAsia="仿宋" w:cs="仿宋"/>
          <w:sz w:val="28"/>
          <w:szCs w:val="28"/>
        </w:rPr>
      </w:pPr>
      <w:r>
        <w:rPr>
          <w:rFonts w:hint="eastAsia" w:ascii="仿宋" w:hAnsi="仿宋" w:eastAsia="仿宋" w:cs="仿宋"/>
          <w:sz w:val="28"/>
          <w:szCs w:val="28"/>
        </w:rPr>
        <w:t>9.1报价人制定技术服务条款及实施办法等，并有明确的售后服务措施。</w:t>
      </w:r>
    </w:p>
    <w:p>
      <w:pPr>
        <w:ind w:firstLine="588" w:firstLineChars="210"/>
        <w:rPr>
          <w:rFonts w:ascii="仿宋" w:hAnsi="仿宋" w:eastAsia="仿宋" w:cs="仿宋"/>
          <w:sz w:val="28"/>
          <w:szCs w:val="28"/>
        </w:rPr>
      </w:pPr>
      <w:r>
        <w:rPr>
          <w:rFonts w:hint="eastAsia" w:ascii="仿宋" w:hAnsi="仿宋" w:eastAsia="仿宋" w:cs="仿宋"/>
          <w:sz w:val="28"/>
          <w:szCs w:val="28"/>
        </w:rPr>
        <w:t>9.2技术培训要求（所有培训费用均包括在总价中）</w:t>
      </w:r>
    </w:p>
    <w:p>
      <w:pPr>
        <w:ind w:firstLine="588" w:firstLineChars="210"/>
        <w:rPr>
          <w:rFonts w:ascii="仿宋" w:hAnsi="仿宋" w:eastAsia="仿宋" w:cs="仿宋"/>
          <w:sz w:val="28"/>
          <w:szCs w:val="28"/>
        </w:rPr>
      </w:pPr>
      <w:r>
        <w:rPr>
          <w:rFonts w:hint="eastAsia" w:ascii="仿宋" w:hAnsi="仿宋" w:eastAsia="仿宋" w:cs="仿宋"/>
          <w:sz w:val="28"/>
          <w:szCs w:val="28"/>
        </w:rPr>
        <w:t>应提供水污染源在线监测系统的各种分析设备全中文详细的操作、使用说明书和安装、维护手册；备用消耗品清册；维修单位地址、电话、技术人员名单及整套的验收资料。</w:t>
      </w:r>
    </w:p>
    <w:p>
      <w:pPr>
        <w:ind w:firstLine="588" w:firstLineChars="210"/>
        <w:rPr>
          <w:rFonts w:ascii="仿宋" w:hAnsi="仿宋" w:eastAsia="仿宋" w:cs="仿宋"/>
          <w:sz w:val="28"/>
          <w:szCs w:val="28"/>
        </w:rPr>
      </w:pPr>
      <w:r>
        <w:rPr>
          <w:rFonts w:hint="eastAsia" w:ascii="仿宋" w:hAnsi="仿宋" w:eastAsia="仿宋" w:cs="仿宋"/>
          <w:sz w:val="28"/>
          <w:szCs w:val="28"/>
        </w:rPr>
        <w:t>集中培训：包括理论培训和实操培训，在系统试运行期满后10天内完成。讲解水污染源在线监测系统仪器的构造、使用、标定、清洗、保养及管道、采样系统等维护、设计原理、使用方法、注意事项及如何做好监测数据有效性审核工作等等相关知识。</w:t>
      </w:r>
    </w:p>
    <w:p>
      <w:pPr>
        <w:ind w:firstLine="588" w:firstLineChars="210"/>
        <w:rPr>
          <w:rFonts w:ascii="仿宋" w:hAnsi="仿宋" w:eastAsia="仿宋" w:cs="仿宋"/>
          <w:sz w:val="28"/>
          <w:szCs w:val="28"/>
        </w:rPr>
      </w:pPr>
      <w:r>
        <w:rPr>
          <w:rFonts w:hint="eastAsia" w:ascii="仿宋" w:hAnsi="仿宋" w:eastAsia="仿宋" w:cs="仿宋"/>
          <w:sz w:val="28"/>
          <w:szCs w:val="28"/>
        </w:rPr>
        <w:t>9.3操作手册及工具</w:t>
      </w:r>
    </w:p>
    <w:p>
      <w:pPr>
        <w:ind w:firstLine="588" w:firstLineChars="210"/>
        <w:rPr>
          <w:rFonts w:ascii="仿宋" w:hAnsi="仿宋" w:eastAsia="仿宋" w:cs="仿宋"/>
          <w:sz w:val="28"/>
          <w:szCs w:val="28"/>
        </w:rPr>
      </w:pPr>
      <w:r>
        <w:rPr>
          <w:rFonts w:hint="eastAsia" w:ascii="仿宋" w:hAnsi="仿宋" w:eastAsia="仿宋" w:cs="仿宋"/>
          <w:sz w:val="28"/>
          <w:szCs w:val="28"/>
        </w:rPr>
        <w:t>中选人应提供包括但不限于满足货物安装、使用、专用安装维修工具、日常维修工具和维护的技术文件，如货物和附件装箱清单、产品合格证、产品检验报告、保修服务卡、使用说明（原版正本）和中文维护手册。</w:t>
      </w:r>
    </w:p>
    <w:p>
      <w:pPr>
        <w:widowControl/>
        <w:jc w:val="left"/>
        <w:rPr>
          <w:rFonts w:ascii="仿宋" w:hAnsi="仿宋" w:eastAsia="仿宋" w:cs="仿宋"/>
          <w:sz w:val="28"/>
          <w:szCs w:val="28"/>
        </w:rPr>
      </w:pPr>
      <w:r>
        <w:rPr>
          <w:rFonts w:hint="eastAsia" w:ascii="仿宋" w:hAnsi="仿宋" w:eastAsia="仿宋" w:cs="仿宋"/>
          <w:sz w:val="28"/>
          <w:szCs w:val="28"/>
        </w:rPr>
        <w:br w:type="page"/>
      </w:r>
    </w:p>
    <w:p>
      <w:pPr>
        <w:pStyle w:val="14"/>
        <w:adjustRightInd w:val="0"/>
        <w:snapToGrid w:val="0"/>
        <w:spacing w:line="300" w:lineRule="auto"/>
        <w:jc w:val="center"/>
        <w:rPr>
          <w:rFonts w:ascii="仿宋" w:hAnsi="仿宋" w:eastAsia="仿宋" w:cs="仿宋"/>
          <w:b/>
          <w:sz w:val="28"/>
          <w:szCs w:val="28"/>
        </w:rPr>
      </w:pPr>
      <w:r>
        <w:rPr>
          <w:rFonts w:hint="eastAsia" w:ascii="仿宋" w:hAnsi="仿宋" w:eastAsia="仿宋" w:cs="仿宋"/>
          <w:b/>
          <w:sz w:val="28"/>
          <w:szCs w:val="28"/>
          <w:lang w:val="zh-CN"/>
        </w:rPr>
        <w:t xml:space="preserve">第三部分 </w:t>
      </w:r>
      <w:r>
        <w:rPr>
          <w:rFonts w:hint="eastAsia" w:ascii="仿宋" w:hAnsi="仿宋" w:eastAsia="仿宋" w:cs="仿宋"/>
          <w:b/>
          <w:sz w:val="28"/>
          <w:szCs w:val="28"/>
        </w:rPr>
        <w:t xml:space="preserve"> 报价须知</w:t>
      </w:r>
    </w:p>
    <w:p>
      <w:pPr>
        <w:pStyle w:val="14"/>
        <w:adjustRightInd w:val="0"/>
        <w:snapToGrid w:val="0"/>
        <w:spacing w:line="300" w:lineRule="auto"/>
        <w:rPr>
          <w:rFonts w:ascii="仿宋" w:hAnsi="仿宋" w:eastAsia="仿宋" w:cs="仿宋"/>
          <w:b/>
          <w:sz w:val="28"/>
          <w:szCs w:val="28"/>
        </w:rPr>
      </w:pPr>
    </w:p>
    <w:p>
      <w:pPr>
        <w:pStyle w:val="14"/>
        <w:adjustRightInd w:val="0"/>
        <w:snapToGrid w:val="0"/>
        <w:spacing w:line="300" w:lineRule="auto"/>
        <w:rPr>
          <w:rFonts w:ascii="仿宋" w:hAnsi="仿宋" w:eastAsia="仿宋" w:cs="仿宋"/>
          <w:b/>
          <w:sz w:val="28"/>
          <w:szCs w:val="28"/>
        </w:rPr>
      </w:pPr>
      <w:r>
        <w:rPr>
          <w:rFonts w:hint="eastAsia" w:ascii="仿宋" w:hAnsi="仿宋" w:eastAsia="仿宋" w:cs="仿宋"/>
          <w:b/>
          <w:sz w:val="28"/>
          <w:szCs w:val="28"/>
        </w:rPr>
        <w:t>一、概念释义</w:t>
      </w:r>
    </w:p>
    <w:p>
      <w:pPr>
        <w:pStyle w:val="14"/>
        <w:adjustRightInd w:val="0"/>
        <w:snapToGrid w:val="0"/>
        <w:spacing w:line="300" w:lineRule="auto"/>
        <w:ind w:left="560" w:hanging="560" w:hangingChars="200"/>
        <w:rPr>
          <w:rFonts w:ascii="仿宋" w:hAnsi="仿宋" w:eastAsia="仿宋" w:cs="仿宋"/>
          <w:sz w:val="28"/>
          <w:szCs w:val="28"/>
        </w:rPr>
      </w:pPr>
      <w:r>
        <w:rPr>
          <w:rFonts w:hint="eastAsia" w:ascii="仿宋" w:hAnsi="仿宋" w:eastAsia="仿宋" w:cs="仿宋"/>
          <w:sz w:val="28"/>
          <w:szCs w:val="28"/>
        </w:rPr>
        <w:t>1.“询价人”是指：</w:t>
      </w:r>
      <w:r>
        <w:rPr>
          <w:rFonts w:hint="eastAsia" w:ascii="仿宋" w:hAnsi="仿宋" w:eastAsia="仿宋" w:cs="仿宋"/>
          <w:kern w:val="0"/>
          <w:sz w:val="28"/>
          <w:szCs w:val="28"/>
        </w:rPr>
        <w:t>广州市净水有限公司</w:t>
      </w:r>
      <w:r>
        <w:rPr>
          <w:rFonts w:hint="eastAsia" w:ascii="仿宋" w:hAnsi="仿宋" w:eastAsia="仿宋" w:cs="仿宋"/>
          <w:sz w:val="28"/>
          <w:szCs w:val="28"/>
        </w:rPr>
        <w:t>。</w:t>
      </w:r>
    </w:p>
    <w:p>
      <w:pPr>
        <w:pStyle w:val="14"/>
        <w:tabs>
          <w:tab w:val="left" w:pos="360"/>
        </w:tabs>
        <w:adjustRightInd w:val="0"/>
        <w:snapToGrid w:val="0"/>
        <w:spacing w:line="300" w:lineRule="auto"/>
        <w:ind w:left="560" w:hanging="560" w:hangingChars="200"/>
        <w:rPr>
          <w:rFonts w:ascii="仿宋" w:hAnsi="仿宋" w:eastAsia="仿宋" w:cs="仿宋"/>
          <w:kern w:val="0"/>
          <w:sz w:val="28"/>
          <w:szCs w:val="28"/>
        </w:rPr>
      </w:pPr>
      <w:r>
        <w:rPr>
          <w:rFonts w:hint="eastAsia" w:ascii="仿宋" w:hAnsi="仿宋" w:eastAsia="仿宋" w:cs="仿宋"/>
          <w:sz w:val="28"/>
          <w:szCs w:val="28"/>
        </w:rPr>
        <w:t>2.合格的报价单位:</w:t>
      </w:r>
      <w:r>
        <w:rPr>
          <w:rFonts w:hint="eastAsia" w:ascii="仿宋" w:hAnsi="仿宋" w:eastAsia="仿宋" w:cs="仿宋"/>
          <w:kern w:val="0"/>
          <w:sz w:val="28"/>
          <w:szCs w:val="28"/>
        </w:rPr>
        <w:t>符合询价文件规定资格</w:t>
      </w:r>
      <w:r>
        <w:rPr>
          <w:rFonts w:hint="eastAsia" w:ascii="仿宋" w:hAnsi="仿宋" w:eastAsia="仿宋" w:cs="仿宋"/>
          <w:sz w:val="28"/>
          <w:szCs w:val="28"/>
          <w:lang w:val="zh-CN"/>
        </w:rPr>
        <w:t>要求</w:t>
      </w:r>
      <w:r>
        <w:rPr>
          <w:rFonts w:hint="eastAsia" w:ascii="仿宋" w:hAnsi="仿宋" w:eastAsia="仿宋" w:cs="仿宋"/>
          <w:kern w:val="0"/>
          <w:sz w:val="28"/>
          <w:szCs w:val="28"/>
        </w:rPr>
        <w:t>的报价单位。</w:t>
      </w:r>
    </w:p>
    <w:p>
      <w:pPr>
        <w:pStyle w:val="14"/>
        <w:adjustRightInd w:val="0"/>
        <w:snapToGrid w:val="0"/>
        <w:spacing w:line="300" w:lineRule="auto"/>
        <w:rPr>
          <w:rFonts w:ascii="仿宋" w:hAnsi="仿宋" w:eastAsia="仿宋" w:cs="仿宋"/>
          <w:sz w:val="28"/>
          <w:szCs w:val="28"/>
        </w:rPr>
      </w:pPr>
      <w:r>
        <w:rPr>
          <w:rFonts w:hint="eastAsia" w:ascii="仿宋" w:hAnsi="仿宋" w:eastAsia="仿宋" w:cs="仿宋"/>
          <w:sz w:val="28"/>
          <w:szCs w:val="28"/>
        </w:rPr>
        <w:t>3.“承包人”是指经法定程序确认并授以合同的报价单位。</w:t>
      </w:r>
    </w:p>
    <w:p>
      <w:pPr>
        <w:pStyle w:val="14"/>
        <w:adjustRightInd w:val="0"/>
        <w:snapToGrid w:val="0"/>
        <w:spacing w:line="300" w:lineRule="auto"/>
        <w:rPr>
          <w:rFonts w:ascii="仿宋" w:hAnsi="仿宋" w:eastAsia="仿宋" w:cs="仿宋"/>
          <w:sz w:val="28"/>
          <w:szCs w:val="28"/>
        </w:rPr>
      </w:pPr>
      <w:r>
        <w:rPr>
          <w:rFonts w:hint="eastAsia" w:ascii="仿宋" w:hAnsi="仿宋" w:eastAsia="仿宋" w:cs="仿宋"/>
          <w:sz w:val="28"/>
          <w:szCs w:val="28"/>
        </w:rPr>
        <w:t>4.合格的工程：满足国家相关法律、法规、规章等规定，并符合本项目相关质量要求、安全文明施工要求的工程。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
          <w:b/>
          <w:sz w:val="28"/>
          <w:szCs w:val="28"/>
        </w:rPr>
      </w:pPr>
      <w:r>
        <w:rPr>
          <w:rFonts w:hint="eastAsia" w:ascii="仿宋" w:hAnsi="仿宋" w:eastAsia="仿宋" w:cs="仿宋"/>
          <w:b/>
          <w:sz w:val="28"/>
          <w:szCs w:val="28"/>
        </w:rPr>
        <w:t>二、询价文件</w:t>
      </w:r>
    </w:p>
    <w:p>
      <w:pPr>
        <w:pStyle w:val="14"/>
        <w:adjustRightInd w:val="0"/>
        <w:snapToGrid w:val="0"/>
        <w:spacing w:line="300" w:lineRule="auto"/>
        <w:rPr>
          <w:rFonts w:ascii="仿宋" w:hAnsi="仿宋" w:eastAsia="仿宋" w:cs="仿宋"/>
          <w:sz w:val="28"/>
          <w:szCs w:val="28"/>
        </w:rPr>
      </w:pPr>
      <w:r>
        <w:rPr>
          <w:rFonts w:hint="eastAsia" w:ascii="仿宋" w:hAnsi="仿宋" w:eastAsia="仿宋" w:cs="仿宋"/>
          <w:sz w:val="28"/>
          <w:szCs w:val="28"/>
        </w:rPr>
        <w:t>5．适用范围:本询价文件适用于本报价邀请中所述项目的询价。</w:t>
      </w:r>
    </w:p>
    <w:p>
      <w:pPr>
        <w:pStyle w:val="14"/>
        <w:adjustRightInd w:val="0"/>
        <w:snapToGrid w:val="0"/>
        <w:spacing w:line="300" w:lineRule="auto"/>
        <w:ind w:left="420" w:hanging="420"/>
        <w:rPr>
          <w:rFonts w:ascii="仿宋" w:hAnsi="仿宋" w:eastAsia="仿宋" w:cs="仿宋"/>
          <w:sz w:val="28"/>
          <w:szCs w:val="28"/>
        </w:rPr>
      </w:pPr>
      <w:r>
        <w:rPr>
          <w:rFonts w:hint="eastAsia" w:ascii="仿宋" w:hAnsi="仿宋" w:eastAsia="仿宋" w:cs="仿宋"/>
          <w:sz w:val="28"/>
          <w:szCs w:val="28"/>
        </w:rPr>
        <w:t>6. 询价文件的构成</w:t>
      </w:r>
    </w:p>
    <w:p>
      <w:pPr>
        <w:pStyle w:val="14"/>
        <w:adjustRightInd w:val="0"/>
        <w:snapToGrid w:val="0"/>
        <w:spacing w:line="300" w:lineRule="auto"/>
        <w:ind w:left="420" w:hanging="420"/>
        <w:rPr>
          <w:rFonts w:ascii="仿宋" w:hAnsi="仿宋" w:eastAsia="仿宋" w:cs="仿宋"/>
          <w:sz w:val="28"/>
          <w:szCs w:val="28"/>
        </w:rPr>
      </w:pPr>
      <w:r>
        <w:rPr>
          <w:rFonts w:hint="eastAsia" w:ascii="仿宋" w:hAnsi="仿宋" w:eastAsia="仿宋" w:cs="仿宋"/>
          <w:sz w:val="28"/>
          <w:szCs w:val="28"/>
        </w:rPr>
        <w:t>6.1询价文件包括但不限于下列文件:</w:t>
      </w:r>
    </w:p>
    <w:p>
      <w:pPr>
        <w:pStyle w:val="14"/>
        <w:adjustRightInd w:val="0"/>
        <w:snapToGrid w:val="0"/>
        <w:spacing w:line="300" w:lineRule="auto"/>
        <w:ind w:firstLine="360"/>
        <w:rPr>
          <w:rFonts w:ascii="仿宋" w:hAnsi="仿宋" w:eastAsia="仿宋" w:cs="仿宋"/>
          <w:sz w:val="28"/>
          <w:szCs w:val="28"/>
        </w:rPr>
      </w:pPr>
      <w:r>
        <w:rPr>
          <w:rFonts w:hint="eastAsia" w:ascii="仿宋" w:hAnsi="仿宋" w:eastAsia="仿宋" w:cs="仿宋"/>
          <w:sz w:val="28"/>
          <w:szCs w:val="28"/>
        </w:rPr>
        <w:t>1）报价邀请函</w:t>
      </w:r>
    </w:p>
    <w:p>
      <w:pPr>
        <w:pStyle w:val="14"/>
        <w:adjustRightInd w:val="0"/>
        <w:snapToGrid w:val="0"/>
        <w:spacing w:line="300" w:lineRule="auto"/>
        <w:ind w:firstLine="360"/>
        <w:rPr>
          <w:rFonts w:ascii="仿宋" w:hAnsi="仿宋" w:eastAsia="仿宋" w:cs="仿宋"/>
          <w:sz w:val="28"/>
          <w:szCs w:val="28"/>
        </w:rPr>
      </w:pPr>
      <w:r>
        <w:rPr>
          <w:rFonts w:hint="eastAsia" w:ascii="仿宋" w:hAnsi="仿宋" w:eastAsia="仿宋" w:cs="仿宋"/>
          <w:sz w:val="28"/>
          <w:szCs w:val="28"/>
        </w:rPr>
        <w:t>2) 项目内容</w:t>
      </w:r>
    </w:p>
    <w:p>
      <w:pPr>
        <w:pStyle w:val="14"/>
        <w:adjustRightInd w:val="0"/>
        <w:snapToGrid w:val="0"/>
        <w:spacing w:line="300" w:lineRule="auto"/>
        <w:ind w:firstLine="360"/>
        <w:rPr>
          <w:rFonts w:ascii="仿宋" w:hAnsi="仿宋" w:eastAsia="仿宋" w:cs="仿宋"/>
          <w:sz w:val="28"/>
          <w:szCs w:val="28"/>
        </w:rPr>
      </w:pPr>
      <w:r>
        <w:rPr>
          <w:rFonts w:hint="eastAsia" w:ascii="仿宋" w:hAnsi="仿宋" w:eastAsia="仿宋" w:cs="仿宋"/>
          <w:sz w:val="28"/>
          <w:szCs w:val="28"/>
        </w:rPr>
        <w:t>3) 报价单位须知</w:t>
      </w:r>
    </w:p>
    <w:p>
      <w:pPr>
        <w:pStyle w:val="14"/>
        <w:adjustRightInd w:val="0"/>
        <w:snapToGrid w:val="0"/>
        <w:spacing w:line="300" w:lineRule="auto"/>
        <w:ind w:firstLine="360"/>
        <w:rPr>
          <w:rFonts w:ascii="仿宋" w:hAnsi="仿宋" w:eastAsia="仿宋" w:cs="仿宋"/>
          <w:sz w:val="28"/>
          <w:szCs w:val="28"/>
        </w:rPr>
      </w:pPr>
      <w:r>
        <w:rPr>
          <w:rFonts w:hint="eastAsia" w:ascii="仿宋" w:hAnsi="仿宋" w:eastAsia="仿宋" w:cs="仿宋"/>
          <w:sz w:val="28"/>
          <w:szCs w:val="28"/>
        </w:rPr>
        <w:t>4) 合同书格式</w:t>
      </w:r>
    </w:p>
    <w:p>
      <w:pPr>
        <w:pStyle w:val="14"/>
        <w:adjustRightInd w:val="0"/>
        <w:snapToGrid w:val="0"/>
        <w:spacing w:line="300" w:lineRule="auto"/>
        <w:ind w:firstLine="360"/>
        <w:rPr>
          <w:rFonts w:ascii="仿宋" w:hAnsi="仿宋" w:eastAsia="仿宋" w:cs="仿宋"/>
          <w:sz w:val="28"/>
          <w:szCs w:val="28"/>
        </w:rPr>
      </w:pPr>
      <w:r>
        <w:rPr>
          <w:rFonts w:hint="eastAsia" w:ascii="仿宋" w:hAnsi="仿宋" w:eastAsia="仿宋" w:cs="仿宋"/>
          <w:sz w:val="28"/>
          <w:szCs w:val="28"/>
        </w:rPr>
        <w:t>5) 询价响应文件格式</w:t>
      </w:r>
    </w:p>
    <w:p>
      <w:pPr>
        <w:pStyle w:val="14"/>
        <w:adjustRightInd w:val="0"/>
        <w:snapToGrid w:val="0"/>
        <w:spacing w:line="300" w:lineRule="auto"/>
        <w:ind w:firstLine="360"/>
        <w:rPr>
          <w:rFonts w:ascii="仿宋" w:hAnsi="仿宋" w:eastAsia="仿宋" w:cs="仿宋"/>
          <w:sz w:val="28"/>
          <w:szCs w:val="28"/>
        </w:rPr>
      </w:pPr>
      <w:r>
        <w:rPr>
          <w:rFonts w:hint="eastAsia" w:ascii="仿宋" w:hAnsi="仿宋" w:eastAsia="仿宋" w:cs="仿宋"/>
          <w:sz w:val="28"/>
          <w:szCs w:val="28"/>
        </w:rPr>
        <w:t>6) 在询价过程中由询价人发出的修正和补充文件等</w:t>
      </w:r>
    </w:p>
    <w:p>
      <w:pPr>
        <w:pStyle w:val="14"/>
        <w:adjustRightInd w:val="0"/>
        <w:snapToGrid w:val="0"/>
        <w:spacing w:line="300" w:lineRule="auto"/>
        <w:ind w:left="420" w:hanging="420"/>
        <w:rPr>
          <w:rFonts w:ascii="仿宋" w:hAnsi="仿宋" w:eastAsia="仿宋" w:cs="仿宋"/>
          <w:sz w:val="28"/>
          <w:szCs w:val="28"/>
        </w:rPr>
      </w:pPr>
      <w:r>
        <w:rPr>
          <w:rFonts w:hint="eastAsia" w:ascii="仿宋" w:hAnsi="仿宋" w:eastAsia="仿宋" w:cs="仿宋"/>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
          <w:sz w:val="28"/>
          <w:szCs w:val="28"/>
        </w:rPr>
      </w:pPr>
      <w:r>
        <w:rPr>
          <w:rFonts w:hint="eastAsia" w:ascii="仿宋" w:hAnsi="仿宋" w:eastAsia="仿宋" w:cs="仿宋"/>
          <w:sz w:val="28"/>
          <w:szCs w:val="28"/>
        </w:rPr>
        <w:t>7. 询价文件的澄清或修改</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７.3询价文件的修改或澄清将以书面形式通知所有获取询价文件的报价单位，并对其具有约束力。</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ascii="仿宋" w:hAnsi="仿宋" w:eastAsia="仿宋" w:cs="仿宋"/>
          <w:sz w:val="28"/>
          <w:szCs w:val="28"/>
        </w:rPr>
      </w:pPr>
      <w:r>
        <w:rPr>
          <w:rFonts w:hint="eastAsia" w:ascii="仿宋" w:hAnsi="仿宋" w:eastAsia="仿宋" w:cs="仿宋_GB2312"/>
          <w:sz w:val="28"/>
          <w:szCs w:val="28"/>
        </w:rPr>
        <w:t>7.5 书面形式包括但不限于以纸质、电子邮件、门户网站信息公告等形式。</w:t>
      </w:r>
    </w:p>
    <w:p>
      <w:pPr>
        <w:pStyle w:val="14"/>
        <w:adjustRightInd w:val="0"/>
        <w:snapToGrid w:val="0"/>
        <w:spacing w:line="300" w:lineRule="auto"/>
        <w:rPr>
          <w:rFonts w:ascii="仿宋" w:hAnsi="仿宋" w:eastAsia="仿宋" w:cs="仿宋"/>
          <w:b/>
          <w:sz w:val="28"/>
          <w:szCs w:val="28"/>
        </w:rPr>
      </w:pPr>
      <w:r>
        <w:rPr>
          <w:rFonts w:hint="eastAsia" w:ascii="仿宋" w:hAnsi="仿宋" w:eastAsia="仿宋" w:cs="仿宋"/>
          <w:b/>
          <w:sz w:val="28"/>
          <w:szCs w:val="28"/>
        </w:rPr>
        <w:t>三、询价响应文件的编制和数量</w:t>
      </w:r>
    </w:p>
    <w:p>
      <w:pPr>
        <w:pStyle w:val="14"/>
        <w:adjustRightInd w:val="0"/>
        <w:snapToGrid w:val="0"/>
        <w:spacing w:line="300" w:lineRule="auto"/>
        <w:rPr>
          <w:rFonts w:ascii="仿宋" w:hAnsi="仿宋" w:eastAsia="仿宋" w:cs="仿宋"/>
          <w:sz w:val="28"/>
          <w:szCs w:val="28"/>
        </w:rPr>
      </w:pPr>
      <w:r>
        <w:rPr>
          <w:rFonts w:hint="eastAsia" w:ascii="仿宋" w:hAnsi="仿宋" w:eastAsia="仿宋" w:cs="仿宋"/>
          <w:sz w:val="28"/>
          <w:szCs w:val="28"/>
        </w:rPr>
        <w:t>8．询价响应费用</w:t>
      </w:r>
    </w:p>
    <w:p>
      <w:pPr>
        <w:pStyle w:val="14"/>
        <w:adjustRightInd w:val="0"/>
        <w:snapToGrid w:val="0"/>
        <w:spacing w:line="300" w:lineRule="auto"/>
        <w:ind w:left="420" w:hanging="420"/>
        <w:rPr>
          <w:rFonts w:ascii="仿宋" w:hAnsi="仿宋" w:eastAsia="仿宋" w:cs="仿宋"/>
          <w:sz w:val="28"/>
          <w:szCs w:val="28"/>
        </w:rPr>
      </w:pPr>
      <w:r>
        <w:rPr>
          <w:rFonts w:hint="eastAsia" w:ascii="仿宋" w:hAnsi="仿宋" w:eastAsia="仿宋" w:cs="仿宋"/>
          <w:sz w:val="28"/>
          <w:szCs w:val="28"/>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
          <w:sz w:val="28"/>
          <w:szCs w:val="28"/>
        </w:rPr>
      </w:pPr>
      <w:r>
        <w:rPr>
          <w:rFonts w:hint="eastAsia" w:ascii="仿宋" w:hAnsi="仿宋" w:eastAsia="仿宋" w:cs="仿宋"/>
          <w:sz w:val="28"/>
          <w:szCs w:val="28"/>
        </w:rPr>
        <w:t>9．报价的语言及计量</w:t>
      </w:r>
    </w:p>
    <w:p>
      <w:pPr>
        <w:pStyle w:val="14"/>
        <w:adjustRightInd w:val="0"/>
        <w:snapToGrid w:val="0"/>
        <w:spacing w:line="300" w:lineRule="auto"/>
        <w:ind w:left="360" w:hanging="360"/>
        <w:rPr>
          <w:rFonts w:ascii="仿宋" w:hAnsi="仿宋" w:eastAsia="仿宋" w:cs="仿宋"/>
          <w:sz w:val="28"/>
          <w:szCs w:val="28"/>
        </w:rPr>
      </w:pPr>
      <w:r>
        <w:rPr>
          <w:rFonts w:hint="eastAsia" w:ascii="仿宋" w:hAnsi="仿宋" w:eastAsia="仿宋" w:cs="仿宋"/>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
          <w:sz w:val="28"/>
          <w:szCs w:val="28"/>
        </w:rPr>
      </w:pPr>
      <w:r>
        <w:rPr>
          <w:rFonts w:hint="eastAsia" w:ascii="仿宋" w:hAnsi="仿宋" w:eastAsia="仿宋" w:cs="仿宋"/>
          <w:sz w:val="28"/>
          <w:szCs w:val="28"/>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
          <w:sz w:val="28"/>
          <w:szCs w:val="28"/>
        </w:rPr>
      </w:pPr>
      <w:r>
        <w:rPr>
          <w:rFonts w:hint="eastAsia" w:ascii="仿宋" w:hAnsi="仿宋" w:eastAsia="仿宋" w:cs="仿宋"/>
          <w:sz w:val="28"/>
          <w:szCs w:val="28"/>
        </w:rPr>
        <w:t>10．询价响应文件的构成</w:t>
      </w:r>
    </w:p>
    <w:p>
      <w:pPr>
        <w:pStyle w:val="14"/>
        <w:adjustRightInd w:val="0"/>
        <w:snapToGrid w:val="0"/>
        <w:spacing w:line="300" w:lineRule="auto"/>
        <w:rPr>
          <w:rFonts w:ascii="仿宋" w:hAnsi="仿宋" w:eastAsia="仿宋" w:cs="仿宋"/>
          <w:sz w:val="28"/>
          <w:szCs w:val="28"/>
        </w:rPr>
      </w:pPr>
      <w:r>
        <w:rPr>
          <w:rFonts w:hint="eastAsia" w:ascii="仿宋" w:hAnsi="仿宋" w:eastAsia="仿宋" w:cs="仿宋"/>
          <w:sz w:val="28"/>
          <w:szCs w:val="28"/>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
          <w:sz w:val="28"/>
          <w:szCs w:val="28"/>
        </w:rPr>
      </w:pPr>
      <w:r>
        <w:rPr>
          <w:rFonts w:hint="eastAsia" w:ascii="仿宋" w:hAnsi="仿宋" w:eastAsia="仿宋" w:cs="仿宋"/>
          <w:sz w:val="28"/>
          <w:szCs w:val="28"/>
        </w:rPr>
        <w:t>11. 询价响应文件编制</w:t>
      </w:r>
    </w:p>
    <w:p>
      <w:pPr>
        <w:spacing w:line="300" w:lineRule="auto"/>
        <w:ind w:left="630" w:hanging="630" w:hangingChars="225"/>
        <w:rPr>
          <w:rFonts w:ascii="仿宋" w:hAnsi="仿宋" w:eastAsia="仿宋" w:cs="仿宋"/>
          <w:sz w:val="28"/>
          <w:szCs w:val="28"/>
        </w:rPr>
      </w:pPr>
      <w:r>
        <w:rPr>
          <w:rFonts w:hint="eastAsia" w:ascii="仿宋" w:hAnsi="仿宋" w:eastAsia="仿宋" w:cs="仿宋"/>
          <w:sz w:val="28"/>
          <w:szCs w:val="28"/>
        </w:rPr>
        <w:t>11.1报价单位应按响应文件格式编制询价响应文件。</w:t>
      </w:r>
    </w:p>
    <w:p>
      <w:pPr>
        <w:pStyle w:val="14"/>
        <w:adjustRightInd w:val="0"/>
        <w:snapToGrid w:val="0"/>
        <w:spacing w:line="300" w:lineRule="auto"/>
        <w:ind w:left="420" w:hanging="420"/>
        <w:rPr>
          <w:rFonts w:ascii="仿宋" w:hAnsi="仿宋" w:eastAsia="仿宋" w:cs="仿宋"/>
          <w:sz w:val="28"/>
          <w:szCs w:val="28"/>
        </w:rPr>
      </w:pPr>
      <w:r>
        <w:rPr>
          <w:rFonts w:hint="eastAsia" w:ascii="仿宋" w:hAnsi="仿宋" w:eastAsia="仿宋" w:cs="仿宋"/>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
          <w:sz w:val="28"/>
          <w:szCs w:val="28"/>
        </w:rPr>
      </w:pPr>
      <w:r>
        <w:rPr>
          <w:rFonts w:hint="eastAsia" w:ascii="仿宋" w:hAnsi="仿宋" w:eastAsia="仿宋" w:cs="仿宋"/>
          <w:sz w:val="28"/>
          <w:szCs w:val="28"/>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
          <w:sz w:val="28"/>
          <w:szCs w:val="28"/>
        </w:rPr>
      </w:pPr>
      <w:r>
        <w:rPr>
          <w:rFonts w:hint="eastAsia" w:ascii="仿宋" w:hAnsi="仿宋" w:eastAsia="仿宋" w:cs="仿宋"/>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
          <w:sz w:val="28"/>
          <w:szCs w:val="28"/>
        </w:rPr>
      </w:pPr>
      <w:r>
        <w:rPr>
          <w:rFonts w:hint="eastAsia" w:ascii="仿宋" w:hAnsi="仿宋" w:eastAsia="仿宋" w:cs="仿宋"/>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
          <w:sz w:val="28"/>
          <w:szCs w:val="28"/>
        </w:rPr>
      </w:pPr>
      <w:r>
        <w:rPr>
          <w:rFonts w:hint="eastAsia" w:ascii="仿宋" w:hAnsi="仿宋" w:eastAsia="仿宋" w:cs="仿宋"/>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ascii="仿宋" w:hAnsi="仿宋" w:eastAsia="仿宋" w:cs="仿宋"/>
          <w:sz w:val="28"/>
          <w:szCs w:val="28"/>
        </w:rPr>
      </w:pPr>
      <w:r>
        <w:rPr>
          <w:rFonts w:hint="eastAsia" w:ascii="仿宋" w:hAnsi="仿宋" w:eastAsia="仿宋" w:cs="仿宋"/>
          <w:sz w:val="28"/>
          <w:szCs w:val="28"/>
        </w:rPr>
        <w:t>12.3任何有选择性报价的报价，将被视为无效报价。</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（8）在最近三年内发生重大产品质量问题；</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（9）被工商行政管理机关在全国企业信用信息公示系统中列入严重违法失信企业名单；</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（10）被纳入失信联合惩戒名单（具体名单以递交报价文件截止时间“信用广州”公布的“失信黑名单”为准）；</w:t>
      </w:r>
    </w:p>
    <w:p>
      <w:pPr>
        <w:pStyle w:val="14"/>
        <w:adjustRightInd w:val="0"/>
        <w:snapToGrid w:val="0"/>
        <w:spacing w:line="300" w:lineRule="auto"/>
        <w:rPr>
          <w:rFonts w:ascii="仿宋" w:hAnsi="仿宋" w:eastAsia="仿宋" w:cs="仿宋"/>
          <w:sz w:val="28"/>
          <w:szCs w:val="28"/>
        </w:rPr>
      </w:pPr>
      <w:r>
        <w:rPr>
          <w:rFonts w:hint="eastAsia" w:ascii="仿宋" w:hAnsi="仿宋" w:eastAsia="仿宋" w:cs="仿宋_GB2312"/>
          <w:sz w:val="28"/>
          <w:szCs w:val="28"/>
        </w:rPr>
        <w:t>（11）本项目截止时间前的半年中，在询价人组织的招标、询价活动中有被查实提供虚假投标材料的。</w:t>
      </w:r>
    </w:p>
    <w:p>
      <w:pPr>
        <w:pStyle w:val="14"/>
        <w:adjustRightInd w:val="0"/>
        <w:snapToGrid w:val="0"/>
        <w:spacing w:line="300" w:lineRule="auto"/>
        <w:ind w:left="562" w:leftChars="1" w:hanging="560" w:hangingChars="200"/>
        <w:rPr>
          <w:rFonts w:ascii="仿宋" w:hAnsi="仿宋" w:eastAsia="仿宋" w:cs="仿宋"/>
          <w:kern w:val="0"/>
          <w:sz w:val="28"/>
          <w:szCs w:val="28"/>
        </w:rPr>
      </w:pPr>
      <w:r>
        <w:rPr>
          <w:rFonts w:hint="eastAsia" w:ascii="仿宋" w:hAnsi="仿宋" w:eastAsia="仿宋" w:cs="仿宋"/>
          <w:kern w:val="0"/>
          <w:sz w:val="28"/>
          <w:szCs w:val="28"/>
        </w:rPr>
        <w:t>13. 联合体报价</w:t>
      </w:r>
    </w:p>
    <w:p>
      <w:pPr>
        <w:pStyle w:val="14"/>
        <w:adjustRightInd w:val="0"/>
        <w:snapToGrid w:val="0"/>
        <w:spacing w:line="300" w:lineRule="auto"/>
        <w:ind w:left="562" w:leftChars="1" w:hanging="560" w:hangingChars="200"/>
        <w:rPr>
          <w:rFonts w:ascii="仿宋" w:hAnsi="仿宋" w:eastAsia="仿宋" w:cs="仿宋"/>
          <w:kern w:val="0"/>
          <w:sz w:val="28"/>
          <w:szCs w:val="28"/>
        </w:rPr>
      </w:pPr>
      <w:r>
        <w:rPr>
          <w:rFonts w:hint="eastAsia" w:ascii="仿宋" w:hAnsi="仿宋" w:eastAsia="仿宋" w:cs="仿宋"/>
          <w:kern w:val="0"/>
          <w:sz w:val="28"/>
          <w:szCs w:val="28"/>
        </w:rPr>
        <w:t>13.1本项目不接受联合体参加报价。</w:t>
      </w:r>
    </w:p>
    <w:p>
      <w:pPr>
        <w:pStyle w:val="14"/>
        <w:adjustRightInd w:val="0"/>
        <w:snapToGrid w:val="0"/>
        <w:spacing w:line="300" w:lineRule="auto"/>
        <w:rPr>
          <w:rFonts w:ascii="仿宋" w:hAnsi="仿宋" w:eastAsia="仿宋" w:cs="仿宋"/>
          <w:sz w:val="28"/>
          <w:szCs w:val="28"/>
        </w:rPr>
      </w:pPr>
      <w:r>
        <w:rPr>
          <w:rFonts w:hint="eastAsia" w:ascii="仿宋" w:hAnsi="仿宋" w:eastAsia="仿宋" w:cs="仿宋"/>
          <w:sz w:val="28"/>
          <w:szCs w:val="28"/>
        </w:rPr>
        <w:t>14. 报价单位资格证明文件</w:t>
      </w:r>
    </w:p>
    <w:p>
      <w:pPr>
        <w:pStyle w:val="14"/>
        <w:adjustRightInd w:val="0"/>
        <w:snapToGrid w:val="0"/>
        <w:spacing w:line="300" w:lineRule="auto"/>
        <w:ind w:left="420" w:hanging="420"/>
        <w:rPr>
          <w:rFonts w:ascii="仿宋" w:hAnsi="仿宋" w:eastAsia="仿宋" w:cs="仿宋"/>
          <w:sz w:val="28"/>
          <w:szCs w:val="28"/>
        </w:rPr>
      </w:pPr>
      <w:r>
        <w:rPr>
          <w:rFonts w:hint="eastAsia" w:ascii="仿宋" w:hAnsi="仿宋" w:eastAsia="仿宋" w:cs="仿宋"/>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
          <w:sz w:val="28"/>
          <w:szCs w:val="28"/>
        </w:rPr>
      </w:pPr>
      <w:r>
        <w:rPr>
          <w:rFonts w:hint="eastAsia" w:ascii="仿宋" w:hAnsi="仿宋" w:eastAsia="仿宋" w:cs="仿宋"/>
          <w:sz w:val="28"/>
          <w:szCs w:val="28"/>
        </w:rPr>
        <w:t>14.2资格证明文件必须真实有效，复印件必须加盖单位印章。</w:t>
      </w:r>
    </w:p>
    <w:p>
      <w:pPr>
        <w:pStyle w:val="14"/>
        <w:adjustRightInd w:val="0"/>
        <w:snapToGrid w:val="0"/>
        <w:spacing w:line="300" w:lineRule="auto"/>
        <w:rPr>
          <w:rFonts w:ascii="仿宋" w:hAnsi="仿宋" w:eastAsia="仿宋" w:cs="仿宋"/>
          <w:sz w:val="28"/>
          <w:szCs w:val="28"/>
        </w:rPr>
      </w:pPr>
      <w:r>
        <w:rPr>
          <w:rFonts w:hint="eastAsia" w:ascii="仿宋" w:hAnsi="仿宋" w:eastAsia="仿宋" w:cs="仿宋"/>
          <w:sz w:val="28"/>
          <w:szCs w:val="28"/>
        </w:rPr>
        <w:t>15. 报价有效期</w:t>
      </w:r>
    </w:p>
    <w:p>
      <w:pPr>
        <w:adjustRightInd w:val="0"/>
        <w:snapToGrid w:val="0"/>
        <w:spacing w:line="300" w:lineRule="auto"/>
        <w:ind w:left="420" w:hanging="420"/>
        <w:rPr>
          <w:rFonts w:ascii="仿宋" w:hAnsi="仿宋" w:eastAsia="仿宋" w:cs="仿宋"/>
          <w:sz w:val="28"/>
          <w:szCs w:val="28"/>
        </w:rPr>
      </w:pPr>
      <w:r>
        <w:rPr>
          <w:rFonts w:hint="eastAsia" w:ascii="仿宋" w:hAnsi="仿宋" w:eastAsia="仿宋" w:cs="仿宋"/>
          <w:sz w:val="28"/>
          <w:szCs w:val="28"/>
        </w:rPr>
        <w:t>15.1询价响应文件应在询价会之日起</w:t>
      </w:r>
      <w:r>
        <w:rPr>
          <w:rFonts w:hint="eastAsia" w:ascii="仿宋" w:hAnsi="仿宋" w:eastAsia="仿宋" w:cs="仿宋"/>
          <w:sz w:val="28"/>
          <w:szCs w:val="28"/>
          <w:u w:val="single"/>
        </w:rPr>
        <w:t>90</w:t>
      </w:r>
      <w:r>
        <w:rPr>
          <w:rFonts w:hint="eastAsia" w:ascii="仿宋" w:hAnsi="仿宋" w:eastAsia="仿宋" w:cs="仿宋"/>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
          <w:sz w:val="28"/>
          <w:szCs w:val="28"/>
        </w:rPr>
      </w:pPr>
      <w:r>
        <w:rPr>
          <w:rFonts w:hint="eastAsia" w:ascii="仿宋" w:hAnsi="仿宋" w:eastAsia="仿宋" w:cs="仿宋"/>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
          <w:sz w:val="28"/>
          <w:szCs w:val="28"/>
        </w:rPr>
      </w:pPr>
      <w:r>
        <w:rPr>
          <w:rFonts w:hint="eastAsia" w:ascii="仿宋" w:hAnsi="仿宋" w:eastAsia="仿宋" w:cs="仿宋"/>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
          <w:kern w:val="0"/>
          <w:sz w:val="28"/>
          <w:szCs w:val="28"/>
        </w:rPr>
      </w:pPr>
      <w:r>
        <w:rPr>
          <w:rFonts w:hint="eastAsia" w:ascii="仿宋" w:hAnsi="仿宋" w:eastAsia="仿宋" w:cs="仿宋"/>
          <w:kern w:val="0"/>
          <w:sz w:val="28"/>
          <w:szCs w:val="28"/>
        </w:rPr>
        <w:t>16.1 报价单位应编制询价响应文件一式</w:t>
      </w:r>
      <w:r>
        <w:rPr>
          <w:rFonts w:hint="eastAsia" w:ascii="仿宋" w:hAnsi="仿宋" w:eastAsia="仿宋" w:cs="仿宋"/>
          <w:kern w:val="0"/>
          <w:sz w:val="28"/>
          <w:szCs w:val="28"/>
          <w:u w:val="single"/>
        </w:rPr>
        <w:t>2</w:t>
      </w:r>
      <w:r>
        <w:rPr>
          <w:rFonts w:hint="eastAsia" w:ascii="仿宋" w:hAnsi="仿宋" w:eastAsia="仿宋" w:cs="仿宋"/>
          <w:kern w:val="0"/>
          <w:sz w:val="28"/>
          <w:szCs w:val="28"/>
        </w:rPr>
        <w:t>份，其中正本一份和副本一</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
          <w:kern w:val="0"/>
          <w:sz w:val="28"/>
          <w:szCs w:val="28"/>
        </w:rPr>
      </w:pPr>
      <w:r>
        <w:rPr>
          <w:rFonts w:hint="eastAsia" w:ascii="仿宋" w:hAnsi="仿宋" w:eastAsia="仿宋" w:cs="仿宋"/>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ascii="仿宋" w:hAnsi="仿宋" w:eastAsia="仿宋" w:cs="仿宋"/>
          <w:kern w:val="0"/>
          <w:sz w:val="28"/>
          <w:szCs w:val="28"/>
        </w:rPr>
      </w:pPr>
      <w:r>
        <w:rPr>
          <w:rFonts w:hint="eastAsia" w:ascii="仿宋" w:hAnsi="仿宋" w:eastAsia="仿宋" w:cs="仿宋"/>
          <w:kern w:val="0"/>
          <w:sz w:val="28"/>
          <w:szCs w:val="28"/>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ascii="仿宋" w:hAnsi="仿宋" w:eastAsia="仿宋" w:cs="仿宋"/>
          <w:kern w:val="0"/>
          <w:sz w:val="28"/>
          <w:szCs w:val="28"/>
        </w:rPr>
      </w:pPr>
      <w:r>
        <w:rPr>
          <w:rFonts w:hint="eastAsia" w:ascii="仿宋" w:hAnsi="仿宋" w:eastAsia="仿宋" w:cs="仿宋"/>
          <w:kern w:val="0"/>
          <w:sz w:val="28"/>
          <w:szCs w:val="28"/>
        </w:rPr>
        <w:t>16.4电报、电话、传真形式的询价响应文件概不接受。</w:t>
      </w:r>
    </w:p>
    <w:p>
      <w:pPr>
        <w:autoSpaceDE w:val="0"/>
        <w:autoSpaceDN w:val="0"/>
        <w:adjustRightInd w:val="0"/>
        <w:snapToGrid w:val="0"/>
        <w:spacing w:line="300" w:lineRule="auto"/>
        <w:ind w:left="562" w:right="32" w:hanging="560" w:hangingChars="200"/>
        <w:rPr>
          <w:rFonts w:ascii="仿宋" w:hAnsi="仿宋" w:eastAsia="仿宋" w:cs="仿宋"/>
          <w:b/>
          <w:sz w:val="28"/>
          <w:szCs w:val="28"/>
        </w:rPr>
      </w:pPr>
      <w:r>
        <w:rPr>
          <w:rFonts w:hint="eastAsia" w:ascii="仿宋" w:hAnsi="仿宋" w:eastAsia="仿宋" w:cs="仿宋"/>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
          <w:kern w:val="0"/>
          <w:sz w:val="28"/>
          <w:szCs w:val="28"/>
        </w:rPr>
      </w:pPr>
      <w:r>
        <w:rPr>
          <w:rFonts w:hint="eastAsia" w:ascii="仿宋" w:hAnsi="仿宋" w:eastAsia="仿宋" w:cs="仿宋"/>
          <w:kern w:val="0"/>
          <w:sz w:val="28"/>
          <w:szCs w:val="28"/>
        </w:rPr>
        <w:t>17. 询价响应文件的密封和标记</w:t>
      </w:r>
    </w:p>
    <w:p>
      <w:pPr>
        <w:pStyle w:val="14"/>
        <w:adjustRightInd w:val="0"/>
        <w:snapToGrid w:val="0"/>
        <w:spacing w:line="300" w:lineRule="auto"/>
        <w:ind w:left="630" w:hanging="630" w:hangingChars="225"/>
        <w:rPr>
          <w:rFonts w:ascii="仿宋" w:hAnsi="仿宋" w:eastAsia="仿宋" w:cs="仿宋"/>
          <w:kern w:val="0"/>
          <w:sz w:val="28"/>
          <w:szCs w:val="28"/>
        </w:rPr>
      </w:pPr>
      <w:r>
        <w:rPr>
          <w:rFonts w:hint="eastAsia" w:ascii="仿宋" w:hAnsi="仿宋" w:eastAsia="仿宋" w:cs="仿宋"/>
          <w:kern w:val="0"/>
          <w:sz w:val="28"/>
          <w:szCs w:val="28"/>
        </w:rPr>
        <w:t>17.1报价单位应将询价响应文件正本和副本用单独的信封密封，注明“正本”或“副本”字样。</w:t>
      </w:r>
    </w:p>
    <w:p>
      <w:pPr>
        <w:pStyle w:val="14"/>
        <w:adjustRightInd w:val="0"/>
        <w:snapToGrid w:val="0"/>
        <w:spacing w:line="300" w:lineRule="auto"/>
        <w:ind w:left="630" w:hanging="630" w:hangingChars="225"/>
        <w:rPr>
          <w:rFonts w:ascii="仿宋" w:hAnsi="仿宋" w:eastAsia="仿宋" w:cs="仿宋"/>
          <w:kern w:val="0"/>
          <w:sz w:val="28"/>
          <w:szCs w:val="28"/>
        </w:rPr>
      </w:pPr>
      <w:r>
        <w:rPr>
          <w:rFonts w:hint="eastAsia" w:ascii="仿宋" w:hAnsi="仿宋" w:eastAsia="仿宋" w:cs="仿宋"/>
          <w:kern w:val="0"/>
          <w:sz w:val="28"/>
          <w:szCs w:val="28"/>
        </w:rPr>
        <w:t>17.2每一密封信封均应：</w:t>
      </w:r>
    </w:p>
    <w:p>
      <w:pPr>
        <w:pStyle w:val="14"/>
        <w:adjustRightInd w:val="0"/>
        <w:snapToGrid w:val="0"/>
        <w:spacing w:line="300" w:lineRule="auto"/>
        <w:ind w:left="1439" w:leftChars="343" w:hanging="719" w:hangingChars="257"/>
        <w:rPr>
          <w:rFonts w:ascii="仿宋" w:hAnsi="仿宋" w:eastAsia="仿宋" w:cs="仿宋"/>
          <w:kern w:val="0"/>
          <w:sz w:val="28"/>
          <w:szCs w:val="28"/>
        </w:rPr>
      </w:pPr>
      <w:r>
        <w:rPr>
          <w:rFonts w:hint="eastAsia" w:ascii="仿宋" w:hAnsi="仿宋" w:eastAsia="仿宋" w:cs="仿宋"/>
          <w:kern w:val="0"/>
          <w:sz w:val="28"/>
          <w:szCs w:val="28"/>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
          <w:kern w:val="0"/>
          <w:sz w:val="28"/>
          <w:szCs w:val="28"/>
        </w:rPr>
      </w:pPr>
      <w:r>
        <w:rPr>
          <w:rFonts w:hint="eastAsia" w:ascii="仿宋" w:hAnsi="仿宋" w:eastAsia="仿宋" w:cs="仿宋"/>
          <w:kern w:val="0"/>
          <w:sz w:val="28"/>
          <w:szCs w:val="28"/>
        </w:rPr>
        <w:t>（2）注明“于（递交询价响应文件截止时间）之前不准启封”的字样。</w:t>
      </w:r>
    </w:p>
    <w:p>
      <w:pPr>
        <w:pStyle w:val="14"/>
        <w:adjustRightInd w:val="0"/>
        <w:snapToGrid w:val="0"/>
        <w:spacing w:line="300" w:lineRule="auto"/>
        <w:ind w:left="630" w:hanging="630" w:hangingChars="225"/>
        <w:rPr>
          <w:rFonts w:ascii="仿宋" w:hAnsi="仿宋" w:eastAsia="仿宋" w:cs="仿宋"/>
          <w:kern w:val="0"/>
          <w:sz w:val="28"/>
          <w:szCs w:val="28"/>
        </w:rPr>
      </w:pPr>
      <w:r>
        <w:rPr>
          <w:rFonts w:hint="eastAsia" w:ascii="仿宋" w:hAnsi="仿宋" w:eastAsia="仿宋" w:cs="仿宋"/>
          <w:kern w:val="0"/>
          <w:sz w:val="28"/>
          <w:szCs w:val="28"/>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ascii="仿宋" w:hAnsi="仿宋" w:eastAsia="仿宋" w:cs="仿宋"/>
          <w:kern w:val="0"/>
          <w:sz w:val="28"/>
          <w:szCs w:val="28"/>
        </w:rPr>
      </w:pPr>
      <w:r>
        <w:rPr>
          <w:rFonts w:hint="eastAsia" w:ascii="仿宋" w:hAnsi="仿宋" w:eastAsia="仿宋" w:cs="仿宋"/>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
          <w:sz w:val="28"/>
          <w:szCs w:val="28"/>
        </w:rPr>
      </w:pPr>
      <w:r>
        <w:rPr>
          <w:rFonts w:hint="eastAsia" w:ascii="仿宋" w:hAnsi="仿宋" w:eastAsia="仿宋" w:cs="仿宋"/>
          <w:sz w:val="28"/>
          <w:szCs w:val="28"/>
        </w:rPr>
        <w:t>18. 询价响应文件递交截止时间</w:t>
      </w:r>
    </w:p>
    <w:p>
      <w:pPr>
        <w:pStyle w:val="14"/>
        <w:adjustRightInd w:val="0"/>
        <w:snapToGrid w:val="0"/>
        <w:spacing w:line="300" w:lineRule="auto"/>
        <w:ind w:left="630" w:hanging="630" w:hangingChars="225"/>
        <w:rPr>
          <w:rFonts w:ascii="仿宋" w:hAnsi="仿宋" w:eastAsia="仿宋" w:cs="仿宋"/>
          <w:kern w:val="0"/>
          <w:sz w:val="28"/>
          <w:szCs w:val="28"/>
        </w:rPr>
      </w:pPr>
      <w:r>
        <w:rPr>
          <w:rFonts w:hint="eastAsia" w:ascii="仿宋" w:hAnsi="仿宋" w:eastAsia="仿宋" w:cs="仿宋"/>
          <w:kern w:val="0"/>
          <w:sz w:val="28"/>
          <w:szCs w:val="28"/>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30" w:hanging="630" w:hangingChars="225"/>
        <w:rPr>
          <w:rFonts w:ascii="仿宋" w:hAnsi="仿宋" w:eastAsia="仿宋" w:cs="仿宋"/>
          <w:kern w:val="0"/>
          <w:sz w:val="28"/>
          <w:szCs w:val="28"/>
        </w:rPr>
      </w:pPr>
      <w:r>
        <w:rPr>
          <w:rFonts w:hint="eastAsia" w:ascii="仿宋" w:hAnsi="仿宋" w:eastAsia="仿宋" w:cs="仿宋"/>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
          <w:sz w:val="28"/>
          <w:szCs w:val="28"/>
        </w:rPr>
      </w:pPr>
      <w:r>
        <w:rPr>
          <w:rFonts w:hint="eastAsia" w:ascii="仿宋" w:hAnsi="仿宋" w:eastAsia="仿宋" w:cs="仿宋"/>
          <w:sz w:val="28"/>
          <w:szCs w:val="28"/>
        </w:rPr>
        <w:t>19. 询价响应文件的修改和撤回</w:t>
      </w:r>
    </w:p>
    <w:p>
      <w:pPr>
        <w:pStyle w:val="14"/>
        <w:adjustRightInd w:val="0"/>
        <w:snapToGrid w:val="0"/>
        <w:spacing w:line="300" w:lineRule="auto"/>
        <w:ind w:left="630" w:hanging="630" w:hangingChars="225"/>
        <w:rPr>
          <w:rFonts w:ascii="仿宋" w:hAnsi="仿宋" w:eastAsia="仿宋" w:cs="仿宋"/>
          <w:kern w:val="0"/>
          <w:sz w:val="28"/>
          <w:szCs w:val="28"/>
        </w:rPr>
      </w:pPr>
      <w:r>
        <w:rPr>
          <w:rFonts w:hint="eastAsia" w:ascii="仿宋" w:hAnsi="仿宋" w:eastAsia="仿宋" w:cs="仿宋"/>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
          <w:kern w:val="0"/>
          <w:sz w:val="28"/>
          <w:szCs w:val="28"/>
        </w:rPr>
      </w:pPr>
      <w:r>
        <w:rPr>
          <w:rFonts w:hint="eastAsia" w:ascii="仿宋" w:hAnsi="仿宋" w:eastAsia="仿宋" w:cs="仿宋"/>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
          <w:sz w:val="28"/>
          <w:szCs w:val="28"/>
          <w:u w:val="single"/>
        </w:rPr>
        <w:t>（询价人）</w:t>
      </w:r>
      <w:r>
        <w:rPr>
          <w:rFonts w:hint="eastAsia" w:ascii="仿宋" w:hAnsi="仿宋" w:eastAsia="仿宋" w:cs="仿宋"/>
          <w:kern w:val="0"/>
          <w:sz w:val="28"/>
          <w:szCs w:val="28"/>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
          <w:sz w:val="28"/>
          <w:szCs w:val="28"/>
        </w:rPr>
      </w:pPr>
      <w:r>
        <w:rPr>
          <w:rFonts w:hint="eastAsia" w:ascii="仿宋" w:hAnsi="仿宋" w:eastAsia="仿宋" w:cs="仿宋"/>
          <w:sz w:val="28"/>
          <w:szCs w:val="28"/>
        </w:rPr>
        <w:t>19.3 报价单位所提交的询价响应文件在询价结束后，无论成交与否都不退还。</w:t>
      </w:r>
    </w:p>
    <w:p>
      <w:pPr>
        <w:pStyle w:val="14"/>
        <w:adjustRightInd w:val="0"/>
        <w:snapToGrid w:val="0"/>
        <w:spacing w:line="300" w:lineRule="auto"/>
        <w:rPr>
          <w:rFonts w:ascii="仿宋" w:hAnsi="仿宋" w:eastAsia="仿宋" w:cs="仿宋"/>
          <w:b/>
          <w:sz w:val="28"/>
          <w:szCs w:val="28"/>
        </w:rPr>
      </w:pPr>
      <w:r>
        <w:rPr>
          <w:rFonts w:hint="eastAsia" w:ascii="仿宋" w:hAnsi="仿宋" w:eastAsia="仿宋" w:cs="仿宋"/>
          <w:b/>
          <w:sz w:val="28"/>
          <w:szCs w:val="28"/>
        </w:rPr>
        <w:t>五、评审</w:t>
      </w:r>
    </w:p>
    <w:p>
      <w:pPr>
        <w:pStyle w:val="14"/>
        <w:adjustRightInd w:val="0"/>
        <w:snapToGrid w:val="0"/>
        <w:spacing w:line="300" w:lineRule="auto"/>
        <w:rPr>
          <w:rFonts w:ascii="仿宋" w:hAnsi="仿宋" w:eastAsia="仿宋" w:cs="仿宋"/>
          <w:sz w:val="28"/>
          <w:szCs w:val="28"/>
        </w:rPr>
      </w:pPr>
      <w:r>
        <w:rPr>
          <w:rFonts w:hint="eastAsia" w:ascii="仿宋" w:hAnsi="仿宋" w:eastAsia="仿宋" w:cs="仿宋"/>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
          <w:kern w:val="0"/>
          <w:sz w:val="28"/>
          <w:szCs w:val="28"/>
        </w:rPr>
      </w:pPr>
      <w:r>
        <w:rPr>
          <w:rFonts w:hint="eastAsia" w:ascii="仿宋" w:hAnsi="仿宋" w:eastAsia="仿宋" w:cs="仿宋"/>
          <w:sz w:val="28"/>
          <w:szCs w:val="28"/>
        </w:rPr>
        <w:t xml:space="preserve">20.1 </w:t>
      </w:r>
      <w:r>
        <w:rPr>
          <w:rFonts w:hint="eastAsia" w:ascii="仿宋" w:hAnsi="仿宋" w:eastAsia="仿宋" w:cs="仿宋"/>
          <w:kern w:val="0"/>
          <w:sz w:val="28"/>
          <w:szCs w:val="28"/>
        </w:rPr>
        <w:t>评审由</w:t>
      </w:r>
      <w:r>
        <w:rPr>
          <w:rFonts w:hint="eastAsia" w:ascii="仿宋" w:hAnsi="仿宋" w:eastAsia="仿宋" w:cs="仿宋"/>
          <w:sz w:val="28"/>
          <w:szCs w:val="28"/>
          <w:u w:val="single"/>
        </w:rPr>
        <w:t>询价人</w:t>
      </w:r>
      <w:r>
        <w:rPr>
          <w:rFonts w:hint="eastAsia" w:ascii="仿宋" w:hAnsi="仿宋" w:eastAsia="仿宋" w:cs="仿宋"/>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
          <w:kern w:val="0"/>
          <w:sz w:val="28"/>
          <w:szCs w:val="28"/>
        </w:rPr>
      </w:pPr>
      <w:r>
        <w:rPr>
          <w:rFonts w:hint="eastAsia" w:ascii="仿宋" w:hAnsi="仿宋" w:eastAsia="仿宋" w:cs="仿宋"/>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
          <w:kern w:val="0"/>
          <w:sz w:val="28"/>
          <w:szCs w:val="28"/>
        </w:rPr>
      </w:pPr>
      <w:r>
        <w:rPr>
          <w:rFonts w:hint="eastAsia" w:ascii="仿宋" w:hAnsi="仿宋" w:eastAsia="仿宋" w:cs="仿宋"/>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
          <w:kern w:val="0"/>
          <w:sz w:val="28"/>
          <w:szCs w:val="28"/>
        </w:rPr>
      </w:pPr>
      <w:r>
        <w:rPr>
          <w:rFonts w:hint="eastAsia" w:ascii="仿宋" w:hAnsi="仿宋" w:eastAsia="仿宋" w:cs="仿宋"/>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
          <w:kern w:val="0"/>
          <w:sz w:val="28"/>
          <w:szCs w:val="28"/>
        </w:rPr>
      </w:pPr>
      <w:r>
        <w:rPr>
          <w:rFonts w:hint="eastAsia" w:ascii="仿宋" w:hAnsi="仿宋" w:eastAsia="仿宋" w:cs="仿宋"/>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
          <w:kern w:val="0"/>
          <w:sz w:val="28"/>
          <w:szCs w:val="28"/>
        </w:rPr>
      </w:pPr>
      <w:r>
        <w:rPr>
          <w:rFonts w:hint="eastAsia" w:ascii="仿宋" w:hAnsi="仿宋" w:eastAsia="仿宋" w:cs="仿宋"/>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
          <w:kern w:val="0"/>
          <w:sz w:val="28"/>
          <w:szCs w:val="28"/>
        </w:rPr>
      </w:pPr>
      <w:r>
        <w:rPr>
          <w:rFonts w:hint="eastAsia" w:ascii="仿宋" w:hAnsi="仿宋" w:eastAsia="仿宋" w:cs="仿宋"/>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
          <w:b/>
          <w:bCs/>
          <w:kern w:val="0"/>
          <w:sz w:val="28"/>
          <w:szCs w:val="28"/>
        </w:rPr>
      </w:pPr>
      <w:r>
        <w:rPr>
          <w:rFonts w:hint="eastAsia" w:ascii="仿宋" w:hAnsi="仿宋" w:eastAsia="仿宋" w:cs="仿宋"/>
          <w:kern w:val="0"/>
          <w:sz w:val="28"/>
          <w:szCs w:val="28"/>
        </w:rPr>
        <w:t xml:space="preserve">21.4 </w:t>
      </w:r>
      <w:r>
        <w:rPr>
          <w:rFonts w:hint="eastAsia" w:ascii="仿宋" w:hAnsi="仿宋" w:eastAsia="仿宋" w:cs="仿宋"/>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
          <w:kern w:val="0"/>
          <w:sz w:val="28"/>
          <w:szCs w:val="28"/>
        </w:rPr>
      </w:pPr>
      <w:r>
        <w:rPr>
          <w:rFonts w:hint="eastAsia" w:ascii="仿宋" w:hAnsi="仿宋" w:eastAsia="仿宋" w:cs="仿宋"/>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
          <w:kern w:val="0"/>
          <w:sz w:val="28"/>
          <w:szCs w:val="28"/>
        </w:rPr>
      </w:pPr>
      <w:r>
        <w:rPr>
          <w:rFonts w:hint="eastAsia" w:ascii="仿宋" w:hAnsi="仿宋" w:eastAsia="仿宋" w:cs="仿宋"/>
          <w:kern w:val="0"/>
          <w:sz w:val="28"/>
          <w:szCs w:val="28"/>
        </w:rPr>
        <w:t>22.1询价小组将详细分析、核对每一份报价表，看其是否有计算上或累加上的算术误差，并加以修正。修正误差的原则如下：</w:t>
      </w:r>
    </w:p>
    <w:p>
      <w:pPr>
        <w:numPr>
          <w:ilvl w:val="1"/>
          <w:numId w:val="10"/>
        </w:numPr>
        <w:tabs>
          <w:tab w:val="left" w:pos="180"/>
          <w:tab w:val="left" w:pos="360"/>
          <w:tab w:val="left" w:pos="1260"/>
          <w:tab w:val="clear" w:pos="840"/>
        </w:tabs>
        <w:snapToGrid w:val="0"/>
        <w:spacing w:line="300" w:lineRule="auto"/>
        <w:ind w:left="0" w:firstLine="0"/>
        <w:jc w:val="left"/>
        <w:rPr>
          <w:rFonts w:ascii="仿宋" w:hAnsi="仿宋" w:eastAsia="仿宋" w:cs="仿宋"/>
          <w:sz w:val="28"/>
          <w:szCs w:val="28"/>
        </w:rPr>
      </w:pPr>
      <w:r>
        <w:rPr>
          <w:rFonts w:hint="eastAsia" w:ascii="仿宋" w:hAnsi="仿宋" w:eastAsia="仿宋" w:cs="仿宋"/>
          <w:sz w:val="28"/>
          <w:szCs w:val="28"/>
        </w:rPr>
        <w:t>大写金额与小写金额不一致的，以大写金额为准；</w:t>
      </w:r>
    </w:p>
    <w:p>
      <w:pPr>
        <w:numPr>
          <w:ilvl w:val="1"/>
          <w:numId w:val="10"/>
        </w:numPr>
        <w:tabs>
          <w:tab w:val="left" w:pos="180"/>
          <w:tab w:val="left" w:pos="360"/>
          <w:tab w:val="left" w:pos="1260"/>
          <w:tab w:val="clear" w:pos="840"/>
        </w:tabs>
        <w:snapToGrid w:val="0"/>
        <w:spacing w:line="300" w:lineRule="auto"/>
        <w:ind w:left="0" w:firstLine="0"/>
        <w:jc w:val="left"/>
        <w:rPr>
          <w:rFonts w:ascii="仿宋" w:hAnsi="仿宋" w:eastAsia="仿宋" w:cs="仿宋"/>
          <w:sz w:val="28"/>
          <w:szCs w:val="28"/>
        </w:rPr>
      </w:pPr>
      <w:r>
        <w:rPr>
          <w:rFonts w:hint="eastAsia" w:ascii="仿宋" w:hAnsi="仿宋" w:eastAsia="仿宋" w:cs="仿宋"/>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
          <w:kern w:val="0"/>
          <w:sz w:val="28"/>
          <w:szCs w:val="28"/>
        </w:rPr>
      </w:pPr>
      <w:r>
        <w:rPr>
          <w:rFonts w:hint="eastAsia" w:ascii="仿宋" w:hAnsi="仿宋" w:eastAsia="仿宋" w:cs="仿宋"/>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
          <w:kern w:val="0"/>
          <w:sz w:val="28"/>
          <w:szCs w:val="28"/>
        </w:rPr>
      </w:pPr>
      <w:r>
        <w:rPr>
          <w:rFonts w:hint="eastAsia" w:ascii="仿宋" w:hAnsi="仿宋" w:eastAsia="仿宋" w:cs="仿宋"/>
          <w:kern w:val="0"/>
          <w:sz w:val="28"/>
          <w:szCs w:val="28"/>
        </w:rPr>
        <w:t>22.3超过最高限价的报价将被拒绝。</w:t>
      </w:r>
    </w:p>
    <w:p>
      <w:pPr>
        <w:spacing w:line="25" w:lineRule="atLeast"/>
        <w:rPr>
          <w:rFonts w:ascii="仿宋" w:hAnsi="仿宋" w:eastAsia="仿宋" w:cs="仿宋"/>
          <w:b/>
          <w:sz w:val="28"/>
          <w:szCs w:val="28"/>
        </w:rPr>
      </w:pPr>
      <w:r>
        <w:rPr>
          <w:rFonts w:hint="eastAsia" w:ascii="仿宋" w:hAnsi="仿宋" w:eastAsia="仿宋" w:cs="仿宋"/>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
          <w:kern w:val="0"/>
          <w:sz w:val="28"/>
          <w:szCs w:val="28"/>
        </w:rPr>
      </w:pPr>
      <w:r>
        <w:rPr>
          <w:rFonts w:hint="eastAsia" w:ascii="仿宋" w:hAnsi="仿宋" w:eastAsia="仿宋" w:cs="仿宋"/>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
          <w:kern w:val="0"/>
          <w:sz w:val="28"/>
          <w:szCs w:val="28"/>
        </w:rPr>
      </w:pPr>
      <w:r>
        <w:rPr>
          <w:rFonts w:hint="eastAsia" w:ascii="仿宋" w:hAnsi="仿宋" w:eastAsia="仿宋" w:cs="仿宋"/>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
          <w:kern w:val="0"/>
          <w:sz w:val="28"/>
          <w:szCs w:val="28"/>
        </w:rPr>
      </w:pPr>
      <w:r>
        <w:rPr>
          <w:rFonts w:hint="eastAsia" w:ascii="仿宋" w:hAnsi="仿宋" w:eastAsia="仿宋" w:cs="仿宋"/>
          <w:sz w:val="28"/>
          <w:szCs w:val="28"/>
        </w:rPr>
        <w:t>23.2承包人确定后，询价人</w:t>
      </w:r>
      <w:r>
        <w:rPr>
          <w:rFonts w:hint="eastAsia" w:ascii="仿宋" w:hAnsi="仿宋" w:eastAsia="仿宋" w:cs="仿宋"/>
          <w:kern w:val="0"/>
          <w:sz w:val="28"/>
          <w:szCs w:val="28"/>
        </w:rPr>
        <w:t>向承包人发出《发包通知书》，</w:t>
      </w:r>
      <w:r>
        <w:rPr>
          <w:rFonts w:hint="eastAsia" w:ascii="仿宋" w:hAnsi="仿宋" w:eastAsia="仿宋" w:cs="仿宋"/>
          <w:sz w:val="28"/>
          <w:szCs w:val="28"/>
        </w:rPr>
        <w:t>对承包人和询价人具有同等法律效力</w:t>
      </w:r>
      <w:r>
        <w:rPr>
          <w:rFonts w:hint="eastAsia" w:ascii="仿宋" w:hAnsi="仿宋" w:eastAsia="仿宋" w:cs="仿宋"/>
          <w:kern w:val="0"/>
          <w:sz w:val="28"/>
          <w:szCs w:val="28"/>
        </w:rPr>
        <w:t>。</w:t>
      </w:r>
    </w:p>
    <w:p>
      <w:pPr>
        <w:pStyle w:val="14"/>
        <w:adjustRightInd w:val="0"/>
        <w:snapToGrid w:val="0"/>
        <w:spacing w:line="300" w:lineRule="auto"/>
        <w:rPr>
          <w:rFonts w:ascii="仿宋" w:hAnsi="仿宋" w:eastAsia="仿宋" w:cs="仿宋"/>
          <w:b/>
          <w:sz w:val="28"/>
          <w:szCs w:val="28"/>
        </w:rPr>
      </w:pPr>
      <w:r>
        <w:rPr>
          <w:rFonts w:hint="eastAsia" w:ascii="仿宋" w:hAnsi="仿宋" w:eastAsia="仿宋" w:cs="仿宋"/>
          <w:b/>
          <w:sz w:val="28"/>
          <w:szCs w:val="28"/>
        </w:rPr>
        <w:t>七、 合同的订立和履行</w:t>
      </w:r>
    </w:p>
    <w:p>
      <w:pPr>
        <w:autoSpaceDE w:val="0"/>
        <w:autoSpaceDN w:val="0"/>
        <w:adjustRightInd w:val="0"/>
        <w:snapToGrid w:val="0"/>
        <w:spacing w:line="300" w:lineRule="auto"/>
        <w:ind w:right="32"/>
        <w:rPr>
          <w:rFonts w:ascii="仿宋" w:hAnsi="仿宋" w:eastAsia="仿宋" w:cs="仿宋"/>
          <w:kern w:val="0"/>
          <w:sz w:val="28"/>
          <w:szCs w:val="28"/>
        </w:rPr>
      </w:pPr>
      <w:r>
        <w:rPr>
          <w:rFonts w:hint="eastAsia" w:ascii="仿宋" w:hAnsi="仿宋" w:eastAsia="仿宋" w:cs="仿宋"/>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
          <w:sz w:val="28"/>
          <w:szCs w:val="28"/>
        </w:rPr>
      </w:pPr>
      <w:r>
        <w:rPr>
          <w:rFonts w:hint="eastAsia" w:ascii="仿宋" w:hAnsi="仿宋" w:eastAsia="仿宋" w:cs="仿宋"/>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
          <w:kern w:val="0"/>
          <w:sz w:val="28"/>
          <w:szCs w:val="28"/>
        </w:rPr>
      </w:pPr>
      <w:r>
        <w:rPr>
          <w:rFonts w:hint="eastAsia" w:ascii="仿宋" w:hAnsi="仿宋" w:eastAsia="仿宋" w:cs="仿宋"/>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
          <w:kern w:val="0"/>
          <w:sz w:val="28"/>
          <w:szCs w:val="28"/>
        </w:rPr>
      </w:pPr>
      <w:r>
        <w:rPr>
          <w:rFonts w:hint="eastAsia" w:ascii="仿宋" w:hAnsi="仿宋" w:eastAsia="仿宋" w:cs="仿宋"/>
          <w:kern w:val="0"/>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 w:hAnsi="仿宋" w:eastAsia="仿宋" w:cs="仿宋"/>
          <w:kern w:val="0"/>
          <w:sz w:val="28"/>
          <w:szCs w:val="28"/>
        </w:rPr>
      </w:pPr>
      <w:r>
        <w:rPr>
          <w:rFonts w:hint="eastAsia" w:ascii="仿宋" w:hAnsi="仿宋" w:eastAsia="仿宋" w:cs="仿宋"/>
          <w:kern w:val="0"/>
          <w:sz w:val="28"/>
          <w:szCs w:val="28"/>
        </w:rPr>
        <w:t>25.2 承包人因不可抗力或者自身原因不能履行承包合同的，询价人</w:t>
      </w:r>
      <w:r>
        <w:rPr>
          <w:rFonts w:hint="eastAsia" w:ascii="仿宋" w:hAnsi="仿宋" w:eastAsia="仿宋" w:cs="仿宋"/>
          <w:sz w:val="28"/>
          <w:szCs w:val="28"/>
        </w:rPr>
        <w:t>可以与排位在承包人之后第一位的成交候选报价单位签订承包</w:t>
      </w:r>
      <w:r>
        <w:rPr>
          <w:rFonts w:hint="eastAsia" w:ascii="仿宋" w:hAnsi="仿宋" w:eastAsia="仿宋" w:cs="仿宋"/>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
          <w:b/>
          <w:kern w:val="0"/>
          <w:sz w:val="28"/>
          <w:szCs w:val="28"/>
        </w:rPr>
      </w:pPr>
      <w:r>
        <w:rPr>
          <w:rFonts w:hint="eastAsia" w:ascii="仿宋" w:hAnsi="仿宋" w:eastAsia="仿宋" w:cs="仿宋"/>
          <w:b/>
          <w:kern w:val="0"/>
          <w:sz w:val="28"/>
          <w:szCs w:val="28"/>
        </w:rPr>
        <w:t>八、质疑</w:t>
      </w:r>
    </w:p>
    <w:p>
      <w:pPr>
        <w:autoSpaceDE w:val="0"/>
        <w:autoSpaceDN w:val="0"/>
        <w:adjustRightInd w:val="0"/>
        <w:snapToGrid w:val="0"/>
        <w:spacing w:line="300" w:lineRule="auto"/>
        <w:ind w:left="420" w:right="32" w:hanging="420"/>
        <w:rPr>
          <w:rFonts w:cs="仿宋_GB2312" w:asciiTheme="majorEastAsia" w:hAnsiTheme="majorEastAsia" w:eastAsiaTheme="majorEastAsia"/>
          <w:sz w:val="28"/>
          <w:szCs w:val="28"/>
        </w:rPr>
      </w:pPr>
      <w:r>
        <w:rPr>
          <w:rFonts w:hint="eastAsia" w:ascii="仿宋" w:hAnsi="仿宋" w:eastAsia="仿宋" w:cs="仿宋"/>
          <w:sz w:val="28"/>
          <w:szCs w:val="28"/>
        </w:rPr>
        <w:t>26. 如果报价人认为询价文件或询价过程或询价结果使其权益受到损害的，可向询价人提出书面质疑。询价人应在3天内给与答复。</w:t>
      </w:r>
    </w:p>
    <w:p>
      <w:pPr>
        <w:pStyle w:val="14"/>
        <w:adjustRightInd w:val="0"/>
        <w:snapToGrid w:val="0"/>
        <w:spacing w:line="300" w:lineRule="auto"/>
        <w:rPr>
          <w:rFonts w:cs="仿宋_GB2312" w:asciiTheme="majorEastAsia" w:hAnsiTheme="majorEastAsia" w:eastAsiaTheme="majorEastAsia"/>
          <w:b/>
          <w:sz w:val="28"/>
          <w:szCs w:val="28"/>
          <w:lang w:val="zh-CN"/>
        </w:rPr>
      </w:pPr>
    </w:p>
    <w:p>
      <w:pPr>
        <w:ind w:firstLine="560" w:firstLineChars="200"/>
        <w:rPr>
          <w:rFonts w:cs="仿宋_GB2312" w:asciiTheme="majorEastAsia" w:hAnsiTheme="majorEastAsia" w:eastAsiaTheme="majorEastAsia"/>
        </w:rPr>
      </w:pPr>
      <w:r>
        <w:rPr>
          <w:rFonts w:cs="仿宋_GB2312" w:asciiTheme="majorEastAsia" w:hAnsiTheme="majorEastAsia" w:eastAsiaTheme="majorEastAsia"/>
          <w:b/>
          <w:sz w:val="28"/>
          <w:szCs w:val="28"/>
          <w:lang w:val="zh-CN"/>
        </w:rPr>
        <w:br w:type="page"/>
      </w:r>
      <w:r>
        <w:rPr>
          <w:rFonts w:hint="eastAsia" w:cs="仿宋_GB2312" w:asciiTheme="majorEastAsia" w:hAnsiTheme="majorEastAsia" w:eastAsiaTheme="majorEastAsia"/>
        </w:rPr>
        <w:t>附件一</w:t>
      </w:r>
      <w:r>
        <w:rPr>
          <w:rFonts w:cs="仿宋_GB2312" w:asciiTheme="majorEastAsia" w:hAnsiTheme="majorEastAsia" w:eastAsiaTheme="majorEastAsia"/>
        </w:rPr>
        <w:t xml:space="preserve">  </w:t>
      </w:r>
      <w:r>
        <w:rPr>
          <w:rFonts w:hint="eastAsia" w:cs="仿宋_GB2312" w:asciiTheme="majorEastAsia" w:hAnsiTheme="majorEastAsia" w:eastAsiaTheme="majorEastAsia"/>
        </w:rPr>
        <w:t>报价记录表</w:t>
      </w:r>
    </w:p>
    <w:p>
      <w:pPr>
        <w:autoSpaceDE w:val="0"/>
        <w:autoSpaceDN w:val="0"/>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u w:val="single"/>
        </w:rPr>
        <w:t>广州市净水有限公司污水处理过程精细化控制研究项目仪表采购</w:t>
      </w:r>
      <w:r>
        <w:rPr>
          <w:rFonts w:cs="仿宋" w:asciiTheme="majorEastAsia" w:hAnsiTheme="majorEastAsia" w:eastAsiaTheme="majorEastAsia"/>
          <w:sz w:val="28"/>
          <w:szCs w:val="28"/>
          <w:u w:val="single"/>
        </w:rPr>
        <w:t>项目</w:t>
      </w:r>
      <w:r>
        <w:rPr>
          <w:rFonts w:hint="eastAsia" w:cs="仿宋" w:asciiTheme="majorEastAsia" w:hAnsiTheme="majorEastAsia" w:eastAsiaTheme="majorEastAsia"/>
          <w:sz w:val="28"/>
          <w:szCs w:val="28"/>
        </w:rPr>
        <w:t>报价记录表</w:t>
      </w:r>
    </w:p>
    <w:p>
      <w:pPr>
        <w:spacing w:line="500" w:lineRule="exact"/>
        <w:jc w:val="right"/>
        <w:rPr>
          <w:rFonts w:cs="仿宋_GB2312" w:asciiTheme="majorEastAsia" w:hAnsiTheme="majorEastAsia" w:eastAsiaTheme="majorEastAsia"/>
        </w:rPr>
      </w:pPr>
      <w:r>
        <w:rPr>
          <w:rFonts w:hint="eastAsia" w:cs="仿宋_GB2312" w:asciiTheme="majorEastAsia" w:hAnsiTheme="majorEastAsia" w:eastAsiaTheme="majorEastAsia"/>
          <w:szCs w:val="21"/>
        </w:rPr>
        <w:t>报价文件开启时间：</w:t>
      </w:r>
      <w:r>
        <w:rPr>
          <w:rFonts w:cs="仿宋_GB2312" w:asciiTheme="majorEastAsia" w:hAnsiTheme="majorEastAsia" w:eastAsiaTheme="majorEastAsia"/>
          <w:sz w:val="28"/>
          <w:szCs w:val="28"/>
          <w:u w:val="single"/>
        </w:rPr>
        <w:t xml:space="preserve">    </w:t>
      </w:r>
      <w:r>
        <w:rPr>
          <w:rFonts w:hint="eastAsia" w:cs="仿宋_GB2312" w:asciiTheme="majorEastAsia" w:hAnsiTheme="majorEastAsia" w:eastAsiaTheme="majorEastAsia"/>
          <w:szCs w:val="21"/>
        </w:rPr>
        <w:t>年</w:t>
      </w:r>
      <w:r>
        <w:rPr>
          <w:rFonts w:cs="仿宋_GB2312" w:asciiTheme="majorEastAsia" w:hAnsiTheme="majorEastAsia" w:eastAsiaTheme="majorEastAsia"/>
          <w:sz w:val="28"/>
          <w:szCs w:val="28"/>
          <w:u w:val="single"/>
        </w:rPr>
        <w:t xml:space="preserve">    </w:t>
      </w:r>
      <w:r>
        <w:rPr>
          <w:rFonts w:hint="eastAsia" w:cs="仿宋_GB2312" w:asciiTheme="majorEastAsia" w:hAnsiTheme="majorEastAsia" w:eastAsiaTheme="majorEastAsia"/>
          <w:szCs w:val="21"/>
        </w:rPr>
        <w:t>月</w:t>
      </w:r>
      <w:r>
        <w:rPr>
          <w:rFonts w:cs="仿宋_GB2312" w:asciiTheme="majorEastAsia" w:hAnsiTheme="majorEastAsia" w:eastAsiaTheme="majorEastAsia"/>
          <w:sz w:val="28"/>
          <w:szCs w:val="28"/>
          <w:u w:val="single"/>
        </w:rPr>
        <w:t xml:space="preserve">    </w:t>
      </w:r>
      <w:r>
        <w:rPr>
          <w:rFonts w:hint="eastAsia" w:cs="仿宋_GB2312" w:asciiTheme="majorEastAsia" w:hAnsiTheme="majorEastAsia" w:eastAsiaTheme="majorEastAsia"/>
          <w:szCs w:val="21"/>
        </w:rPr>
        <w:t>日</w:t>
      </w:r>
      <w:r>
        <w:rPr>
          <w:rFonts w:cs="仿宋_GB2312" w:asciiTheme="majorEastAsia" w:hAnsiTheme="majorEastAsia" w:eastAsiaTheme="majorEastAsia"/>
          <w:sz w:val="28"/>
          <w:szCs w:val="28"/>
          <w:u w:val="single"/>
        </w:rPr>
        <w:t xml:space="preserve">    </w:t>
      </w:r>
      <w:r>
        <w:rPr>
          <w:rFonts w:hint="eastAsia" w:cs="仿宋_GB2312" w:asciiTheme="majorEastAsia" w:hAnsiTheme="majorEastAsia" w:eastAsiaTheme="majorEastAsia"/>
          <w:szCs w:val="21"/>
        </w:rPr>
        <w:t>时</w:t>
      </w:r>
      <w:r>
        <w:rPr>
          <w:rFonts w:cs="仿宋_GB2312" w:asciiTheme="majorEastAsia" w:hAnsiTheme="majorEastAsia" w:eastAsiaTheme="majorEastAsia"/>
          <w:sz w:val="28"/>
          <w:szCs w:val="28"/>
          <w:u w:val="single"/>
        </w:rPr>
        <w:t xml:space="preserve">    </w:t>
      </w:r>
      <w:r>
        <w:rPr>
          <w:rFonts w:hint="eastAsia" w:cs="仿宋_GB2312" w:asciiTheme="majorEastAsia" w:hAnsiTheme="majorEastAsia" w:eastAsiaTheme="majorEastAsia"/>
          <w:szCs w:val="21"/>
        </w:rPr>
        <w:t>分</w:t>
      </w:r>
    </w:p>
    <w:tbl>
      <w:tblPr>
        <w:tblStyle w:val="2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_GB2312" w:asciiTheme="majorEastAsia" w:hAnsiTheme="majorEastAsia" w:eastAsiaTheme="majorEastAsia"/>
                <w:szCs w:val="21"/>
              </w:rPr>
            </w:pPr>
            <w:r>
              <w:rPr>
                <w:rFonts w:hint="eastAsia" w:cs="仿宋_GB2312" w:asciiTheme="majorEastAsia" w:hAnsiTheme="majorEastAsia" w:eastAsiaTheme="majorEastAsia"/>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_GB2312" w:asciiTheme="majorEastAsia" w:hAnsiTheme="majorEastAsia" w:eastAsiaTheme="majorEastAsia"/>
                <w:szCs w:val="21"/>
              </w:rPr>
            </w:pPr>
            <w:r>
              <w:rPr>
                <w:rFonts w:hint="eastAsia" w:cs="仿宋_GB2312" w:asciiTheme="majorEastAsia" w:hAnsiTheme="majorEastAsia" w:eastAsiaTheme="majorEastAsia"/>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_GB2312" w:asciiTheme="majorEastAsia" w:hAnsiTheme="majorEastAsia" w:eastAsiaTheme="majorEastAsia"/>
                <w:szCs w:val="21"/>
              </w:rPr>
            </w:pPr>
            <w:r>
              <w:rPr>
                <w:rFonts w:hint="eastAsia" w:cs="仿宋_GB2312" w:asciiTheme="majorEastAsia" w:hAnsiTheme="majorEastAsia" w:eastAsiaTheme="majorEastAsia"/>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_GB2312" w:asciiTheme="majorEastAsia" w:hAnsiTheme="majorEastAsia" w:eastAsiaTheme="majorEastAsia"/>
                <w:szCs w:val="21"/>
              </w:rPr>
            </w:pPr>
            <w:r>
              <w:rPr>
                <w:rFonts w:hint="eastAsia" w:cs="仿宋_GB2312" w:asciiTheme="majorEastAsia" w:hAnsiTheme="majorEastAsia" w:eastAsiaTheme="majorEastAsia"/>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_GB2312" w:asciiTheme="majorEastAsia" w:hAnsiTheme="majorEastAsia" w:eastAsiaTheme="majorEastAsia"/>
                <w:szCs w:val="21"/>
              </w:rPr>
            </w:pPr>
            <w:r>
              <w:rPr>
                <w:rFonts w:hint="eastAsia" w:cs="仿宋_GB2312" w:asciiTheme="majorEastAsia" w:hAnsiTheme="majorEastAsia" w:eastAsiaTheme="majorEastAsia"/>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_GB2312" w:asciiTheme="majorEastAsia" w:hAnsiTheme="majorEastAsia" w:eastAsiaTheme="majorEastAsia"/>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_GB2312" w:asciiTheme="majorEastAsia" w:hAnsiTheme="majorEastAsia" w:eastAsiaTheme="majorEastAsia"/>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仿宋_GB2312" w:asciiTheme="majorEastAsia" w:hAnsiTheme="majorEastAsia" w:eastAsiaTheme="majorEastAsia"/>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cs="仿宋_GB2312" w:asciiTheme="majorEastAsia" w:hAnsiTheme="majorEastAsia" w:eastAsiaTheme="majorEastAsia"/>
                <w:szCs w:val="21"/>
              </w:rPr>
            </w:pPr>
          </w:p>
        </w:tc>
      </w:tr>
    </w:tbl>
    <w:p>
      <w:pPr>
        <w:spacing w:line="440" w:lineRule="exact"/>
        <w:rPr>
          <w:rFonts w:cs="仿宋_GB2312" w:asciiTheme="majorEastAsia" w:hAnsiTheme="majorEastAsia" w:eastAsiaTheme="majorEastAsia"/>
        </w:rPr>
      </w:pPr>
    </w:p>
    <w:p>
      <w:pPr>
        <w:spacing w:line="440" w:lineRule="exact"/>
        <w:rPr>
          <w:rFonts w:cs="仿宋_GB2312" w:asciiTheme="majorEastAsia" w:hAnsiTheme="majorEastAsia" w:eastAsiaTheme="majorEastAsia"/>
          <w:u w:val="single"/>
        </w:rPr>
      </w:pPr>
      <w:r>
        <w:rPr>
          <w:rFonts w:hint="eastAsia" w:cs="仿宋_GB2312" w:asciiTheme="majorEastAsia" w:hAnsiTheme="majorEastAsia" w:eastAsiaTheme="majorEastAsia"/>
        </w:rPr>
        <w:t>经办人：</w:t>
      </w:r>
      <w:r>
        <w:rPr>
          <w:rFonts w:cs="仿宋_GB2312" w:asciiTheme="majorEastAsia" w:hAnsiTheme="majorEastAsia" w:eastAsiaTheme="majorEastAsia"/>
          <w:u w:val="single"/>
        </w:rPr>
        <w:t xml:space="preserve">                   </w:t>
      </w:r>
      <w:r>
        <w:rPr>
          <w:rFonts w:cs="仿宋_GB2312" w:asciiTheme="majorEastAsia" w:hAnsiTheme="majorEastAsia" w:eastAsiaTheme="majorEastAsia"/>
        </w:rPr>
        <w:t xml:space="preserve"> 记录人：</w:t>
      </w:r>
      <w:r>
        <w:rPr>
          <w:rFonts w:cs="仿宋_GB2312" w:asciiTheme="majorEastAsia" w:hAnsiTheme="majorEastAsia" w:eastAsiaTheme="majorEastAsia"/>
          <w:u w:val="single"/>
        </w:rPr>
        <w:t xml:space="preserve">                   </w:t>
      </w:r>
      <w:r>
        <w:rPr>
          <w:rFonts w:cs="仿宋_GB2312" w:asciiTheme="majorEastAsia" w:hAnsiTheme="majorEastAsia" w:eastAsiaTheme="majorEastAsia"/>
        </w:rPr>
        <w:t xml:space="preserve"> </w:t>
      </w:r>
    </w:p>
    <w:p>
      <w:pPr>
        <w:spacing w:line="440" w:lineRule="exact"/>
        <w:rPr>
          <w:rFonts w:cs="仿宋_GB2312" w:asciiTheme="majorEastAsia" w:hAnsiTheme="majorEastAsia" w:eastAsiaTheme="majorEastAsia"/>
          <w:u w:val="single"/>
        </w:rPr>
      </w:pPr>
      <w:r>
        <w:rPr>
          <w:rFonts w:cs="仿宋_GB2312" w:asciiTheme="majorEastAsia" w:hAnsiTheme="majorEastAsia" w:eastAsiaTheme="majorEastAsia"/>
        </w:rPr>
        <w:t xml:space="preserve">                                            </w:t>
      </w:r>
      <w:r>
        <w:rPr>
          <w:rFonts w:cs="仿宋_GB2312" w:asciiTheme="majorEastAsia" w:hAnsiTheme="majorEastAsia" w:eastAsiaTheme="majorEastAsia"/>
          <w:u w:val="single"/>
        </w:rPr>
        <w:t xml:space="preserve">      </w:t>
      </w:r>
      <w:r>
        <w:rPr>
          <w:rFonts w:hint="eastAsia" w:cs="仿宋_GB2312" w:asciiTheme="majorEastAsia" w:hAnsiTheme="majorEastAsia" w:eastAsiaTheme="majorEastAsia"/>
        </w:rPr>
        <w:t>年</w:t>
      </w:r>
      <w:r>
        <w:rPr>
          <w:rFonts w:cs="仿宋_GB2312" w:asciiTheme="majorEastAsia" w:hAnsiTheme="majorEastAsia" w:eastAsiaTheme="majorEastAsia"/>
          <w:u w:val="single"/>
        </w:rPr>
        <w:t xml:space="preserve">      </w:t>
      </w:r>
      <w:r>
        <w:rPr>
          <w:rFonts w:hint="eastAsia" w:cs="仿宋_GB2312" w:asciiTheme="majorEastAsia" w:hAnsiTheme="majorEastAsia" w:eastAsiaTheme="majorEastAsia"/>
        </w:rPr>
        <w:t>月</w:t>
      </w:r>
      <w:r>
        <w:rPr>
          <w:rFonts w:cs="仿宋_GB2312" w:asciiTheme="majorEastAsia" w:hAnsiTheme="majorEastAsia" w:eastAsiaTheme="majorEastAsia"/>
        </w:rPr>
        <w:t xml:space="preserve"> </w:t>
      </w:r>
      <w:r>
        <w:rPr>
          <w:rFonts w:cs="仿宋_GB2312" w:asciiTheme="majorEastAsia" w:hAnsiTheme="majorEastAsia" w:eastAsiaTheme="majorEastAsia"/>
          <w:u w:val="single"/>
        </w:rPr>
        <w:t xml:space="preserve">      </w:t>
      </w:r>
      <w:r>
        <w:rPr>
          <w:rFonts w:hint="eastAsia" w:cs="仿宋_GB2312" w:asciiTheme="majorEastAsia" w:hAnsiTheme="majorEastAsia" w:eastAsiaTheme="majorEastAsia"/>
        </w:rPr>
        <w:t>日</w:t>
      </w:r>
    </w:p>
    <w:p>
      <w:pPr>
        <w:spacing w:line="440" w:lineRule="exact"/>
        <w:rPr>
          <w:rFonts w:cs="仿宋_GB2312" w:asciiTheme="majorEastAsia" w:hAnsiTheme="majorEastAsia" w:eastAsiaTheme="majorEastAsia"/>
          <w:sz w:val="28"/>
          <w:szCs w:val="28"/>
        </w:rPr>
      </w:pPr>
      <w:r>
        <w:rPr>
          <w:rFonts w:cs="仿宋_GB2312" w:asciiTheme="majorEastAsia" w:hAnsiTheme="majorEastAsia" w:eastAsiaTheme="majorEastAsia"/>
        </w:rPr>
        <w:br w:type="page"/>
      </w:r>
      <w:r>
        <w:rPr>
          <w:rFonts w:hint="eastAsia" w:cs="仿宋_GB2312" w:asciiTheme="majorEastAsia" w:hAnsiTheme="majorEastAsia" w:eastAsiaTheme="majorEastAsia"/>
          <w:b/>
          <w:bCs/>
          <w:sz w:val="32"/>
          <w:szCs w:val="32"/>
        </w:rPr>
        <w:t>附件二</w:t>
      </w:r>
    </w:p>
    <w:p>
      <w:pPr>
        <w:spacing w:line="360" w:lineRule="auto"/>
        <w:jc w:val="center"/>
        <w:rPr>
          <w:rFonts w:asciiTheme="majorEastAsia" w:hAnsiTheme="majorEastAsia" w:eastAsiaTheme="majorEastAsia"/>
          <w:b/>
          <w:sz w:val="36"/>
          <w:szCs w:val="36"/>
        </w:rPr>
      </w:pPr>
      <w:r>
        <w:rPr>
          <w:rFonts w:hint="eastAsia" w:asciiTheme="majorEastAsia" w:hAnsiTheme="majorEastAsia" w:eastAsiaTheme="majorEastAsia"/>
          <w:b/>
          <w:bCs/>
          <w:sz w:val="36"/>
          <w:szCs w:val="36"/>
        </w:rPr>
        <w:t>广州市净水有限公司</w:t>
      </w:r>
      <w:r>
        <w:rPr>
          <w:rFonts w:hint="eastAsia" w:asciiTheme="majorEastAsia" w:hAnsiTheme="majorEastAsia" w:eastAsiaTheme="majorEastAsia"/>
          <w:b/>
          <w:sz w:val="36"/>
          <w:szCs w:val="36"/>
        </w:rPr>
        <w:t>非公开询价项目询价评审记录表</w:t>
      </w:r>
    </w:p>
    <w:p>
      <w:pPr>
        <w:spacing w:line="360" w:lineRule="auto"/>
        <w:ind w:left="1200" w:hanging="1200" w:hangingChars="500"/>
        <w:rPr>
          <w:rFonts w:asciiTheme="majorEastAsia" w:hAnsiTheme="majorEastAsia" w:eastAsiaTheme="majorEastAsia"/>
          <w:sz w:val="24"/>
        </w:rPr>
      </w:pPr>
      <w:r>
        <w:rPr>
          <w:rFonts w:hint="eastAsia" w:asciiTheme="majorEastAsia" w:hAnsiTheme="majorEastAsia" w:eastAsiaTheme="majorEastAsia"/>
          <w:sz w:val="24"/>
        </w:rPr>
        <w:t>项目名称</w:t>
      </w:r>
      <w:r>
        <w:rPr>
          <w:rFonts w:asciiTheme="majorEastAsia" w:hAnsiTheme="majorEastAsia" w:eastAsiaTheme="majorEastAsia"/>
          <w:sz w:val="24"/>
        </w:rPr>
        <w:t>:</w:t>
      </w:r>
      <w:r>
        <w:rPr>
          <w:rFonts w:hint="eastAsia"/>
        </w:rPr>
        <w:t xml:space="preserve"> </w:t>
      </w:r>
      <w:r>
        <w:rPr>
          <w:rFonts w:hint="eastAsia"/>
          <w:sz w:val="24"/>
        </w:rPr>
        <w:t>广州市净水有限公司</w:t>
      </w:r>
      <w:r>
        <w:rPr>
          <w:rFonts w:hint="eastAsia" w:asciiTheme="majorEastAsia" w:hAnsiTheme="majorEastAsia" w:eastAsiaTheme="majorEastAsia"/>
          <w:sz w:val="24"/>
        </w:rPr>
        <w:t>污水处理过程精细化控制研究项目仪表采购</w:t>
      </w:r>
      <w:r>
        <w:rPr>
          <w:rFonts w:asciiTheme="majorEastAsia" w:hAnsiTheme="majorEastAsia" w:eastAsiaTheme="majorEastAsia"/>
          <w:sz w:val="24"/>
        </w:rPr>
        <w:t xml:space="preserve">项目                            </w:t>
      </w:r>
    </w:p>
    <w:tbl>
      <w:tblPr>
        <w:tblStyle w:val="27"/>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Theme="majorEastAsia" w:hAnsiTheme="majorEastAsia" w:eastAsiaTheme="majorEastAsia"/>
                <w:sz w:val="24"/>
              </w:rPr>
            </w:pPr>
            <w:r>
              <w:rPr>
                <w:rFonts w:hint="eastAsia" w:asciiTheme="majorEastAsia" w:hAnsiTheme="majorEastAsia" w:eastAsiaTheme="major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Theme="majorEastAsia" w:hAnsiTheme="majorEastAsia" w:eastAsiaTheme="majorEastAsia"/>
                <w:sz w:val="24"/>
              </w:rPr>
            </w:pPr>
            <w:r>
              <w:rPr>
                <w:rFonts w:hint="eastAsia" w:asciiTheme="majorEastAsia" w:hAnsiTheme="majorEastAsia" w:eastAsiaTheme="major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Theme="majorEastAsia" w:hAnsiTheme="majorEastAsia" w:eastAsiaTheme="majorEastAsia"/>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Theme="majorEastAsia" w:hAnsiTheme="majorEastAsia" w:eastAsiaTheme="majorEastAsia"/>
                <w:sz w:val="24"/>
              </w:rPr>
            </w:pPr>
            <w:r>
              <w:rPr>
                <w:rFonts w:asciiTheme="majorEastAsia" w:hAnsiTheme="majorEastAsia" w:eastAsiaTheme="majorEastAsia"/>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r>
              <w:rPr>
                <w:rFonts w:hint="eastAsia" w:asciiTheme="majorEastAsia" w:hAnsiTheme="majorEastAsia" w:eastAsiaTheme="majorEastAsia"/>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r>
              <w:rPr>
                <w:rFonts w:hint="eastAsia" w:asciiTheme="majorEastAsia" w:hAnsiTheme="majorEastAsia" w:eastAsiaTheme="majorEastAsia"/>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Theme="majorEastAsia" w:hAnsiTheme="majorEastAsia" w:eastAsiaTheme="majorEastAsia"/>
                <w:sz w:val="24"/>
              </w:rPr>
            </w:pPr>
            <w:r>
              <w:rPr>
                <w:rFonts w:asciiTheme="majorEastAsia" w:hAnsiTheme="majorEastAsia" w:eastAsiaTheme="majorEastAsia"/>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r>
              <w:rPr>
                <w:rFonts w:hint="eastAsia" w:asciiTheme="majorEastAsia" w:hAnsiTheme="majorEastAsia" w:eastAsiaTheme="majorEastAsia"/>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r>
              <w:rPr>
                <w:rFonts w:hint="eastAsia" w:asciiTheme="majorEastAsia" w:hAnsiTheme="majorEastAsia" w:eastAsiaTheme="majorEastAsia"/>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Theme="majorEastAsia" w:hAnsiTheme="majorEastAsia" w:eastAsiaTheme="majorEastAsia"/>
                <w:sz w:val="24"/>
              </w:rPr>
            </w:pPr>
            <w:r>
              <w:rPr>
                <w:rFonts w:asciiTheme="majorEastAsia" w:hAnsiTheme="majorEastAsia" w:eastAsiaTheme="majorEastAsia"/>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r>
              <w:rPr>
                <w:rFonts w:hint="eastAsia" w:asciiTheme="majorEastAsia" w:hAnsiTheme="majorEastAsia" w:eastAsiaTheme="majorEastAsia"/>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r>
              <w:rPr>
                <w:rFonts w:hint="eastAsia" w:asciiTheme="majorEastAsia" w:hAnsiTheme="majorEastAsia" w:eastAsiaTheme="majorEastAsia"/>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Theme="majorEastAsia" w:hAnsiTheme="majorEastAsia" w:eastAsiaTheme="majorEastAsia"/>
                <w:sz w:val="24"/>
              </w:rPr>
            </w:pPr>
            <w:r>
              <w:rPr>
                <w:rFonts w:asciiTheme="majorEastAsia" w:hAnsiTheme="majorEastAsia" w:eastAsiaTheme="majorEastAsia"/>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r>
              <w:rPr>
                <w:rFonts w:hint="eastAsia" w:asciiTheme="majorEastAsia" w:hAnsiTheme="majorEastAsia" w:eastAsiaTheme="majorEastAsia"/>
                <w:sz w:val="24"/>
              </w:rPr>
              <w:t>符合报价单位资格要求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r>
              <w:rPr>
                <w:rFonts w:hint="eastAsia" w:asciiTheme="majorEastAsia" w:hAnsiTheme="majorEastAsia" w:eastAsiaTheme="majorEastAsia"/>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Theme="majorEastAsia" w:hAnsiTheme="majorEastAsia" w:eastAsiaTheme="majorEastAsia"/>
                <w:sz w:val="24"/>
              </w:rPr>
            </w:pPr>
            <w:r>
              <w:rPr>
                <w:rFonts w:asciiTheme="majorEastAsia" w:hAnsiTheme="majorEastAsia" w:eastAsiaTheme="majorEastAsia"/>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r>
              <w:rPr>
                <w:rFonts w:hint="eastAsia" w:asciiTheme="majorEastAsia" w:hAnsiTheme="majorEastAsia" w:eastAsiaTheme="majorEastAsia"/>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r>
              <w:rPr>
                <w:rFonts w:hint="eastAsia" w:asciiTheme="majorEastAsia" w:hAnsiTheme="majorEastAsia" w:eastAsiaTheme="majorEastAsia"/>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Theme="majorEastAsia" w:hAnsiTheme="majorEastAsia" w:eastAsiaTheme="majorEastAsia"/>
                <w:sz w:val="24"/>
              </w:rPr>
            </w:pPr>
            <w:r>
              <w:rPr>
                <w:rFonts w:asciiTheme="majorEastAsia" w:hAnsiTheme="majorEastAsia" w:eastAsiaTheme="majorEastAsia"/>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r>
              <w:rPr>
                <w:rFonts w:hint="eastAsia" w:asciiTheme="majorEastAsia" w:hAnsiTheme="majorEastAsia" w:eastAsiaTheme="majorEastAsia"/>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r>
              <w:rPr>
                <w:rFonts w:hint="eastAsia" w:asciiTheme="majorEastAsia" w:hAnsiTheme="majorEastAsia" w:eastAsiaTheme="majorEastAsia"/>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Theme="majorEastAsia" w:hAnsiTheme="majorEastAsia" w:eastAsiaTheme="majorEastAsia"/>
                <w:sz w:val="24"/>
              </w:rPr>
            </w:pPr>
            <w:r>
              <w:rPr>
                <w:rFonts w:asciiTheme="majorEastAsia" w:hAnsiTheme="majorEastAsia" w:eastAsiaTheme="majorEastAsia"/>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r>
              <w:rPr>
                <w:rFonts w:hint="eastAsia" w:asciiTheme="majorEastAsia" w:hAnsiTheme="majorEastAsia" w:eastAsiaTheme="majorEastAsia"/>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r>
              <w:rPr>
                <w:rFonts w:hint="eastAsia" w:asciiTheme="majorEastAsia" w:hAnsiTheme="majorEastAsia" w:eastAsiaTheme="majorEastAsia"/>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Theme="majorEastAsia" w:hAnsiTheme="majorEastAsia" w:eastAsiaTheme="majorEastAsia"/>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Theme="majorEastAsia" w:hAnsiTheme="majorEastAsia" w:eastAsiaTheme="majorEastAsia"/>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Theme="majorEastAsia" w:hAnsiTheme="majorEastAsia" w:eastAsia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Theme="majorEastAsia" w:hAnsiTheme="majorEastAsia" w:eastAsiaTheme="majorEastAsia"/>
                <w:sz w:val="24"/>
              </w:rPr>
            </w:pPr>
            <w:r>
              <w:rPr>
                <w:rFonts w:hint="eastAsia" w:asciiTheme="majorEastAsia" w:hAnsiTheme="majorEastAsia" w:eastAsiaTheme="majorEastAsia"/>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Theme="majorEastAsia" w:hAnsiTheme="majorEastAsia" w:eastAsiaTheme="majorEastAsia"/>
                <w:sz w:val="24"/>
              </w:rPr>
            </w:pPr>
          </w:p>
        </w:tc>
      </w:tr>
    </w:tbl>
    <w:p>
      <w:pPr>
        <w:ind w:left="840" w:hanging="840" w:hangingChars="400"/>
        <w:rPr>
          <w:rFonts w:asciiTheme="majorEastAsia" w:hAnsiTheme="majorEastAsia" w:eastAsiaTheme="majorEastAsia"/>
        </w:rPr>
      </w:pPr>
      <w:r>
        <w:rPr>
          <w:rFonts w:hint="eastAsia" w:asciiTheme="majorEastAsia" w:hAnsiTheme="majorEastAsia" w:eastAsiaTheme="majorEastAsia"/>
        </w:rPr>
        <w:t>备注：</w:t>
      </w:r>
      <w:r>
        <w:rPr>
          <w:rFonts w:asciiTheme="majorEastAsia" w:hAnsiTheme="majorEastAsia" w:eastAsiaTheme="majorEastAsia"/>
        </w:rPr>
        <w:t>1、审核情况填写“符合”或“不符合；或者打“√”或“×”。</w:t>
      </w:r>
    </w:p>
    <w:p>
      <w:pPr>
        <w:numPr>
          <w:ilvl w:val="0"/>
          <w:numId w:val="11"/>
        </w:numPr>
        <w:ind w:firstLine="630" w:firstLineChars="300"/>
        <w:rPr>
          <w:rFonts w:asciiTheme="majorEastAsia" w:hAnsiTheme="majorEastAsia" w:eastAsiaTheme="majorEastAsia"/>
        </w:rPr>
      </w:pPr>
      <w:r>
        <w:rPr>
          <w:rFonts w:hint="eastAsia" w:asciiTheme="majorEastAsia" w:hAnsiTheme="majorEastAsia" w:eastAsiaTheme="majorEastAsia"/>
        </w:rPr>
        <w:t>本表所有审核情况均为符合的，结论为报名成功。若有一项或以上审核情况为不符合的，结论为报名不成功。</w:t>
      </w:r>
    </w:p>
    <w:p>
      <w:pPr>
        <w:pStyle w:val="14"/>
        <w:adjustRightInd w:val="0"/>
        <w:snapToGrid w:val="0"/>
        <w:spacing w:line="300" w:lineRule="auto"/>
        <w:jc w:val="center"/>
        <w:rPr>
          <w:rFonts w:cs="仿宋_GB2312" w:asciiTheme="majorEastAsia" w:hAnsiTheme="majorEastAsia" w:eastAsiaTheme="majorEastAsia"/>
          <w:b/>
          <w:sz w:val="32"/>
          <w:szCs w:val="32"/>
        </w:rPr>
      </w:pPr>
    </w:p>
    <w:p>
      <w:pPr>
        <w:pStyle w:val="14"/>
        <w:adjustRightInd w:val="0"/>
        <w:snapToGrid w:val="0"/>
        <w:spacing w:line="300" w:lineRule="auto"/>
        <w:jc w:val="center"/>
        <w:rPr>
          <w:rFonts w:cs="仿宋_GB2312" w:asciiTheme="majorEastAsia" w:hAnsiTheme="majorEastAsia" w:eastAsiaTheme="majorEastAsia"/>
          <w:b/>
          <w:sz w:val="32"/>
          <w:szCs w:val="32"/>
        </w:rPr>
      </w:pPr>
      <w:r>
        <w:rPr>
          <w:rFonts w:hint="eastAsia" w:cs="仿宋_GB2312" w:asciiTheme="majorEastAsia" w:hAnsiTheme="majorEastAsia" w:eastAsiaTheme="majorEastAsia"/>
          <w:b/>
          <w:sz w:val="32"/>
          <w:szCs w:val="32"/>
        </w:rPr>
        <w:t>第四部分</w:t>
      </w:r>
      <w:r>
        <w:rPr>
          <w:rFonts w:cs="仿宋_GB2312" w:asciiTheme="majorEastAsia" w:hAnsiTheme="majorEastAsia" w:eastAsiaTheme="majorEastAsia"/>
          <w:b/>
          <w:sz w:val="32"/>
          <w:szCs w:val="32"/>
        </w:rPr>
        <w:t xml:space="preserve"> </w:t>
      </w:r>
      <w:r>
        <w:rPr>
          <w:rFonts w:hint="eastAsia" w:cs="仿宋_GB2312" w:asciiTheme="majorEastAsia" w:hAnsiTheme="majorEastAsia" w:eastAsiaTheme="majorEastAsia"/>
          <w:b/>
          <w:sz w:val="32"/>
          <w:szCs w:val="32"/>
        </w:rPr>
        <w:t>合同书</w:t>
      </w:r>
      <w:r>
        <w:rPr>
          <w:rFonts w:cs="仿宋_GB2312" w:asciiTheme="majorEastAsia" w:hAnsiTheme="majorEastAsia" w:eastAsiaTheme="majorEastAsia"/>
          <w:b/>
          <w:sz w:val="32"/>
          <w:szCs w:val="32"/>
        </w:rPr>
        <w:t>格式</w:t>
      </w:r>
    </w:p>
    <w:p>
      <w:pPr>
        <w:jc w:val="right"/>
        <w:rPr>
          <w:rFonts w:ascii="宋体" w:hAnsi="宋体"/>
          <w:b/>
          <w:sz w:val="44"/>
        </w:rPr>
      </w:pPr>
      <w:r>
        <w:rPr>
          <w:rFonts w:hint="eastAsia" w:ascii="宋体" w:hAnsi="宋体"/>
          <w:b/>
          <w:szCs w:val="21"/>
        </w:rPr>
        <w:t>2020年10月版</w:t>
      </w:r>
    </w:p>
    <w:p>
      <w:pPr>
        <w:rPr>
          <w:rFonts w:ascii="宋体" w:hAnsi="宋体"/>
          <w:b/>
          <w:sz w:val="44"/>
        </w:rPr>
      </w:pPr>
    </w:p>
    <w:p>
      <w:pPr>
        <w:spacing w:line="400" w:lineRule="atLeast"/>
        <w:jc w:val="center"/>
        <w:rPr>
          <w:rFonts w:ascii="宋体" w:hAnsi="宋体"/>
          <w:b/>
          <w:sz w:val="48"/>
          <w:szCs w:val="48"/>
          <w14:shadow w14:blurRad="50800" w14:dist="38100" w14:dir="2700000" w14:sx="100000" w14:sy="100000" w14:kx="0" w14:ky="0" w14:algn="tl">
            <w14:srgbClr w14:val="000000">
              <w14:alpha w14:val="60000"/>
            </w14:srgbClr>
          </w14:shadow>
        </w:rPr>
      </w:pPr>
      <w:r>
        <w:rPr>
          <w:rFonts w:hint="eastAsia" w:ascii="宋体" w:hAnsi="宋体"/>
          <w:b/>
          <w:sz w:val="48"/>
          <w:szCs w:val="48"/>
          <w14:shadow w14:blurRad="50800" w14:dist="38100" w14:dir="2700000" w14:sx="100000" w14:sy="100000" w14:kx="0" w14:ky="0" w14:algn="tl">
            <w14:srgbClr w14:val="000000">
              <w14:alpha w14:val="60000"/>
            </w14:srgbClr>
          </w14:shadow>
        </w:rPr>
        <w:t>广州市净水有限公司</w:t>
      </w:r>
    </w:p>
    <w:p>
      <w:pPr>
        <w:spacing w:line="400" w:lineRule="atLeast"/>
        <w:jc w:val="center"/>
        <w:rPr>
          <w:rFonts w:ascii="宋体" w:hAnsi="宋体"/>
          <w:b/>
          <w:sz w:val="48"/>
          <w:szCs w:val="48"/>
          <w14:shadow w14:blurRad="50800" w14:dist="38100" w14:dir="2700000" w14:sx="100000" w14:sy="100000" w14:kx="0" w14:ky="0" w14:algn="tl">
            <w14:srgbClr w14:val="000000">
              <w14:alpha w14:val="60000"/>
            </w14:srgbClr>
          </w14:shadow>
        </w:rPr>
      </w:pPr>
      <w:r>
        <w:rPr>
          <w:rFonts w:hint="eastAsia" w:ascii="宋体" w:hAnsi="宋体"/>
          <w:b/>
          <w:sz w:val="48"/>
          <w:szCs w:val="48"/>
          <w14:shadow w14:blurRad="50800" w14:dist="38100" w14:dir="2700000" w14:sx="100000" w14:sy="100000" w14:kx="0" w14:ky="0" w14:algn="tl">
            <w14:srgbClr w14:val="000000">
              <w14:alpha w14:val="60000"/>
            </w14:srgbClr>
          </w14:shadow>
        </w:rPr>
        <w:t>货物采购合同</w:t>
      </w:r>
    </w:p>
    <w:p>
      <w:pPr>
        <w:spacing w:line="360" w:lineRule="auto"/>
        <w:jc w:val="center"/>
        <w:rPr>
          <w:rFonts w:ascii="宋体" w:hAnsi="宋体" w:cs="宋体"/>
          <w:sz w:val="28"/>
          <w:szCs w:val="28"/>
        </w:rPr>
      </w:pPr>
      <w:r>
        <w:rPr>
          <w:rFonts w:hint="eastAsia" w:ascii="宋体" w:hAnsi="宋体" w:cs="宋体"/>
          <w:sz w:val="28"/>
          <w:szCs w:val="28"/>
        </w:rPr>
        <w:t>（示范文本）</w:t>
      </w:r>
    </w:p>
    <w:p>
      <w:pPr>
        <w:spacing w:line="360" w:lineRule="auto"/>
        <w:jc w:val="center"/>
        <w:rPr>
          <w:rFonts w:ascii="宋体" w:hAnsi="宋体" w:cs="宋体"/>
          <w:sz w:val="28"/>
          <w:szCs w:val="28"/>
        </w:rPr>
      </w:pPr>
      <w:r>
        <w:rPr>
          <w:rFonts w:hint="eastAsia" w:ascii="宋体" w:hAnsi="宋体" w:cs="宋体"/>
          <w:sz w:val="28"/>
          <w:szCs w:val="28"/>
        </w:rPr>
        <w:t>（适用非公招简易项目）</w:t>
      </w:r>
    </w:p>
    <w:p>
      <w:pPr>
        <w:jc w:val="center"/>
        <w:rPr>
          <w:sz w:val="30"/>
        </w:rPr>
      </w:pPr>
    </w:p>
    <w:p>
      <w:pPr>
        <w:rPr>
          <w:b/>
          <w:bCs/>
          <w:sz w:val="30"/>
        </w:rPr>
      </w:pPr>
    </w:p>
    <w:p>
      <w:pPr>
        <w:spacing w:line="480" w:lineRule="auto"/>
        <w:rPr>
          <w:rFonts w:ascii="宋体" w:hAnsi="宋体" w:cs="宋体"/>
          <w:b/>
          <w:bCs/>
          <w:sz w:val="30"/>
        </w:rPr>
      </w:pPr>
      <w:r>
        <w:rPr>
          <w:rFonts w:hint="eastAsia" w:ascii="宋体" w:hAnsi="宋体" w:cs="宋体"/>
          <w:b/>
          <w:bCs/>
          <w:sz w:val="30"/>
        </w:rPr>
        <w:t>项目名称：</w:t>
      </w:r>
      <w:r>
        <w:rPr>
          <w:rFonts w:hint="eastAsia"/>
        </w:rPr>
        <w:t xml:space="preserve"> </w:t>
      </w:r>
      <w:r>
        <w:rPr>
          <w:rFonts w:hint="eastAsia"/>
          <w:sz w:val="24"/>
        </w:rPr>
        <w:t>广州市净水有限公司</w:t>
      </w:r>
      <w:r>
        <w:rPr>
          <w:rFonts w:hint="eastAsia" w:asciiTheme="majorEastAsia" w:hAnsiTheme="majorEastAsia" w:eastAsiaTheme="majorEastAsia"/>
          <w:sz w:val="24"/>
        </w:rPr>
        <w:t>污水处理过程精细化控制研究项目仪表采购</w:t>
      </w:r>
      <w:r>
        <w:rPr>
          <w:rFonts w:asciiTheme="majorEastAsia" w:hAnsiTheme="majorEastAsia" w:eastAsiaTheme="majorEastAsia"/>
          <w:sz w:val="24"/>
        </w:rPr>
        <w:t>项目</w:t>
      </w:r>
    </w:p>
    <w:p>
      <w:pPr>
        <w:spacing w:line="480" w:lineRule="auto"/>
        <w:rPr>
          <w:rFonts w:ascii="宋体" w:hAnsi="宋体" w:cs="宋体"/>
          <w:b/>
          <w:bCs/>
          <w:sz w:val="30"/>
        </w:rPr>
      </w:pPr>
    </w:p>
    <w:p>
      <w:pPr>
        <w:spacing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spacing w:line="480" w:lineRule="auto"/>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甲方（买方）：广州市净水有限公司</w:t>
      </w:r>
    </w:p>
    <w:p>
      <w:pPr>
        <w:spacing w:line="480" w:lineRule="auto"/>
        <w:rPr>
          <w:rFonts w:ascii="宋体" w:hAnsi="宋体" w:cs="宋体"/>
          <w:b/>
          <w:bCs/>
          <w:sz w:val="30"/>
        </w:rPr>
      </w:pPr>
      <w:r>
        <w:rPr>
          <w:rFonts w:hint="eastAsia" w:ascii="宋体" w:hAnsi="宋体" w:cs="宋体"/>
          <w:b/>
          <w:bCs/>
          <w:sz w:val="30"/>
        </w:rPr>
        <w:t>乙方（卖方）：</w:t>
      </w:r>
      <w:r>
        <w:rPr>
          <w:rFonts w:hint="eastAsia" w:ascii="宋体" w:hAnsi="宋体" w:cs="宋体"/>
          <w:b/>
          <w:bCs/>
          <w:sz w:val="30"/>
          <w:u w:val="single"/>
        </w:rPr>
        <w:t xml:space="preserve">                                          </w:t>
      </w:r>
      <w:r>
        <w:rPr>
          <w:rFonts w:hint="eastAsia" w:ascii="宋体" w:hAnsi="宋体" w:cs="宋体"/>
          <w:b/>
          <w:bCs/>
          <w:sz w:val="30"/>
        </w:rPr>
        <w:t xml:space="preserve"> </w:t>
      </w:r>
    </w:p>
    <w:p>
      <w:pPr>
        <w:spacing w:line="480" w:lineRule="auto"/>
        <w:ind w:firstLine="2400" w:firstLineChars="800"/>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签订日期：    年  月  日</w:t>
      </w:r>
    </w:p>
    <w:p>
      <w:pPr>
        <w:spacing w:line="480" w:lineRule="auto"/>
        <w:rPr>
          <w:rFonts w:ascii="宋体" w:hAnsi="宋体" w:cs="宋体"/>
          <w:b/>
          <w:bCs/>
          <w:sz w:val="30"/>
        </w:rPr>
      </w:pPr>
      <w:r>
        <w:rPr>
          <w:rFonts w:hint="eastAsia" w:ascii="宋体" w:hAnsi="宋体" w:cs="宋体"/>
          <w:b/>
          <w:bCs/>
          <w:sz w:val="30"/>
        </w:rPr>
        <w:t>签约地点：广州市</w:t>
      </w:r>
    </w:p>
    <w:p>
      <w:pPr>
        <w:pStyle w:val="12"/>
        <w:rPr>
          <w:rFonts w:ascii="宋体" w:hAnsi="宋体"/>
          <w:sz w:val="24"/>
        </w:rPr>
      </w:pPr>
      <w:r>
        <w:br w:type="page"/>
      </w:r>
    </w:p>
    <w:p>
      <w:pPr>
        <w:sectPr>
          <w:footerReference r:id="rId9" w:type="default"/>
          <w:headerReference r:id="rId8" w:type="even"/>
          <w:footerReference r:id="rId10"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sz w:val="24"/>
        </w:rPr>
      </w:pPr>
      <w:bookmarkStart w:id="6" w:name="_Toc518992985"/>
      <w:bookmarkStart w:id="7" w:name="_Toc520190025"/>
      <w:bookmarkStart w:id="8" w:name="_Toc10888"/>
      <w:bookmarkStart w:id="9" w:name="_Toc183666512"/>
      <w:bookmarkStart w:id="10" w:name="_Toc474245209"/>
      <w:r>
        <w:rPr>
          <w:rFonts w:hint="eastAsia" w:ascii="宋体" w:hAnsi="宋体" w:cs="宋体"/>
          <w:sz w:val="24"/>
        </w:rPr>
        <w:t>根据《中华人民共和国合同法》及其他有关法律、行政法规，</w:t>
      </w:r>
      <w:r>
        <w:rPr>
          <w:rFonts w:hint="eastAsia" w:ascii="宋体" w:hAnsi="宋体" w:cs="宋体"/>
          <w:sz w:val="24"/>
          <w:u w:val="single"/>
        </w:rPr>
        <w:t xml:space="preserve">广州市净水有限公司 </w:t>
      </w:r>
      <w:r>
        <w:rPr>
          <w:rFonts w:hint="eastAsia" w:ascii="宋体" w:hAnsi="宋体" w:cs="宋体"/>
          <w:sz w:val="24"/>
        </w:rPr>
        <w:t>（以下简称“甲方”）与</w:t>
      </w:r>
      <w:r>
        <w:rPr>
          <w:rFonts w:hint="eastAsia" w:ascii="宋体" w:hAnsi="宋体" w:cs="宋体"/>
          <w:sz w:val="24"/>
          <w:u w:val="single"/>
        </w:rPr>
        <w:t xml:space="preserve">           </w:t>
      </w:r>
      <w:r>
        <w:rPr>
          <w:rFonts w:hint="eastAsia" w:ascii="宋体" w:hAnsi="宋体" w:cs="宋体"/>
          <w:sz w:val="24"/>
        </w:rPr>
        <w:t>（以下简称“乙方”）就</w:t>
      </w:r>
      <w:r>
        <w:rPr>
          <w:rFonts w:hint="eastAsia" w:ascii="宋体" w:hAnsi="宋体" w:cs="宋体"/>
          <w:sz w:val="24"/>
          <w:u w:val="single"/>
        </w:rPr>
        <w:t xml:space="preserve"> 污水处理过程精细化控制研究项目仪表采购项目</w:t>
      </w:r>
      <w:r>
        <w:rPr>
          <w:rFonts w:hint="eastAsia" w:ascii="宋体" w:hAnsi="宋体" w:cs="宋体"/>
          <w:sz w:val="24"/>
        </w:rPr>
        <w:t xml:space="preserve">采购和相应技术服务事宜，遵循平等、自愿、公平和诚实信用的原则，双方协商一致，订立本合同。 </w:t>
      </w:r>
      <w:bookmarkEnd w:id="6"/>
      <w:bookmarkEnd w:id="7"/>
      <w:bookmarkEnd w:id="8"/>
      <w:bookmarkEnd w:id="9"/>
      <w:bookmarkEnd w:id="10"/>
      <w:bookmarkStart w:id="11" w:name="_Toc183666513"/>
      <w:bookmarkStart w:id="12" w:name="_Toc518992986"/>
      <w:bookmarkStart w:id="13" w:name="_Toc474245210"/>
      <w:bookmarkStart w:id="14" w:name="_Toc1018"/>
      <w:bookmarkStart w:id="15" w:name="_Toc520190026"/>
    </w:p>
    <w:p>
      <w:pPr>
        <w:pStyle w:val="12"/>
        <w:spacing w:line="440" w:lineRule="exact"/>
        <w:ind w:firstLine="482" w:firstLineChars="200"/>
        <w:rPr>
          <w:rFonts w:hAnsi="宋体" w:cs="宋体"/>
          <w:sz w:val="24"/>
        </w:rPr>
      </w:pPr>
      <w:r>
        <w:rPr>
          <w:rFonts w:hint="eastAsia" w:hAnsi="宋体" w:cs="宋体"/>
          <w:b/>
          <w:bCs/>
          <w:sz w:val="24"/>
        </w:rPr>
        <w:t>第一条</w:t>
      </w:r>
      <w:r>
        <w:rPr>
          <w:rFonts w:hint="eastAsia" w:hAnsi="宋体" w:cs="宋体"/>
          <w:sz w:val="24"/>
        </w:rPr>
        <w:t xml:space="preserve"> </w:t>
      </w:r>
      <w:r>
        <w:rPr>
          <w:rFonts w:hint="eastAsia" w:hAnsi="宋体" w:cs="宋体"/>
          <w:b/>
          <w:bCs/>
          <w:sz w:val="24"/>
        </w:rPr>
        <w:t>组成合同的文件及优先顺序</w:t>
      </w:r>
    </w:p>
    <w:p>
      <w:pPr>
        <w:pStyle w:val="12"/>
        <w:spacing w:line="440" w:lineRule="exact"/>
        <w:ind w:firstLine="480" w:firstLineChars="200"/>
        <w:rPr>
          <w:rFonts w:hAnsi="宋体" w:cs="宋体"/>
          <w:sz w:val="24"/>
        </w:rPr>
      </w:pPr>
      <w:r>
        <w:rPr>
          <w:rFonts w:hint="eastAsia" w:hAnsi="宋体" w:cs="宋体"/>
          <w:sz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sz w:val="24"/>
        </w:rPr>
      </w:pPr>
      <w:r>
        <w:rPr>
          <w:rFonts w:hint="eastAsia" w:ascii="宋体" w:hAnsi="宋体" w:cs="宋体"/>
          <w:sz w:val="24"/>
        </w:rPr>
        <w:t>⑴</w:t>
      </w:r>
      <w:r>
        <w:rPr>
          <w:rFonts w:ascii="宋体" w:hAnsi="宋体" w:cs="宋体"/>
          <w:sz w:val="24"/>
        </w:rPr>
        <w:t xml:space="preserve"> </w:t>
      </w:r>
      <w:r>
        <w:rPr>
          <w:rFonts w:hint="eastAsia" w:ascii="宋体" w:hAnsi="宋体" w:cs="宋体"/>
          <w:sz w:val="24"/>
        </w:rPr>
        <w:t>在本合同实施过程双方签署的补充与修正文件；</w:t>
      </w:r>
    </w:p>
    <w:p>
      <w:pPr>
        <w:spacing w:line="320" w:lineRule="exact"/>
        <w:ind w:firstLine="482"/>
        <w:rPr>
          <w:rFonts w:ascii="宋体" w:hAnsi="宋体" w:cs="宋体"/>
          <w:sz w:val="24"/>
        </w:rPr>
      </w:pPr>
      <w:r>
        <w:rPr>
          <w:rFonts w:hint="eastAsia" w:ascii="宋体" w:hAnsi="宋体" w:cs="宋体"/>
          <w:sz w:val="24"/>
        </w:rPr>
        <w:t>⑵</w:t>
      </w:r>
      <w:r>
        <w:rPr>
          <w:rFonts w:ascii="宋体" w:hAnsi="宋体" w:cs="宋体"/>
          <w:sz w:val="24"/>
        </w:rPr>
        <w:t xml:space="preserve"> </w:t>
      </w:r>
      <w:r>
        <w:rPr>
          <w:rFonts w:hint="eastAsia" w:ascii="宋体" w:hAnsi="宋体" w:cs="宋体"/>
          <w:sz w:val="24"/>
        </w:rPr>
        <w:t>本合同书；</w:t>
      </w:r>
    </w:p>
    <w:p>
      <w:pPr>
        <w:spacing w:line="320" w:lineRule="exact"/>
        <w:ind w:firstLine="482"/>
        <w:rPr>
          <w:rFonts w:ascii="宋体" w:hAnsi="宋体" w:cs="宋体"/>
          <w:bCs/>
          <w:sz w:val="24"/>
        </w:rPr>
      </w:pPr>
      <w:r>
        <w:rPr>
          <w:rFonts w:hint="eastAsia" w:ascii="宋体" w:hAnsi="宋体" w:cs="宋体"/>
          <w:bCs/>
          <w:sz w:val="24"/>
        </w:rPr>
        <w:t>⑶ 发包通知书/委托函；</w:t>
      </w:r>
    </w:p>
    <w:p>
      <w:pPr>
        <w:spacing w:line="320" w:lineRule="exact"/>
        <w:ind w:firstLine="482"/>
        <w:rPr>
          <w:rFonts w:ascii="宋体" w:hAnsi="宋体" w:cs="宋体"/>
          <w:bCs/>
          <w:sz w:val="24"/>
        </w:rPr>
      </w:pPr>
      <w:r>
        <w:rPr>
          <w:rFonts w:hint="eastAsia" w:ascii="宋体" w:hAnsi="宋体" w:cs="宋体"/>
          <w:bCs/>
          <w:sz w:val="24"/>
        </w:rPr>
        <w:t>⑷ 询价文件；</w:t>
      </w:r>
    </w:p>
    <w:p>
      <w:pPr>
        <w:spacing w:line="320" w:lineRule="exact"/>
        <w:ind w:firstLine="482"/>
        <w:rPr>
          <w:rFonts w:ascii="宋体" w:hAnsi="宋体" w:cs="宋体"/>
          <w:bCs/>
          <w:sz w:val="24"/>
        </w:rPr>
      </w:pPr>
      <w:r>
        <w:rPr>
          <w:rFonts w:hint="eastAsia" w:ascii="宋体" w:hAnsi="宋体" w:cs="宋体"/>
          <w:bCs/>
          <w:sz w:val="24"/>
        </w:rPr>
        <w:t>⑸ 响应文件；</w:t>
      </w:r>
    </w:p>
    <w:p>
      <w:pPr>
        <w:spacing w:line="320" w:lineRule="exact"/>
        <w:ind w:firstLine="482"/>
        <w:rPr>
          <w:rFonts w:ascii="宋体" w:hAnsi="宋体" w:cs="宋体"/>
          <w:bCs/>
          <w:sz w:val="24"/>
        </w:rPr>
      </w:pPr>
      <w:r>
        <w:rPr>
          <w:rFonts w:hint="eastAsia" w:ascii="宋体" w:hAnsi="宋体" w:cs="宋体"/>
          <w:bCs/>
          <w:sz w:val="24"/>
        </w:rPr>
        <w:t>⑹ 标准、规范及有关技术性文件；</w:t>
      </w:r>
    </w:p>
    <w:p>
      <w:pPr>
        <w:spacing w:line="320" w:lineRule="exact"/>
        <w:ind w:firstLine="482"/>
        <w:rPr>
          <w:rFonts w:ascii="宋体" w:hAnsi="宋体" w:cs="宋体"/>
          <w:bCs/>
          <w:sz w:val="24"/>
        </w:rPr>
      </w:pPr>
      <w:r>
        <w:rPr>
          <w:rFonts w:hint="eastAsia" w:ascii="宋体" w:hAnsi="宋体" w:cs="宋体"/>
          <w:bCs/>
          <w:sz w:val="24"/>
        </w:rPr>
        <w:t>⑺ 图纸；</w:t>
      </w:r>
    </w:p>
    <w:p>
      <w:pPr>
        <w:spacing w:line="32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numPr>
          <w:ilvl w:val="255"/>
          <w:numId w:val="0"/>
        </w:numPr>
        <w:spacing w:line="320" w:lineRule="exact"/>
        <w:ind w:firstLine="480" w:firstLineChars="200"/>
        <w:rPr>
          <w:rFonts w:ascii="宋体" w:hAnsi="宋体" w:cs="宋体"/>
          <w:b/>
          <w:sz w:val="24"/>
        </w:rPr>
      </w:pPr>
      <w:r>
        <w:rPr>
          <w:rFonts w:hint="eastAsia" w:ascii="宋体" w:hAnsi="宋体" w:cs="宋体"/>
          <w:bCs/>
          <w:sz w:val="24"/>
        </w:rPr>
        <w:t>⑼ 本合同其他附件；</w:t>
      </w:r>
    </w:p>
    <w:p>
      <w:pPr>
        <w:numPr>
          <w:ilvl w:val="255"/>
          <w:numId w:val="0"/>
        </w:numPr>
        <w:spacing w:line="460" w:lineRule="exact"/>
        <w:ind w:firstLine="482" w:firstLineChars="200"/>
        <w:rPr>
          <w:rFonts w:ascii="宋体" w:hAnsi="宋体" w:cs="宋体"/>
          <w:sz w:val="24"/>
        </w:rPr>
      </w:pPr>
      <w:r>
        <w:rPr>
          <w:rFonts w:hint="eastAsia" w:ascii="宋体" w:hAnsi="宋体" w:cs="宋体"/>
          <w:b/>
          <w:sz w:val="24"/>
        </w:rPr>
        <w:t xml:space="preserve">第二条 </w:t>
      </w:r>
      <w:bookmarkEnd w:id="11"/>
      <w:bookmarkEnd w:id="12"/>
      <w:bookmarkEnd w:id="13"/>
      <w:bookmarkEnd w:id="14"/>
      <w:bookmarkEnd w:id="15"/>
      <w:r>
        <w:rPr>
          <w:rFonts w:hint="eastAsia" w:ascii="宋体" w:hAnsi="宋体" w:cs="宋体"/>
          <w:b/>
          <w:sz w:val="24"/>
        </w:rPr>
        <w:t>合同标的</w:t>
      </w:r>
    </w:p>
    <w:tbl>
      <w:tblPr>
        <w:tblStyle w:val="27"/>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ascii="宋体" w:hAnsi="宋体" w:cs="宋体"/>
                <w:kern w:val="0"/>
                <w:sz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ascii="宋体" w:hAnsi="宋体" w:cs="宋体"/>
                <w:kern w:val="0"/>
                <w:sz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ascii="宋体" w:hAnsi="宋体" w:cs="宋体"/>
                <w:kern w:val="0"/>
                <w:sz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lang w:val="zh-CN"/>
              </w:rPr>
            </w:pPr>
            <w:r>
              <w:rPr>
                <w:rFonts w:hint="eastAsia" w:ascii="宋体" w:hAnsi="宋体" w:cs="宋体"/>
                <w:kern w:val="0"/>
                <w:sz w:val="24"/>
                <w:lang w:val="zh-CN"/>
              </w:rPr>
              <w:t>——</w:t>
            </w:r>
          </w:p>
        </w:tc>
      </w:tr>
    </w:tbl>
    <w:p>
      <w:pPr>
        <w:spacing w:after="120" w:line="460" w:lineRule="exact"/>
        <w:rPr>
          <w:rFonts w:ascii="宋体" w:hAnsi="宋体" w:cs="宋体"/>
          <w:kern w:val="0"/>
          <w:sz w:val="24"/>
          <w:lang w:val="zh-CN"/>
        </w:rPr>
      </w:pPr>
      <w:r>
        <w:rPr>
          <w:rFonts w:hint="eastAsia" w:ascii="宋体" w:hAnsi="宋体" w:cs="宋体"/>
          <w:kern w:val="0"/>
          <w:sz w:val="24"/>
          <w:lang w:val="zh-CN"/>
        </w:rPr>
        <w:t>其他</w:t>
      </w:r>
      <w:r>
        <w:rPr>
          <w:rFonts w:hint="eastAsia" w:ascii="宋体" w:hAnsi="宋体" w:cs="宋体"/>
          <w:kern w:val="0"/>
          <w:sz w:val="24"/>
        </w:rPr>
        <w:t>采购</w:t>
      </w:r>
      <w:r>
        <w:rPr>
          <w:rFonts w:hint="eastAsia" w:ascii="宋体" w:hAnsi="宋体" w:cs="宋体"/>
          <w:kern w:val="0"/>
          <w:sz w:val="24"/>
          <w:lang w:val="zh-CN"/>
        </w:rPr>
        <w:t>需求见附件（如</w:t>
      </w:r>
      <w:r>
        <w:rPr>
          <w:rFonts w:hint="eastAsia" w:ascii="宋体" w:hAnsi="宋体" w:cs="宋体"/>
          <w:kern w:val="0"/>
          <w:sz w:val="24"/>
        </w:rPr>
        <w:t>有</w:t>
      </w:r>
      <w:r>
        <w:rPr>
          <w:rFonts w:hint="eastAsia" w:ascii="宋体" w:hAnsi="宋体" w:cs="宋体"/>
          <w:kern w:val="0"/>
          <w:sz w:val="24"/>
          <w:lang w:val="zh-CN"/>
        </w:rPr>
        <w:t>）。</w:t>
      </w:r>
    </w:p>
    <w:p>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第三条 交货日期及地点</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3.1乙方按以下第</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u w:val="single"/>
        </w:rPr>
        <w:t xml:space="preserve"> </w:t>
      </w:r>
      <w:r>
        <w:rPr>
          <w:rFonts w:hint="eastAsia" w:ascii="宋体" w:hAnsi="宋体" w:cs="宋体"/>
          <w:sz w:val="24"/>
        </w:rPr>
        <w:t>种供货期供货。</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(1)合同生效之日起</w:t>
      </w:r>
      <w:r>
        <w:rPr>
          <w:rFonts w:hint="eastAsia" w:ascii="宋体" w:hAnsi="宋体" w:cs="宋体"/>
          <w:sz w:val="24"/>
          <w:u w:val="single"/>
        </w:rPr>
        <w:t xml:space="preserve"> 35 </w:t>
      </w:r>
      <w:r>
        <w:rPr>
          <w:rFonts w:hint="eastAsia" w:ascii="宋体" w:hAnsi="宋体" w:cs="宋体"/>
          <w:sz w:val="24"/>
        </w:rPr>
        <w:t>日内到货，并开箱/试运行验收合格（如果供货要求包含安装、调试，则应为试运行验收合格）。</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（2)乙方按甲方要求，按时间计划逐批（次）供货，并开箱/试运行验收合格（如果供货要求包含安装、调试，则应为试运行验收合格），具体交货日期以甲方</w:t>
      </w:r>
      <w:r>
        <w:rPr>
          <w:rFonts w:hint="eastAsia" w:ascii="宋体" w:hAnsi="宋体" w:cs="宋体"/>
          <w:bCs/>
          <w:sz w:val="24"/>
        </w:rPr>
        <w:t>书面</w:t>
      </w:r>
      <w:r>
        <w:rPr>
          <w:rFonts w:hint="eastAsia" w:ascii="宋体" w:hAnsi="宋体" w:cs="宋体"/>
          <w:sz w:val="24"/>
        </w:rPr>
        <w:t>通知为准。</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合同有效期为</w:t>
      </w:r>
      <w:r>
        <w:rPr>
          <w:rFonts w:hint="eastAsia" w:ascii="宋体" w:hAnsi="宋体" w:cs="宋体"/>
          <w:sz w:val="24"/>
          <w:u w:val="single"/>
        </w:rPr>
        <w:t xml:space="preserve">    </w:t>
      </w:r>
      <w:r>
        <w:rPr>
          <w:rFonts w:hint="eastAsia" w:ascii="宋体" w:hAnsi="宋体" w:cs="宋体"/>
          <w:sz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sz w:val="24"/>
        </w:rPr>
      </w:pPr>
      <w:r>
        <w:rPr>
          <w:rFonts w:hint="eastAsia" w:ascii="宋体" w:hAnsi="宋体" w:cs="宋体"/>
          <w:sz w:val="24"/>
        </w:rPr>
        <w:t>（3）其它供货期要求：</w:t>
      </w:r>
      <w:r>
        <w:rPr>
          <w:rFonts w:hint="eastAsia" w:ascii="宋体" w:hAnsi="宋体" w:cs="宋体"/>
          <w:sz w:val="24"/>
          <w:u w:val="single"/>
        </w:rPr>
        <w:t xml:space="preserve"> </w:t>
      </w:r>
      <w:r>
        <w:rPr>
          <w:rFonts w:ascii="宋体" w:hAnsi="宋体" w:cs="宋体"/>
          <w:sz w:val="24"/>
          <w:u w:val="single"/>
        </w:rPr>
        <w:t>/</w:t>
      </w:r>
      <w:r>
        <w:rPr>
          <w:rFonts w:hint="eastAsia" w:ascii="宋体" w:hAnsi="宋体" w:cs="宋体"/>
          <w:sz w:val="24"/>
          <w:u w:val="single"/>
        </w:rPr>
        <w:t xml:space="preserve"> </w:t>
      </w:r>
      <w:r>
        <w:rPr>
          <w:rFonts w:hint="eastAsia" w:ascii="宋体" w:hAnsi="宋体" w:cs="宋体"/>
          <w:sz w:val="24"/>
        </w:rPr>
        <w:t xml:space="preserve">。   </w:t>
      </w:r>
    </w:p>
    <w:p>
      <w:pPr>
        <w:spacing w:after="120" w:line="460" w:lineRule="exact"/>
        <w:ind w:firstLine="480" w:firstLineChars="200"/>
        <w:rPr>
          <w:rFonts w:ascii="宋体" w:hAnsi="宋体" w:cs="宋体"/>
          <w:sz w:val="24"/>
        </w:rPr>
      </w:pPr>
      <w:r>
        <w:rPr>
          <w:rFonts w:hint="eastAsia" w:ascii="宋体" w:hAnsi="宋体" w:cs="宋体"/>
          <w:sz w:val="24"/>
        </w:rPr>
        <w:t>3.2</w:t>
      </w:r>
      <w:r>
        <w:rPr>
          <w:rFonts w:hint="eastAsia" w:ascii="宋体" w:hAnsi="宋体" w:cs="宋体"/>
          <w:bCs/>
          <w:sz w:val="24"/>
        </w:rPr>
        <w:t>交货地点：</w:t>
      </w:r>
      <w:r>
        <w:rPr>
          <w:rFonts w:hint="eastAsia" w:ascii="宋体" w:hAnsi="宋体" w:cs="宋体"/>
          <w:bCs/>
          <w:sz w:val="24"/>
          <w:u w:val="single"/>
        </w:rPr>
        <w:t xml:space="preserve"> 广州市净水有限公司沥滘和京溪分公司；或甲方指定的任一货物（设备）临时存放点 </w:t>
      </w:r>
      <w:r>
        <w:rPr>
          <w:rFonts w:hint="eastAsia" w:ascii="宋体" w:hAnsi="宋体" w:cs="宋体"/>
          <w:bCs/>
          <w:sz w:val="24"/>
        </w:rPr>
        <w:t>（包括甲方指定的任一收货点），最终具体交货地点以甲方书面通知为准。</w:t>
      </w:r>
      <w:r>
        <w:rPr>
          <w:rFonts w:hint="eastAsia" w:ascii="宋体" w:hAnsi="宋体" w:cs="宋体"/>
          <w:sz w:val="24"/>
        </w:rPr>
        <w:t xml:space="preserve"> </w:t>
      </w:r>
    </w:p>
    <w:p>
      <w:pPr>
        <w:adjustRightInd w:val="0"/>
        <w:snapToGrid w:val="0"/>
        <w:spacing w:line="460" w:lineRule="exact"/>
        <w:ind w:firstLine="482" w:firstLineChars="200"/>
        <w:rPr>
          <w:rFonts w:ascii="宋体" w:hAnsi="宋体" w:cs="宋体"/>
          <w:b/>
          <w:sz w:val="24"/>
        </w:rPr>
      </w:pPr>
      <w:r>
        <w:rPr>
          <w:rFonts w:hint="eastAsia" w:ascii="宋体" w:hAnsi="宋体" w:cs="宋体"/>
          <w:b/>
          <w:bCs/>
          <w:kern w:val="0"/>
          <w:sz w:val="24"/>
        </w:rPr>
        <w:t>第四条</w:t>
      </w:r>
      <w:r>
        <w:rPr>
          <w:rFonts w:hint="eastAsia" w:ascii="宋体" w:hAnsi="宋体" w:cs="宋体"/>
          <w:kern w:val="0"/>
          <w:sz w:val="24"/>
        </w:rPr>
        <w:t xml:space="preserve"> 合同</w:t>
      </w:r>
      <w:r>
        <w:rPr>
          <w:rFonts w:hint="eastAsia" w:ascii="宋体" w:hAnsi="宋体" w:cs="宋体"/>
          <w:sz w:val="24"/>
        </w:rPr>
        <w:t>单价为综合单价，指货物运到甲方指定地点的交货价，该价格包括但不限于：货物的生产、产品检验（含出厂及到货验收）、运输（含转运）、包装、装卸（含卸车费用）、安装调试运行</w:t>
      </w:r>
      <w:r>
        <w:rPr>
          <w:rFonts w:hint="eastAsia" w:ascii="宋体" w:hAnsi="宋体" w:cs="宋体"/>
          <w:b/>
          <w:sz w:val="24"/>
        </w:rPr>
        <w:t>（具体按“采购需求”）</w:t>
      </w:r>
      <w:r>
        <w:rPr>
          <w:rFonts w:hint="eastAsia" w:ascii="宋体" w:hAnsi="宋体" w:cs="宋体"/>
          <w:sz w:val="24"/>
        </w:rPr>
        <w:t>、质量抽检、培训、相关税费、保险费、物货伴随服务（包括安装使用说明书、图纸的提供、质保期服务）等全部费用。合同履行期间国家税率调整的，不含税价不变，价税合计相应调整，以开具发票时间为准。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line="460" w:lineRule="exact"/>
        <w:ind w:firstLine="600" w:firstLineChars="25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bookmarkStart w:id="16" w:name="_Toc520190028"/>
      <w:bookmarkStart w:id="17" w:name="_Toc518992988"/>
      <w:bookmarkStart w:id="18" w:name="_Toc27425"/>
      <w:bookmarkStart w:id="19" w:name="_Toc474245212"/>
      <w:bookmarkStart w:id="20" w:name="_Toc107446843"/>
      <w:bookmarkStart w:id="21" w:name="_Toc107447236"/>
    </w:p>
    <w:bookmarkEnd w:id="16"/>
    <w:bookmarkEnd w:id="17"/>
    <w:bookmarkEnd w:id="18"/>
    <w:bookmarkEnd w:id="19"/>
    <w:p>
      <w:pPr>
        <w:autoSpaceDE w:val="0"/>
        <w:autoSpaceDN w:val="0"/>
        <w:adjustRightInd w:val="0"/>
        <w:spacing w:line="460" w:lineRule="exact"/>
        <w:ind w:left="420"/>
        <w:rPr>
          <w:rFonts w:ascii="宋体" w:hAnsi="宋体" w:cs="宋体"/>
          <w:bCs/>
          <w:sz w:val="24"/>
        </w:rPr>
      </w:pPr>
      <w:bookmarkStart w:id="22" w:name="_Toc520190029"/>
      <w:bookmarkStart w:id="23" w:name="_Toc518992989"/>
      <w:bookmarkStart w:id="24" w:name="_Toc474245213"/>
      <w:r>
        <w:rPr>
          <w:rFonts w:hint="eastAsia" w:ascii="宋体" w:hAnsi="宋体" w:cs="宋体"/>
          <w:b/>
          <w:sz w:val="24"/>
        </w:rPr>
        <w:t>第五条</w:t>
      </w:r>
      <w:r>
        <w:rPr>
          <w:rFonts w:ascii="宋体" w:hAnsi="宋体" w:cs="宋体"/>
          <w:b/>
          <w:sz w:val="24"/>
        </w:rPr>
        <w:t xml:space="preserve"> </w:t>
      </w:r>
      <w:r>
        <w:rPr>
          <w:rFonts w:hint="eastAsia" w:ascii="宋体" w:hAnsi="宋体" w:cs="宋体"/>
          <w:b/>
          <w:sz w:val="24"/>
        </w:rPr>
        <w:t>支付</w:t>
      </w:r>
      <w:bookmarkEnd w:id="22"/>
      <w:bookmarkEnd w:id="23"/>
      <w:bookmarkEnd w:id="24"/>
      <w:r>
        <w:rPr>
          <w:rFonts w:hint="eastAsia" w:ascii="宋体" w:hAnsi="宋体" w:cs="宋体"/>
          <w:b/>
          <w:sz w:val="24"/>
        </w:rPr>
        <w:t>方式</w:t>
      </w:r>
    </w:p>
    <w:bookmarkEnd w:id="20"/>
    <w:bookmarkEnd w:id="21"/>
    <w:p>
      <w:pPr>
        <w:spacing w:line="460" w:lineRule="exact"/>
        <w:ind w:firstLine="480" w:firstLineChars="200"/>
        <w:rPr>
          <w:rFonts w:ascii="宋体" w:hAnsi="宋体" w:cs="宋体"/>
          <w:sz w:val="24"/>
          <w:u w:val="single"/>
        </w:rPr>
      </w:pPr>
      <w:bookmarkStart w:id="25" w:name="_Toc14703"/>
      <w:bookmarkStart w:id="26" w:name="_Toc183666516"/>
      <w:r>
        <w:rPr>
          <w:rFonts w:ascii="宋体" w:hAnsi="宋体" w:cs="宋体"/>
          <w:sz w:val="24"/>
        </w:rPr>
        <w:t>5.1</w:t>
      </w:r>
      <w:r>
        <w:rPr>
          <w:rFonts w:hint="eastAsia" w:ascii="宋体" w:hAnsi="宋体" w:cs="宋体"/>
          <w:bCs/>
          <w:sz w:val="24"/>
        </w:rPr>
        <w:t>预付款支付：</w:t>
      </w:r>
      <w:r>
        <w:rPr>
          <w:rFonts w:hint="eastAsia" w:ascii="宋体" w:hAnsi="宋体" w:cs="宋体"/>
          <w:bCs/>
          <w:sz w:val="24"/>
        </w:rPr>
        <w:sym w:font="Wingdings 2" w:char="0052"/>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F0A8"/>
      </w:r>
      <w:r>
        <w:rPr>
          <w:rFonts w:hint="eastAsia" w:ascii="宋体" w:hAnsi="宋体" w:cs="宋体"/>
          <w:bCs/>
          <w:sz w:val="24"/>
        </w:rPr>
        <w:t>合同签订后，乙方开具</w:t>
      </w:r>
      <w:r>
        <w:rPr>
          <w:rFonts w:hint="eastAsia" w:ascii="宋体" w:hAnsi="宋体" w:cs="宋体"/>
          <w:sz w:val="24"/>
        </w:rPr>
        <w:t>等额</w:t>
      </w:r>
      <w:r>
        <w:rPr>
          <w:rFonts w:hint="eastAsia" w:ascii="宋体" w:hAnsi="宋体" w:cs="宋体"/>
          <w:bCs/>
          <w:sz w:val="24"/>
        </w:rPr>
        <w:t>增值税专用发票及提交履约担保（如有）后</w:t>
      </w:r>
      <w:r>
        <w:rPr>
          <w:rFonts w:ascii="宋体" w:hAnsi="宋体" w:cs="宋体"/>
          <w:bCs/>
          <w:sz w:val="24"/>
          <w:u w:val="single"/>
        </w:rPr>
        <w:t>10</w:t>
      </w:r>
      <w:r>
        <w:rPr>
          <w:rFonts w:hint="eastAsia" w:ascii="宋体" w:hAnsi="宋体" w:cs="宋体"/>
          <w:bCs/>
          <w:sz w:val="24"/>
        </w:rPr>
        <w:t>个工作日内，甲方支付</w:t>
      </w:r>
      <w:r>
        <w:rPr>
          <w:rFonts w:hint="eastAsia" w:ascii="宋体" w:hAnsi="宋体" w:cs="宋体"/>
          <w:sz w:val="24"/>
          <w:u w:val="single"/>
        </w:rPr>
        <w:t>合同暂定总价</w:t>
      </w:r>
      <w:r>
        <w:rPr>
          <w:rFonts w:hint="eastAsia" w:ascii="宋体" w:hAnsi="宋体" w:cs="宋体"/>
          <w:bCs/>
          <w:sz w:val="24"/>
          <w:u w:val="single"/>
        </w:rPr>
        <w:t>的</w:t>
      </w:r>
      <w:r>
        <w:rPr>
          <w:rFonts w:ascii="宋体" w:hAnsi="宋体" w:cs="宋体"/>
          <w:bCs/>
          <w:sz w:val="24"/>
          <w:u w:val="single"/>
        </w:rPr>
        <w:t xml:space="preserve"> 30%  </w:t>
      </w:r>
      <w:r>
        <w:rPr>
          <w:rFonts w:hint="eastAsia" w:ascii="宋体" w:hAnsi="宋体" w:cs="宋体"/>
          <w:sz w:val="24"/>
        </w:rPr>
        <w:t>即</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w:t>
      </w:r>
      <w:r>
        <w:rPr>
          <w:rFonts w:hint="eastAsia" w:ascii="宋体" w:hAnsi="宋体" w:cs="宋体"/>
          <w:bCs/>
          <w:kern w:val="0"/>
          <w:sz w:val="24"/>
        </w:rPr>
        <w:t>（无息）</w:t>
      </w:r>
      <w:r>
        <w:rPr>
          <w:rFonts w:hint="eastAsia" w:ascii="宋体" w:hAnsi="宋体" w:cs="宋体"/>
          <w:sz w:val="24"/>
        </w:rPr>
        <w:t>。</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adjustRightInd w:val="0"/>
        <w:snapToGrid w:val="0"/>
        <w:spacing w:line="460" w:lineRule="exact"/>
        <w:ind w:firstLine="360" w:firstLineChars="150"/>
        <w:rPr>
          <w:rFonts w:ascii="宋体" w:hAnsi="宋体" w:cs="宋体"/>
          <w:sz w:val="24"/>
        </w:rPr>
      </w:pPr>
      <w:r>
        <w:rPr>
          <w:rFonts w:ascii="宋体" w:hAnsi="宋体" w:cs="宋体"/>
          <w:sz w:val="24"/>
        </w:rPr>
        <w:t>5.2</w:t>
      </w:r>
      <w:r>
        <w:rPr>
          <w:rFonts w:hint="eastAsia" w:ascii="宋体" w:hAnsi="宋体" w:cs="宋体"/>
          <w:sz w:val="24"/>
        </w:rPr>
        <w:t>支付方式：本合同款项按以下第</w:t>
      </w:r>
      <w:r>
        <w:rPr>
          <w:rFonts w:ascii="宋体" w:hAnsi="宋体" w:cs="宋体"/>
          <w:sz w:val="24"/>
          <w:u w:val="single"/>
        </w:rPr>
        <w:t xml:space="preserve"> 5 </w:t>
      </w:r>
      <w:r>
        <w:rPr>
          <w:rFonts w:hint="eastAsia" w:ascii="宋体" w:hAnsi="宋体" w:cs="宋体"/>
          <w:sz w:val="24"/>
        </w:rPr>
        <w:t>种方式支付。</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）本合同生效后，甲方支付乙方</w:t>
      </w:r>
      <w:r>
        <w:rPr>
          <w:rFonts w:hint="eastAsia" w:ascii="宋体" w:hAnsi="宋体" w:cs="宋体"/>
          <w:sz w:val="24"/>
          <w:u w:val="single"/>
        </w:rPr>
        <w:t>合同暂定总价</w:t>
      </w:r>
      <w:r>
        <w:rPr>
          <w:rFonts w:ascii="宋体" w:hAnsi="宋体" w:cs="宋体"/>
          <w:sz w:val="24"/>
          <w:u w:val="single"/>
        </w:rPr>
        <w:t>30%</w:t>
      </w:r>
      <w:r>
        <w:rPr>
          <w:rFonts w:hint="eastAsia" w:ascii="宋体" w:hAnsi="宋体" w:cs="宋体"/>
          <w:sz w:val="24"/>
        </w:rPr>
        <w:t>预付款，乙方按时供货，货物到齐且经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验收合格，经甲方相关部门结算且乙方提交请款资料及等额增值税专用发票后</w:t>
      </w:r>
      <w:r>
        <w:rPr>
          <w:rFonts w:ascii="宋体" w:hAnsi="宋体" w:cs="宋体"/>
          <w:sz w:val="24"/>
          <w:u w:val="single"/>
        </w:rPr>
        <w:t>15</w:t>
      </w:r>
      <w:r>
        <w:rPr>
          <w:rFonts w:hint="eastAsia" w:ascii="宋体" w:hAnsi="宋体" w:cs="宋体"/>
          <w:sz w:val="24"/>
        </w:rPr>
        <w:t>个工作日内，甲方向乙方支付至结算审定价总额的</w:t>
      </w:r>
      <w:r>
        <w:rPr>
          <w:rFonts w:ascii="宋体" w:hAnsi="宋体" w:cs="宋体"/>
          <w:sz w:val="24"/>
        </w:rPr>
        <w:t>95%</w:t>
      </w:r>
      <w:r>
        <w:rPr>
          <w:rFonts w:hint="eastAsia" w:ascii="宋体" w:hAnsi="宋体" w:cs="宋体"/>
          <w:sz w:val="24"/>
        </w:rPr>
        <w:t>（含预付款），余款</w:t>
      </w:r>
      <w:r>
        <w:rPr>
          <w:rFonts w:ascii="宋体" w:hAnsi="宋体" w:cs="宋体"/>
          <w:sz w:val="24"/>
        </w:rPr>
        <w:t>5%</w:t>
      </w:r>
      <w:r>
        <w:rPr>
          <w:rFonts w:hint="eastAsia" w:ascii="宋体" w:hAnsi="宋体" w:cs="宋体"/>
          <w:sz w:val="24"/>
        </w:rPr>
        <w:t>作为质量保证金。质保期自</w:t>
      </w:r>
      <w:r>
        <w:rPr>
          <w:rFonts w:hint="eastAsia" w:ascii="宋体" w:hAnsi="宋体" w:cs="宋体"/>
          <w:sz w:val="24"/>
          <w:u w:val="single"/>
        </w:rPr>
        <w:t>货物开箱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验收合格之日起</w:t>
      </w:r>
      <w:r>
        <w:rPr>
          <w:rFonts w:ascii="宋体" w:hAnsi="宋体" w:cs="宋体"/>
          <w:sz w:val="24"/>
          <w:u w:val="single"/>
        </w:rPr>
        <w:t xml:space="preserve">       </w:t>
      </w:r>
      <w:r>
        <w:rPr>
          <w:rFonts w:hint="eastAsia" w:ascii="宋体" w:hAnsi="宋体" w:cs="宋体"/>
          <w:sz w:val="24"/>
        </w:rPr>
        <w:t>年。质保期满后，乙方申请退还质保金并提供相关资料后的</w:t>
      </w:r>
      <w:r>
        <w:rPr>
          <w:rFonts w:ascii="宋体" w:hAnsi="宋体" w:cs="宋体"/>
          <w:sz w:val="24"/>
          <w:u w:val="single"/>
        </w:rPr>
        <w:t>15</w:t>
      </w:r>
      <w:r>
        <w:rPr>
          <w:rFonts w:hint="eastAsia" w:ascii="宋体" w:hAnsi="宋体" w:cs="宋体"/>
          <w:sz w:val="24"/>
        </w:rPr>
        <w:t>个工作日内，甲方支付质保金（无息）（适用于需支付预付款采购）。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）本合同生效后，乙方按时供货，货物到齐且经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个工作日内向乙方支付至货款总额的</w:t>
      </w:r>
      <w:r>
        <w:rPr>
          <w:rFonts w:ascii="宋体" w:hAnsi="宋体" w:cs="宋体"/>
          <w:sz w:val="24"/>
        </w:rPr>
        <w:t>95%</w:t>
      </w:r>
      <w:r>
        <w:rPr>
          <w:rFonts w:hint="eastAsia" w:ascii="宋体" w:hAnsi="宋体" w:cs="宋体"/>
          <w:sz w:val="24"/>
        </w:rPr>
        <w:t>。余款</w:t>
      </w:r>
      <w:r>
        <w:rPr>
          <w:rFonts w:ascii="宋体" w:hAnsi="宋体" w:cs="宋体"/>
          <w:sz w:val="24"/>
        </w:rPr>
        <w:t>5%</w:t>
      </w:r>
      <w:r>
        <w:rPr>
          <w:rFonts w:hint="eastAsia" w:ascii="宋体" w:hAnsi="宋体" w:cs="宋体"/>
          <w:sz w:val="24"/>
        </w:rPr>
        <w:t>作为质量保证金。质保期自</w:t>
      </w:r>
      <w:r>
        <w:rPr>
          <w:rFonts w:hint="eastAsia" w:ascii="宋体" w:hAnsi="宋体" w:cs="宋体"/>
          <w:sz w:val="24"/>
          <w:u w:val="single"/>
        </w:rPr>
        <w:t>货物开箱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验收合格之日起</w:t>
      </w:r>
      <w:r>
        <w:rPr>
          <w:rFonts w:ascii="宋体" w:hAnsi="宋体" w:cs="宋体"/>
          <w:sz w:val="24"/>
          <w:u w:val="single"/>
        </w:rPr>
        <w:t xml:space="preserve"> X </w:t>
      </w:r>
      <w:r>
        <w:rPr>
          <w:rFonts w:hint="eastAsia" w:ascii="宋体" w:hAnsi="宋体" w:cs="宋体"/>
          <w:sz w:val="24"/>
        </w:rPr>
        <w:t>年。质保期满后，乙方申请退还质保金并提供相关资料后的</w:t>
      </w:r>
      <w:r>
        <w:rPr>
          <w:rFonts w:ascii="宋体" w:hAnsi="宋体" w:cs="宋体"/>
          <w:sz w:val="24"/>
          <w:u w:val="single"/>
        </w:rPr>
        <w:t>15</w:t>
      </w:r>
      <w:r>
        <w:rPr>
          <w:rFonts w:hint="eastAsia" w:ascii="宋体" w:hAnsi="宋体" w:cs="宋体"/>
          <w:sz w:val="24"/>
        </w:rPr>
        <w:t>个工作日内，甲方支付质保金（无息）（适用于不需支付预付款采购）。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）本合同生效后，乙方按时供货，货物到齐且经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个工作日内向乙方支付至货款总额的</w:t>
      </w:r>
      <w:r>
        <w:rPr>
          <w:rFonts w:ascii="宋体" w:hAnsi="宋体" w:cs="宋体"/>
          <w:sz w:val="24"/>
        </w:rPr>
        <w:t>100%</w:t>
      </w:r>
      <w:r>
        <w:rPr>
          <w:rFonts w:hint="eastAsia" w:ascii="宋体" w:hAnsi="宋体" w:cs="宋体"/>
          <w:sz w:val="24"/>
        </w:rPr>
        <w:t>（适用于即时结清采购）。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）本合同生效后，乙方按时分批供货，每批货物到齐且经</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个工作日内向乙方支付至该批货款总额的</w:t>
      </w:r>
      <w:r>
        <w:rPr>
          <w:rFonts w:ascii="宋体" w:hAnsi="宋体" w:cs="宋体"/>
          <w:sz w:val="24"/>
        </w:rPr>
        <w:t>100%</w:t>
      </w:r>
      <w:r>
        <w:rPr>
          <w:rFonts w:hint="eastAsia" w:ascii="宋体" w:hAnsi="宋体" w:cs="宋体"/>
          <w:sz w:val="24"/>
        </w:rPr>
        <w:t>（适用于分批供货且即时结清采购）。</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）其它支付方式：</w:t>
      </w:r>
      <w:r>
        <w:rPr>
          <w:rFonts w:ascii="宋体" w:hAnsi="宋体" w:cs="宋体"/>
          <w:sz w:val="24"/>
          <w:u w:val="single"/>
        </w:rPr>
        <w:t xml:space="preserve"> </w:t>
      </w:r>
    </w:p>
    <w:p>
      <w:pPr>
        <w:spacing w:line="360" w:lineRule="auto"/>
        <w:ind w:firstLine="480" w:firstLineChars="200"/>
        <w:rPr>
          <w:rFonts w:ascii="宋体" w:hAnsi="宋体" w:cs="宋体"/>
          <w:bCs/>
          <w:sz w:val="24"/>
        </w:rPr>
      </w:pPr>
      <w:r>
        <w:rPr>
          <w:rFonts w:ascii="宋体" w:hAnsi="宋体" w:cs="宋体"/>
          <w:sz w:val="24"/>
        </w:rPr>
        <w:t>1</w:t>
      </w:r>
      <w:r>
        <w:rPr>
          <w:rFonts w:hint="eastAsia" w:ascii="宋体" w:hAnsi="宋体" w:cs="宋体"/>
          <w:sz w:val="24"/>
        </w:rPr>
        <w:t>设备到达现场，经开箱验收合格，</w:t>
      </w:r>
      <w:r>
        <w:rPr>
          <w:rFonts w:hint="eastAsia" w:ascii="宋体" w:hAnsi="宋体" w:cs="宋体"/>
          <w:bCs/>
          <w:sz w:val="24"/>
        </w:rPr>
        <w:t>乙方开具等额的增值税专用发票后</w:t>
      </w:r>
      <w:r>
        <w:rPr>
          <w:rFonts w:ascii="宋体" w:hAnsi="宋体" w:cs="宋体"/>
          <w:bCs/>
          <w:sz w:val="24"/>
          <w:u w:val="single"/>
        </w:rPr>
        <w:t>10</w:t>
      </w:r>
      <w:r>
        <w:rPr>
          <w:rFonts w:hint="eastAsia" w:ascii="宋体" w:hAnsi="宋体" w:cs="宋体"/>
          <w:bCs/>
          <w:sz w:val="24"/>
        </w:rPr>
        <w:t>个工作日内，甲方支付合同暂定总价的</w:t>
      </w:r>
      <w:r>
        <w:rPr>
          <w:rFonts w:ascii="宋体" w:hAnsi="宋体" w:cs="宋体"/>
          <w:bCs/>
          <w:sz w:val="24"/>
          <w:u w:val="single"/>
        </w:rPr>
        <w:t xml:space="preserve">50%  </w:t>
      </w:r>
      <w:r>
        <w:rPr>
          <w:rFonts w:hint="eastAsia" w:ascii="宋体" w:hAnsi="宋体" w:cs="宋体"/>
          <w:sz w:val="24"/>
        </w:rPr>
        <w:t>即</w:t>
      </w:r>
      <w:r>
        <w:rPr>
          <w:rFonts w:ascii="宋体" w:hAnsi="宋体" w:cs="宋体"/>
          <w:sz w:val="24"/>
          <w:u w:val="single"/>
        </w:rPr>
        <w:t xml:space="preserve">        元，（大写：      </w:t>
      </w:r>
      <w:r>
        <w:rPr>
          <w:rFonts w:hint="eastAsia" w:ascii="宋体" w:hAnsi="宋体" w:cs="宋体"/>
          <w:sz w:val="24"/>
          <w:u w:val="single"/>
        </w:rPr>
        <w:t>）</w:t>
      </w:r>
      <w:r>
        <w:rPr>
          <w:rFonts w:hint="eastAsia" w:ascii="宋体" w:hAnsi="宋体" w:cs="宋体"/>
          <w:bCs/>
          <w:sz w:val="24"/>
        </w:rPr>
        <w:t>；</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货物到达后完成设备安装、调试和联网完毕，且乙方提供全额增值税专用发票</w:t>
      </w:r>
      <w:r>
        <w:rPr>
          <w:rFonts w:hint="eastAsia" w:ascii="宋体" w:hAnsi="宋体" w:cs="宋体"/>
          <w:bCs/>
          <w:sz w:val="24"/>
        </w:rPr>
        <w:t>后</w:t>
      </w:r>
      <w:r>
        <w:rPr>
          <w:rFonts w:ascii="宋体" w:hAnsi="宋体" w:cs="宋体"/>
          <w:bCs/>
          <w:sz w:val="24"/>
          <w:u w:val="single"/>
        </w:rPr>
        <w:t>10</w:t>
      </w:r>
      <w:r>
        <w:rPr>
          <w:rFonts w:hint="eastAsia" w:ascii="宋体" w:hAnsi="宋体" w:cs="宋体"/>
          <w:bCs/>
          <w:sz w:val="24"/>
        </w:rPr>
        <w:t>个工作日内，甲方支付至合同暂定总价的</w:t>
      </w:r>
      <w:r>
        <w:rPr>
          <w:rFonts w:ascii="宋体" w:hAnsi="宋体" w:cs="宋体"/>
          <w:bCs/>
          <w:sz w:val="24"/>
          <w:u w:val="single"/>
        </w:rPr>
        <w:t xml:space="preserve">75%  </w:t>
      </w:r>
      <w:r>
        <w:rPr>
          <w:rFonts w:hint="eastAsia" w:ascii="宋体" w:hAnsi="宋体" w:cs="宋体"/>
          <w:sz w:val="24"/>
        </w:rPr>
        <w:t>即</w:t>
      </w:r>
      <w:r>
        <w:rPr>
          <w:rFonts w:ascii="宋体" w:hAnsi="宋体" w:cs="宋体"/>
          <w:sz w:val="24"/>
          <w:u w:val="single"/>
        </w:rPr>
        <w:t xml:space="preserve">        元，（大写：      </w:t>
      </w:r>
      <w:r>
        <w:rPr>
          <w:rFonts w:hint="eastAsia" w:ascii="宋体" w:hAnsi="宋体" w:cs="宋体"/>
          <w:sz w:val="24"/>
          <w:u w:val="single"/>
        </w:rPr>
        <w:t>）</w:t>
      </w:r>
      <w:r>
        <w:rPr>
          <w:rFonts w:hint="eastAsia" w:ascii="宋体" w:hAnsi="宋体" w:cs="宋体"/>
          <w:sz w:val="24"/>
        </w:rPr>
        <w:t>；</w:t>
      </w:r>
    </w:p>
    <w:p>
      <w:pPr>
        <w:adjustRightInd w:val="0"/>
        <w:snapToGrid w:val="0"/>
        <w:spacing w:line="460" w:lineRule="exact"/>
        <w:ind w:firstLine="480" w:firstLineChars="200"/>
        <w:rPr>
          <w:rFonts w:ascii="宋体" w:hAnsi="宋体" w:cs="宋体"/>
          <w:sz w:val="24"/>
        </w:rPr>
      </w:pPr>
      <w:r>
        <w:rPr>
          <w:rFonts w:ascii="宋体" w:hAnsi="宋体" w:cs="宋体"/>
          <w:bCs/>
          <w:sz w:val="24"/>
        </w:rPr>
        <w:t xml:space="preserve">3 </w:t>
      </w:r>
      <w:r>
        <w:rPr>
          <w:rFonts w:hint="eastAsia" w:ascii="宋体" w:hAnsi="宋体"/>
          <w:sz w:val="24"/>
        </w:rPr>
        <w:t>设备安装</w:t>
      </w:r>
      <w:r>
        <w:rPr>
          <w:rFonts w:hint="eastAsia" w:ascii="宋体" w:hAnsi="宋体" w:cs="宋体"/>
          <w:sz w:val="24"/>
        </w:rPr>
        <w:t>并全部调试完毕，</w:t>
      </w:r>
      <w:r>
        <w:rPr>
          <w:rFonts w:hint="eastAsia" w:ascii="宋体" w:hAnsi="宋体"/>
          <w:sz w:val="24"/>
        </w:rPr>
        <w:t>顺利通过验收，完成工程项目验收合格后，</w:t>
      </w:r>
      <w:r>
        <w:rPr>
          <w:rFonts w:hint="eastAsia" w:ascii="宋体" w:hAnsi="宋体" w:cs="宋体"/>
          <w:sz w:val="24"/>
        </w:rPr>
        <w:t>乙方提交请款资料及等额增值税专用发票，经甲方结算审核后</w:t>
      </w:r>
      <w:r>
        <w:rPr>
          <w:rFonts w:ascii="宋体" w:hAnsi="宋体" w:cs="宋体"/>
          <w:sz w:val="24"/>
          <w:u w:val="single"/>
        </w:rPr>
        <w:t xml:space="preserve"> 15 </w:t>
      </w:r>
      <w:r>
        <w:rPr>
          <w:rFonts w:hint="eastAsia" w:ascii="宋体" w:hAnsi="宋体" w:cs="宋体"/>
          <w:sz w:val="24"/>
        </w:rPr>
        <w:t>个工作日内，支付至合同结算价的</w:t>
      </w:r>
      <w:r>
        <w:rPr>
          <w:rFonts w:ascii="宋体" w:hAnsi="宋体" w:cs="宋体"/>
          <w:sz w:val="24"/>
        </w:rPr>
        <w:t>95%</w:t>
      </w:r>
      <w:r>
        <w:rPr>
          <w:rFonts w:hint="eastAsia" w:ascii="宋体" w:hAnsi="宋体" w:cs="宋体"/>
          <w:sz w:val="24"/>
        </w:rPr>
        <w:t>（含预付款）（若审核价低于合同暂定总价，则以审核价作为合同结算价，否则以合同暂定总价为合同结算价），合同结算价的</w:t>
      </w:r>
      <w:r>
        <w:rPr>
          <w:rFonts w:ascii="宋体" w:hAnsi="宋体" w:cs="宋体"/>
          <w:sz w:val="24"/>
        </w:rPr>
        <w:t>5%</w:t>
      </w:r>
      <w:r>
        <w:rPr>
          <w:rFonts w:hint="eastAsia" w:ascii="宋体" w:hAnsi="宋体" w:cs="宋体"/>
          <w:sz w:val="24"/>
        </w:rPr>
        <w:t>作为质保金留存。</w:t>
      </w:r>
    </w:p>
    <w:p>
      <w:pPr>
        <w:adjustRightInd w:val="0"/>
        <w:snapToGrid w:val="0"/>
        <w:spacing w:line="460" w:lineRule="exact"/>
        <w:ind w:firstLine="240" w:firstLineChars="100"/>
        <w:rPr>
          <w:rFonts w:ascii="宋体" w:hAnsi="宋体" w:cs="宋体"/>
          <w:sz w:val="24"/>
        </w:rPr>
      </w:pPr>
      <w:r>
        <w:rPr>
          <w:rFonts w:ascii="宋体" w:hAnsi="宋体"/>
          <w:sz w:val="24"/>
        </w:rPr>
        <w:t xml:space="preserve">4 </w:t>
      </w:r>
      <w:r>
        <w:rPr>
          <w:rFonts w:hint="eastAsia" w:ascii="宋体" w:hAnsi="宋体"/>
          <w:sz w:val="24"/>
        </w:rPr>
        <w:t>质保期自货物试运行验收合格之日起</w:t>
      </w:r>
      <w:r>
        <w:rPr>
          <w:rFonts w:ascii="宋体" w:hAnsi="宋体"/>
          <w:sz w:val="24"/>
          <w:u w:val="single"/>
        </w:rPr>
        <w:t>1</w:t>
      </w:r>
      <w:r>
        <w:rPr>
          <w:rFonts w:hint="eastAsia" w:ascii="宋体" w:hAnsi="宋体"/>
          <w:sz w:val="24"/>
        </w:rPr>
        <w:t>年。质保期满后，乙方申请退还质保金并提供相关资料后的15个工作日内，甲方支付质保金（无息）</w:t>
      </w:r>
    </w:p>
    <w:p>
      <w:pPr>
        <w:spacing w:line="460" w:lineRule="exact"/>
        <w:ind w:firstLine="480" w:firstLineChars="200"/>
        <w:rPr>
          <w:rFonts w:ascii="宋体" w:hAnsi="宋体" w:cs="宋体"/>
          <w:sz w:val="24"/>
        </w:rPr>
      </w:pPr>
      <w:r>
        <w:rPr>
          <w:rFonts w:ascii="宋体" w:hAnsi="宋体" w:cs="宋体"/>
          <w:sz w:val="24"/>
        </w:rPr>
        <w:t>5.3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cs="宋体"/>
          <w:sz w:val="24"/>
        </w:rPr>
        <w:t>乙方在收款前需向甲方提交等额增值税专用发票，增值税专用发票信息：</w:t>
      </w:r>
    </w:p>
    <w:p>
      <w:pPr>
        <w:spacing w:line="460" w:lineRule="exact"/>
        <w:ind w:firstLine="480" w:firstLineChars="200"/>
        <w:rPr>
          <w:rFonts w:ascii="宋体" w:hAnsi="宋体" w:cs="宋体"/>
          <w:sz w:val="24"/>
        </w:rPr>
      </w:pPr>
      <w:r>
        <w:rPr>
          <w:rFonts w:hint="eastAsia" w:ascii="宋体" w:hAnsi="宋体" w:cs="宋体"/>
          <w:sz w:val="24"/>
        </w:rPr>
        <w:t>名称：广州市净水有限公司</w:t>
      </w:r>
    </w:p>
    <w:p>
      <w:pPr>
        <w:spacing w:line="460" w:lineRule="exact"/>
        <w:ind w:firstLine="480" w:firstLineChars="200"/>
        <w:rPr>
          <w:rFonts w:ascii="宋体" w:hAnsi="宋体" w:cs="宋体"/>
          <w:sz w:val="24"/>
        </w:rPr>
      </w:pPr>
      <w:r>
        <w:rPr>
          <w:rFonts w:hint="eastAsia" w:ascii="宋体" w:hAnsi="宋体" w:cs="宋体"/>
          <w:sz w:val="24"/>
        </w:rPr>
        <w:t>税号：</w:t>
      </w:r>
      <w:r>
        <w:rPr>
          <w:rFonts w:ascii="宋体" w:hAnsi="宋体" w:cs="宋体"/>
          <w:sz w:val="24"/>
          <w:u w:val="single"/>
        </w:rPr>
        <w:t xml:space="preserve"> 9144 0101 7555 8472 9Q </w:t>
      </w:r>
      <w:r>
        <w:rPr>
          <w:rFonts w:ascii="宋体" w:hAnsi="宋体" w:cs="宋体"/>
          <w:sz w:val="24"/>
        </w:rPr>
        <w:t xml:space="preserve"> </w:t>
      </w:r>
      <w:r>
        <w:rPr>
          <w:rFonts w:hint="eastAsia" w:ascii="宋体" w:hAnsi="宋体" w:cs="宋体"/>
          <w:sz w:val="24"/>
        </w:rPr>
        <w:t>；</w:t>
      </w:r>
      <w:r>
        <w:rPr>
          <w:rFonts w:ascii="宋体" w:hAnsi="宋体" w:cs="宋体"/>
          <w:sz w:val="24"/>
        </w:rPr>
        <w:t xml:space="preserve">  </w:t>
      </w:r>
    </w:p>
    <w:p>
      <w:pPr>
        <w:spacing w:line="460" w:lineRule="exact"/>
        <w:ind w:firstLine="480" w:firstLineChars="200"/>
        <w:rPr>
          <w:rFonts w:ascii="宋体" w:hAnsi="宋体" w:cs="宋体"/>
          <w:sz w:val="24"/>
        </w:rPr>
      </w:pPr>
      <w:r>
        <w:rPr>
          <w:rFonts w:hint="eastAsia" w:ascii="宋体" w:hAnsi="宋体" w:cs="宋体"/>
          <w:sz w:val="24"/>
        </w:rPr>
        <w:t>地址：</w:t>
      </w:r>
      <w:r>
        <w:rPr>
          <w:rFonts w:ascii="宋体" w:hAnsi="宋体" w:cs="宋体"/>
          <w:sz w:val="24"/>
          <w:u w:val="single"/>
        </w:rPr>
        <w:t xml:space="preserve"> </w:t>
      </w:r>
      <w:r>
        <w:rPr>
          <w:rFonts w:hint="eastAsia" w:ascii="宋体" w:hAnsi="宋体" w:cs="宋体"/>
          <w:sz w:val="24"/>
          <w:u w:val="single"/>
        </w:rPr>
        <w:t>广州市天河区临江大道 501 号</w:t>
      </w:r>
      <w:r>
        <w:rPr>
          <w:rFonts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hAnsi="宋体" w:cs="宋体"/>
          <w:sz w:val="24"/>
        </w:rPr>
      </w:pPr>
      <w:r>
        <w:rPr>
          <w:rFonts w:ascii="宋体" w:hAnsi="宋体" w:cs="宋体"/>
          <w:sz w:val="24"/>
        </w:rPr>
        <w:t>5.4</w:t>
      </w:r>
      <w:r>
        <w:rPr>
          <w:rFonts w:hint="eastAsia" w:ascii="宋体" w:hAnsi="宋体" w:cs="宋体"/>
          <w:sz w:val="24"/>
        </w:rPr>
        <w:t>付款方式：</w:t>
      </w:r>
      <w:r>
        <w:rPr>
          <w:rFonts w:ascii="宋体" w:hAnsi="宋体" w:cs="宋体"/>
          <w:sz w:val="24"/>
        </w:rPr>
        <w:t xml:space="preserve"> </w:t>
      </w:r>
      <w:r>
        <w:rPr>
          <w:rFonts w:hint="eastAsia" w:ascii="宋体" w:hAnsi="宋体" w:cs="宋体"/>
          <w:sz w:val="24"/>
        </w:rPr>
        <w:sym w:font="Wingdings 2" w:char="0052"/>
      </w:r>
      <w:r>
        <w:rPr>
          <w:rFonts w:hint="eastAsia" w:ascii="宋体" w:hAnsi="宋体" w:cs="宋体"/>
          <w:sz w:val="24"/>
        </w:rPr>
        <w:t>网银支付；</w:t>
      </w:r>
      <w:r>
        <w:rPr>
          <w:rFonts w:ascii="宋体" w:hAnsi="宋体" w:cs="宋体"/>
          <w:sz w:val="24"/>
        </w:rPr>
        <w:t xml:space="preserve">  </w:t>
      </w:r>
      <w:r>
        <w:rPr>
          <w:rFonts w:ascii="宋体" w:hAnsi="宋体" w:cs="宋体"/>
          <w:sz w:val="24"/>
        </w:rPr>
        <w:sym w:font="Wingdings" w:char="00A8"/>
      </w:r>
      <w:r>
        <w:rPr>
          <w:rFonts w:hint="eastAsia" w:ascii="宋体" w:hAnsi="宋体" w:cs="宋体"/>
          <w:sz w:val="24"/>
        </w:rPr>
        <w:t>支票；</w:t>
      </w:r>
      <w:r>
        <w:rPr>
          <w:rFonts w:ascii="宋体" w:hAnsi="宋体" w:cs="宋体"/>
          <w:sz w:val="24"/>
        </w:rPr>
        <w:t xml:space="preserve">   </w:t>
      </w:r>
      <w:r>
        <w:rPr>
          <w:rFonts w:ascii="宋体" w:hAnsi="宋体" w:cs="宋体"/>
          <w:sz w:val="24"/>
        </w:rPr>
        <w:sym w:font="Wingdings" w:char="00A8"/>
      </w:r>
      <w:r>
        <w:rPr>
          <w:rFonts w:hint="eastAsia" w:ascii="宋体" w:hAnsi="宋体" w:cs="宋体"/>
          <w:sz w:val="24"/>
        </w:rPr>
        <w:t>其他：</w:t>
      </w:r>
      <w:r>
        <w:rPr>
          <w:rFonts w:ascii="宋体" w:hAnsi="宋体" w:cs="宋体"/>
          <w:sz w:val="24"/>
        </w:rPr>
        <w:t xml:space="preserve">       </w:t>
      </w:r>
    </w:p>
    <w:p>
      <w:pPr>
        <w:spacing w:line="460" w:lineRule="exact"/>
        <w:ind w:firstLine="720" w:firstLineChars="300"/>
        <w:outlineLvl w:val="1"/>
        <w:rPr>
          <w:rFonts w:hAnsi="宋体" w:cs="宋体"/>
        </w:rPr>
      </w:pPr>
      <w:r>
        <w:rPr>
          <w:rFonts w:hint="eastAsia" w:ascii="宋体" w:hAnsi="宋体" w:cs="宋体"/>
          <w:sz w:val="24"/>
        </w:rPr>
        <w:t>（建议采用网银支付、支票两种形式中之一）。</w:t>
      </w:r>
    </w:p>
    <w:bookmarkEnd w:id="25"/>
    <w:bookmarkEnd w:id="26"/>
    <w:p>
      <w:pPr>
        <w:adjustRightInd w:val="0"/>
        <w:snapToGrid w:val="0"/>
        <w:spacing w:line="460" w:lineRule="exact"/>
        <w:ind w:firstLine="482" w:firstLineChars="200"/>
        <w:rPr>
          <w:rFonts w:ascii="宋体" w:hAnsi="宋体" w:cs="宋体"/>
          <w:sz w:val="24"/>
        </w:rPr>
      </w:pPr>
      <w:bookmarkStart w:id="27" w:name="_Toc474245224"/>
      <w:bookmarkStart w:id="28" w:name="_Toc518992998"/>
      <w:bookmarkStart w:id="29" w:name="_Toc107446861"/>
      <w:bookmarkStart w:id="30" w:name="_Toc107447253"/>
      <w:bookmarkStart w:id="31" w:name="_Toc257"/>
      <w:bookmarkStart w:id="32" w:name="_Toc107446860"/>
      <w:bookmarkStart w:id="33" w:name="_Toc306350465"/>
      <w:bookmarkStart w:id="34" w:name="_Toc118086592"/>
      <w:bookmarkStart w:id="35" w:name="_Toc183666529"/>
      <w:bookmarkStart w:id="36" w:name="_Toc520190038"/>
      <w:bookmarkStart w:id="37" w:name="_Toc107447254"/>
      <w:bookmarkStart w:id="38" w:name="_Toc5166"/>
      <w:bookmarkStart w:id="39" w:name="_Toc183666534"/>
      <w:r>
        <w:rPr>
          <w:rFonts w:hint="eastAsia" w:ascii="宋体" w:hAnsi="宋体" w:cs="宋体"/>
          <w:b/>
          <w:bCs/>
          <w:sz w:val="24"/>
        </w:rPr>
        <w:t>第六条</w:t>
      </w:r>
      <w:r>
        <w:rPr>
          <w:rFonts w:ascii="宋体" w:hAnsi="宋体" w:cs="宋体"/>
          <w:b/>
          <w:bCs/>
          <w:sz w:val="24"/>
        </w:rPr>
        <w:t xml:space="preserve"> </w:t>
      </w:r>
      <w:r>
        <w:rPr>
          <w:rFonts w:hint="eastAsia" w:ascii="宋体" w:hAnsi="宋体" w:cs="宋体"/>
          <w:b/>
          <w:bCs/>
          <w:sz w:val="24"/>
        </w:rPr>
        <w:t>违约责任</w:t>
      </w:r>
    </w:p>
    <w:p>
      <w:pPr>
        <w:adjustRightInd w:val="0"/>
        <w:snapToGrid w:val="0"/>
        <w:spacing w:line="46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单方面取消合同：任意一方未经对方同意单方面取消合同，应按</w:t>
      </w:r>
      <w:r>
        <w:rPr>
          <w:rFonts w:hint="eastAsia" w:ascii="宋体" w:hAnsi="宋体" w:cs="宋体"/>
          <w:sz w:val="24"/>
          <w:u w:val="single"/>
        </w:rPr>
        <w:t>合同暂定总价的</w:t>
      </w:r>
      <w:r>
        <w:rPr>
          <w:rFonts w:ascii="宋体" w:hAnsi="宋体" w:cs="宋体"/>
          <w:sz w:val="24"/>
          <w:u w:val="single"/>
        </w:rPr>
        <w:t>30%</w:t>
      </w:r>
      <w:r>
        <w:rPr>
          <w:rFonts w:hint="eastAsia" w:ascii="宋体" w:hAnsi="宋体" w:cs="宋体"/>
          <w:sz w:val="24"/>
        </w:rPr>
        <w:t>向对方赔偿。</w:t>
      </w:r>
    </w:p>
    <w:p>
      <w:pPr>
        <w:adjustRightInd w:val="0"/>
        <w:snapToGrid w:val="0"/>
        <w:spacing w:line="46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乙方不能按时交货的，每逾期</w:t>
      </w:r>
      <w:r>
        <w:rPr>
          <w:rFonts w:ascii="宋体" w:hAnsi="宋体" w:cs="宋体"/>
          <w:sz w:val="24"/>
        </w:rPr>
        <w:t>1</w:t>
      </w:r>
      <w:r>
        <w:rPr>
          <w:rFonts w:hint="eastAsia" w:ascii="宋体" w:hAnsi="宋体" w:cs="宋体"/>
          <w:sz w:val="24"/>
        </w:rPr>
        <w:t>日，按</w:t>
      </w:r>
      <w:r>
        <w:rPr>
          <w:rFonts w:hint="eastAsia" w:ascii="宋体" w:hAnsi="宋体" w:cs="宋体"/>
          <w:sz w:val="24"/>
          <w:u w:val="single"/>
        </w:rPr>
        <w:t>迟交货物总价的</w:t>
      </w:r>
      <w:r>
        <w:rPr>
          <w:rFonts w:ascii="宋体" w:hAnsi="宋体" w:cs="宋体"/>
          <w:sz w:val="24"/>
          <w:u w:val="single"/>
        </w:rPr>
        <w:t xml:space="preserve"> 1%支付违约金</w:t>
      </w:r>
      <w:r>
        <w:rPr>
          <w:rFonts w:hint="eastAsia" w:ascii="宋体" w:hAnsi="宋体" w:cs="宋体"/>
          <w:sz w:val="24"/>
        </w:rPr>
        <w:t>，逾期达到</w:t>
      </w:r>
      <w:r>
        <w:rPr>
          <w:rFonts w:ascii="宋体" w:hAnsi="宋体" w:cs="宋体"/>
          <w:sz w:val="24"/>
          <w:u w:val="single"/>
        </w:rPr>
        <w:t xml:space="preserve"> 15 </w:t>
      </w:r>
      <w:r>
        <w:rPr>
          <w:rFonts w:hint="eastAsia" w:ascii="宋体" w:hAnsi="宋体" w:cs="宋体"/>
          <w:sz w:val="24"/>
        </w:rPr>
        <w:t>天及以上的，甲方有权解除合同。</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6.3 </w:t>
      </w:r>
      <w:r>
        <w:rPr>
          <w:rFonts w:hint="eastAsia" w:ascii="宋体" w:hAnsi="宋体" w:cs="宋体"/>
          <w:sz w:val="24"/>
        </w:rPr>
        <w:t>货物</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验收不合格或货物在</w:t>
      </w:r>
      <w:r>
        <w:rPr>
          <w:rFonts w:hint="eastAsia" w:ascii="宋体" w:hAnsi="宋体" w:cs="宋体"/>
          <w:sz w:val="24"/>
          <w:u w:val="single"/>
        </w:rPr>
        <w:t>开箱</w:t>
      </w:r>
      <w:r>
        <w:rPr>
          <w:rFonts w:ascii="宋体" w:hAnsi="宋体" w:cs="宋体"/>
          <w:sz w:val="24"/>
          <w:u w:val="single"/>
        </w:rPr>
        <w:t>/</w:t>
      </w:r>
      <w:r>
        <w:rPr>
          <w:rFonts w:hint="eastAsia" w:ascii="宋体" w:hAnsi="宋体" w:cs="宋体"/>
          <w:sz w:val="24"/>
          <w:u w:val="single"/>
        </w:rPr>
        <w:t>试运行</w:t>
      </w:r>
      <w:r>
        <w:rPr>
          <w:rFonts w:hint="eastAsia" w:ascii="宋体" w:hAnsi="宋体" w:cs="宋体"/>
          <w:sz w:val="24"/>
        </w:rPr>
        <w:t>验收后发现乙方所供货物不合格的，甲方有权退货或要求更换。甲方要求退货的，乙方应在收到甲方退货要求的</w:t>
      </w:r>
      <w:r>
        <w:rPr>
          <w:rFonts w:ascii="宋体" w:hAnsi="宋体" w:cs="宋体"/>
          <w:sz w:val="24"/>
        </w:rPr>
        <w:t>3</w:t>
      </w:r>
      <w:r>
        <w:rPr>
          <w:rFonts w:hint="eastAsia" w:ascii="宋体" w:hAnsi="宋体" w:cs="宋体"/>
          <w:sz w:val="24"/>
        </w:rPr>
        <w:t>日内退还甲方已支付的货款（含预付款）并按退货总价的双倍金额向甲方支付违约金，同时甲方有权解除合同；甲方要求更换的，乙方应在</w:t>
      </w:r>
      <w:r>
        <w:rPr>
          <w:rFonts w:ascii="宋体" w:hAnsi="宋体" w:cs="宋体"/>
          <w:sz w:val="24"/>
        </w:rPr>
        <w:t>3</w:t>
      </w:r>
      <w:r>
        <w:rPr>
          <w:rFonts w:hint="eastAsia" w:ascii="宋体" w:hAnsi="宋体" w:cs="宋体"/>
          <w:sz w:val="24"/>
        </w:rPr>
        <w:t>日内重新交货并按</w:t>
      </w:r>
      <w:r>
        <w:rPr>
          <w:rFonts w:hint="eastAsia" w:ascii="宋体" w:hAnsi="宋体" w:cs="宋体"/>
          <w:sz w:val="24"/>
          <w:u w:val="single"/>
        </w:rPr>
        <w:t>更换货物总价的</w:t>
      </w:r>
      <w:r>
        <w:rPr>
          <w:rFonts w:ascii="宋体" w:hAnsi="宋体" w:cs="宋体"/>
          <w:sz w:val="24"/>
          <w:u w:val="single"/>
        </w:rPr>
        <w:t>10%</w:t>
      </w:r>
      <w:r>
        <w:rPr>
          <w:rFonts w:hint="eastAsia" w:ascii="宋体" w:hAnsi="宋体" w:cs="宋体"/>
          <w:sz w:val="24"/>
        </w:rPr>
        <w:t>支付违约金，乙方承担由此产生的一切损失和费用。</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6.4 </w:t>
      </w:r>
      <w:r>
        <w:rPr>
          <w:rFonts w:hint="eastAsia" w:ascii="宋体" w:hAnsi="宋体" w:cs="宋体"/>
          <w:sz w:val="24"/>
        </w:rPr>
        <w:t>乙方不履行合同义务、或履行合同义务不符合合同约定、或违反国家、省、市行业标准的，甲方有权要求乙方限期整改。乙方逾期未完成整改的，每项每超过</w:t>
      </w:r>
      <w:r>
        <w:rPr>
          <w:rFonts w:ascii="宋体" w:hAnsi="宋体" w:cs="宋体"/>
          <w:sz w:val="24"/>
        </w:rPr>
        <w:t>1日支付违约金人民币1万元，超过</w:t>
      </w:r>
      <w:r>
        <w:rPr>
          <w:rFonts w:ascii="宋体" w:hAnsi="宋体" w:cs="宋体"/>
          <w:sz w:val="24"/>
          <w:u w:val="single"/>
        </w:rPr>
        <w:t xml:space="preserve">_7 </w:t>
      </w:r>
      <w:r>
        <w:rPr>
          <w:rFonts w:hint="eastAsia" w:ascii="宋体" w:hAnsi="宋体" w:cs="宋体"/>
          <w:sz w:val="24"/>
        </w:rPr>
        <w:t>日，甲方有权解除合同并要求乙方支付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r>
        <w:rPr>
          <w:rFonts w:hint="eastAsia" w:ascii="宋体" w:hAnsi="宋体" w:cs="宋体"/>
          <w:sz w:val="24"/>
        </w:rPr>
        <w:t>（</w:t>
      </w:r>
      <w:r>
        <w:rPr>
          <w:rFonts w:hint="eastAsia" w:cs="宋体"/>
          <w:sz w:val="24"/>
        </w:rPr>
        <w:t>如合同另行约定违约责任，从其约定</w:t>
      </w:r>
      <w:r>
        <w:rPr>
          <w:rFonts w:hint="eastAsia" w:ascii="宋体" w:hAnsi="宋体" w:cs="宋体"/>
          <w:sz w:val="24"/>
        </w:rPr>
        <w:t>）</w:t>
      </w:r>
      <w:r>
        <w:rPr>
          <w:rFonts w:ascii="宋体" w:hAnsi="宋体" w:cs="宋体"/>
          <w:sz w:val="24"/>
        </w:rPr>
        <w:t>。</w:t>
      </w:r>
    </w:p>
    <w:p>
      <w:pPr>
        <w:adjustRightInd w:val="0"/>
        <w:snapToGrid w:val="0"/>
        <w:spacing w:line="460" w:lineRule="exact"/>
        <w:ind w:firstLine="482" w:firstLineChars="200"/>
        <w:rPr>
          <w:rFonts w:ascii="宋体" w:hAnsi="宋体" w:cs="宋体"/>
          <w:b/>
          <w:bCs/>
          <w:sz w:val="24"/>
        </w:rPr>
      </w:pPr>
      <w:r>
        <w:rPr>
          <w:rFonts w:hint="eastAsia" w:ascii="宋体" w:hAnsi="宋体" w:cs="宋体"/>
          <w:b/>
          <w:bCs/>
          <w:sz w:val="24"/>
        </w:rPr>
        <w:t>第七条</w:t>
      </w:r>
      <w:r>
        <w:rPr>
          <w:rFonts w:ascii="宋体" w:hAnsi="宋体" w:cs="宋体"/>
          <w:b/>
          <w:bCs/>
          <w:sz w:val="24"/>
        </w:rPr>
        <w:t xml:space="preserve"> </w:t>
      </w:r>
      <w:r>
        <w:rPr>
          <w:rFonts w:hint="eastAsia" w:ascii="宋体" w:hAnsi="宋体" w:cs="宋体"/>
          <w:b/>
          <w:bCs/>
          <w:sz w:val="24"/>
        </w:rPr>
        <w:t>不可抗力</w:t>
      </w:r>
    </w:p>
    <w:p>
      <w:pPr>
        <w:numPr>
          <w:ilvl w:val="255"/>
          <w:numId w:val="0"/>
        </w:numPr>
        <w:adjustRightInd w:val="0"/>
        <w:snapToGrid w:val="0"/>
        <w:spacing w:line="460" w:lineRule="exact"/>
        <w:ind w:firstLine="480" w:firstLineChars="200"/>
        <w:rPr>
          <w:rFonts w:ascii="宋体" w:hAnsi="宋体" w:cs="宋体"/>
          <w:sz w:val="24"/>
        </w:rPr>
      </w:pPr>
      <w:r>
        <w:rPr>
          <w:rFonts w:ascii="宋体" w:hAnsi="宋体" w:cs="宋体"/>
          <w:sz w:val="24"/>
        </w:rPr>
        <w:t xml:space="preserve">7.1 </w:t>
      </w:r>
      <w:r>
        <w:rPr>
          <w:rFonts w:hint="eastAsia" w:ascii="宋体" w:hAnsi="宋体" w:cs="宋体"/>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2）战争行为、入侵、武装冲突或外敌行为、封锁、暴乱、恐怖行为或军事演习；</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7.2 </w:t>
      </w:r>
      <w:r>
        <w:rPr>
          <w:rFonts w:hint="eastAsia" w:ascii="宋体" w:hAnsi="宋体" w:cs="宋体"/>
          <w:sz w:val="24"/>
        </w:rPr>
        <w:t>声称受到不可抗力影响的一方，应在发生不可抗力或知道发生不可抗力之后</w:t>
      </w:r>
      <w:r>
        <w:rPr>
          <w:rFonts w:ascii="宋体" w:hAnsi="宋体" w:cs="宋体"/>
          <w:sz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7.3 </w:t>
      </w:r>
      <w:r>
        <w:rPr>
          <w:rFonts w:hint="eastAsia" w:ascii="宋体" w:hAnsi="宋体" w:cs="宋体"/>
          <w:sz w:val="24"/>
        </w:rPr>
        <w:t>因不可抗力导致合同无法履行的时间自该不可抗力发生日起连续超过玖拾</w:t>
      </w:r>
      <w:r>
        <w:rPr>
          <w:rFonts w:ascii="宋体" w:hAnsi="宋体" w:cs="宋体"/>
          <w:sz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7.4 </w:t>
      </w:r>
      <w:r>
        <w:rPr>
          <w:rFonts w:hint="eastAsia" w:ascii="宋体" w:hAnsi="宋体" w:cs="宋体"/>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争议解决</w:t>
      </w:r>
    </w:p>
    <w:p>
      <w:pPr>
        <w:spacing w:line="460" w:lineRule="exact"/>
        <w:ind w:firstLine="720" w:firstLineChars="300"/>
        <w:rPr>
          <w:rFonts w:ascii="宋体" w:hAnsi="宋体" w:cs="宋体"/>
          <w:sz w:val="24"/>
        </w:rPr>
      </w:pPr>
      <w:r>
        <w:rPr>
          <w:rFonts w:ascii="宋体" w:hAnsi="宋体" w:cs="宋体"/>
          <w:bCs/>
          <w:sz w:val="24"/>
        </w:rPr>
        <w:t>8.1</w:t>
      </w:r>
      <w:r>
        <w:rPr>
          <w:rFonts w:hint="eastAsia" w:ascii="宋体" w:hAnsi="宋体" w:cs="宋体"/>
          <w:bCs/>
          <w:sz w:val="24"/>
        </w:rPr>
        <w:t>因本合同引起的或与本合同有关的任何争议，甲乙双方应友好协商解决，如协商不成，任何一方可依法向甲方所在地</w:t>
      </w:r>
      <w:r>
        <w:rPr>
          <w:rFonts w:hint="eastAsia" w:ascii="宋体" w:hAnsi="宋体" w:cs="宋体"/>
          <w:bCs/>
          <w:sz w:val="24"/>
          <w:u w:val="single"/>
        </w:rPr>
        <w:t>人民法院</w:t>
      </w:r>
      <w:r>
        <w:rPr>
          <w:rFonts w:hint="eastAsia" w:ascii="宋体" w:hAnsi="宋体" w:cs="宋体"/>
          <w:bCs/>
          <w:sz w:val="24"/>
        </w:rPr>
        <w:t>提起诉讼</w:t>
      </w:r>
      <w:r>
        <w:rPr>
          <w:rFonts w:hint="eastAsia" w:ascii="宋体" w:hAnsi="宋体" w:cs="宋体"/>
          <w:sz w:val="24"/>
        </w:rPr>
        <w:t>。</w:t>
      </w:r>
    </w:p>
    <w:p>
      <w:pPr>
        <w:spacing w:line="460" w:lineRule="exact"/>
        <w:ind w:firstLine="720" w:firstLineChars="300"/>
        <w:rPr>
          <w:rFonts w:ascii="宋体" w:hAnsi="宋体" w:cs="宋体"/>
          <w:sz w:val="24"/>
        </w:rPr>
      </w:pPr>
      <w:r>
        <w:rPr>
          <w:rFonts w:ascii="宋体" w:hAnsi="宋体" w:cs="宋体"/>
          <w:sz w:val="24"/>
        </w:rPr>
        <w:t>8.2</w:t>
      </w:r>
      <w:r>
        <w:rPr>
          <w:rFonts w:hint="eastAsia" w:ascii="宋体" w:hAnsi="宋体" w:cs="宋体"/>
          <w:sz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其他</w:t>
      </w:r>
    </w:p>
    <w:p>
      <w:pPr>
        <w:spacing w:line="460" w:lineRule="exact"/>
        <w:ind w:firstLine="638" w:firstLineChars="266"/>
        <w:rPr>
          <w:rFonts w:ascii="宋体" w:hAnsi="宋体" w:cs="宋体"/>
          <w:b/>
          <w:sz w:val="24"/>
        </w:rPr>
      </w:pPr>
      <w:r>
        <w:rPr>
          <w:rFonts w:ascii="宋体" w:hAnsi="宋体" w:cs="宋体"/>
          <w:sz w:val="24"/>
        </w:rPr>
        <w:t>9.1</w:t>
      </w:r>
      <w:r>
        <w:rPr>
          <w:rFonts w:hint="eastAsia" w:ascii="宋体" w:hAnsi="宋体" w:cs="宋体"/>
          <w:sz w:val="24"/>
        </w:rPr>
        <w:t>本协议未尽事宜，可由甲乙双方另行签订补充协议。补充协议与本合同具有同等法律效力。</w:t>
      </w:r>
    </w:p>
    <w:p>
      <w:pPr>
        <w:spacing w:line="460" w:lineRule="exact"/>
        <w:ind w:firstLine="638" w:firstLineChars="266"/>
        <w:rPr>
          <w:rFonts w:ascii="宋体" w:hAnsi="宋体" w:cs="宋体"/>
          <w:sz w:val="24"/>
        </w:rPr>
      </w:pPr>
      <w:r>
        <w:rPr>
          <w:rFonts w:ascii="宋体" w:hAnsi="宋体" w:cs="宋体"/>
          <w:sz w:val="24"/>
        </w:rPr>
        <w:t>9.2</w:t>
      </w:r>
      <w:r>
        <w:rPr>
          <w:rFonts w:hint="eastAsia" w:ascii="宋体" w:hAnsi="宋体" w:cs="宋体"/>
          <w:sz w:val="24"/>
        </w:rPr>
        <w:t>本合同自甲乙双方法定代表人或授权代理人签字并加盖公章之日起生效。</w:t>
      </w:r>
    </w:p>
    <w:p>
      <w:pPr>
        <w:spacing w:line="460" w:lineRule="exact"/>
        <w:ind w:firstLine="638" w:firstLineChars="266"/>
        <w:rPr>
          <w:rFonts w:ascii="宋体" w:hAnsi="宋体" w:cs="宋体"/>
          <w:sz w:val="24"/>
        </w:rPr>
      </w:pPr>
      <w:r>
        <w:rPr>
          <w:rFonts w:ascii="宋体" w:hAnsi="宋体" w:cs="宋体"/>
          <w:sz w:val="24"/>
        </w:rPr>
        <w:t>9.3</w:t>
      </w:r>
      <w:r>
        <w:rPr>
          <w:rFonts w:hint="eastAsia" w:ascii="宋体" w:hAnsi="宋体" w:cs="宋体"/>
          <w:sz w:val="24"/>
        </w:rPr>
        <w:t>本合同一式</w:t>
      </w:r>
      <w:r>
        <w:rPr>
          <w:rFonts w:ascii="宋体" w:hAnsi="宋体" w:cs="宋体"/>
          <w:sz w:val="24"/>
          <w:u w:val="single"/>
        </w:rPr>
        <w:t xml:space="preserve"> </w:t>
      </w:r>
      <w:r>
        <w:rPr>
          <w:rFonts w:hint="eastAsia" w:ascii="宋体" w:hAnsi="宋体" w:cs="宋体"/>
          <w:sz w:val="24"/>
          <w:u w:val="single"/>
        </w:rPr>
        <w:t>柒</w:t>
      </w:r>
      <w:r>
        <w:rPr>
          <w:rFonts w:ascii="宋体" w:hAnsi="宋体" w:cs="宋体"/>
          <w:sz w:val="24"/>
          <w:u w:val="single"/>
        </w:rPr>
        <w:t xml:space="preserve"> </w:t>
      </w:r>
      <w:r>
        <w:rPr>
          <w:rFonts w:hint="eastAsia" w:ascii="宋体" w:hAnsi="宋体" w:cs="宋体"/>
          <w:sz w:val="24"/>
        </w:rPr>
        <w:t>份，甲方执</w:t>
      </w:r>
      <w:r>
        <w:rPr>
          <w:rFonts w:ascii="宋体" w:hAnsi="宋体" w:cs="宋体"/>
          <w:sz w:val="24"/>
          <w:u w:val="single"/>
        </w:rPr>
        <w:t xml:space="preserve"> </w:t>
      </w:r>
      <w:r>
        <w:rPr>
          <w:rFonts w:hint="eastAsia" w:ascii="宋体" w:hAnsi="宋体" w:cs="宋体"/>
          <w:sz w:val="24"/>
          <w:u w:val="single"/>
        </w:rPr>
        <w:t>伍</w:t>
      </w:r>
      <w:r>
        <w:rPr>
          <w:rFonts w:ascii="宋体" w:hAnsi="宋体" w:cs="宋体"/>
          <w:sz w:val="24"/>
          <w:u w:val="single"/>
        </w:rPr>
        <w:t xml:space="preserve"> </w:t>
      </w:r>
      <w:r>
        <w:rPr>
          <w:rFonts w:hint="eastAsia" w:ascii="宋体" w:hAnsi="宋体" w:cs="宋体"/>
          <w:sz w:val="24"/>
        </w:rPr>
        <w:t>份，乙方执</w:t>
      </w:r>
      <w:r>
        <w:rPr>
          <w:rFonts w:ascii="宋体" w:hAnsi="宋体" w:cs="宋体"/>
          <w:sz w:val="24"/>
          <w:u w:val="single"/>
        </w:rPr>
        <w:t xml:space="preserve"> </w:t>
      </w:r>
      <w:r>
        <w:rPr>
          <w:rFonts w:hint="eastAsia" w:ascii="宋体" w:hAnsi="宋体" w:cs="宋体"/>
          <w:sz w:val="24"/>
          <w:u w:val="single"/>
        </w:rPr>
        <w:t>贰</w:t>
      </w:r>
      <w:r>
        <w:rPr>
          <w:rFonts w:ascii="宋体" w:hAnsi="宋体" w:cs="宋体"/>
          <w:sz w:val="24"/>
          <w:u w:val="single"/>
        </w:rPr>
        <w:t xml:space="preserve"> </w:t>
      </w:r>
      <w:r>
        <w:rPr>
          <w:rFonts w:hint="eastAsia" w:ascii="宋体" w:hAnsi="宋体" w:cs="宋体"/>
          <w:sz w:val="24"/>
        </w:rPr>
        <w:t>份。均具有同等法律效力。</w:t>
      </w:r>
    </w:p>
    <w:p>
      <w:pPr>
        <w:adjustRightInd w:val="0"/>
        <w:snapToGrid w:val="0"/>
        <w:spacing w:line="460" w:lineRule="exact"/>
        <w:ind w:right="521" w:rightChars="248" w:firstLine="720" w:firstLineChars="300"/>
        <w:rPr>
          <w:rFonts w:ascii="宋体" w:hAnsi="宋体" w:cs="宋体"/>
          <w:sz w:val="24"/>
        </w:rPr>
      </w:pPr>
      <w:r>
        <w:rPr>
          <w:rFonts w:ascii="宋体" w:hAnsi="宋体" w:cs="宋体"/>
          <w:sz w:val="24"/>
        </w:rPr>
        <w:t>9.4</w:t>
      </w:r>
      <w:r>
        <w:rPr>
          <w:rFonts w:hint="eastAsia" w:ascii="宋体" w:hAnsi="宋体" w:cs="宋体"/>
          <w:sz w:val="24"/>
        </w:rPr>
        <w:t>补充条款：</w:t>
      </w:r>
      <w:r>
        <w:rPr>
          <w:rFonts w:ascii="宋体" w:hAnsi="宋体" w:cs="宋体"/>
          <w:sz w:val="24"/>
          <w:u w:val="single"/>
        </w:rPr>
        <w:t xml:space="preserve"> / </w:t>
      </w:r>
      <w:r>
        <w:rPr>
          <w:rFonts w:hint="eastAsia" w:ascii="宋体" w:hAnsi="宋体" w:cs="宋体"/>
          <w:sz w:val="24"/>
          <w:u w:val="single"/>
        </w:rPr>
        <w:t>。</w:t>
      </w:r>
      <w:r>
        <w:rPr>
          <w:rFonts w:ascii="宋体" w:hAnsi="宋体" w:cs="宋体"/>
          <w:sz w:val="24"/>
        </w:rPr>
        <w:t xml:space="preserve">    </w:t>
      </w:r>
    </w:p>
    <w:bookmarkEnd w:id="27"/>
    <w:bookmarkEnd w:id="28"/>
    <w:bookmarkEnd w:id="29"/>
    <w:bookmarkEnd w:id="30"/>
    <w:bookmarkEnd w:id="31"/>
    <w:bookmarkEnd w:id="32"/>
    <w:bookmarkEnd w:id="33"/>
    <w:bookmarkEnd w:id="34"/>
    <w:bookmarkEnd w:id="35"/>
    <w:bookmarkEnd w:id="36"/>
    <w:bookmarkEnd w:id="37"/>
    <w:bookmarkEnd w:id="38"/>
    <w:bookmarkEnd w:id="39"/>
    <w:p>
      <w:pPr>
        <w:spacing w:line="460" w:lineRule="exact"/>
        <w:ind w:firstLine="480"/>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w:t>
      </w:r>
    </w:p>
    <w:p>
      <w:pPr>
        <w:spacing w:line="460" w:lineRule="exact"/>
        <w:rPr>
          <w:rFonts w:ascii="宋体" w:hAnsi="宋体" w:cs="宋体"/>
          <w:sz w:val="24"/>
        </w:rPr>
      </w:pPr>
      <w:r>
        <w:rPr>
          <w:rFonts w:ascii="宋体" w:hAnsi="宋体" w:cs="宋体"/>
          <w:sz w:val="24"/>
        </w:rPr>
        <w:t xml:space="preserve">          2</w:t>
      </w:r>
      <w:r>
        <w:rPr>
          <w:rFonts w:hint="eastAsia" w:ascii="宋体" w:hAnsi="宋体" w:cs="宋体"/>
          <w:sz w:val="24"/>
        </w:rPr>
        <w:t>.廉洁协议</w:t>
      </w:r>
    </w:p>
    <w:p>
      <w:pPr>
        <w:spacing w:line="460" w:lineRule="exact"/>
        <w:ind w:left="1200"/>
        <w:rPr>
          <w:rFonts w:ascii="宋体" w:hAnsi="宋体" w:cs="宋体"/>
          <w:kern w:val="0"/>
          <w:sz w:val="24"/>
        </w:rPr>
      </w:pPr>
      <w:r>
        <w:rPr>
          <w:rFonts w:hint="eastAsia" w:ascii="宋体" w:hAnsi="宋体" w:cs="宋体"/>
          <w:kern w:val="0"/>
          <w:sz w:val="24"/>
        </w:rPr>
        <w:t>3.物品采购安全协议书</w:t>
      </w:r>
    </w:p>
    <w:p>
      <w:pPr>
        <w:spacing w:line="460" w:lineRule="exact"/>
        <w:ind w:left="1200"/>
        <w:rPr>
          <w:rFonts w:ascii="宋体" w:hAnsi="宋体" w:cs="宋体"/>
          <w:kern w:val="0"/>
          <w:sz w:val="24"/>
        </w:rPr>
      </w:pPr>
      <w:r>
        <w:rPr>
          <w:rFonts w:hint="eastAsia" w:ascii="宋体" w:hAnsi="宋体" w:cs="宋体"/>
          <w:kern w:val="0"/>
          <w:sz w:val="24"/>
        </w:rPr>
        <w:t>4.采购需求</w:t>
      </w:r>
    </w:p>
    <w:p>
      <w:pPr>
        <w:spacing w:line="460" w:lineRule="exact"/>
        <w:ind w:left="1200"/>
        <w:rPr>
          <w:rFonts w:ascii="宋体" w:hAnsi="宋体" w:cs="宋体"/>
          <w:kern w:val="0"/>
          <w:sz w:val="24"/>
          <w:lang w:val="zh-CN"/>
        </w:rPr>
      </w:pPr>
      <w:r>
        <w:rPr>
          <w:rFonts w:hint="eastAsia" w:ascii="宋体" w:hAnsi="宋体" w:cs="宋体"/>
          <w:kern w:val="0"/>
          <w:sz w:val="24"/>
          <w:lang w:val="zh-CN"/>
        </w:rPr>
        <w:t>5.保密协议</w:t>
      </w:r>
    </w:p>
    <w:tbl>
      <w:tblPr>
        <w:tblStyle w:val="27"/>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b/>
                <w:sz w:val="24"/>
              </w:rPr>
              <w:t>甲方</w:t>
            </w:r>
            <w:r>
              <w:rPr>
                <w:rFonts w:hint="eastAsia" w:ascii="宋体" w:hAnsi="宋体" w:cs="宋体"/>
                <w:sz w:val="24"/>
              </w:rPr>
              <w:t>：广州市净水有限公司（盖章）</w:t>
            </w:r>
          </w:p>
          <w:p>
            <w:pPr>
              <w:adjustRightInd w:val="0"/>
              <w:snapToGrid w:val="0"/>
              <w:spacing w:line="460" w:lineRule="exact"/>
              <w:rPr>
                <w:rFonts w:ascii="宋体" w:hAnsi="宋体" w:cs="宋体"/>
                <w:sz w:val="24"/>
              </w:rPr>
            </w:pP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b/>
                <w:sz w:val="24"/>
              </w:rPr>
              <w:t>乙方</w:t>
            </w:r>
            <w:r>
              <w:rPr>
                <w:rFonts w:hint="eastAsia" w:ascii="宋体" w:hAnsi="宋体" w:cs="宋体"/>
                <w:sz w:val="24"/>
              </w:rPr>
              <w:t>：</w:t>
            </w:r>
            <w:r>
              <w:rPr>
                <w:rFonts w:ascii="宋体" w:hAnsi="宋体" w:cs="宋体"/>
                <w:sz w:val="24"/>
              </w:rPr>
              <w:t xml:space="preserve">                 </w:t>
            </w:r>
            <w:r>
              <w:rPr>
                <w:rFonts w:hint="eastAsia" w:ascii="宋体" w:hAnsi="宋体" w:cs="宋体"/>
                <w:sz w:val="24"/>
              </w:rPr>
              <w:t>（盖章）</w:t>
            </w:r>
          </w:p>
          <w:p>
            <w:pPr>
              <w:adjustRightInd w:val="0"/>
              <w:snapToGrid w:val="0"/>
              <w:spacing w:line="460" w:lineRule="exact"/>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ascii="宋体" w:hAnsi="宋体" w:cs="宋体"/>
                <w:sz w:val="24"/>
              </w:rPr>
              <w:t xml:space="preserve">                                                    </w:t>
            </w:r>
            <w:r>
              <w:rPr>
                <w:rFonts w:hint="eastAsia" w:ascii="宋体" w:hAnsi="宋体" w:cs="宋体"/>
                <w:sz w:val="24"/>
              </w:rPr>
              <w:t>签订日期：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cs="宋体"/>
                <w:sz w:val="24"/>
              </w:rPr>
            </w:pPr>
            <w:r>
              <w:rPr>
                <w:rFonts w:hint="eastAsia" w:ascii="宋体" w:hAnsi="宋体" w:cs="宋体"/>
                <w:sz w:val="24"/>
              </w:rPr>
              <w:t>签订日期：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tc>
      </w:tr>
    </w:tbl>
    <w:p>
      <w:pPr>
        <w:spacing w:line="360" w:lineRule="auto"/>
        <w:rPr>
          <w:rFonts w:ascii="宋体" w:hAnsi="宋体" w:cs="宋体"/>
          <w:b/>
          <w:bCs/>
          <w:szCs w:val="21"/>
        </w:rPr>
      </w:pPr>
    </w:p>
    <w:p>
      <w:pPr>
        <w:widowControl/>
        <w:jc w:val="left"/>
        <w:rPr>
          <w:rFonts w:ascii="宋体" w:hAnsi="宋体" w:cs="宋体"/>
          <w:b/>
          <w:bCs/>
          <w:szCs w:val="21"/>
        </w:rPr>
      </w:pPr>
      <w:r>
        <w:rPr>
          <w:rFonts w:ascii="宋体" w:hAnsi="宋体" w:cs="宋体"/>
          <w:b/>
          <w:bCs/>
          <w:szCs w:val="21"/>
        </w:rPr>
        <w:br w:type="page"/>
      </w:r>
    </w:p>
    <w:p>
      <w:pPr>
        <w:widowControl/>
        <w:spacing w:line="360" w:lineRule="auto"/>
        <w:jc w:val="left"/>
        <w:rPr>
          <w:rFonts w:ascii="宋体" w:hAnsi="宋体" w:cs="宋体"/>
          <w:b/>
          <w:bCs/>
          <w:szCs w:val="21"/>
        </w:rPr>
      </w:pPr>
      <w:r>
        <w:rPr>
          <w:rFonts w:hint="eastAsia" w:ascii="宋体" w:hAnsi="宋体" w:cs="宋体"/>
          <w:b/>
          <w:bCs/>
          <w:szCs w:val="21"/>
        </w:rPr>
        <w:t>附件1：发包通知书/委托函</w:t>
      </w:r>
    </w:p>
    <w:p>
      <w:pPr>
        <w:widowControl/>
        <w:jc w:val="left"/>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（一）甲乙双方严格遵守国家关于市场准入、项目询价报价、市场经营活动等有关法律、法规相关政策及廉政建设的各项规定。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污水处理过程精细化控制研究项目仪表采购项目</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6"/>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根据甲方及其上级单位、主管部门的有关规定，对乙方违反廉洁协议的行为限制其参与招报价活动的资格。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（污水处理过程精细化控制研究项目仪表采购项目）+穗净水合[</w:t>
      </w:r>
      <w:r>
        <w:rPr>
          <w:rFonts w:ascii="宋体" w:hAnsi="宋体"/>
          <w:sz w:val="24"/>
          <w:u w:val="single"/>
        </w:rPr>
        <w:t xml:space="preserve">2021]     </w:t>
      </w:r>
      <w:r>
        <w:rPr>
          <w:rFonts w:hint="eastAsia" w:ascii="宋体" w:hAnsi="宋体"/>
          <w:sz w:val="24"/>
          <w:u w:val="single"/>
        </w:rPr>
        <w:t>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hint="eastAsia" w:ascii="宋体" w:hAnsi="宋体"/>
          <w:sz w:val="24"/>
        </w:rPr>
        <w:t>甲方、乙方双方执持数量与主合同一致。</w:t>
      </w:r>
      <w:r>
        <w:rPr>
          <w:rFonts w:ascii="宋体" w:hAnsi="宋体"/>
          <w:sz w:val="24"/>
        </w:rPr>
        <w:t>。</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46"/>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pStyle w:val="12"/>
      </w:pPr>
    </w:p>
    <w:p>
      <w:pPr>
        <w:widowControl/>
        <w:jc w:val="left"/>
        <w:rPr>
          <w:rFonts w:cs="宋体" w:asciiTheme="majorEastAsia" w:hAnsiTheme="majorEastAsia" w:eastAsiaTheme="majorEastAsia"/>
          <w:b/>
          <w:szCs w:val="21"/>
        </w:rPr>
      </w:pPr>
      <w:r>
        <w:rPr>
          <w:rFonts w:cs="宋体" w:asciiTheme="majorEastAsia" w:hAnsiTheme="majorEastAsia" w:eastAsiaTheme="majorEastAsia"/>
          <w:b/>
          <w:szCs w:val="21"/>
        </w:rPr>
        <w:br w:type="page"/>
      </w:r>
    </w:p>
    <w:p>
      <w:pPr>
        <w:spacing w:line="360" w:lineRule="auto"/>
        <w:rPr>
          <w:rFonts w:cs="宋体" w:asciiTheme="majorEastAsia" w:hAnsiTheme="majorEastAsia" w:eastAsiaTheme="majorEastAsia"/>
          <w:b/>
          <w:szCs w:val="21"/>
        </w:rPr>
      </w:pPr>
      <w:r>
        <w:rPr>
          <w:rFonts w:hint="eastAsia" w:cs="宋体" w:asciiTheme="majorEastAsia" w:hAnsiTheme="majorEastAsia" w:eastAsiaTheme="majorEastAsia"/>
          <w:b/>
          <w:szCs w:val="21"/>
        </w:rPr>
        <w:t>附件</w:t>
      </w:r>
      <w:r>
        <w:rPr>
          <w:rFonts w:cs="宋体" w:asciiTheme="majorEastAsia" w:hAnsiTheme="majorEastAsia" w:eastAsiaTheme="majorEastAsia"/>
          <w:b/>
          <w:szCs w:val="21"/>
        </w:rPr>
        <w:t>3</w:t>
      </w:r>
      <w:r>
        <w:rPr>
          <w:rFonts w:hint="eastAsia" w:cs="宋体" w:asciiTheme="majorEastAsia" w:hAnsiTheme="majorEastAsia" w:eastAsiaTheme="majorEastAsia"/>
          <w:b/>
          <w:szCs w:val="21"/>
        </w:rPr>
        <w:t>：物品采购安全协议书</w:t>
      </w:r>
    </w:p>
    <w:p>
      <w:pPr>
        <w:pStyle w:val="12"/>
      </w:pP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pStyle w:val="12"/>
      </w:pP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污水处理过程精细化控制研究项目仪表采购项目 </w:t>
      </w:r>
      <w:r>
        <w:rPr>
          <w:rFonts w:hint="eastAsia" w:asciiTheme="minorEastAsia" w:hAnsiTheme="minorEastAsia" w:eastAsiaTheme="minorEastAsia"/>
          <w:sz w:val="24"/>
        </w:rPr>
        <w:t>的组成部分，与主合同具有同等法律效力。</w:t>
      </w:r>
    </w:p>
    <w:p>
      <w:pPr>
        <w:pStyle w:val="12"/>
      </w:pP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12"/>
      </w:pPr>
      <w:bookmarkStart w:id="42" w:name="_GoBack"/>
      <w:bookmarkEnd w:id="42"/>
    </w:p>
    <w:p>
      <w:pPr>
        <w:pStyle w:val="3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pStyle w:val="36"/>
        <w:spacing w:line="560" w:lineRule="exact"/>
        <w:ind w:firstLine="480" w:firstLineChars="200"/>
        <w:rPr>
          <w:rFonts w:asciiTheme="minorEastAsia" w:hAnsiTheme="minorEastAsia" w:eastAsiaTheme="minorEastAsia"/>
          <w:sz w:val="24"/>
        </w:rPr>
      </w:pP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right="662" w:firstLine="720" w:firstLineChars="300"/>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right="662"/>
              <w:jc w:val="center"/>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jc w:val="left"/>
        <w:rPr>
          <w:rFonts w:cs="宋体" w:asciiTheme="majorEastAsia" w:hAnsiTheme="majorEastAsia" w:eastAsiaTheme="majorEastAsia"/>
          <w:sz w:val="24"/>
        </w:rPr>
      </w:pPr>
    </w:p>
    <w:p>
      <w:pPr>
        <w:pStyle w:val="12"/>
      </w:pPr>
      <w:r>
        <w:br w:type="page"/>
      </w:r>
    </w:p>
    <w:p>
      <w:pPr>
        <w:widowControl/>
        <w:spacing w:after="160" w:line="360" w:lineRule="auto"/>
        <w:jc w:val="left"/>
        <w:rPr>
          <w:rFonts w:ascii="宋体" w:hAnsi="宋体" w:cs="宋体"/>
          <w:b/>
          <w:bCs/>
          <w:szCs w:val="21"/>
        </w:rPr>
      </w:pPr>
      <w:r>
        <w:rPr>
          <w:rFonts w:hint="eastAsia" w:ascii="宋体" w:hAnsi="宋体" w:cs="宋体"/>
          <w:b/>
          <w:bCs/>
          <w:szCs w:val="21"/>
        </w:rPr>
        <w:t>附件4：采购需求</w:t>
      </w:r>
    </w:p>
    <w:p>
      <w:pPr>
        <w:widowControl/>
        <w:spacing w:after="160" w:line="360" w:lineRule="auto"/>
        <w:jc w:val="center"/>
        <w:rPr>
          <w:rFonts w:ascii="方正小标宋简体" w:hAnsi="宋体" w:eastAsia="方正小标宋简体" w:cs="Calibri"/>
          <w:b/>
          <w:spacing w:val="20"/>
          <w:sz w:val="32"/>
          <w:szCs w:val="32"/>
        </w:rPr>
      </w:pPr>
      <w:r>
        <w:rPr>
          <w:rFonts w:hint="eastAsia" w:ascii="方正小标宋简体" w:hAnsi="宋体" w:eastAsia="方正小标宋简体" w:cs="Calibri"/>
          <w:b/>
          <w:spacing w:val="20"/>
          <w:sz w:val="32"/>
          <w:szCs w:val="32"/>
        </w:rPr>
        <w:t>采购需求</w:t>
      </w:r>
    </w:p>
    <w:tbl>
      <w:tblPr>
        <w:tblStyle w:val="27"/>
        <w:tblW w:w="9354" w:type="dxa"/>
        <w:tblInd w:w="0" w:type="dxa"/>
        <w:tblLayout w:type="autofit"/>
        <w:tblCellMar>
          <w:top w:w="0" w:type="dxa"/>
          <w:left w:w="108" w:type="dxa"/>
          <w:bottom w:w="0" w:type="dxa"/>
          <w:right w:w="108" w:type="dxa"/>
        </w:tblCellMar>
      </w:tblPr>
      <w:tblGrid>
        <w:gridCol w:w="2494"/>
        <w:gridCol w:w="794"/>
        <w:gridCol w:w="794"/>
        <w:gridCol w:w="5272"/>
      </w:tblGrid>
      <w:tr>
        <w:tblPrEx>
          <w:tblCellMar>
            <w:top w:w="0" w:type="dxa"/>
            <w:left w:w="108" w:type="dxa"/>
            <w:bottom w:w="0" w:type="dxa"/>
            <w:right w:w="108" w:type="dxa"/>
          </w:tblCellMar>
        </w:tblPrEx>
        <w:trPr>
          <w:trHeight w:val="390" w:hRule="atLeast"/>
        </w:trPr>
        <w:tc>
          <w:tcPr>
            <w:tcW w:w="24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新增配置名称</w:t>
            </w:r>
          </w:p>
        </w:tc>
        <w:tc>
          <w:tcPr>
            <w:tcW w:w="7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单位</w:t>
            </w:r>
          </w:p>
        </w:tc>
        <w:tc>
          <w:tcPr>
            <w:tcW w:w="7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数量</w:t>
            </w:r>
          </w:p>
        </w:tc>
        <w:tc>
          <w:tcPr>
            <w:tcW w:w="5272" w:type="dxa"/>
            <w:tcBorders>
              <w:top w:val="single" w:color="auto" w:sz="8" w:space="0"/>
              <w:left w:val="nil"/>
              <w:bottom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备注</w:t>
            </w:r>
          </w:p>
        </w:tc>
      </w:tr>
      <w:tr>
        <w:tblPrEx>
          <w:tblCellMar>
            <w:top w:w="0" w:type="dxa"/>
            <w:left w:w="108" w:type="dxa"/>
            <w:bottom w:w="0" w:type="dxa"/>
            <w:right w:w="108" w:type="dxa"/>
          </w:tblCellMar>
        </w:tblPrEx>
        <w:trPr>
          <w:trHeight w:val="390"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氨氮在线分析仪</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台</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7</w:t>
            </w:r>
          </w:p>
        </w:tc>
        <w:tc>
          <w:tcPr>
            <w:tcW w:w="5272" w:type="dxa"/>
            <w:tcBorders>
              <w:top w:val="nil"/>
              <w:left w:val="nil"/>
              <w:bottom w:val="single" w:color="auto" w:sz="8" w:space="0"/>
            </w:tcBorders>
            <w:shd w:val="clear" w:color="auto" w:fill="auto"/>
            <w:vAlign w:val="center"/>
          </w:tcPr>
          <w:p>
            <w:pPr>
              <w:widowControl/>
              <w:jc w:val="left"/>
              <w:rPr>
                <w:rFonts w:ascii="仿宋_GB2312" w:hAnsi="仿宋" w:eastAsia="仿宋_GB2312" w:cs="宋体"/>
                <w:kern w:val="0"/>
                <w:sz w:val="28"/>
              </w:rPr>
            </w:pPr>
            <w:r>
              <w:rPr>
                <w:rFonts w:hint="eastAsia" w:ascii="仿宋_GB2312" w:hAnsi="仿宋" w:eastAsia="仿宋_GB2312" w:cs="宋体"/>
                <w:kern w:val="0"/>
                <w:sz w:val="28"/>
              </w:rPr>
              <w:t>水杨酸分光光度法/纳氏试剂比色法</w:t>
            </w:r>
          </w:p>
        </w:tc>
      </w:tr>
      <w:tr>
        <w:tblPrEx>
          <w:tblCellMar>
            <w:top w:w="0" w:type="dxa"/>
            <w:left w:w="108" w:type="dxa"/>
            <w:bottom w:w="0" w:type="dxa"/>
            <w:right w:w="108" w:type="dxa"/>
          </w:tblCellMar>
        </w:tblPrEx>
        <w:trPr>
          <w:trHeight w:val="390"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硝酸盐氮分析仪</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台</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7</w:t>
            </w:r>
          </w:p>
        </w:tc>
        <w:tc>
          <w:tcPr>
            <w:tcW w:w="5272" w:type="dxa"/>
            <w:tcBorders>
              <w:top w:val="nil"/>
              <w:left w:val="nil"/>
              <w:bottom w:val="single" w:color="auto" w:sz="8" w:space="0"/>
            </w:tcBorders>
            <w:shd w:val="clear" w:color="auto" w:fill="auto"/>
            <w:vAlign w:val="center"/>
          </w:tcPr>
          <w:p>
            <w:pPr>
              <w:widowControl/>
              <w:jc w:val="left"/>
              <w:rPr>
                <w:rFonts w:ascii="仿宋_GB2312" w:hAnsi="仿宋" w:eastAsia="仿宋_GB2312" w:cs="宋体"/>
                <w:kern w:val="0"/>
                <w:sz w:val="28"/>
              </w:rPr>
            </w:pPr>
            <w:r>
              <w:rPr>
                <w:rFonts w:hint="eastAsia" w:ascii="仿宋_GB2312" w:hAnsi="仿宋" w:eastAsia="仿宋_GB2312" w:cs="宋体"/>
                <w:kern w:val="0"/>
                <w:sz w:val="28"/>
              </w:rPr>
              <w:t>紫外分光光度法</w:t>
            </w:r>
          </w:p>
        </w:tc>
      </w:tr>
      <w:tr>
        <w:tblPrEx>
          <w:tblCellMar>
            <w:top w:w="0" w:type="dxa"/>
            <w:left w:w="108" w:type="dxa"/>
            <w:bottom w:w="0" w:type="dxa"/>
            <w:right w:w="108" w:type="dxa"/>
          </w:tblCellMar>
        </w:tblPrEx>
        <w:trPr>
          <w:trHeight w:val="390"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磷酸盐分析仪</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台</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7</w:t>
            </w:r>
          </w:p>
        </w:tc>
        <w:tc>
          <w:tcPr>
            <w:tcW w:w="5272" w:type="dxa"/>
            <w:tcBorders>
              <w:top w:val="nil"/>
              <w:left w:val="nil"/>
              <w:bottom w:val="single" w:color="auto" w:sz="8" w:space="0"/>
            </w:tcBorders>
            <w:shd w:val="clear" w:color="auto" w:fill="auto"/>
            <w:vAlign w:val="center"/>
          </w:tcPr>
          <w:p>
            <w:pPr>
              <w:widowControl/>
              <w:jc w:val="left"/>
              <w:rPr>
                <w:rFonts w:ascii="仿宋_GB2312" w:hAnsi="仿宋" w:eastAsia="仿宋_GB2312" w:cs="宋体"/>
                <w:kern w:val="0"/>
                <w:sz w:val="28"/>
              </w:rPr>
            </w:pPr>
            <w:r>
              <w:rPr>
                <w:rFonts w:hint="eastAsia" w:ascii="仿宋_GB2312" w:hAnsi="仿宋" w:eastAsia="仿宋_GB2312" w:cs="宋体"/>
                <w:kern w:val="0"/>
                <w:sz w:val="28"/>
              </w:rPr>
              <w:t>钼酸铵分光光度法</w:t>
            </w:r>
          </w:p>
        </w:tc>
      </w:tr>
      <w:tr>
        <w:tblPrEx>
          <w:tblCellMar>
            <w:top w:w="0" w:type="dxa"/>
            <w:left w:w="108" w:type="dxa"/>
            <w:bottom w:w="0" w:type="dxa"/>
            <w:right w:w="108" w:type="dxa"/>
          </w:tblCellMar>
        </w:tblPrEx>
        <w:trPr>
          <w:trHeight w:val="390"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采水单元</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套</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28</w:t>
            </w:r>
          </w:p>
        </w:tc>
        <w:tc>
          <w:tcPr>
            <w:tcW w:w="5272" w:type="dxa"/>
            <w:tcBorders>
              <w:top w:val="nil"/>
              <w:left w:val="nil"/>
              <w:bottom w:val="single" w:color="auto" w:sz="8" w:space="0"/>
            </w:tcBorders>
            <w:shd w:val="clear" w:color="auto" w:fill="auto"/>
            <w:vAlign w:val="center"/>
          </w:tcPr>
          <w:p>
            <w:pPr>
              <w:widowControl/>
              <w:jc w:val="left"/>
              <w:rPr>
                <w:rFonts w:ascii="仿宋_GB2312" w:hAnsi="仿宋" w:eastAsia="仿宋_GB2312" w:cs="宋体"/>
                <w:kern w:val="0"/>
                <w:sz w:val="28"/>
              </w:rPr>
            </w:pPr>
            <w:r>
              <w:rPr>
                <w:rFonts w:hint="eastAsia" w:ascii="仿宋_GB2312" w:hAnsi="仿宋" w:eastAsia="仿宋_GB2312" w:cs="宋体"/>
                <w:kern w:val="0"/>
                <w:sz w:val="28"/>
              </w:rPr>
              <w:t>浮动取样，双管双泵等</w:t>
            </w:r>
          </w:p>
        </w:tc>
      </w:tr>
      <w:tr>
        <w:tblPrEx>
          <w:tblCellMar>
            <w:top w:w="0" w:type="dxa"/>
            <w:left w:w="108" w:type="dxa"/>
            <w:bottom w:w="0" w:type="dxa"/>
            <w:right w:w="108" w:type="dxa"/>
          </w:tblCellMar>
        </w:tblPrEx>
        <w:trPr>
          <w:trHeight w:val="765"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预处理及配水单元</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套</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7</w:t>
            </w:r>
          </w:p>
        </w:tc>
        <w:tc>
          <w:tcPr>
            <w:tcW w:w="5272" w:type="dxa"/>
            <w:tcBorders>
              <w:top w:val="nil"/>
              <w:left w:val="nil"/>
              <w:bottom w:val="single" w:color="auto" w:sz="8" w:space="0"/>
            </w:tcBorders>
            <w:shd w:val="clear" w:color="auto" w:fill="auto"/>
            <w:vAlign w:val="center"/>
          </w:tcPr>
          <w:p>
            <w:pPr>
              <w:widowControl/>
              <w:jc w:val="left"/>
              <w:rPr>
                <w:rFonts w:ascii="仿宋_GB2312" w:hAnsi="仿宋" w:eastAsia="仿宋_GB2312" w:cs="宋体"/>
                <w:kern w:val="0"/>
                <w:sz w:val="28"/>
              </w:rPr>
            </w:pPr>
            <w:r>
              <w:rPr>
                <w:rFonts w:hint="eastAsia" w:ascii="仿宋_GB2312" w:hAnsi="仿宋" w:eastAsia="仿宋_GB2312" w:cs="宋体"/>
                <w:kern w:val="0"/>
                <w:sz w:val="28"/>
              </w:rPr>
              <w:t>对水样进行预处理、为仪表提供样水（含超声波均化及清洗装置、气洗装置、沉砂静置装置、样水杯、管路、水阀等）</w:t>
            </w:r>
          </w:p>
        </w:tc>
      </w:tr>
      <w:tr>
        <w:tblPrEx>
          <w:tblCellMar>
            <w:top w:w="0" w:type="dxa"/>
            <w:left w:w="108" w:type="dxa"/>
            <w:bottom w:w="0" w:type="dxa"/>
            <w:right w:w="108" w:type="dxa"/>
          </w:tblCellMar>
        </w:tblPrEx>
        <w:trPr>
          <w:trHeight w:val="765"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数据采集与传输、系统控制单元</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套</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7</w:t>
            </w:r>
          </w:p>
        </w:tc>
        <w:tc>
          <w:tcPr>
            <w:tcW w:w="5272" w:type="dxa"/>
            <w:tcBorders>
              <w:top w:val="nil"/>
              <w:left w:val="nil"/>
              <w:bottom w:val="single" w:color="auto" w:sz="8" w:space="0"/>
            </w:tcBorders>
            <w:shd w:val="clear" w:color="auto" w:fill="auto"/>
            <w:vAlign w:val="center"/>
          </w:tcPr>
          <w:p>
            <w:pPr>
              <w:widowControl/>
              <w:jc w:val="left"/>
              <w:rPr>
                <w:rFonts w:ascii="仿宋_GB2312" w:hAnsi="仿宋" w:eastAsia="仿宋_GB2312" w:cs="宋体"/>
                <w:kern w:val="0"/>
                <w:sz w:val="28"/>
              </w:rPr>
            </w:pPr>
            <w:r>
              <w:rPr>
                <w:rFonts w:hint="eastAsia" w:ascii="仿宋_GB2312" w:hAnsi="仿宋" w:eastAsia="仿宋_GB2312" w:cs="宋体"/>
                <w:kern w:val="0"/>
                <w:sz w:val="28"/>
              </w:rPr>
              <w:t>数据采集、传输和系统采配水控制等</w:t>
            </w:r>
          </w:p>
        </w:tc>
      </w:tr>
      <w:tr>
        <w:tblPrEx>
          <w:tblCellMar>
            <w:top w:w="0" w:type="dxa"/>
            <w:left w:w="108" w:type="dxa"/>
            <w:bottom w:w="0" w:type="dxa"/>
            <w:right w:w="108" w:type="dxa"/>
          </w:tblCellMar>
        </w:tblPrEx>
        <w:trPr>
          <w:trHeight w:val="390" w:hRule="atLeast"/>
        </w:trPr>
        <w:tc>
          <w:tcPr>
            <w:tcW w:w="24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一体化柜</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台</w:t>
            </w:r>
          </w:p>
        </w:tc>
        <w:tc>
          <w:tcPr>
            <w:tcW w:w="79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7</w:t>
            </w:r>
          </w:p>
        </w:tc>
        <w:tc>
          <w:tcPr>
            <w:tcW w:w="5272" w:type="dxa"/>
            <w:tcBorders>
              <w:top w:val="nil"/>
              <w:left w:val="nil"/>
              <w:bottom w:val="single" w:color="auto" w:sz="8" w:space="0"/>
            </w:tcBorders>
            <w:shd w:val="clear" w:color="auto" w:fill="auto"/>
            <w:vAlign w:val="center"/>
          </w:tcPr>
          <w:p>
            <w:pPr>
              <w:widowControl/>
              <w:jc w:val="left"/>
              <w:rPr>
                <w:rFonts w:ascii="仿宋_GB2312" w:hAnsi="仿宋" w:eastAsia="仿宋_GB2312" w:cs="宋体"/>
                <w:kern w:val="0"/>
                <w:sz w:val="28"/>
              </w:rPr>
            </w:pPr>
            <w:r>
              <w:rPr>
                <w:rFonts w:hint="eastAsia" w:ascii="仿宋_GB2312" w:hAnsi="仿宋" w:eastAsia="仿宋_GB2312" w:cs="宋体"/>
                <w:kern w:val="0"/>
                <w:sz w:val="28"/>
              </w:rPr>
              <w:t>占地不大于2平方</w:t>
            </w:r>
          </w:p>
        </w:tc>
      </w:tr>
    </w:tbl>
    <w:p>
      <w:pPr>
        <w:rPr>
          <w:rFonts w:ascii="仿宋_GB2312" w:eastAsia="仿宋_GB2312"/>
          <w:sz w:val="28"/>
        </w:rPr>
      </w:pPr>
      <w:r>
        <w:rPr>
          <w:rFonts w:hint="eastAsia" w:ascii="仿宋_GB2312" w:eastAsia="仿宋_GB2312"/>
          <w:sz w:val="28"/>
        </w:rPr>
        <w:t>备注：</w:t>
      </w:r>
    </w:p>
    <w:p>
      <w:pPr>
        <w:adjustRightInd w:val="0"/>
        <w:snapToGrid w:val="0"/>
        <w:ind w:firstLine="560" w:firstLineChars="200"/>
        <w:rPr>
          <w:rFonts w:ascii="仿宋_GB2312" w:eastAsia="仿宋_GB2312"/>
          <w:sz w:val="28"/>
        </w:rPr>
      </w:pPr>
      <w:r>
        <w:rPr>
          <w:rFonts w:hint="eastAsia" w:ascii="仿宋_GB2312" w:eastAsia="仿宋_GB2312"/>
          <w:sz w:val="28"/>
        </w:rPr>
        <w:t>1.报价人所提供的数据采集传输仪，须与已有监测仪器能匹配使用，并提供原厂商质量保证承诺书和售后服务承诺书及设备易损件的明细、价格、供应渠道和售后服务年限。</w:t>
      </w:r>
    </w:p>
    <w:p>
      <w:pPr>
        <w:adjustRightInd w:val="0"/>
        <w:snapToGrid w:val="0"/>
        <w:ind w:firstLine="560" w:firstLineChars="200"/>
        <w:rPr>
          <w:rFonts w:ascii="仿宋_GB2312" w:eastAsia="仿宋_GB2312"/>
          <w:sz w:val="28"/>
        </w:rPr>
      </w:pPr>
      <w:r>
        <w:rPr>
          <w:rFonts w:hint="eastAsia" w:ascii="仿宋_GB2312" w:eastAsia="仿宋_GB2312"/>
          <w:sz w:val="28"/>
        </w:rPr>
        <w:t>2.报价人需提供数据采集、处理、分析系统，根据HJ212-2017传输标准，收集监测数值，并进行处理及分析，同时应提供标准数据接口，将仪表数据共享至广州市净水有限公司平台。</w:t>
      </w:r>
    </w:p>
    <w:p>
      <w:pPr>
        <w:adjustRightInd w:val="0"/>
        <w:snapToGrid w:val="0"/>
        <w:ind w:firstLine="560" w:firstLineChars="200"/>
        <w:rPr>
          <w:rFonts w:ascii="仿宋_GB2312" w:eastAsia="仿宋_GB2312"/>
          <w:sz w:val="28"/>
        </w:rPr>
      </w:pPr>
      <w:bookmarkStart w:id="40" w:name="OLE_LINK4"/>
      <w:bookmarkStart w:id="41" w:name="OLE_LINK3"/>
      <w:r>
        <w:rPr>
          <w:rFonts w:hint="eastAsia" w:ascii="仿宋_GB2312" w:eastAsia="仿宋_GB2312"/>
          <w:sz w:val="28"/>
        </w:rPr>
        <w:t>▲3.中选人需按照询价人的要求就预处理等系统在使用期间免费进行联合开发、调整，成果共享，为方便调试、调整，中选人须根据询价人要求长期派驻驻厂工程师至少一名。</w:t>
      </w:r>
    </w:p>
    <w:bookmarkEnd w:id="40"/>
    <w:bookmarkEnd w:id="41"/>
    <w:p>
      <w:pPr>
        <w:adjustRightInd w:val="0"/>
        <w:snapToGrid w:val="0"/>
        <w:ind w:firstLine="560" w:firstLineChars="200"/>
        <w:rPr>
          <w:rFonts w:ascii="仿宋_GB2312" w:eastAsia="仿宋_GB2312"/>
          <w:sz w:val="28"/>
        </w:rPr>
      </w:pPr>
      <w:r>
        <w:rPr>
          <w:rFonts w:hint="eastAsia" w:ascii="仿宋_GB2312" w:eastAsia="仿宋_GB2312"/>
          <w:sz w:val="28"/>
        </w:rPr>
        <w:t>4．中选人需与甲方签订保密协议，对项目实施过程中获取的广州市净水有限公司及所属净水厂所有运行数据、参数、经营信息保密。</w:t>
      </w:r>
    </w:p>
    <w:p>
      <w:pPr>
        <w:pStyle w:val="12"/>
      </w:pPr>
    </w:p>
    <w:p>
      <w:pPr>
        <w:widowControl/>
        <w:jc w:val="left"/>
        <w:rPr>
          <w:rFonts w:cs="宋体" w:asciiTheme="majorEastAsia" w:hAnsiTheme="majorEastAsia" w:eastAsiaTheme="majorEastAsia"/>
          <w:sz w:val="24"/>
        </w:rPr>
      </w:pPr>
      <w:r>
        <w:rPr>
          <w:rFonts w:cs="宋体" w:asciiTheme="majorEastAsia" w:hAnsiTheme="majorEastAsia" w:eastAsiaTheme="majorEastAsia"/>
          <w:sz w:val="24"/>
        </w:rPr>
        <w:br w:type="page"/>
      </w:r>
    </w:p>
    <w:p>
      <w:pPr>
        <w:widowControl/>
        <w:spacing w:after="160" w:line="360" w:lineRule="auto"/>
        <w:jc w:val="left"/>
        <w:rPr>
          <w:rFonts w:ascii="宋体" w:hAnsi="宋体" w:cs="宋体"/>
          <w:b/>
          <w:bCs/>
          <w:szCs w:val="21"/>
        </w:rPr>
      </w:pPr>
      <w:r>
        <w:rPr>
          <w:rFonts w:hint="eastAsia" w:ascii="宋体" w:hAnsi="宋体" w:cs="宋体"/>
          <w:b/>
          <w:bCs/>
          <w:szCs w:val="21"/>
        </w:rPr>
        <w:t>附件</w:t>
      </w:r>
      <w:r>
        <w:rPr>
          <w:rFonts w:ascii="宋体" w:hAnsi="宋体" w:cs="宋体"/>
          <w:b/>
          <w:bCs/>
          <w:szCs w:val="21"/>
        </w:rPr>
        <w:t>5</w:t>
      </w:r>
      <w:r>
        <w:rPr>
          <w:rFonts w:hint="eastAsia" w:ascii="宋体" w:hAnsi="宋体" w:cs="宋体"/>
          <w:b/>
          <w:bCs/>
          <w:szCs w:val="21"/>
        </w:rPr>
        <w:t>：保密协议</w:t>
      </w:r>
    </w:p>
    <w:p>
      <w:pPr>
        <w:jc w:val="center"/>
        <w:rPr>
          <w:rFonts w:ascii="方正小标宋简体" w:hAnsi="仿宋" w:eastAsia="方正小标宋简体" w:cs="仿宋"/>
          <w:b/>
          <w:bCs/>
          <w:sz w:val="30"/>
          <w:szCs w:val="30"/>
        </w:rPr>
      </w:pPr>
      <w:r>
        <w:rPr>
          <w:rFonts w:hint="eastAsia" w:ascii="方正小标宋简体" w:hAnsi="仿宋" w:eastAsia="方正小标宋简体" w:cs="仿宋"/>
          <w:b/>
          <w:bCs/>
          <w:sz w:val="30"/>
          <w:szCs w:val="30"/>
        </w:rPr>
        <w:t>保密协议</w:t>
      </w:r>
    </w:p>
    <w:p>
      <w:pPr>
        <w:rPr>
          <w:rFonts w:ascii="仿宋" w:hAnsi="仿宋" w:eastAsia="仿宋" w:cs="仿宋"/>
          <w:sz w:val="30"/>
          <w:szCs w:val="30"/>
        </w:rPr>
      </w:pPr>
      <w:r>
        <w:rPr>
          <w:rFonts w:hint="eastAsia" w:ascii="仿宋" w:hAnsi="仿宋" w:eastAsia="仿宋" w:cs="仿宋"/>
          <w:sz w:val="30"/>
          <w:szCs w:val="30"/>
        </w:rPr>
        <w:t>甲方:广州市净水有限公司</w:t>
      </w:r>
    </w:p>
    <w:p>
      <w:pPr>
        <w:jc w:val="left"/>
        <w:rPr>
          <w:rFonts w:ascii="仿宋" w:hAnsi="仿宋" w:eastAsia="仿宋" w:cs="仿宋"/>
          <w:sz w:val="30"/>
          <w:szCs w:val="30"/>
        </w:rPr>
      </w:pPr>
      <w:r>
        <w:rPr>
          <w:rFonts w:hint="eastAsia" w:ascii="仿宋" w:hAnsi="仿宋" w:eastAsia="仿宋" w:cs="仿宋"/>
          <w:sz w:val="30"/>
          <w:szCs w:val="30"/>
        </w:rPr>
        <w:t>乙方:</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乙方现正参与</w:t>
      </w:r>
      <w:r>
        <w:rPr>
          <w:rFonts w:hint="eastAsia" w:ascii="仿宋" w:hAnsi="仿宋" w:eastAsia="仿宋" w:cs="仿宋"/>
          <w:sz w:val="30"/>
          <w:szCs w:val="30"/>
          <w:u w:val="single"/>
        </w:rPr>
        <w:t>污水处理过程精细化控制研究项目仪表采购</w:t>
      </w:r>
      <w:r>
        <w:rPr>
          <w:rFonts w:hint="eastAsia" w:ascii="仿宋" w:hAnsi="仿宋" w:eastAsia="仿宋" w:cs="仿宋"/>
          <w:sz w:val="30"/>
          <w:szCs w:val="30"/>
        </w:rPr>
        <w:t>项目，已经(或将要)知悉甲方的设备、运行等保密信息，为明确双方的保密义务，有效保护双方的利益，防止甲方保密信息被公开披露或以任何形式泄漏，甲、乙双方本着平等、自愿、公平和诚实信用的原则签订本保密协议。</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 xml:space="preserve">第一条 </w:t>
      </w:r>
      <w:r>
        <w:rPr>
          <w:rFonts w:ascii="仿宋" w:hAnsi="仿宋" w:eastAsia="仿宋" w:cs="仿宋"/>
          <w:sz w:val="30"/>
          <w:szCs w:val="30"/>
        </w:rPr>
        <w:t xml:space="preserve"> </w:t>
      </w:r>
      <w:r>
        <w:rPr>
          <w:rFonts w:hint="eastAsia" w:ascii="仿宋" w:hAnsi="仿宋" w:eastAsia="仿宋" w:cs="仿宋"/>
          <w:sz w:val="30"/>
          <w:szCs w:val="30"/>
        </w:rPr>
        <w:t>保密信息</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本协议所指的保密信息:</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(一)系指乙方在合同履行过程中所获悉的甲方的所有材料及信息，包括但不限于:</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1.污水处理系统设备设施参数、工况参数。</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2.污水处理系统所有运行数据、参数。</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3.广州市净水有限公司及所属净水厂所有运行数据、参数、经营信息。</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4.甲方声明的设施设备操作、维修维护注意事项。</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（二）系指乙方在合同履行过程中乙方所使用的:</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1.设备需保密的信息</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第二条  保密义务人</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甲、乙双方均为本协议所称的保密义务人，双方对前述对方实际移交的信息承担保密义务。未经一方同意，另一方不得向第三方提供或披露上述保密信息(因行政管理部门或者司法部门要求提供或披露的信息除外，但应及时知会对方。)</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第三条  保密义务人的保密义务</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1.乙方保证用于履行合同的技术信息、专有信息、经营信息等文件和资料均享有合法的所有权、著作权、专利权等权利，或已依法取得相关授权许可。如因乙方侵犯第三方的知识产权造成的法律责任，均由乙方承担并赔偿甲方的损失。</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2.乙方承诺，未经甲方同意，乙方不得公开甲方的项目信息，否则由此造成的损失由乙方承担。</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3.甲方在合同履行过程中获悉的乙方所有涉密资料，为该合同和今后甲方及下属污水处理厂使用。除此目的外，未经乙方同意，甲方不得以任何方式揭露或提供给第三人。</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第四条  本协议书之效力、权利归属</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本协议中甲方享有的全部权利均及于广州市净水有限公司与乙方进行项目合作的子公司、分公司或其他分支机构。双方承担的义务均及于双方所属母公司、下属子公司、分公司、其他分支机构及其下属员工。</w:t>
      </w:r>
    </w:p>
    <w:p>
      <w:pPr>
        <w:ind w:firstLine="900" w:firstLineChars="300"/>
        <w:jc w:val="left"/>
        <w:rPr>
          <w:rFonts w:ascii="仿宋" w:hAnsi="仿宋" w:eastAsia="仿宋" w:cs="仿宋"/>
          <w:sz w:val="30"/>
          <w:szCs w:val="30"/>
        </w:rPr>
      </w:pPr>
      <w:r>
        <w:rPr>
          <w:rFonts w:hint="eastAsia" w:ascii="仿宋" w:hAnsi="仿宋" w:eastAsia="仿宋" w:cs="仿宋"/>
          <w:sz w:val="30"/>
          <w:szCs w:val="30"/>
        </w:rPr>
        <w:t>第五条  违约责任</w:t>
      </w:r>
    </w:p>
    <w:p>
      <w:pPr>
        <w:ind w:firstLine="900" w:firstLineChars="300"/>
        <w:jc w:val="left"/>
        <w:rPr>
          <w:rFonts w:ascii="仿宋" w:hAnsi="仿宋" w:eastAsia="仿宋" w:cs="仿宋"/>
          <w:sz w:val="30"/>
          <w:szCs w:val="30"/>
        </w:rPr>
      </w:pPr>
      <w:r>
        <w:rPr>
          <w:rFonts w:hint="eastAsia" w:ascii="仿宋" w:hAnsi="仿宋" w:eastAsia="仿宋" w:cs="仿宋"/>
          <w:sz w:val="30"/>
          <w:szCs w:val="30"/>
        </w:rPr>
        <w:t>1.甲乙双方如故意、过失将保密信息泄露给第三方导致对方损失的，应对此进行赔偿。</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2.因调查对方的违约或授权行为而支付的合理费用，如律师费、公证费、取证费等，应当包含在损失赔偿额之内。</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3.任何一方恶意泄露商业秘密的，对方有权通过法律手段追究其法律责任。</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第六条  争议的解决方法</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因执行本协议而发生纠纷的，可以由双方协商解决，协商不成，或者一方不愿意协商、调解的，争议将提交甲方所在地人民法院管辖解决。</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第七条  双方确认</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在签署本协议前，双方已经详细审阅了协议的内容，并完全了解协议各条款的法律含义。</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第八条 协议的效力和变更</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本协议与主合同同时签订、同时终止、同时生效，具有相同的法律效力，自甲方、乙方双方签字、盖章生效，甲方、乙方双方执持数量与主合同一致。</w:t>
      </w:r>
    </w:p>
    <w:p>
      <w:pPr>
        <w:ind w:firstLine="600" w:firstLineChars="200"/>
        <w:jc w:val="left"/>
        <w:rPr>
          <w:rFonts w:ascii="仿宋" w:hAnsi="仿宋" w:eastAsia="仿宋" w:cs="仿宋"/>
          <w:sz w:val="30"/>
          <w:szCs w:val="30"/>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jc w:val="left"/>
              <w:rPr>
                <w:rFonts w:ascii="仿宋" w:hAnsi="仿宋" w:eastAsia="仿宋" w:cs="仿宋"/>
                <w:sz w:val="30"/>
                <w:szCs w:val="30"/>
              </w:rPr>
            </w:pPr>
            <w:r>
              <w:rPr>
                <w:rFonts w:hint="eastAsia" w:ascii="仿宋" w:hAnsi="仿宋" w:eastAsia="仿宋" w:cs="仿宋"/>
                <w:sz w:val="30"/>
                <w:szCs w:val="30"/>
              </w:rPr>
              <w:t>甲方：</w:t>
            </w:r>
          </w:p>
          <w:p>
            <w:pPr>
              <w:jc w:val="left"/>
              <w:rPr>
                <w:rFonts w:ascii="仿宋" w:hAnsi="仿宋" w:eastAsia="仿宋" w:cs="仿宋"/>
                <w:sz w:val="30"/>
                <w:szCs w:val="30"/>
              </w:rPr>
            </w:pPr>
            <w:r>
              <w:rPr>
                <w:rFonts w:hint="eastAsia" w:ascii="仿宋" w:hAnsi="仿宋" w:eastAsia="仿宋" w:cs="仿宋"/>
                <w:sz w:val="30"/>
                <w:szCs w:val="30"/>
              </w:rPr>
              <w:t>签约代表：</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年</w:t>
            </w:r>
            <w:r>
              <w:rPr>
                <w:rFonts w:ascii="仿宋" w:hAnsi="仿宋" w:eastAsia="仿宋" w:cs="仿宋"/>
                <w:sz w:val="30"/>
                <w:szCs w:val="30"/>
              </w:rPr>
              <w:t xml:space="preserve">    </w:t>
            </w:r>
            <w:r>
              <w:rPr>
                <w:rFonts w:hint="eastAsia" w:ascii="仿宋" w:hAnsi="仿宋" w:eastAsia="仿宋" w:cs="仿宋"/>
                <w:sz w:val="30"/>
                <w:szCs w:val="30"/>
              </w:rPr>
              <w:t>月</w:t>
            </w:r>
            <w:r>
              <w:rPr>
                <w:rFonts w:ascii="仿宋" w:hAnsi="仿宋" w:eastAsia="仿宋" w:cs="仿宋"/>
                <w:sz w:val="30"/>
                <w:szCs w:val="30"/>
              </w:rPr>
              <w:t xml:space="preserve">    </w:t>
            </w:r>
            <w:r>
              <w:rPr>
                <w:rFonts w:hint="eastAsia" w:ascii="仿宋" w:hAnsi="仿宋" w:eastAsia="仿宋" w:cs="仿宋"/>
                <w:sz w:val="30"/>
                <w:szCs w:val="30"/>
              </w:rPr>
              <w:t>日</w:t>
            </w:r>
          </w:p>
        </w:tc>
        <w:tc>
          <w:tcPr>
            <w:tcW w:w="4474" w:type="dxa"/>
          </w:tcPr>
          <w:p>
            <w:pPr>
              <w:jc w:val="left"/>
              <w:rPr>
                <w:rFonts w:ascii="仿宋" w:hAnsi="仿宋" w:eastAsia="仿宋" w:cs="仿宋"/>
                <w:sz w:val="30"/>
                <w:szCs w:val="30"/>
              </w:rPr>
            </w:pPr>
            <w:r>
              <w:rPr>
                <w:rFonts w:hint="eastAsia" w:ascii="仿宋" w:hAnsi="仿宋" w:eastAsia="仿宋" w:cs="仿宋"/>
                <w:sz w:val="30"/>
                <w:szCs w:val="30"/>
              </w:rPr>
              <w:t>乙方：</w:t>
            </w:r>
          </w:p>
          <w:p>
            <w:pPr>
              <w:jc w:val="left"/>
              <w:rPr>
                <w:rFonts w:ascii="仿宋" w:hAnsi="仿宋" w:eastAsia="仿宋" w:cs="仿宋"/>
                <w:sz w:val="30"/>
                <w:szCs w:val="30"/>
              </w:rPr>
            </w:pPr>
            <w:r>
              <w:rPr>
                <w:rFonts w:hint="eastAsia" w:ascii="仿宋" w:hAnsi="仿宋" w:eastAsia="仿宋" w:cs="仿宋"/>
                <w:sz w:val="30"/>
                <w:szCs w:val="30"/>
              </w:rPr>
              <w:t>签约代表：</w:t>
            </w:r>
          </w:p>
          <w:p>
            <w:pPr>
              <w:ind w:firstLine="600" w:firstLineChars="200"/>
              <w:jc w:val="left"/>
              <w:rPr>
                <w:rFonts w:ascii="仿宋" w:hAnsi="仿宋" w:eastAsia="仿宋" w:cs="仿宋"/>
                <w:sz w:val="30"/>
                <w:szCs w:val="30"/>
              </w:rPr>
            </w:pPr>
            <w:r>
              <w:rPr>
                <w:rFonts w:hint="eastAsia" w:ascii="仿宋" w:hAnsi="仿宋" w:eastAsia="仿宋" w:cs="仿宋"/>
                <w:sz w:val="30"/>
                <w:szCs w:val="30"/>
              </w:rPr>
              <w:t>年</w:t>
            </w:r>
            <w:r>
              <w:rPr>
                <w:rFonts w:ascii="仿宋" w:hAnsi="仿宋" w:eastAsia="仿宋" w:cs="仿宋"/>
                <w:sz w:val="30"/>
                <w:szCs w:val="30"/>
              </w:rPr>
              <w:t xml:space="preserve">    </w:t>
            </w:r>
            <w:r>
              <w:rPr>
                <w:rFonts w:hint="eastAsia" w:ascii="仿宋" w:hAnsi="仿宋" w:eastAsia="仿宋" w:cs="仿宋"/>
                <w:sz w:val="30"/>
                <w:szCs w:val="30"/>
              </w:rPr>
              <w:t>月</w:t>
            </w:r>
            <w:r>
              <w:rPr>
                <w:rFonts w:ascii="仿宋" w:hAnsi="仿宋" w:eastAsia="仿宋" w:cs="仿宋"/>
                <w:sz w:val="30"/>
                <w:szCs w:val="30"/>
              </w:rPr>
              <w:t xml:space="preserve">    </w:t>
            </w:r>
            <w:r>
              <w:rPr>
                <w:rFonts w:hint="eastAsia" w:ascii="仿宋" w:hAnsi="仿宋" w:eastAsia="仿宋" w:cs="仿宋"/>
                <w:sz w:val="30"/>
                <w:szCs w:val="30"/>
              </w:rPr>
              <w:t>日</w:t>
            </w:r>
          </w:p>
        </w:tc>
      </w:tr>
    </w:tbl>
    <w:p>
      <w:pPr>
        <w:jc w:val="left"/>
        <w:rPr>
          <w:rFonts w:ascii="仿宋" w:hAnsi="仿宋" w:eastAsia="仿宋" w:cs="仿宋"/>
          <w:sz w:val="30"/>
          <w:szCs w:val="30"/>
        </w:rPr>
      </w:pPr>
    </w:p>
    <w:p>
      <w:pPr>
        <w:widowControl/>
        <w:jc w:val="left"/>
        <w:rPr>
          <w:rFonts w:cs="宋体" w:asciiTheme="majorEastAsia" w:hAnsiTheme="majorEastAsia" w:eastAsiaTheme="majorEastAsia"/>
          <w:sz w:val="24"/>
        </w:rPr>
      </w:pPr>
    </w:p>
    <w:p>
      <w:pPr>
        <w:widowControl/>
        <w:jc w:val="left"/>
        <w:rPr>
          <w:rFonts w:cs="宋体" w:asciiTheme="majorEastAsia" w:hAnsiTheme="majorEastAsia" w:eastAsiaTheme="majorEastAsia"/>
          <w:sz w:val="24"/>
        </w:rPr>
      </w:pPr>
      <w:r>
        <w:rPr>
          <w:rFonts w:cs="宋体" w:asciiTheme="majorEastAsia" w:hAnsiTheme="majorEastAsia" w:eastAsiaTheme="majorEastAsia"/>
          <w:sz w:val="24"/>
        </w:rPr>
        <w:br w:type="page"/>
      </w:r>
    </w:p>
    <w:p>
      <w:pPr>
        <w:pStyle w:val="5"/>
        <w:spacing w:line="360" w:lineRule="auto"/>
        <w:jc w:val="center"/>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第五部分　响应文件格式</w:t>
      </w:r>
    </w:p>
    <w:p>
      <w:pPr>
        <w:pStyle w:val="14"/>
        <w:spacing w:line="360" w:lineRule="auto"/>
        <w:rPr>
          <w:rFonts w:cs="仿宋_GB2312" w:asciiTheme="majorEastAsia" w:hAnsiTheme="majorEastAsia" w:eastAsiaTheme="majorEastAsia"/>
          <w:b/>
          <w:sz w:val="28"/>
          <w:szCs w:val="28"/>
        </w:rPr>
      </w:pPr>
    </w:p>
    <w:p>
      <w:pPr>
        <w:spacing w:line="360" w:lineRule="auto"/>
        <w:jc w:val="center"/>
        <w:rPr>
          <w:rFonts w:cs="仿宋_GB2312" w:asciiTheme="majorEastAsia" w:hAnsiTheme="majorEastAsia" w:eastAsiaTheme="majorEastAsia"/>
          <w:b/>
          <w:sz w:val="28"/>
          <w:szCs w:val="28"/>
        </w:rPr>
      </w:pPr>
    </w:p>
    <w:p>
      <w:pPr>
        <w:rPr>
          <w:rFonts w:cs="仿宋_GB2312" w:asciiTheme="majorEastAsia" w:hAnsiTheme="majorEastAsia" w:eastAsiaTheme="majorEastAsia"/>
          <w:b/>
          <w:sz w:val="28"/>
          <w:szCs w:val="28"/>
        </w:rPr>
      </w:pPr>
    </w:p>
    <w:p>
      <w:pPr>
        <w:pStyle w:val="14"/>
        <w:tabs>
          <w:tab w:val="left" w:pos="1260"/>
        </w:tabs>
        <w:rPr>
          <w:rFonts w:cs="仿宋_GB2312" w:asciiTheme="majorEastAsia" w:hAnsiTheme="majorEastAsia" w:eastAsiaTheme="majorEastAsia"/>
          <w:b/>
          <w:spacing w:val="100"/>
          <w:w w:val="110"/>
          <w:kern w:val="0"/>
          <w:sz w:val="28"/>
          <w:szCs w:val="28"/>
        </w:rPr>
      </w:pPr>
    </w:p>
    <w:p>
      <w:pPr>
        <w:pStyle w:val="14"/>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sz w:val="28"/>
          <w:szCs w:val="28"/>
          <w:u w:val="single"/>
        </w:rPr>
        <w:t>广州市净水有限公司污水处理过程精细化控制研究项目仪表采购项目</w:t>
      </w:r>
    </w:p>
    <w:p>
      <w:pPr>
        <w:pStyle w:val="14"/>
        <w:tabs>
          <w:tab w:val="left" w:pos="1260"/>
        </w:tabs>
        <w:jc w:val="center"/>
        <w:rPr>
          <w:rFonts w:cs="仿宋_GB2312" w:asciiTheme="majorEastAsia" w:hAnsiTheme="majorEastAsia" w:eastAsiaTheme="majorEastAsia"/>
          <w:b/>
          <w:spacing w:val="100"/>
          <w:w w:val="110"/>
          <w:sz w:val="28"/>
          <w:szCs w:val="28"/>
        </w:rPr>
      </w:pPr>
      <w:r>
        <w:rPr>
          <w:rFonts w:hint="eastAsia" w:cs="仿宋_GB2312" w:asciiTheme="majorEastAsia" w:hAnsiTheme="majorEastAsia" w:eastAsiaTheme="majorEastAsia"/>
          <w:b/>
          <w:spacing w:val="100"/>
          <w:w w:val="110"/>
          <w:kern w:val="0"/>
          <w:sz w:val="28"/>
          <w:szCs w:val="28"/>
        </w:rPr>
        <w:t>询价响应文件</w:t>
      </w:r>
    </w:p>
    <w:p>
      <w:pPr>
        <w:pStyle w:val="14"/>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（正本</w:t>
      </w:r>
      <w:r>
        <w:rPr>
          <w:rFonts w:cs="仿宋_GB2312" w:asciiTheme="majorEastAsia" w:hAnsiTheme="majorEastAsia" w:eastAsiaTheme="majorEastAsia"/>
          <w:b/>
          <w:sz w:val="28"/>
          <w:szCs w:val="28"/>
        </w:rPr>
        <w:t>/副本）</w:t>
      </w:r>
    </w:p>
    <w:p>
      <w:pPr>
        <w:pStyle w:val="14"/>
        <w:jc w:val="center"/>
        <w:rPr>
          <w:rFonts w:cs="仿宋_GB2312" w:asciiTheme="majorEastAsia" w:hAnsiTheme="majorEastAsia" w:eastAsiaTheme="majorEastAsia"/>
          <w:b/>
          <w:sz w:val="28"/>
          <w:szCs w:val="28"/>
        </w:rPr>
      </w:pPr>
    </w:p>
    <w:p>
      <w:pPr>
        <w:pStyle w:val="14"/>
        <w:jc w:val="center"/>
        <w:rPr>
          <w:rFonts w:cs="仿宋_GB2312" w:asciiTheme="majorEastAsia" w:hAnsiTheme="majorEastAsia" w:eastAsiaTheme="majorEastAsia"/>
          <w:b/>
          <w:sz w:val="28"/>
          <w:szCs w:val="28"/>
        </w:rPr>
      </w:pPr>
    </w:p>
    <w:p>
      <w:pPr>
        <w:pStyle w:val="14"/>
        <w:spacing w:line="360" w:lineRule="auto"/>
        <w:rPr>
          <w:rFonts w:cs="仿宋_GB2312" w:asciiTheme="majorEastAsia" w:hAnsiTheme="majorEastAsia" w:eastAsiaTheme="majorEastAsia"/>
          <w:sz w:val="28"/>
          <w:szCs w:val="28"/>
          <w:u w:val="single"/>
        </w:rPr>
      </w:pPr>
      <w:r>
        <w:rPr>
          <w:rFonts w:cs="仿宋_GB2312" w:asciiTheme="majorEastAsia" w:hAnsiTheme="majorEastAsia" w:eastAsiaTheme="majorEastAsia"/>
          <w:sz w:val="28"/>
          <w:szCs w:val="28"/>
        </w:rPr>
        <w:t xml:space="preserve">               项目编号（包、组号）：</w:t>
      </w:r>
      <w:r>
        <w:rPr>
          <w:rFonts w:cs="仿宋_GB2312" w:asciiTheme="majorEastAsia" w:hAnsiTheme="majorEastAsia" w:eastAsiaTheme="majorEastAsia"/>
          <w:b/>
          <w:sz w:val="28"/>
          <w:szCs w:val="28"/>
          <w:u w:val="single"/>
        </w:rPr>
        <w:t xml:space="preserve">                       </w:t>
      </w:r>
    </w:p>
    <w:p>
      <w:pPr>
        <w:pStyle w:val="13"/>
        <w:spacing w:line="360" w:lineRule="auto"/>
        <w:ind w:firstLine="0" w:firstLineChars="0"/>
        <w:rPr>
          <w:rFonts w:cs="仿宋_GB2312" w:asciiTheme="majorEastAsia" w:hAnsiTheme="majorEastAsia" w:eastAsiaTheme="majorEastAsia"/>
          <w:sz w:val="28"/>
          <w:szCs w:val="28"/>
        </w:rPr>
      </w:pPr>
      <w:r>
        <w:rPr>
          <w:rFonts w:cs="仿宋_GB2312" w:asciiTheme="majorEastAsia" w:hAnsiTheme="majorEastAsia" w:eastAsiaTheme="majorEastAsia"/>
          <w:sz w:val="28"/>
          <w:szCs w:val="28"/>
        </w:rPr>
        <w:t xml:space="preserve">               项目名称：</w:t>
      </w:r>
      <w:r>
        <w:rPr>
          <w:rFonts w:cs="仿宋_GB2312" w:asciiTheme="majorEastAsia" w:hAnsiTheme="majorEastAsia" w:eastAsiaTheme="majorEastAsia"/>
          <w:b/>
          <w:sz w:val="28"/>
          <w:szCs w:val="28"/>
        </w:rPr>
        <w:t xml:space="preserve"> </w:t>
      </w:r>
      <w:r>
        <w:rPr>
          <w:rFonts w:cs="仿宋_GB2312" w:asciiTheme="majorEastAsia" w:hAnsiTheme="majorEastAsia" w:eastAsiaTheme="majorEastAsia"/>
          <w:b/>
          <w:sz w:val="28"/>
          <w:szCs w:val="28"/>
          <w:u w:val="single"/>
        </w:rPr>
        <w:t xml:space="preserve">                       </w:t>
      </w:r>
      <w:r>
        <w:rPr>
          <w:rFonts w:cs="仿宋_GB2312" w:asciiTheme="majorEastAsia" w:hAnsiTheme="majorEastAsia" w:eastAsiaTheme="majorEastAsia"/>
          <w:b/>
          <w:sz w:val="28"/>
          <w:szCs w:val="28"/>
        </w:rPr>
        <w:t xml:space="preserve"> </w:t>
      </w:r>
    </w:p>
    <w:p>
      <w:pPr>
        <w:pStyle w:val="14"/>
        <w:ind w:firstLine="843" w:firstLineChars="300"/>
        <w:rPr>
          <w:rFonts w:cs="仿宋_GB2312" w:asciiTheme="majorEastAsia" w:hAnsiTheme="majorEastAsia" w:eastAsiaTheme="majorEastAsia"/>
          <w:b/>
          <w:sz w:val="28"/>
          <w:szCs w:val="28"/>
        </w:rPr>
      </w:pPr>
    </w:p>
    <w:p>
      <w:pPr>
        <w:pStyle w:val="14"/>
        <w:ind w:firstLine="843" w:firstLineChars="300"/>
        <w:rPr>
          <w:rFonts w:cs="仿宋_GB2312" w:asciiTheme="majorEastAsia" w:hAnsiTheme="majorEastAsia" w:eastAsiaTheme="majorEastAsia"/>
          <w:b/>
          <w:sz w:val="28"/>
          <w:szCs w:val="28"/>
        </w:rPr>
      </w:pPr>
    </w:p>
    <w:p>
      <w:pPr>
        <w:pStyle w:val="14"/>
        <w:ind w:firstLine="843" w:firstLineChars="300"/>
        <w:rPr>
          <w:rFonts w:cs="仿宋_GB2312" w:asciiTheme="majorEastAsia" w:hAnsiTheme="majorEastAsia" w:eastAsiaTheme="majorEastAsia"/>
          <w:b/>
          <w:sz w:val="28"/>
          <w:szCs w:val="28"/>
        </w:rPr>
      </w:pPr>
    </w:p>
    <w:p>
      <w:pPr>
        <w:pStyle w:val="14"/>
        <w:ind w:firstLine="843" w:firstLineChars="300"/>
        <w:rPr>
          <w:rFonts w:cs="仿宋_GB2312" w:asciiTheme="majorEastAsia" w:hAnsiTheme="majorEastAsia" w:eastAsiaTheme="majorEastAsia"/>
          <w:b/>
          <w:sz w:val="28"/>
          <w:szCs w:val="28"/>
        </w:rPr>
      </w:pPr>
    </w:p>
    <w:p>
      <w:pPr>
        <w:pStyle w:val="14"/>
        <w:ind w:firstLine="843" w:firstLineChars="300"/>
        <w:rPr>
          <w:rFonts w:cs="仿宋_GB2312" w:asciiTheme="majorEastAsia" w:hAnsiTheme="majorEastAsia" w:eastAsiaTheme="majorEastAsia"/>
          <w:b/>
          <w:sz w:val="28"/>
          <w:szCs w:val="28"/>
        </w:rPr>
      </w:pPr>
    </w:p>
    <w:p>
      <w:pPr>
        <w:pStyle w:val="14"/>
        <w:spacing w:line="360" w:lineRule="auto"/>
        <w:ind w:firstLine="1431" w:firstLineChars="509"/>
        <w:jc w:val="left"/>
        <w:rPr>
          <w:rFonts w:cs="仿宋_GB2312" w:asciiTheme="majorEastAsia" w:hAnsiTheme="majorEastAsia" w:eastAsiaTheme="majorEastAsia"/>
          <w:b/>
          <w:sz w:val="28"/>
          <w:szCs w:val="28"/>
          <w:u w:val="single"/>
        </w:rPr>
      </w:pPr>
      <w:r>
        <w:rPr>
          <w:rFonts w:hint="eastAsia" w:cs="仿宋_GB2312" w:asciiTheme="majorEastAsia" w:hAnsiTheme="majorEastAsia" w:eastAsiaTheme="majorEastAsia"/>
          <w:b/>
          <w:sz w:val="28"/>
          <w:szCs w:val="28"/>
        </w:rPr>
        <w:t>报价单位名称：</w:t>
      </w:r>
    </w:p>
    <w:p>
      <w:pPr>
        <w:autoSpaceDE w:val="0"/>
        <w:autoSpaceDN w:val="0"/>
        <w:spacing w:line="240" w:lineRule="atLeast"/>
        <w:ind w:firstLine="1431" w:firstLineChars="509"/>
        <w:jc w:val="left"/>
        <w:rPr>
          <w:rFonts w:cs="仿宋_GB2312" w:asciiTheme="majorEastAsia" w:hAnsiTheme="majorEastAsia" w:eastAsiaTheme="majorEastAsia"/>
          <w:b/>
          <w:sz w:val="28"/>
          <w:szCs w:val="28"/>
          <w:u w:val="single"/>
        </w:rPr>
      </w:pPr>
      <w:r>
        <w:rPr>
          <w:rFonts w:hint="eastAsia" w:cs="仿宋_GB2312" w:asciiTheme="majorEastAsia" w:hAnsiTheme="majorEastAsia" w:eastAsiaTheme="majorEastAsia"/>
          <w:b/>
          <w:sz w:val="28"/>
          <w:szCs w:val="28"/>
        </w:rPr>
        <w:t>日期：</w:t>
      </w:r>
      <w:r>
        <w:rPr>
          <w:rFonts w:cs="仿宋_GB2312" w:asciiTheme="majorEastAsia" w:hAnsiTheme="majorEastAsia" w:eastAsiaTheme="majorEastAsia"/>
          <w:b/>
          <w:sz w:val="28"/>
          <w:szCs w:val="28"/>
          <w:u w:val="single"/>
        </w:rPr>
        <w:t xml:space="preserve">             </w:t>
      </w:r>
      <w:r>
        <w:rPr>
          <w:rFonts w:hint="eastAsia" w:cs="仿宋_GB2312" w:asciiTheme="majorEastAsia" w:hAnsiTheme="majorEastAsia" w:eastAsiaTheme="majorEastAsia"/>
          <w:b/>
          <w:sz w:val="28"/>
          <w:szCs w:val="28"/>
        </w:rPr>
        <w:t>年</w:t>
      </w:r>
      <w:r>
        <w:rPr>
          <w:rFonts w:cs="仿宋_GB2312" w:asciiTheme="majorEastAsia" w:hAnsiTheme="majorEastAsia" w:eastAsiaTheme="majorEastAsia"/>
          <w:b/>
          <w:sz w:val="28"/>
          <w:szCs w:val="28"/>
          <w:u w:val="single"/>
        </w:rPr>
        <w:t xml:space="preserve">      </w:t>
      </w:r>
      <w:r>
        <w:rPr>
          <w:rFonts w:hint="eastAsia" w:cs="仿宋_GB2312" w:asciiTheme="majorEastAsia" w:hAnsiTheme="majorEastAsia" w:eastAsiaTheme="majorEastAsia"/>
          <w:b/>
          <w:sz w:val="28"/>
          <w:szCs w:val="28"/>
        </w:rPr>
        <w:t>月</w:t>
      </w:r>
      <w:r>
        <w:rPr>
          <w:rFonts w:cs="仿宋_GB2312" w:asciiTheme="majorEastAsia" w:hAnsiTheme="majorEastAsia" w:eastAsiaTheme="majorEastAsia"/>
          <w:b/>
          <w:sz w:val="28"/>
          <w:szCs w:val="28"/>
          <w:u w:val="single"/>
        </w:rPr>
        <w:t xml:space="preserve">      </w:t>
      </w:r>
      <w:r>
        <w:rPr>
          <w:rFonts w:hint="eastAsia" w:cs="仿宋_GB2312" w:asciiTheme="majorEastAsia" w:hAnsiTheme="majorEastAsia" w:eastAsiaTheme="majorEastAsia"/>
          <w:b/>
          <w:sz w:val="28"/>
          <w:szCs w:val="28"/>
        </w:rPr>
        <w:t>日</w:t>
      </w:r>
    </w:p>
    <w:p>
      <w:pPr>
        <w:autoSpaceDE w:val="0"/>
        <w:autoSpaceDN w:val="0"/>
        <w:adjustRightInd w:val="0"/>
        <w:jc w:val="center"/>
        <w:rPr>
          <w:rFonts w:cs="仿宋_GB2312" w:asciiTheme="majorEastAsia" w:hAnsiTheme="majorEastAsia" w:eastAsiaTheme="majorEastAsia"/>
          <w:szCs w:val="21"/>
        </w:rPr>
        <w:sectPr>
          <w:footerReference r:id="rId11" w:type="default"/>
          <w:pgSz w:w="11906" w:h="16838"/>
          <w:pgMar w:top="1089" w:right="1466" w:bottom="1089" w:left="1560" w:header="851" w:footer="992" w:gutter="0"/>
          <w:cols w:space="720" w:num="1"/>
          <w:docGrid w:type="lines" w:linePitch="312" w:charSpace="0"/>
        </w:sectPr>
      </w:pPr>
    </w:p>
    <w:p>
      <w:pPr>
        <w:pStyle w:val="6"/>
        <w:rPr>
          <w:rFonts w:cs="仿宋_GB2312" w:asciiTheme="majorEastAsia" w:hAnsiTheme="majorEastAsia" w:eastAsiaTheme="majorEastAsia"/>
        </w:rPr>
      </w:pPr>
      <w:r>
        <w:rPr>
          <w:rFonts w:cs="仿宋_GB2312" w:asciiTheme="majorEastAsia" w:hAnsiTheme="majorEastAsia" w:eastAsiaTheme="majorEastAsia"/>
        </w:rPr>
        <w:t>1、法定代表人/负责人资格证明书及授权委托书</w:t>
      </w:r>
    </w:p>
    <w:p>
      <w:pPr>
        <w:spacing w:line="480" w:lineRule="exact"/>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w:t>
      </w:r>
      <w:r>
        <w:rPr>
          <w:rFonts w:cs="仿宋_GB2312" w:asciiTheme="majorEastAsia" w:hAnsiTheme="majorEastAsia" w:eastAsiaTheme="majorEastAsia"/>
          <w:b/>
          <w:sz w:val="28"/>
          <w:szCs w:val="28"/>
        </w:rPr>
        <w:t>1）法定代表人/负责人资格证明书</w:t>
      </w:r>
    </w:p>
    <w:p>
      <w:pPr>
        <w:spacing w:line="480" w:lineRule="exact"/>
        <w:rPr>
          <w:rFonts w:cs="仿宋_GB2312" w:asciiTheme="majorEastAsia" w:hAnsiTheme="majorEastAsia" w:eastAsiaTheme="majorEastAsia"/>
          <w:sz w:val="28"/>
          <w:szCs w:val="28"/>
        </w:rPr>
      </w:pPr>
    </w:p>
    <w:p>
      <w:pPr>
        <w:spacing w:line="480" w:lineRule="exac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致：（项目实施单位）</w:t>
      </w:r>
    </w:p>
    <w:p>
      <w:pPr>
        <w:rPr>
          <w:rFonts w:cs="仿宋_GB2312" w:asciiTheme="majorEastAsia" w:hAnsiTheme="majorEastAsia" w:eastAsiaTheme="majorEastAsia"/>
          <w:sz w:val="28"/>
          <w:szCs w:val="28"/>
        </w:rPr>
      </w:pPr>
    </w:p>
    <w:p>
      <w:pPr>
        <w:spacing w:line="440" w:lineRule="exact"/>
        <w:rPr>
          <w:rFonts w:cs="仿宋_GB2312" w:asciiTheme="majorEastAsia" w:hAnsiTheme="majorEastAsia" w:eastAsiaTheme="majorEastAsia"/>
          <w:sz w:val="28"/>
          <w:szCs w:val="28"/>
        </w:rPr>
      </w:pPr>
      <w:r>
        <w:rPr>
          <w:rFonts w:cs="仿宋_GB2312" w:asciiTheme="majorEastAsia" w:hAnsiTheme="majorEastAsia" w:eastAsiaTheme="majorEastAsia"/>
          <w:sz w:val="28"/>
          <w:szCs w:val="28"/>
        </w:rPr>
        <w:t xml:space="preserve">     </w:t>
      </w:r>
      <w:r>
        <w:rPr>
          <w:rFonts w:cs="仿宋_GB2312" w:asciiTheme="majorEastAsia" w:hAnsiTheme="majorEastAsia" w:eastAsiaTheme="majorEastAsia"/>
          <w:sz w:val="28"/>
          <w:szCs w:val="28"/>
          <w:u w:val="single"/>
        </w:rPr>
        <w:t xml:space="preserve">          </w:t>
      </w:r>
      <w:r>
        <w:rPr>
          <w:rFonts w:hint="eastAsia" w:cs="仿宋_GB2312" w:asciiTheme="majorEastAsia" w:hAnsiTheme="majorEastAsia" w:eastAsiaTheme="majorEastAsia"/>
          <w:sz w:val="28"/>
          <w:szCs w:val="28"/>
        </w:rPr>
        <w:t>同志为本单位法定代表人，特此证明。</w:t>
      </w:r>
    </w:p>
    <w:p>
      <w:pPr>
        <w:spacing w:line="440" w:lineRule="exact"/>
        <w:ind w:firstLine="280" w:firstLineChars="1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签发日期：</w:t>
      </w:r>
      <w:r>
        <w:rPr>
          <w:rFonts w:cs="仿宋_GB2312" w:asciiTheme="majorEastAsia" w:hAnsiTheme="majorEastAsia" w:eastAsiaTheme="majorEastAsia"/>
          <w:sz w:val="28"/>
          <w:szCs w:val="28"/>
        </w:rPr>
        <w:t xml:space="preserve">           </w:t>
      </w:r>
      <w:r>
        <w:rPr>
          <w:rFonts w:hint="eastAsia" w:cs="仿宋_GB2312" w:asciiTheme="majorEastAsia" w:hAnsiTheme="majorEastAsia" w:eastAsiaTheme="majorEastAsia"/>
          <w:sz w:val="28"/>
          <w:szCs w:val="28"/>
        </w:rPr>
        <w:t>单位：</w:t>
      </w:r>
      <w:r>
        <w:rPr>
          <w:rFonts w:cs="仿宋_GB2312" w:asciiTheme="majorEastAsia" w:hAnsiTheme="majorEastAsia" w:eastAsiaTheme="majorEastAsia"/>
          <w:sz w:val="28"/>
          <w:szCs w:val="28"/>
        </w:rPr>
        <w:t xml:space="preserve">           </w:t>
      </w:r>
      <w:r>
        <w:rPr>
          <w:rFonts w:hint="eastAsia" w:cs="仿宋_GB2312" w:asciiTheme="majorEastAsia" w:hAnsiTheme="majorEastAsia" w:eastAsiaTheme="majorEastAsia"/>
          <w:sz w:val="28"/>
          <w:szCs w:val="28"/>
        </w:rPr>
        <w:t>（盖单位公章）</w:t>
      </w:r>
    </w:p>
    <w:p>
      <w:pPr>
        <w:spacing w:line="440" w:lineRule="exact"/>
        <w:ind w:firstLine="280" w:firstLineChars="1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附：代表人性别：</w:t>
      </w:r>
      <w:r>
        <w:rPr>
          <w:rFonts w:cs="仿宋_GB2312" w:asciiTheme="majorEastAsia" w:hAnsiTheme="majorEastAsia" w:eastAsiaTheme="majorEastAsia"/>
          <w:sz w:val="28"/>
          <w:szCs w:val="28"/>
        </w:rPr>
        <w:t xml:space="preserve">            </w:t>
      </w:r>
      <w:r>
        <w:rPr>
          <w:rFonts w:hint="eastAsia" w:cs="仿宋_GB2312" w:asciiTheme="majorEastAsia" w:hAnsiTheme="majorEastAsia" w:eastAsiaTheme="majorEastAsia"/>
          <w:sz w:val="28"/>
          <w:szCs w:val="28"/>
        </w:rPr>
        <w:t>年龄：</w:t>
      </w:r>
      <w:r>
        <w:rPr>
          <w:rFonts w:cs="仿宋_GB2312" w:asciiTheme="majorEastAsia" w:hAnsiTheme="majorEastAsia" w:eastAsiaTheme="majorEastAsia"/>
          <w:sz w:val="28"/>
          <w:szCs w:val="28"/>
        </w:rPr>
        <w:t xml:space="preserve">           </w:t>
      </w:r>
      <w:r>
        <w:rPr>
          <w:rFonts w:hint="eastAsia" w:cs="仿宋_GB2312" w:asciiTheme="majorEastAsia" w:hAnsiTheme="majorEastAsia" w:eastAsiaTheme="majorEastAsia"/>
          <w:sz w:val="28"/>
          <w:szCs w:val="28"/>
        </w:rPr>
        <w:t>身份证号码：</w:t>
      </w:r>
    </w:p>
    <w:p>
      <w:pPr>
        <w:spacing w:line="440" w:lineRule="exact"/>
        <w:ind w:firstLine="280" w:firstLineChars="1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联系电话：</w:t>
      </w:r>
    </w:p>
    <w:p>
      <w:pPr>
        <w:spacing w:line="440" w:lineRule="exact"/>
        <w:ind w:firstLine="280" w:firstLineChars="1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营业执照号码：</w:t>
      </w:r>
      <w:r>
        <w:rPr>
          <w:rFonts w:cs="仿宋_GB2312" w:asciiTheme="majorEastAsia" w:hAnsiTheme="majorEastAsia" w:eastAsiaTheme="majorEastAsia"/>
          <w:sz w:val="28"/>
          <w:szCs w:val="28"/>
        </w:rPr>
        <w:t xml:space="preserve">                       </w:t>
      </w:r>
      <w:r>
        <w:rPr>
          <w:rFonts w:hint="eastAsia" w:cs="仿宋_GB2312" w:asciiTheme="majorEastAsia" w:hAnsiTheme="majorEastAsia" w:eastAsiaTheme="majorEastAsia"/>
          <w:sz w:val="28"/>
          <w:szCs w:val="28"/>
        </w:rPr>
        <w:t>经济性质：</w:t>
      </w:r>
    </w:p>
    <w:p>
      <w:pPr>
        <w:spacing w:line="440" w:lineRule="exact"/>
        <w:ind w:firstLine="280" w:firstLineChars="1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机构代码：</w:t>
      </w:r>
      <w:r>
        <w:rPr>
          <w:rFonts w:cs="仿宋_GB2312" w:asciiTheme="majorEastAsia" w:hAnsiTheme="majorEastAsia" w:eastAsiaTheme="majorEastAsia"/>
          <w:sz w:val="28"/>
          <w:szCs w:val="28"/>
        </w:rPr>
        <w:t xml:space="preserve">                           </w:t>
      </w:r>
      <w:r>
        <w:rPr>
          <w:rFonts w:hint="eastAsia" w:cs="仿宋_GB2312" w:asciiTheme="majorEastAsia" w:hAnsiTheme="majorEastAsia" w:eastAsiaTheme="majorEastAsia"/>
          <w:sz w:val="28"/>
          <w:szCs w:val="28"/>
        </w:rPr>
        <w:t>机构性质：</w:t>
      </w:r>
    </w:p>
    <w:p>
      <w:pPr>
        <w:spacing w:line="440" w:lineRule="exact"/>
        <w:ind w:firstLine="280" w:firstLineChars="1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主营：</w:t>
      </w:r>
    </w:p>
    <w:p>
      <w:pPr>
        <w:spacing w:line="440" w:lineRule="exact"/>
        <w:ind w:firstLine="280" w:firstLineChars="1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兼营：</w:t>
      </w:r>
    </w:p>
    <w:p>
      <w:pPr>
        <w:spacing w:line="440" w:lineRule="exact"/>
        <w:ind w:firstLine="280" w:firstLineChars="100"/>
        <w:rPr>
          <w:rFonts w:cs="仿宋_GB2312" w:asciiTheme="majorEastAsia" w:hAnsiTheme="majorEastAsia" w:eastAsiaTheme="majorEastAsia"/>
          <w:sz w:val="28"/>
          <w:szCs w:val="28"/>
        </w:rPr>
      </w:pPr>
    </w:p>
    <w:p>
      <w:pPr>
        <w:spacing w:line="440" w:lineRule="exac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说明：</w:t>
      </w:r>
      <w:r>
        <w:rPr>
          <w:rFonts w:cs="仿宋_GB2312" w:asciiTheme="majorEastAsia" w:hAnsiTheme="majorEastAsia" w:eastAsiaTheme="majorEastAsia"/>
          <w:sz w:val="28"/>
          <w:szCs w:val="28"/>
        </w:rPr>
        <w:t>1.内容必须填写真实、清楚、涂改无效，不得转让、买卖。</w:t>
      </w:r>
    </w:p>
    <w:p>
      <w:pPr>
        <w:spacing w:line="440" w:lineRule="exact"/>
        <w:rPr>
          <w:rFonts w:cs="仿宋_GB2312" w:asciiTheme="majorEastAsia" w:hAnsiTheme="majorEastAsia" w:eastAsiaTheme="majorEastAsia"/>
          <w:sz w:val="28"/>
          <w:szCs w:val="28"/>
        </w:rPr>
      </w:pPr>
      <w:r>
        <w:rPr>
          <w:rFonts w:cs="仿宋_GB2312" w:asciiTheme="majorEastAsia" w:hAnsiTheme="majorEastAsia" w:eastAsiaTheme="majorEastAsia"/>
          <w:sz w:val="28"/>
          <w:szCs w:val="28"/>
        </w:rPr>
        <w:t xml:space="preserve">      2.将此证明书提交对方作为合同附件</w:t>
      </w:r>
      <w:r>
        <w:rPr>
          <w:rFonts w:hint="eastAsia" w:cs="仿宋_GB2312" w:asciiTheme="majorEastAsia" w:hAnsiTheme="majorEastAsia" w:eastAsiaTheme="majorEastAsia"/>
          <w:b/>
          <w:sz w:val="28"/>
          <w:szCs w:val="28"/>
        </w:rPr>
        <w:t>。</w:t>
      </w:r>
    </w:p>
    <w:p>
      <w:pPr>
        <w:rPr>
          <w:rFonts w:cs="仿宋_GB2312" w:asciiTheme="majorEastAsia" w:hAnsiTheme="majorEastAsia" w:eastAsiaTheme="majorEastAsia"/>
          <w:sz w:val="28"/>
          <w:szCs w:val="28"/>
        </w:rPr>
      </w:pPr>
    </w:p>
    <w:p>
      <w:pPr>
        <w:rPr>
          <w:rFonts w:cs="仿宋_GB2312" w:asciiTheme="majorEastAsia" w:hAnsiTheme="majorEastAsia" w:eastAsiaTheme="majorEastAsia"/>
          <w:sz w:val="28"/>
          <w:szCs w:val="28"/>
        </w:rPr>
      </w:pPr>
    </w:p>
    <w:p>
      <w:pPr>
        <w:rPr>
          <w:rFonts w:cs="仿宋_GB2312" w:asciiTheme="majorEastAsia" w:hAnsiTheme="majorEastAsia" w:eastAsiaTheme="majorEastAsia"/>
          <w:sz w:val="28"/>
          <w:szCs w:val="28"/>
        </w:rPr>
      </w:pPr>
    </w:p>
    <w:p>
      <w:pPr>
        <w:rPr>
          <w:rFonts w:cs="仿宋_GB2312" w:asciiTheme="majorEastAsia" w:hAnsiTheme="majorEastAsia" w:eastAsiaTheme="majorEastAsia"/>
          <w:b/>
          <w:sz w:val="28"/>
          <w:szCs w:val="28"/>
        </w:rPr>
      </w:pPr>
    </w:p>
    <w:p>
      <w:pPr>
        <w:rPr>
          <w:rFonts w:cs="仿宋_GB2312" w:asciiTheme="majorEastAsia" w:hAnsiTheme="majorEastAsia" w:eastAsiaTheme="majorEastAsia"/>
          <w:b/>
          <w:sz w:val="28"/>
          <w:szCs w:val="28"/>
        </w:rPr>
      </w:pPr>
      <w:r>
        <w:rPr>
          <w:rFonts w:cs="仿宋_GB2312" w:asciiTheme="majorEastAsia" w:hAnsiTheme="majorEastAsia" w:eastAsiaTheme="majorEastAsia"/>
          <w:b/>
          <w:sz w:val="28"/>
          <w:szCs w:val="28"/>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3"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AutoShape 2" o:spid="_x0000_s1026" o:spt="176" type="#_x0000_t176" style="position:absolute;left:0pt;margin-left:127.5pt;margin-top:1.6pt;height:124.75pt;width:183.75pt;z-index:25165926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Zyv2tcAAAAJAQAADwAAAAAAAAABACAAAAAiAAAAZHJzL2Rvd25yZXYueG1sUEsBAhQA&#10;FAAAAAgAh07iQCAIusXzAQAAAgQAAA4AAAAAAAAAAQAgAAAAJgEAAGRycy9lMm9Eb2MueG1sUEsF&#10;BgAAAAAGAAYAWQEAAIs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cs="仿宋_GB2312" w:asciiTheme="majorEastAsia" w:hAnsiTheme="majorEastAsia" w:eastAsiaTheme="majorEastAsia"/>
          <w:b/>
          <w:sz w:val="28"/>
          <w:szCs w:val="28"/>
        </w:rPr>
      </w:pPr>
    </w:p>
    <w:p>
      <w:pPr>
        <w:rPr>
          <w:rFonts w:cs="仿宋_GB2312" w:asciiTheme="majorEastAsia" w:hAnsiTheme="majorEastAsia" w:eastAsiaTheme="majorEastAsia"/>
          <w:b/>
          <w:sz w:val="28"/>
          <w:szCs w:val="28"/>
        </w:rPr>
      </w:pPr>
    </w:p>
    <w:p>
      <w:pPr>
        <w:rPr>
          <w:rFonts w:cs="仿宋_GB2312" w:asciiTheme="majorEastAsia" w:hAnsiTheme="majorEastAsia" w:eastAsiaTheme="majorEastAsia"/>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cs="仿宋_GB2312" w:asciiTheme="majorEastAsia" w:hAnsiTheme="majorEastAsia" w:eastAsiaTheme="majorEastAsia"/>
          <w:sz w:val="28"/>
          <w:szCs w:val="28"/>
        </w:rPr>
      </w:pPr>
    </w:p>
    <w:p>
      <w:pPr>
        <w:tabs>
          <w:tab w:val="left" w:pos="654"/>
          <w:tab w:val="left" w:pos="1734"/>
          <w:tab w:val="left" w:pos="2814"/>
          <w:tab w:val="left" w:pos="3894"/>
          <w:tab w:val="left" w:pos="5334"/>
          <w:tab w:val="left" w:pos="6414"/>
          <w:tab w:val="left" w:pos="7254"/>
          <w:tab w:val="left" w:pos="8574"/>
          <w:tab w:val="left" w:pos="9654"/>
        </w:tabs>
        <w:rPr>
          <w:rFonts w:cs="仿宋_GB2312" w:asciiTheme="majorEastAsia" w:hAnsiTheme="majorEastAsia" w:eastAsiaTheme="majorEastAsia"/>
          <w:sz w:val="28"/>
          <w:szCs w:val="28"/>
        </w:rPr>
      </w:pPr>
    </w:p>
    <w:p>
      <w:pPr>
        <w:spacing w:line="480" w:lineRule="exact"/>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w:t>
      </w:r>
      <w:r>
        <w:rPr>
          <w:rFonts w:cs="仿宋_GB2312" w:asciiTheme="majorEastAsia" w:hAnsiTheme="majorEastAsia" w:eastAsiaTheme="majorEastAsia"/>
          <w:b/>
          <w:sz w:val="28"/>
          <w:szCs w:val="28"/>
        </w:rPr>
        <w:t>2）法定代表人/负责人授权委托书</w:t>
      </w:r>
    </w:p>
    <w:p>
      <w:pPr>
        <w:spacing w:line="360" w:lineRule="auto"/>
        <w:rPr>
          <w:rFonts w:cs="仿宋_GB2312" w:asciiTheme="majorEastAsia" w:hAnsiTheme="majorEastAsia" w:eastAsiaTheme="majorEastAsia"/>
          <w:sz w:val="28"/>
          <w:szCs w:val="28"/>
        </w:rPr>
      </w:pPr>
    </w:p>
    <w:p>
      <w:pPr>
        <w:spacing w:line="360" w:lineRule="auto"/>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致：（项目实施单位）</w:t>
      </w:r>
    </w:p>
    <w:p>
      <w:pPr>
        <w:spacing w:line="480" w:lineRule="exact"/>
        <w:ind w:firstLine="562" w:firstLineChars="200"/>
        <w:rPr>
          <w:rFonts w:cs="仿宋_GB2312" w:asciiTheme="majorEastAsia" w:hAnsiTheme="majorEastAsia" w:eastAsiaTheme="majorEastAsia"/>
          <w:b/>
          <w:sz w:val="28"/>
          <w:szCs w:val="28"/>
        </w:rPr>
      </w:pPr>
    </w:p>
    <w:p>
      <w:pPr>
        <w:spacing w:line="480" w:lineRule="exact"/>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兹授权</w:t>
      </w:r>
      <w:r>
        <w:rPr>
          <w:rFonts w:cs="仿宋_GB2312" w:asciiTheme="majorEastAsia" w:hAnsiTheme="majorEastAsia" w:eastAsiaTheme="majorEastAsia"/>
          <w:sz w:val="28"/>
          <w:szCs w:val="28"/>
          <w:u w:val="single"/>
        </w:rPr>
        <w:t xml:space="preserve">             </w:t>
      </w:r>
      <w:r>
        <w:rPr>
          <w:rFonts w:hint="eastAsia" w:cs="仿宋_GB2312" w:asciiTheme="majorEastAsia" w:hAnsiTheme="majorEastAsia" w:eastAsiaTheme="majorEastAsia"/>
          <w:sz w:val="28"/>
          <w:szCs w:val="28"/>
        </w:rPr>
        <w:t>同志，为我方签订经济合同及办理其他事务代理人，其权限是：</w:t>
      </w:r>
      <w:r>
        <w:rPr>
          <w:rFonts w:cs="仿宋_GB2312" w:asciiTheme="majorEastAsia" w:hAnsiTheme="majorEastAsia" w:eastAsiaTheme="majorEastAsia"/>
          <w:sz w:val="28"/>
          <w:szCs w:val="28"/>
          <w:u w:val="single"/>
        </w:rPr>
        <w:t xml:space="preserve">                                                   </w:t>
      </w:r>
      <w:r>
        <w:rPr>
          <w:rFonts w:hint="eastAsia" w:cs="仿宋_GB2312" w:asciiTheme="majorEastAsia" w:hAnsiTheme="majorEastAsia" w:eastAsiaTheme="majorEastAsia"/>
          <w:sz w:val="28"/>
          <w:szCs w:val="28"/>
        </w:rPr>
        <w:t>。</w:t>
      </w:r>
    </w:p>
    <w:p>
      <w:pPr>
        <w:spacing w:line="480" w:lineRule="exac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授权单位：</w:t>
      </w:r>
      <w:r>
        <w:rPr>
          <w:rFonts w:cs="仿宋_GB2312" w:asciiTheme="majorEastAsia" w:hAnsiTheme="majorEastAsia" w:eastAsiaTheme="majorEastAsia"/>
          <w:sz w:val="28"/>
          <w:szCs w:val="28"/>
        </w:rPr>
        <w:t xml:space="preserve">          </w:t>
      </w:r>
      <w:r>
        <w:rPr>
          <w:rFonts w:hint="eastAsia" w:cs="仿宋_GB2312" w:asciiTheme="majorEastAsia" w:hAnsiTheme="majorEastAsia" w:eastAsiaTheme="majorEastAsia"/>
          <w:sz w:val="28"/>
          <w:szCs w:val="28"/>
        </w:rPr>
        <w:t>（盖章）</w:t>
      </w:r>
      <w:r>
        <w:rPr>
          <w:rFonts w:cs="仿宋_GB2312" w:asciiTheme="majorEastAsia" w:hAnsiTheme="majorEastAsia" w:eastAsiaTheme="majorEastAsia"/>
          <w:sz w:val="28"/>
          <w:szCs w:val="28"/>
        </w:rPr>
        <w:t xml:space="preserve">     </w:t>
      </w:r>
      <w:r>
        <w:rPr>
          <w:rFonts w:hint="eastAsia" w:cs="仿宋_GB2312" w:asciiTheme="majorEastAsia" w:hAnsiTheme="majorEastAsia" w:eastAsiaTheme="majorEastAsia"/>
          <w:sz w:val="28"/>
          <w:szCs w:val="28"/>
        </w:rPr>
        <w:t>法定代表人</w:t>
      </w:r>
      <w:r>
        <w:rPr>
          <w:rFonts w:cs="仿宋_GB2312" w:asciiTheme="majorEastAsia" w:hAnsiTheme="majorEastAsia" w:eastAsiaTheme="majorEastAsia"/>
          <w:sz w:val="28"/>
          <w:szCs w:val="28"/>
        </w:rPr>
        <w:t xml:space="preserve">              </w:t>
      </w:r>
      <w:r>
        <w:rPr>
          <w:rFonts w:hint="eastAsia" w:cs="仿宋_GB2312" w:asciiTheme="majorEastAsia" w:hAnsiTheme="majorEastAsia" w:eastAsiaTheme="majorEastAsia"/>
          <w:sz w:val="28"/>
          <w:szCs w:val="28"/>
        </w:rPr>
        <w:t>（签名或盖私章）</w:t>
      </w:r>
    </w:p>
    <w:p>
      <w:pPr>
        <w:spacing w:line="480" w:lineRule="exac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有效期限：至</w:t>
      </w:r>
      <w:r>
        <w:rPr>
          <w:rFonts w:cs="仿宋_GB2312" w:asciiTheme="majorEastAsia" w:hAnsiTheme="majorEastAsia" w:eastAsiaTheme="majorEastAsia"/>
          <w:sz w:val="28"/>
          <w:szCs w:val="28"/>
        </w:rPr>
        <w:t xml:space="preserve">        </w:t>
      </w:r>
      <w:r>
        <w:rPr>
          <w:rFonts w:hint="eastAsia" w:cs="仿宋_GB2312" w:asciiTheme="majorEastAsia" w:hAnsiTheme="majorEastAsia" w:eastAsiaTheme="majorEastAsia"/>
          <w:sz w:val="28"/>
          <w:szCs w:val="28"/>
        </w:rPr>
        <w:t>年</w:t>
      </w:r>
      <w:r>
        <w:rPr>
          <w:rFonts w:cs="仿宋_GB2312" w:asciiTheme="majorEastAsia" w:hAnsiTheme="majorEastAsia" w:eastAsiaTheme="majorEastAsia"/>
          <w:sz w:val="28"/>
          <w:szCs w:val="28"/>
        </w:rPr>
        <w:t xml:space="preserve">       </w:t>
      </w:r>
      <w:r>
        <w:rPr>
          <w:rFonts w:hint="eastAsia" w:cs="仿宋_GB2312" w:asciiTheme="majorEastAsia" w:hAnsiTheme="majorEastAsia" w:eastAsiaTheme="majorEastAsia"/>
          <w:sz w:val="28"/>
          <w:szCs w:val="28"/>
        </w:rPr>
        <w:t>月</w:t>
      </w:r>
      <w:r>
        <w:rPr>
          <w:rFonts w:cs="仿宋_GB2312" w:asciiTheme="majorEastAsia" w:hAnsiTheme="majorEastAsia" w:eastAsiaTheme="majorEastAsia"/>
          <w:sz w:val="28"/>
          <w:szCs w:val="28"/>
        </w:rPr>
        <w:t xml:space="preserve">      </w:t>
      </w:r>
      <w:r>
        <w:rPr>
          <w:rFonts w:hint="eastAsia" w:cs="仿宋_GB2312" w:asciiTheme="majorEastAsia" w:hAnsiTheme="majorEastAsia" w:eastAsiaTheme="majorEastAsia"/>
          <w:sz w:val="28"/>
          <w:szCs w:val="28"/>
        </w:rPr>
        <w:t>日</w:t>
      </w:r>
      <w:r>
        <w:rPr>
          <w:rFonts w:cs="仿宋_GB2312" w:asciiTheme="majorEastAsia" w:hAnsiTheme="majorEastAsia" w:eastAsiaTheme="majorEastAsia"/>
          <w:sz w:val="28"/>
          <w:szCs w:val="28"/>
        </w:rPr>
        <w:t xml:space="preserve">       </w:t>
      </w:r>
      <w:r>
        <w:rPr>
          <w:rFonts w:hint="eastAsia" w:cs="仿宋_GB2312" w:asciiTheme="majorEastAsia" w:hAnsiTheme="majorEastAsia" w:eastAsiaTheme="majorEastAsia"/>
          <w:sz w:val="28"/>
          <w:szCs w:val="28"/>
        </w:rPr>
        <w:t>签发日期：</w:t>
      </w:r>
    </w:p>
    <w:p>
      <w:pPr>
        <w:spacing w:line="480" w:lineRule="exac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附：代理人性别：</w:t>
      </w:r>
      <w:r>
        <w:rPr>
          <w:rFonts w:cs="仿宋_GB2312" w:asciiTheme="majorEastAsia" w:hAnsiTheme="majorEastAsia" w:eastAsiaTheme="majorEastAsia"/>
          <w:sz w:val="28"/>
          <w:szCs w:val="28"/>
        </w:rPr>
        <w:t xml:space="preserve">        </w:t>
      </w:r>
      <w:r>
        <w:rPr>
          <w:rFonts w:hint="eastAsia" w:cs="仿宋_GB2312" w:asciiTheme="majorEastAsia" w:hAnsiTheme="majorEastAsia" w:eastAsiaTheme="majorEastAsia"/>
          <w:sz w:val="28"/>
          <w:szCs w:val="28"/>
        </w:rPr>
        <w:t>年龄：</w:t>
      </w:r>
      <w:r>
        <w:rPr>
          <w:rFonts w:cs="仿宋_GB2312" w:asciiTheme="majorEastAsia" w:hAnsiTheme="majorEastAsia" w:eastAsiaTheme="majorEastAsia"/>
          <w:sz w:val="28"/>
          <w:szCs w:val="28"/>
        </w:rPr>
        <w:t xml:space="preserve">       </w:t>
      </w:r>
      <w:r>
        <w:rPr>
          <w:rFonts w:hint="eastAsia" w:cs="仿宋_GB2312" w:asciiTheme="majorEastAsia" w:hAnsiTheme="majorEastAsia" w:eastAsiaTheme="majorEastAsia"/>
          <w:sz w:val="28"/>
          <w:szCs w:val="28"/>
        </w:rPr>
        <w:t>职务：</w:t>
      </w:r>
      <w:r>
        <w:rPr>
          <w:rFonts w:cs="仿宋_GB2312" w:asciiTheme="majorEastAsia" w:hAnsiTheme="majorEastAsia" w:eastAsiaTheme="majorEastAsia"/>
          <w:sz w:val="28"/>
          <w:szCs w:val="28"/>
        </w:rPr>
        <w:t xml:space="preserve">         </w:t>
      </w:r>
      <w:r>
        <w:rPr>
          <w:rFonts w:hint="eastAsia" w:cs="仿宋_GB2312" w:asciiTheme="majorEastAsia" w:hAnsiTheme="majorEastAsia" w:eastAsiaTheme="majorEastAsia"/>
          <w:sz w:val="28"/>
          <w:szCs w:val="28"/>
        </w:rPr>
        <w:t>身份证号码：</w:t>
      </w:r>
    </w:p>
    <w:p>
      <w:pPr>
        <w:spacing w:line="480" w:lineRule="exact"/>
        <w:rPr>
          <w:rFonts w:cs="仿宋_GB2312" w:asciiTheme="majorEastAsia" w:hAnsiTheme="majorEastAsia" w:eastAsiaTheme="majorEastAsia"/>
          <w:sz w:val="28"/>
          <w:szCs w:val="28"/>
        </w:rPr>
      </w:pPr>
      <w:r>
        <w:rPr>
          <w:rFonts w:cs="仿宋_GB2312" w:asciiTheme="majorEastAsia" w:hAnsiTheme="majorEastAsia" w:eastAsiaTheme="majorEastAsia"/>
          <w:sz w:val="28"/>
          <w:szCs w:val="28"/>
        </w:rPr>
        <w:t xml:space="preserve">  联系电话：</w:t>
      </w:r>
    </w:p>
    <w:p>
      <w:pPr>
        <w:spacing w:line="480" w:lineRule="exact"/>
        <w:ind w:firstLine="280" w:firstLineChars="1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营业执照号码：</w:t>
      </w:r>
      <w:r>
        <w:rPr>
          <w:rFonts w:cs="仿宋_GB2312" w:asciiTheme="majorEastAsia" w:hAnsiTheme="majorEastAsia" w:eastAsiaTheme="majorEastAsia"/>
          <w:sz w:val="28"/>
          <w:szCs w:val="28"/>
        </w:rPr>
        <w:t xml:space="preserve">                         </w:t>
      </w:r>
      <w:r>
        <w:rPr>
          <w:rFonts w:hint="eastAsia" w:cs="仿宋_GB2312" w:asciiTheme="majorEastAsia" w:hAnsiTheme="majorEastAsia" w:eastAsiaTheme="majorEastAsia"/>
          <w:sz w:val="28"/>
          <w:szCs w:val="28"/>
        </w:rPr>
        <w:t>经济性质：</w:t>
      </w:r>
    </w:p>
    <w:p>
      <w:pPr>
        <w:spacing w:line="480" w:lineRule="exact"/>
        <w:ind w:firstLine="280" w:firstLineChars="1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主营（产）：</w:t>
      </w:r>
    </w:p>
    <w:p>
      <w:pPr>
        <w:spacing w:line="480" w:lineRule="exact"/>
        <w:ind w:firstLine="280" w:firstLineChars="1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兼营（产）：</w:t>
      </w:r>
    </w:p>
    <w:p>
      <w:pPr>
        <w:spacing w:line="480" w:lineRule="exact"/>
        <w:ind w:firstLine="280" w:firstLineChars="100"/>
        <w:rPr>
          <w:rFonts w:cs="仿宋_GB2312" w:asciiTheme="majorEastAsia" w:hAnsiTheme="majorEastAsia" w:eastAsiaTheme="majorEastAsia"/>
          <w:sz w:val="28"/>
          <w:szCs w:val="28"/>
        </w:rPr>
      </w:pPr>
    </w:p>
    <w:p>
      <w:pPr>
        <w:spacing w:line="480" w:lineRule="exact"/>
        <w:rPr>
          <w:rFonts w:cs="仿宋_GB2312" w:asciiTheme="majorEastAsia" w:hAnsiTheme="majorEastAsia" w:eastAsiaTheme="majorEastAsia"/>
          <w:szCs w:val="21"/>
        </w:rPr>
      </w:pPr>
      <w:r>
        <w:rPr>
          <w:rFonts w:hint="eastAsia" w:cs="仿宋_GB2312" w:asciiTheme="majorEastAsia" w:hAnsiTheme="majorEastAsia" w:eastAsiaTheme="majorEastAsia"/>
          <w:szCs w:val="21"/>
        </w:rPr>
        <w:t>说明：</w:t>
      </w:r>
      <w:r>
        <w:rPr>
          <w:rFonts w:cs="仿宋_GB2312" w:asciiTheme="majorEastAsia" w:hAnsiTheme="majorEastAsia" w:eastAsiaTheme="majorEastAsia"/>
          <w:szCs w:val="21"/>
        </w:rPr>
        <w:t>1.法定代表人为企业事业单位、国家机关、社会团体的主要行政负责人。</w:t>
      </w:r>
    </w:p>
    <w:p>
      <w:pPr>
        <w:spacing w:line="480" w:lineRule="exact"/>
        <w:rPr>
          <w:rFonts w:cs="仿宋_GB2312" w:asciiTheme="majorEastAsia" w:hAnsiTheme="majorEastAsia" w:eastAsiaTheme="majorEastAsia"/>
          <w:szCs w:val="21"/>
        </w:rPr>
      </w:pPr>
      <w:r>
        <w:rPr>
          <w:rFonts w:cs="仿宋_GB2312" w:asciiTheme="majorEastAsia" w:hAnsiTheme="majorEastAsia" w:eastAsiaTheme="majorEastAsia"/>
          <w:szCs w:val="21"/>
        </w:rPr>
        <w:t xml:space="preserve">      2.内容必须填写真实、清楚、涂改无效，不得转让、买卖。</w:t>
      </w:r>
    </w:p>
    <w:p>
      <w:pPr>
        <w:spacing w:line="480" w:lineRule="exact"/>
        <w:ind w:firstLine="630" w:firstLineChars="300"/>
        <w:rPr>
          <w:rFonts w:cs="仿宋_GB2312" w:asciiTheme="majorEastAsia" w:hAnsiTheme="majorEastAsia" w:eastAsiaTheme="majorEastAsia"/>
          <w:b/>
          <w:szCs w:val="21"/>
        </w:rPr>
      </w:pPr>
      <w:r>
        <w:rPr>
          <w:rFonts w:cs="仿宋_GB2312" w:asciiTheme="majorEastAsia" w:hAnsiTheme="majorEastAsia" w:eastAsiaTheme="majorEastAsia"/>
          <w:szCs w:val="21"/>
        </w:rPr>
        <w:t>3.将此证明书提交对方作为合同附件</w:t>
      </w:r>
      <w:r>
        <w:rPr>
          <w:rFonts w:hint="eastAsia" w:cs="仿宋_GB2312" w:asciiTheme="majorEastAsia" w:hAnsiTheme="majorEastAsia" w:eastAsiaTheme="majorEastAsia"/>
          <w:b/>
          <w:szCs w:val="21"/>
        </w:rPr>
        <w:t>。</w:t>
      </w:r>
    </w:p>
    <w:p>
      <w:pPr>
        <w:spacing w:line="480" w:lineRule="exact"/>
        <w:ind w:firstLine="630" w:firstLineChars="300"/>
        <w:rPr>
          <w:rFonts w:cs="仿宋_GB2312" w:asciiTheme="majorEastAsia" w:hAnsiTheme="majorEastAsia" w:eastAsiaTheme="majorEastAsia"/>
          <w:szCs w:val="21"/>
        </w:rPr>
      </w:pPr>
      <w:r>
        <w:rPr>
          <w:rFonts w:cs="仿宋_GB2312" w:asciiTheme="majorEastAsia" w:hAnsiTheme="majorEastAsia" w:eastAsiaTheme="majorEastAsia"/>
          <w:szCs w:val="21"/>
        </w:rPr>
        <w:t>4.授权权限：全权代表本公司参与上述项目的谈判，负责提供与签署确认一切文书资料，以及向贵方递交的任何补充承诺。</w:t>
      </w:r>
    </w:p>
    <w:p>
      <w:pPr>
        <w:spacing w:line="440" w:lineRule="exact"/>
        <w:ind w:firstLine="644" w:firstLineChars="307"/>
        <w:rPr>
          <w:rFonts w:cs="仿宋_GB2312" w:asciiTheme="majorEastAsia" w:hAnsiTheme="majorEastAsia" w:eastAsiaTheme="majorEastAsia"/>
          <w:szCs w:val="21"/>
        </w:rPr>
      </w:pPr>
      <w:r>
        <w:rPr>
          <w:rFonts w:cs="仿宋_GB2312" w:asciiTheme="majorEastAsia" w:hAnsiTheme="majorEastAsia" w:eastAsiaTheme="majorEastAsia"/>
          <w:szCs w:val="21"/>
        </w:rPr>
        <w:t>5.有效期限：与本公司响应文件成交注的谈判有效期相同，自本单位盖公章之日起生效。</w:t>
      </w:r>
    </w:p>
    <w:p>
      <w:pPr>
        <w:spacing w:line="440" w:lineRule="exact"/>
        <w:ind w:firstLine="644" w:firstLineChars="307"/>
        <w:rPr>
          <w:rFonts w:cs="仿宋_GB2312" w:asciiTheme="majorEastAsia" w:hAnsiTheme="majorEastAsia" w:eastAsiaTheme="majorEastAsia"/>
          <w:szCs w:val="21"/>
        </w:rPr>
      </w:pPr>
      <w:r>
        <w:rPr>
          <w:rFonts w:cs="仿宋_GB2312" w:asciiTheme="majorEastAsia" w:hAnsiTheme="majorEastAsia" w:eastAsiaTheme="majorEastAsia"/>
          <w:szCs w:val="21"/>
        </w:rPr>
        <w:t>6.谈判签字代表为法定代表人，则本表不适用。</w:t>
      </w:r>
    </w:p>
    <w:p>
      <w:pPr>
        <w:spacing w:line="440" w:lineRule="exact"/>
        <w:ind w:firstLine="644" w:firstLineChars="307"/>
        <w:rPr>
          <w:rFonts w:cs="仿宋_GB2312" w:asciiTheme="majorEastAsia" w:hAnsiTheme="majorEastAsia" w:eastAsiaTheme="majorEastAsia"/>
          <w:sz w:val="24"/>
        </w:rPr>
      </w:pPr>
      <w:r>
        <w:rPr>
          <w:rFonts w:cs="仿宋_GB2312" w:asciiTheme="majorEastAsia" w:hAnsiTheme="majorEastAsia" w:eastAsiaTheme="majorEastAsia"/>
          <w:szCs w:val="21"/>
        </w:rPr>
        <w:t>7.提供授权委托人在本单位近三个月社保记录（以加盖社会保险基金管理中心印章的《缴费历史明细表》或《社会保险参保人员证明》为准），否则为无效代理人，询价响应文件无效。</w:t>
      </w:r>
    </w:p>
    <w:p>
      <w:pPr>
        <w:spacing w:line="480" w:lineRule="exact"/>
        <w:ind w:firstLine="840" w:firstLineChars="300"/>
        <w:rPr>
          <w:rFonts w:cs="仿宋_GB2312" w:asciiTheme="majorEastAsia" w:hAnsiTheme="majorEastAsia" w:eastAsiaTheme="majorEastAsia"/>
          <w:b/>
          <w:sz w:val="28"/>
          <w:szCs w:val="28"/>
        </w:rPr>
      </w:pPr>
      <w:r>
        <w:rPr>
          <w:rFonts w:cs="仿宋_GB2312" w:asciiTheme="majorEastAsia" w:hAnsiTheme="majorEastAsia" w:eastAsiaTheme="majorEastAsia"/>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3352800</wp:posOffset>
                </wp:positionH>
                <wp:positionV relativeFrom="paragraph">
                  <wp:posOffset>162560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w:t>
                            </w:r>
                            <w:r>
                              <w:rPr>
                                <w:rFonts w:hint="eastAsia" w:hAnsi="宋体"/>
                                <w:szCs w:val="21"/>
                                <w:lang w:val="en-US" w:eastAsia="zh-CN"/>
                              </w:rPr>
                              <w:t>在本单位社保记录</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AutoShape 3" o:spid="_x0000_s1026" o:spt="176" type="#_x0000_t176" style="position:absolute;left:0pt;margin-left:264pt;margin-top:12.8pt;height:124.75pt;width:183.75pt;z-index:251661312;mso-width-relative:page;mso-height-relative:page;" fillcolor="#FFFFFF" filled="t" stroked="t" coordsize="21600,21600" o:gfxdata="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Xi6IzYAAAACgEAAA8AAAAAAAAAAQAgAAAAIgAAAGRycy9kb3ducmV2LnhtbFBLAQIU&#10;ABQAAAAIAIdO4kDV4U4i8wEAAAIEAAAOAAAAAAAAAAEAIAAAACcBAABkcnMvZTJvRG9jLnhtbFBL&#10;BQYAAAAABgAGAFkBAACM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w:t>
                      </w:r>
                      <w:r>
                        <w:rPr>
                          <w:rFonts w:hint="eastAsia" w:hAnsi="宋体"/>
                          <w:szCs w:val="21"/>
                          <w:lang w:val="en-US" w:eastAsia="zh-CN"/>
                        </w:rPr>
                        <w:t>在本单位社保记录</w:t>
                      </w:r>
                    </w:p>
                    <w:p>
                      <w:pPr>
                        <w:jc w:val="center"/>
                        <w:rPr>
                          <w:szCs w:val="21"/>
                        </w:rPr>
                      </w:pPr>
                      <w:r>
                        <w:rPr>
                          <w:rFonts w:hint="eastAsia" w:hAnsi="宋体"/>
                          <w:szCs w:val="21"/>
                        </w:rPr>
                        <w:t>（盖单位公章）</w:t>
                      </w:r>
                    </w:p>
                  </w:txbxContent>
                </v:textbox>
              </v:shape>
            </w:pict>
          </mc:Fallback>
        </mc:AlternateContent>
      </w:r>
      <w:r>
        <w:rPr>
          <w:rFonts w:cs="仿宋_GB2312" w:asciiTheme="majorEastAsia" w:hAnsiTheme="majorEastAsia" w:eastAsiaTheme="majorEastAsia"/>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657225</wp:posOffset>
                </wp:positionH>
                <wp:positionV relativeFrom="paragraph">
                  <wp:posOffset>153035</wp:posOffset>
                </wp:positionV>
                <wp:extent cx="2333625" cy="1584325"/>
                <wp:effectExtent l="4445" t="4445" r="5080" b="11430"/>
                <wp:wrapNone/>
                <wp:docPr id="4"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wrap="square" upright="1"/>
                    </wps:wsp>
                  </a:graphicData>
                </a:graphic>
              </wp:anchor>
            </w:drawing>
          </mc:Choice>
          <mc:Fallback>
            <w:pict>
              <v:shape id="AutoShape 3" o:spid="_x0000_s1026" o:spt="176" type="#_x0000_t176" style="position:absolute;left:0pt;margin-left:51.75pt;margin-top:12.05pt;height:124.75pt;width:183.75pt;z-index:251660288;mso-width-relative:page;mso-height-relative:page;" fillcolor="#FFFFFF" filled="t" stroked="t" coordsize="21600,21600" o:gfxdata="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eBL+tcAAAAKAQAADwAAAAAAAAABACAAAAAiAAAAZHJzL2Rvd25yZXYueG1sUEsBAhQA&#10;FAAAAAgAh07iQG2Lj2TzAQAAAgQAAA4AAAAAAAAAAQAgAAAAJgEAAGRycy9lMm9Eb2MueG1sUEsF&#10;BgAAAAAGAAYAWQEAAIs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cs="仿宋_GB2312" w:asciiTheme="majorEastAsia" w:hAnsiTheme="majorEastAsia" w:eastAsiaTheme="majorEastAsia"/>
          <w:sz w:val="28"/>
          <w:szCs w:val="28"/>
        </w:rPr>
      </w:pPr>
    </w:p>
    <w:p>
      <w:pPr>
        <w:jc w:val="center"/>
        <w:rPr>
          <w:rFonts w:cs="仿宋_GB2312" w:asciiTheme="majorEastAsia" w:hAnsiTheme="majorEastAsia" w:eastAsiaTheme="majorEastAsia"/>
          <w:sz w:val="28"/>
          <w:szCs w:val="28"/>
        </w:rPr>
      </w:pPr>
    </w:p>
    <w:p>
      <w:pPr>
        <w:pStyle w:val="26"/>
      </w:pPr>
    </w:p>
    <w:p>
      <w:pPr>
        <w:pStyle w:val="26"/>
        <w:rPr>
          <w:rFonts w:hint="eastAsia"/>
        </w:rPr>
      </w:pPr>
    </w:p>
    <w:p>
      <w:pPr>
        <w:spacing w:line="300" w:lineRule="auto"/>
        <w:jc w:val="center"/>
        <w:rPr>
          <w:rFonts w:cs="仿宋_GB2312" w:asciiTheme="majorEastAsia" w:hAnsiTheme="majorEastAsia" w:eastAsiaTheme="majorEastAsia"/>
          <w:b/>
          <w:sz w:val="28"/>
          <w:szCs w:val="28"/>
        </w:rPr>
      </w:pPr>
    </w:p>
    <w:p>
      <w:pPr>
        <w:spacing w:line="300" w:lineRule="auto"/>
        <w:jc w:val="center"/>
        <w:rPr>
          <w:rFonts w:cs="仿宋_GB2312" w:asciiTheme="majorEastAsia" w:hAnsiTheme="majorEastAsia" w:eastAsiaTheme="majorEastAsia"/>
          <w:b/>
          <w:sz w:val="28"/>
          <w:szCs w:val="28"/>
        </w:rPr>
      </w:pPr>
      <w:r>
        <w:rPr>
          <w:rFonts w:cs="仿宋_GB2312" w:asciiTheme="majorEastAsia" w:hAnsiTheme="majorEastAsia" w:eastAsiaTheme="majorEastAsia"/>
          <w:b/>
          <w:sz w:val="28"/>
          <w:szCs w:val="28"/>
        </w:rPr>
        <w:t>2资格证明文件</w:t>
      </w:r>
    </w:p>
    <w:p>
      <w:pPr>
        <w:spacing w:line="300" w:lineRule="auto"/>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关于资格的声明函</w:t>
      </w:r>
    </w:p>
    <w:p>
      <w:pPr>
        <w:spacing w:line="480" w:lineRule="exact"/>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致：（项目实施单位）</w:t>
      </w:r>
    </w:p>
    <w:p>
      <w:pPr>
        <w:spacing w:line="480" w:lineRule="exact"/>
        <w:rPr>
          <w:rFonts w:cs="仿宋_GB2312" w:asciiTheme="majorEastAsia" w:hAnsiTheme="majorEastAsia" w:eastAsiaTheme="majorEastAsia"/>
          <w:sz w:val="28"/>
          <w:szCs w:val="28"/>
        </w:rPr>
      </w:pPr>
      <w:r>
        <w:rPr>
          <w:rFonts w:cs="仿宋_GB2312" w:asciiTheme="majorEastAsia" w:hAnsiTheme="majorEastAsia" w:eastAsiaTheme="majorEastAsia"/>
          <w:sz w:val="28"/>
          <w:szCs w:val="28"/>
        </w:rPr>
        <w:t xml:space="preserve">    关于贵方项目名称:____________项目编号：   询价项目，本单位愿意提交报价响应文件，并证明所提交的文件、说明、证明材料是准确的和真实的。</w:t>
      </w:r>
    </w:p>
    <w:p>
      <w:pPr>
        <w:spacing w:line="480" w:lineRule="exact"/>
        <w:jc w:val="center"/>
        <w:rPr>
          <w:rFonts w:cs="仿宋_GB2312" w:asciiTheme="majorEastAsia" w:hAnsiTheme="majorEastAsia" w:eastAsiaTheme="majorEastAsia"/>
          <w:b/>
          <w:bCs/>
          <w:sz w:val="28"/>
          <w:szCs w:val="28"/>
        </w:rPr>
      </w:pPr>
      <w:r>
        <w:rPr>
          <w:rFonts w:hint="eastAsia" w:cs="仿宋_GB2312" w:asciiTheme="majorEastAsia" w:hAnsiTheme="majorEastAsia" w:eastAsiaTheme="majorEastAsia"/>
          <w:b/>
          <w:bCs/>
          <w:sz w:val="28"/>
          <w:szCs w:val="28"/>
        </w:rPr>
        <w:t>（相关证明文件附后）</w:t>
      </w:r>
    </w:p>
    <w:p>
      <w:pPr>
        <w:adjustRightInd w:val="0"/>
        <w:snapToGrid w:val="0"/>
        <w:spacing w:line="30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w:t>
      </w:r>
    </w:p>
    <w:p>
      <w:pPr>
        <w:adjustRightInd w:val="0"/>
        <w:snapToGrid w:val="0"/>
        <w:spacing w:line="300" w:lineRule="auto"/>
        <w:ind w:firstLine="560" w:firstLineChars="200"/>
        <w:rPr>
          <w:rFonts w:cs="仿宋_GB2312" w:asciiTheme="majorEastAsia" w:hAnsiTheme="majorEastAsia" w:eastAsiaTheme="majorEastAsia"/>
          <w:sz w:val="28"/>
          <w:szCs w:val="28"/>
        </w:rPr>
      </w:pPr>
    </w:p>
    <w:p>
      <w:pPr>
        <w:adjustRightInd w:val="0"/>
        <w:snapToGrid w:val="0"/>
        <w:spacing w:line="300" w:lineRule="auto"/>
        <w:ind w:firstLine="560" w:firstLineChars="200"/>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本单位保证全部申请文件和问题的回答是真实和有效的，并对所提供资料的真实性负责。</w:t>
      </w:r>
    </w:p>
    <w:p>
      <w:pPr>
        <w:adjustRightInd w:val="0"/>
        <w:snapToGrid w:val="0"/>
        <w:spacing w:line="300" w:lineRule="auto"/>
        <w:rPr>
          <w:rFonts w:cs="仿宋_GB2312" w:asciiTheme="majorEastAsia" w:hAnsiTheme="majorEastAsia" w:eastAsiaTheme="majorEastAsia"/>
          <w:sz w:val="28"/>
          <w:szCs w:val="28"/>
        </w:rPr>
      </w:pPr>
    </w:p>
    <w:p>
      <w:pPr>
        <w:adjustRightInd w:val="0"/>
        <w:snapToGrid w:val="0"/>
        <w:spacing w:line="300" w:lineRule="auto"/>
        <w:rPr>
          <w:rFonts w:cs="仿宋_GB2312" w:asciiTheme="majorEastAsia" w:hAnsiTheme="majorEastAsia" w:eastAsiaTheme="majorEastAsia"/>
          <w:sz w:val="28"/>
          <w:szCs w:val="28"/>
        </w:rPr>
      </w:pPr>
    </w:p>
    <w:p>
      <w:pPr>
        <w:adjustRightInd w:val="0"/>
        <w:snapToGrid w:val="0"/>
        <w:spacing w:line="300" w:lineRule="auto"/>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报价单位代表（签名或盖私章）：</w:t>
      </w:r>
      <w:r>
        <w:rPr>
          <w:rFonts w:cs="仿宋_GB2312" w:asciiTheme="majorEastAsia" w:hAnsiTheme="majorEastAsia" w:eastAsiaTheme="majorEastAsia"/>
          <w:sz w:val="28"/>
          <w:szCs w:val="28"/>
          <w:u w:val="single"/>
        </w:rPr>
        <w:t xml:space="preserve">                   </w:t>
      </w:r>
    </w:p>
    <w:p>
      <w:pPr>
        <w:adjustRightInd w:val="0"/>
        <w:snapToGrid w:val="0"/>
        <w:spacing w:line="300" w:lineRule="auto"/>
        <w:rPr>
          <w:rFonts w:cs="仿宋_GB2312" w:asciiTheme="majorEastAsia" w:hAnsiTheme="majorEastAsia" w:eastAsiaTheme="majorEastAsia"/>
          <w:sz w:val="28"/>
          <w:szCs w:val="28"/>
          <w:u w:val="single"/>
        </w:rPr>
      </w:pPr>
      <w:r>
        <w:rPr>
          <w:rFonts w:hint="eastAsia" w:cs="仿宋_GB2312" w:asciiTheme="majorEastAsia" w:hAnsiTheme="majorEastAsia" w:eastAsiaTheme="majorEastAsia"/>
          <w:sz w:val="28"/>
          <w:szCs w:val="28"/>
        </w:rPr>
        <w:t>报价单位名称（盖单位公章）：</w:t>
      </w:r>
      <w:r>
        <w:rPr>
          <w:rFonts w:cs="仿宋_GB2312" w:asciiTheme="majorEastAsia" w:hAnsiTheme="majorEastAsia" w:eastAsiaTheme="majorEastAsia"/>
          <w:sz w:val="28"/>
          <w:szCs w:val="28"/>
          <w:u w:val="single"/>
        </w:rPr>
        <w:t xml:space="preserve">                        </w:t>
      </w:r>
    </w:p>
    <w:p>
      <w:pPr>
        <w:adjustRightInd w:val="0"/>
        <w:snapToGrid w:val="0"/>
        <w:spacing w:line="300" w:lineRule="auto"/>
        <w:rPr>
          <w:rFonts w:cs="仿宋_GB2312" w:asciiTheme="majorEastAsia" w:hAnsiTheme="majorEastAsia" w:eastAsiaTheme="majorEastAsia"/>
          <w:sz w:val="28"/>
          <w:szCs w:val="28"/>
        </w:rPr>
        <w:sectPr>
          <w:pgSz w:w="11906" w:h="16838"/>
          <w:pgMar w:top="1089" w:right="1077" w:bottom="1089" w:left="777" w:header="851" w:footer="992" w:gutter="0"/>
          <w:cols w:space="720" w:num="1"/>
          <w:docGrid w:type="lines" w:linePitch="312" w:charSpace="0"/>
        </w:sectPr>
      </w:pPr>
      <w:r>
        <w:rPr>
          <w:rFonts w:hint="eastAsia" w:cs="仿宋_GB2312" w:asciiTheme="majorEastAsia" w:hAnsiTheme="majorEastAsia" w:eastAsiaTheme="majorEastAsia"/>
          <w:sz w:val="28"/>
          <w:szCs w:val="28"/>
        </w:rPr>
        <w:t>日期：</w:t>
      </w:r>
      <w:r>
        <w:rPr>
          <w:rFonts w:cs="仿宋_GB2312" w:asciiTheme="majorEastAsia" w:hAnsiTheme="majorEastAsia" w:eastAsiaTheme="majorEastAsia"/>
          <w:sz w:val="28"/>
          <w:szCs w:val="28"/>
          <w:u w:val="single"/>
        </w:rPr>
        <w:t xml:space="preserve">          </w:t>
      </w:r>
      <w:r>
        <w:rPr>
          <w:rFonts w:hint="eastAsia" w:cs="仿宋_GB2312" w:asciiTheme="majorEastAsia" w:hAnsiTheme="majorEastAsia" w:eastAsiaTheme="majorEastAsia"/>
          <w:sz w:val="28"/>
          <w:szCs w:val="28"/>
        </w:rPr>
        <w:t>年</w:t>
      </w:r>
      <w:r>
        <w:rPr>
          <w:rFonts w:cs="仿宋_GB2312" w:asciiTheme="majorEastAsia" w:hAnsiTheme="majorEastAsia" w:eastAsiaTheme="majorEastAsia"/>
          <w:sz w:val="28"/>
          <w:szCs w:val="28"/>
          <w:u w:val="single"/>
        </w:rPr>
        <w:t xml:space="preserve">     </w:t>
      </w:r>
      <w:r>
        <w:rPr>
          <w:rFonts w:cs="仿宋_GB2312" w:asciiTheme="majorEastAsia" w:hAnsiTheme="majorEastAsia" w:eastAsiaTheme="majorEastAsia"/>
          <w:sz w:val="28"/>
          <w:szCs w:val="28"/>
        </w:rPr>
        <w:t xml:space="preserve"> 月</w:t>
      </w:r>
      <w:r>
        <w:rPr>
          <w:rFonts w:cs="仿宋_GB2312" w:asciiTheme="majorEastAsia" w:hAnsiTheme="majorEastAsia" w:eastAsiaTheme="majorEastAsia"/>
          <w:sz w:val="28"/>
          <w:szCs w:val="28"/>
          <w:u w:val="single"/>
        </w:rPr>
        <w:t xml:space="preserve">    </w:t>
      </w:r>
      <w:r>
        <w:rPr>
          <w:rFonts w:cs="仿宋_GB2312" w:asciiTheme="majorEastAsia" w:hAnsiTheme="majorEastAsia" w:eastAsiaTheme="majorEastAsia"/>
          <w:sz w:val="28"/>
          <w:szCs w:val="28"/>
        </w:rPr>
        <w:t xml:space="preserve"> 日</w:t>
      </w:r>
    </w:p>
    <w:p>
      <w:pPr>
        <w:jc w:val="center"/>
        <w:rPr>
          <w:rFonts w:cs="仿宋_GB2312" w:asciiTheme="majorEastAsia" w:hAnsiTheme="majorEastAsia" w:eastAsiaTheme="majorEastAsia"/>
          <w:b/>
          <w:sz w:val="28"/>
          <w:szCs w:val="28"/>
        </w:rPr>
      </w:pPr>
      <w:r>
        <w:rPr>
          <w:rFonts w:cs="仿宋_GB2312" w:asciiTheme="majorEastAsia" w:hAnsiTheme="majorEastAsia" w:eastAsiaTheme="majorEastAsia"/>
          <w:b/>
          <w:sz w:val="28"/>
          <w:szCs w:val="28"/>
        </w:rPr>
        <w:t xml:space="preserve">3 </w:t>
      </w:r>
      <w:r>
        <w:rPr>
          <w:rFonts w:hint="eastAsia" w:cs="仿宋_GB2312" w:asciiTheme="majorEastAsia" w:hAnsiTheme="majorEastAsia" w:eastAsiaTheme="majorEastAsia"/>
          <w:b/>
          <w:sz w:val="28"/>
          <w:szCs w:val="28"/>
        </w:rPr>
        <w:t>报价意向承诺及声明函</w:t>
      </w:r>
    </w:p>
    <w:p>
      <w:pPr>
        <w:spacing w:line="360" w:lineRule="auto"/>
        <w:jc w:val="center"/>
        <w:rPr>
          <w:rFonts w:cs="仿宋_GB2312" w:asciiTheme="majorEastAsia" w:hAnsiTheme="majorEastAsia" w:eastAsiaTheme="majorEastAsia"/>
          <w:b/>
          <w:sz w:val="36"/>
          <w:szCs w:val="36"/>
        </w:rPr>
      </w:pPr>
      <w:r>
        <w:rPr>
          <w:rFonts w:hint="eastAsia" w:cs="仿宋_GB2312" w:asciiTheme="majorEastAsia" w:hAnsiTheme="majorEastAsia" w:eastAsiaTheme="majorEastAsia"/>
          <w:b/>
          <w:sz w:val="36"/>
          <w:szCs w:val="36"/>
        </w:rPr>
        <w:t>报</w:t>
      </w:r>
      <w:r>
        <w:rPr>
          <w:rFonts w:cs="仿宋_GB2312" w:asciiTheme="majorEastAsia" w:hAnsiTheme="majorEastAsia" w:eastAsiaTheme="majorEastAsia"/>
          <w:b/>
          <w:sz w:val="36"/>
          <w:szCs w:val="36"/>
        </w:rPr>
        <w:t xml:space="preserve"> </w:t>
      </w:r>
      <w:r>
        <w:rPr>
          <w:rFonts w:hint="eastAsia" w:cs="仿宋_GB2312" w:asciiTheme="majorEastAsia" w:hAnsiTheme="majorEastAsia" w:eastAsiaTheme="majorEastAsia"/>
          <w:b/>
          <w:sz w:val="36"/>
          <w:szCs w:val="36"/>
        </w:rPr>
        <w:t>价</w:t>
      </w:r>
      <w:r>
        <w:rPr>
          <w:rFonts w:cs="仿宋_GB2312" w:asciiTheme="majorEastAsia" w:hAnsiTheme="majorEastAsia" w:eastAsiaTheme="majorEastAsia"/>
          <w:b/>
          <w:sz w:val="36"/>
          <w:szCs w:val="36"/>
        </w:rPr>
        <w:t xml:space="preserve"> </w:t>
      </w:r>
      <w:r>
        <w:rPr>
          <w:rFonts w:hint="eastAsia" w:cs="仿宋_GB2312" w:asciiTheme="majorEastAsia" w:hAnsiTheme="majorEastAsia" w:eastAsiaTheme="majorEastAsia"/>
          <w:b/>
          <w:sz w:val="36"/>
          <w:szCs w:val="36"/>
        </w:rPr>
        <w:t>意</w:t>
      </w:r>
      <w:r>
        <w:rPr>
          <w:rFonts w:cs="仿宋_GB2312" w:asciiTheme="majorEastAsia" w:hAnsiTheme="majorEastAsia" w:eastAsiaTheme="majorEastAsia"/>
          <w:b/>
          <w:sz w:val="36"/>
          <w:szCs w:val="36"/>
        </w:rPr>
        <w:t xml:space="preserve"> </w:t>
      </w:r>
      <w:r>
        <w:rPr>
          <w:rFonts w:hint="eastAsia" w:cs="仿宋_GB2312" w:asciiTheme="majorEastAsia" w:hAnsiTheme="majorEastAsia" w:eastAsiaTheme="majorEastAsia"/>
          <w:b/>
          <w:sz w:val="36"/>
          <w:szCs w:val="36"/>
        </w:rPr>
        <w:t>向</w:t>
      </w:r>
      <w:r>
        <w:rPr>
          <w:rFonts w:cs="仿宋_GB2312" w:asciiTheme="majorEastAsia" w:hAnsiTheme="majorEastAsia" w:eastAsiaTheme="majorEastAsia"/>
          <w:b/>
          <w:sz w:val="36"/>
          <w:szCs w:val="36"/>
        </w:rPr>
        <w:t xml:space="preserve"> </w:t>
      </w:r>
      <w:r>
        <w:rPr>
          <w:rFonts w:hint="eastAsia" w:cs="仿宋_GB2312" w:asciiTheme="majorEastAsia" w:hAnsiTheme="majorEastAsia" w:eastAsiaTheme="majorEastAsia"/>
          <w:b/>
          <w:sz w:val="36"/>
          <w:szCs w:val="36"/>
        </w:rPr>
        <w:t>承</w:t>
      </w:r>
      <w:r>
        <w:rPr>
          <w:rFonts w:cs="仿宋_GB2312" w:asciiTheme="majorEastAsia" w:hAnsiTheme="majorEastAsia" w:eastAsiaTheme="majorEastAsia"/>
          <w:b/>
          <w:sz w:val="36"/>
          <w:szCs w:val="36"/>
        </w:rPr>
        <w:t xml:space="preserve"> </w:t>
      </w:r>
      <w:r>
        <w:rPr>
          <w:rFonts w:hint="eastAsia" w:cs="仿宋_GB2312" w:asciiTheme="majorEastAsia" w:hAnsiTheme="majorEastAsia" w:eastAsiaTheme="majorEastAsia"/>
          <w:b/>
          <w:sz w:val="36"/>
          <w:szCs w:val="36"/>
        </w:rPr>
        <w:t>诺</w:t>
      </w:r>
      <w:r>
        <w:rPr>
          <w:rFonts w:cs="仿宋_GB2312" w:asciiTheme="majorEastAsia" w:hAnsiTheme="majorEastAsia" w:eastAsiaTheme="majorEastAsia"/>
          <w:b/>
          <w:sz w:val="36"/>
          <w:szCs w:val="36"/>
        </w:rPr>
        <w:t xml:space="preserve"> </w:t>
      </w:r>
      <w:r>
        <w:rPr>
          <w:rFonts w:hint="eastAsia" w:cs="仿宋_GB2312" w:asciiTheme="majorEastAsia" w:hAnsiTheme="majorEastAsia" w:eastAsiaTheme="majorEastAsia"/>
          <w:b/>
          <w:sz w:val="36"/>
          <w:szCs w:val="36"/>
        </w:rPr>
        <w:t>及</w:t>
      </w:r>
      <w:r>
        <w:rPr>
          <w:rFonts w:cs="仿宋_GB2312" w:asciiTheme="majorEastAsia" w:hAnsiTheme="majorEastAsia" w:eastAsiaTheme="majorEastAsia"/>
          <w:b/>
          <w:sz w:val="36"/>
          <w:szCs w:val="36"/>
        </w:rPr>
        <w:t xml:space="preserve"> </w:t>
      </w:r>
      <w:r>
        <w:rPr>
          <w:rFonts w:hint="eastAsia" w:cs="仿宋_GB2312" w:asciiTheme="majorEastAsia" w:hAnsiTheme="majorEastAsia" w:eastAsiaTheme="majorEastAsia"/>
          <w:b/>
          <w:sz w:val="36"/>
          <w:szCs w:val="36"/>
        </w:rPr>
        <w:t>声</w:t>
      </w:r>
      <w:r>
        <w:rPr>
          <w:rFonts w:cs="仿宋_GB2312" w:asciiTheme="majorEastAsia" w:hAnsiTheme="majorEastAsia" w:eastAsiaTheme="majorEastAsia"/>
          <w:b/>
          <w:sz w:val="36"/>
          <w:szCs w:val="36"/>
        </w:rPr>
        <w:t xml:space="preserve"> </w:t>
      </w:r>
      <w:r>
        <w:rPr>
          <w:rFonts w:hint="eastAsia" w:cs="仿宋_GB2312" w:asciiTheme="majorEastAsia" w:hAnsiTheme="majorEastAsia" w:eastAsiaTheme="majorEastAsia"/>
          <w:b/>
          <w:sz w:val="36"/>
          <w:szCs w:val="36"/>
        </w:rPr>
        <w:t>明</w:t>
      </w:r>
      <w:r>
        <w:rPr>
          <w:rFonts w:cs="仿宋_GB2312" w:asciiTheme="majorEastAsia" w:hAnsiTheme="majorEastAsia" w:eastAsiaTheme="majorEastAsia"/>
          <w:b/>
          <w:sz w:val="36"/>
          <w:szCs w:val="36"/>
        </w:rPr>
        <w:t xml:space="preserve"> </w:t>
      </w:r>
      <w:r>
        <w:rPr>
          <w:rFonts w:hint="eastAsia" w:cs="仿宋_GB2312" w:asciiTheme="majorEastAsia" w:hAnsiTheme="majorEastAsia" w:eastAsiaTheme="majorEastAsia"/>
          <w:b/>
          <w:sz w:val="36"/>
          <w:szCs w:val="36"/>
        </w:rPr>
        <w:t>函</w:t>
      </w:r>
    </w:p>
    <w:p>
      <w:pPr>
        <w:pStyle w:val="42"/>
        <w:adjustRightInd w:val="0"/>
        <w:ind w:right="-1" w:firstLine="0"/>
        <w:jc w:val="left"/>
        <w:rPr>
          <w:rFonts w:cs="仿宋_GB2312" w:asciiTheme="majorEastAsia" w:hAnsiTheme="majorEastAsia" w:eastAsiaTheme="majorEastAsia"/>
          <w:color w:val="auto"/>
          <w:sz w:val="24"/>
          <w:szCs w:val="24"/>
        </w:rPr>
      </w:pPr>
      <w:r>
        <w:rPr>
          <w:rFonts w:hint="eastAsia" w:cs="仿宋_GB2312" w:asciiTheme="majorEastAsia" w:hAnsiTheme="majorEastAsia" w:eastAsiaTheme="majorEastAsia"/>
          <w:color w:val="auto"/>
          <w:sz w:val="24"/>
          <w:szCs w:val="24"/>
        </w:rPr>
        <w:t>致：</w:t>
      </w:r>
      <w:r>
        <w:rPr>
          <w:rFonts w:hint="eastAsia" w:cs="仿宋_GB2312" w:asciiTheme="majorEastAsia" w:hAnsiTheme="majorEastAsia" w:eastAsiaTheme="majorEastAsia"/>
          <w:color w:val="auto"/>
          <w:sz w:val="24"/>
          <w:szCs w:val="24"/>
          <w:u w:val="single"/>
        </w:rPr>
        <w:t>（项目实施单位）</w:t>
      </w:r>
      <w:r>
        <w:rPr>
          <w:rFonts w:cs="仿宋_GB2312" w:asciiTheme="majorEastAsia" w:hAnsiTheme="majorEastAsia" w:eastAsiaTheme="majorEastAsia"/>
          <w:color w:val="auto"/>
          <w:sz w:val="24"/>
          <w:szCs w:val="24"/>
          <w:u w:val="single"/>
        </w:rPr>
        <w:t xml:space="preserve"> </w:t>
      </w:r>
    </w:p>
    <w:p>
      <w:pPr>
        <w:autoSpaceDE w:val="0"/>
        <w:autoSpaceDN w:val="0"/>
        <w:adjustRightInd w:val="0"/>
        <w:spacing w:line="360" w:lineRule="auto"/>
        <w:ind w:left="-539" w:leftChars="-257" w:firstLine="480" w:firstLineChars="200"/>
        <w:rPr>
          <w:rFonts w:cs="仿宋_GB2312" w:asciiTheme="majorEastAsia" w:hAnsiTheme="majorEastAsia" w:eastAsiaTheme="majorEastAsia"/>
          <w:kern w:val="0"/>
          <w:sz w:val="24"/>
        </w:rPr>
      </w:pPr>
      <w:r>
        <w:rPr>
          <w:rFonts w:cs="仿宋_GB2312" w:asciiTheme="majorEastAsia" w:hAnsiTheme="majorEastAsia" w:eastAsiaTheme="majorEastAsia"/>
          <w:kern w:val="0"/>
          <w:sz w:val="24"/>
        </w:rPr>
        <w:t>1.</w:t>
      </w:r>
      <w:r>
        <w:rPr>
          <w:rFonts w:hint="eastAsia" w:cs="仿宋_GB2312" w:asciiTheme="majorEastAsia" w:hAnsiTheme="majorEastAsia" w:eastAsiaTheme="majorEastAsia"/>
          <w:sz w:val="24"/>
        </w:rPr>
        <w:t>根据询价人发出的项目编号为</w:t>
      </w:r>
      <w:r>
        <w:rPr>
          <w:rFonts w:cs="仿宋_GB2312" w:asciiTheme="majorEastAsia" w:hAnsiTheme="majorEastAsia" w:eastAsiaTheme="majorEastAsia"/>
          <w:sz w:val="24"/>
          <w:u w:val="single"/>
        </w:rPr>
        <w:t xml:space="preserve">           </w:t>
      </w:r>
      <w:r>
        <w:rPr>
          <w:rFonts w:hint="eastAsia" w:cs="仿宋_GB2312" w:asciiTheme="majorEastAsia" w:hAnsiTheme="majorEastAsia" w:eastAsiaTheme="majorEastAsia"/>
          <w:sz w:val="24"/>
        </w:rPr>
        <w:t>的</w:t>
      </w:r>
      <w:r>
        <w:rPr>
          <w:rFonts w:cs="仿宋_GB2312" w:asciiTheme="majorEastAsia" w:hAnsiTheme="majorEastAsia" w:eastAsiaTheme="majorEastAsia"/>
          <w:sz w:val="24"/>
          <w:u w:val="single"/>
        </w:rPr>
        <w:t xml:space="preserve">                </w:t>
      </w:r>
      <w:r>
        <w:rPr>
          <w:rFonts w:hint="eastAsia" w:cs="仿宋_GB2312" w:asciiTheme="majorEastAsia" w:hAnsiTheme="majorEastAsia" w:eastAsiaTheme="majorEastAsia"/>
          <w:sz w:val="24"/>
        </w:rPr>
        <w:t>工程的询价文件，我方已详细审查了全部内容，并无异议。</w:t>
      </w:r>
    </w:p>
    <w:p>
      <w:pPr>
        <w:autoSpaceDE w:val="0"/>
        <w:autoSpaceDN w:val="0"/>
        <w:adjustRightInd w:val="0"/>
        <w:spacing w:line="360" w:lineRule="auto"/>
        <w:ind w:left="-539" w:leftChars="-257" w:firstLine="480" w:firstLineChars="200"/>
        <w:rPr>
          <w:rFonts w:cs="仿宋_GB2312" w:asciiTheme="majorEastAsia" w:hAnsiTheme="majorEastAsia" w:eastAsiaTheme="majorEastAsia"/>
          <w:kern w:val="0"/>
          <w:sz w:val="24"/>
        </w:rPr>
      </w:pPr>
      <w:r>
        <w:rPr>
          <w:rFonts w:cs="仿宋_GB2312" w:asciiTheme="majorEastAsia" w:hAnsiTheme="majorEastAsia" w:eastAsiaTheme="majorEastAsia"/>
          <w:sz w:val="24"/>
        </w:rPr>
        <w:t>2.现我方承诺：</w:t>
      </w:r>
      <w:r>
        <w:rPr>
          <w:rFonts w:hint="eastAsia" w:cs="仿宋_GB2312" w:asciiTheme="majorEastAsia" w:hAnsiTheme="majorEastAsia" w:eastAsiaTheme="majorEastAsia"/>
          <w:kern w:val="0"/>
          <w:sz w:val="24"/>
        </w:rPr>
        <w:t>愿以人民币</w:t>
      </w:r>
      <w:r>
        <w:rPr>
          <w:rFonts w:cs="仿宋_GB2312" w:asciiTheme="majorEastAsia" w:hAnsiTheme="majorEastAsia" w:eastAsiaTheme="majorEastAsia"/>
          <w:kern w:val="0"/>
          <w:sz w:val="24"/>
          <w:u w:val="single"/>
        </w:rPr>
        <w:t xml:space="preserve">             </w:t>
      </w:r>
      <w:r>
        <w:rPr>
          <w:rFonts w:hint="eastAsia" w:cs="仿宋_GB2312" w:asciiTheme="majorEastAsia" w:hAnsiTheme="majorEastAsia" w:eastAsiaTheme="majorEastAsia"/>
          <w:kern w:val="0"/>
          <w:sz w:val="24"/>
        </w:rPr>
        <w:t>元（小写：</w:t>
      </w:r>
      <w:r>
        <w:rPr>
          <w:rFonts w:hint="eastAsia" w:cs="仿宋_GB2312" w:asciiTheme="majorEastAsia" w:hAnsiTheme="majorEastAsia" w:eastAsiaTheme="majorEastAsia"/>
          <w:kern w:val="0"/>
          <w:sz w:val="24"/>
          <w:u w:val="single"/>
        </w:rPr>
        <w:t>￥</w:t>
      </w:r>
      <w:r>
        <w:rPr>
          <w:rFonts w:cs="仿宋_GB2312" w:asciiTheme="majorEastAsia" w:hAnsiTheme="majorEastAsia" w:eastAsiaTheme="majorEastAsia"/>
          <w:kern w:val="0"/>
          <w:sz w:val="24"/>
          <w:u w:val="single"/>
        </w:rPr>
        <w:t xml:space="preserve">       </w:t>
      </w:r>
      <w:r>
        <w:rPr>
          <w:rFonts w:hint="eastAsia" w:cs="仿宋_GB2312" w:asciiTheme="majorEastAsia" w:hAnsiTheme="majorEastAsia" w:eastAsiaTheme="majorEastAsia"/>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cs="仿宋_GB2312" w:asciiTheme="majorEastAsia" w:hAnsiTheme="majorEastAsia" w:eastAsiaTheme="majorEastAsia"/>
          <w:kern w:val="0"/>
          <w:sz w:val="24"/>
        </w:rPr>
      </w:pPr>
      <w:r>
        <w:rPr>
          <w:rFonts w:cs="仿宋_GB2312" w:asciiTheme="majorEastAsia" w:hAnsiTheme="majorEastAsia" w:eastAsiaTheme="majorEastAsia"/>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cs="仿宋_GB2312" w:asciiTheme="majorEastAsia" w:hAnsiTheme="majorEastAsia" w:eastAsiaTheme="majorEastAsia"/>
          <w:sz w:val="24"/>
        </w:rPr>
      </w:pPr>
      <w:r>
        <w:rPr>
          <w:rFonts w:cs="仿宋_GB2312" w:asciiTheme="majorEastAsia" w:hAnsiTheme="majorEastAsia" w:eastAsiaTheme="majorEastAsia"/>
          <w:sz w:val="24"/>
        </w:rPr>
        <w:t>4.我方同意承包意向在询价文件规定的交易有效期</w:t>
      </w:r>
      <w:r>
        <w:rPr>
          <w:rFonts w:cs="仿宋_GB2312" w:asciiTheme="majorEastAsia" w:hAnsiTheme="majorEastAsia" w:eastAsiaTheme="majorEastAsia"/>
          <w:sz w:val="24"/>
          <w:u w:val="single"/>
        </w:rPr>
        <w:t xml:space="preserve">    </w:t>
      </w:r>
      <w:r>
        <w:rPr>
          <w:rFonts w:hint="eastAsia" w:cs="仿宋_GB2312" w:asciiTheme="majorEastAsia" w:hAnsiTheme="majorEastAsia" w:eastAsiaTheme="majorEastAsia"/>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cs="仿宋_GB2312" w:asciiTheme="majorEastAsia" w:hAnsiTheme="majorEastAsia" w:eastAsiaTheme="majorEastAsia"/>
          <w:sz w:val="24"/>
        </w:rPr>
      </w:pPr>
      <w:r>
        <w:rPr>
          <w:rFonts w:cs="仿宋_GB2312" w:asciiTheme="majorEastAsia" w:hAnsiTheme="majorEastAsia" w:eastAsiaTheme="majorEastAsia"/>
          <w:sz w:val="24"/>
        </w:rPr>
        <w:t>5.如果我方获得承包资格，我方保证将</w:t>
      </w:r>
      <w:r>
        <w:rPr>
          <w:rFonts w:hint="eastAsia" w:cs="仿宋_GB2312" w:asciiTheme="majorEastAsia" w:hAnsiTheme="majorEastAsia" w:eastAsiaTheme="majorEastAsia"/>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cs="仿宋_GB2312" w:asciiTheme="majorEastAsia" w:hAnsiTheme="majorEastAsia" w:eastAsiaTheme="majorEastAsia"/>
          <w:sz w:val="24"/>
        </w:rPr>
      </w:pPr>
      <w:r>
        <w:rPr>
          <w:rFonts w:cs="仿宋_GB2312" w:asciiTheme="majorEastAsia" w:hAnsiTheme="majorEastAsia" w:eastAsiaTheme="majorEastAsia"/>
          <w:sz w:val="24"/>
        </w:rPr>
        <w:t>6.如果我方获得承包资格，我方将实行项目经理负责制，我方拟委派的项目负责人为</w:t>
      </w:r>
      <w:r>
        <w:rPr>
          <w:rFonts w:cs="仿宋_GB2312" w:asciiTheme="majorEastAsia" w:hAnsiTheme="majorEastAsia" w:eastAsiaTheme="majorEastAsia"/>
          <w:sz w:val="24"/>
          <w:u w:val="single"/>
        </w:rPr>
        <w:t xml:space="preserve">        </w:t>
      </w:r>
      <w:r>
        <w:rPr>
          <w:rFonts w:hint="eastAsia" w:cs="仿宋_GB2312" w:asciiTheme="majorEastAsia" w:hAnsiTheme="majorEastAsia" w:eastAsiaTheme="majorEastAsia"/>
          <w:sz w:val="24"/>
        </w:rPr>
        <w:t>（证书编号为：</w:t>
      </w:r>
      <w:r>
        <w:rPr>
          <w:rFonts w:cs="仿宋_GB2312" w:asciiTheme="majorEastAsia" w:hAnsiTheme="majorEastAsia" w:eastAsiaTheme="majorEastAsia"/>
          <w:sz w:val="24"/>
          <w:u w:val="single"/>
        </w:rPr>
        <w:t xml:space="preserve">          </w:t>
      </w:r>
      <w:r>
        <w:rPr>
          <w:rFonts w:hint="eastAsia" w:cs="仿宋_GB2312" w:asciiTheme="majorEastAsia" w:hAnsiTheme="majorEastAsia" w:eastAsiaTheme="majorEastAsia"/>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cs="仿宋_GB2312" w:asciiTheme="majorEastAsia" w:hAnsiTheme="majorEastAsia" w:eastAsiaTheme="majorEastAsia"/>
          <w:sz w:val="24"/>
        </w:rPr>
      </w:pPr>
      <w:r>
        <w:rPr>
          <w:rFonts w:cs="仿宋_GB2312" w:asciiTheme="majorEastAsia" w:hAnsiTheme="majorEastAsia" w:eastAsiaTheme="majorEastAsia"/>
          <w:sz w:val="24"/>
        </w:rPr>
        <w:t>7.我方就参加本项目交易工作，</w:t>
      </w:r>
      <w:r>
        <w:rPr>
          <w:rFonts w:hint="eastAsia" w:cs="仿宋_GB2312" w:asciiTheme="majorEastAsia" w:hAnsiTheme="majorEastAsia" w:eastAsiaTheme="majorEastAsia"/>
          <w:sz w:val="24"/>
        </w:rPr>
        <w:t>作出以下郑重声明：</w:t>
      </w:r>
    </w:p>
    <w:p>
      <w:pPr>
        <w:autoSpaceDE w:val="0"/>
        <w:autoSpaceDN w:val="0"/>
        <w:adjustRightInd w:val="0"/>
        <w:spacing w:line="360" w:lineRule="auto"/>
        <w:ind w:left="-539" w:leftChars="-257" w:firstLine="480" w:firstLineChars="200"/>
        <w:rPr>
          <w:rFonts w:cs="仿宋_GB2312" w:asciiTheme="majorEastAsia" w:hAnsiTheme="majorEastAsia" w:eastAsiaTheme="majorEastAsia"/>
          <w:sz w:val="24"/>
        </w:rPr>
      </w:pPr>
      <w:r>
        <w:rPr>
          <w:rFonts w:hint="eastAsia" w:cs="仿宋_GB2312" w:asciiTheme="majorEastAsia" w:hAnsiTheme="majorEastAsia" w:eastAsiaTheme="majorEastAsia"/>
          <w:sz w:val="24"/>
        </w:rPr>
        <w:t>⑴</w:t>
      </w:r>
      <w:r>
        <w:rPr>
          <w:rFonts w:cs="仿宋_GB2312" w:asciiTheme="majorEastAsia" w:hAnsiTheme="majorEastAsia" w:eastAsiaTheme="majorEastAsia"/>
          <w:sz w:val="24"/>
        </w:rPr>
        <w:t xml:space="preserve"> </w:t>
      </w:r>
      <w:r>
        <w:rPr>
          <w:rFonts w:hint="eastAsia" w:cs="仿宋_GB2312" w:asciiTheme="majorEastAsia" w:hAnsiTheme="majorEastAsia" w:eastAsiaTheme="majorEastAsia"/>
          <w:sz w:val="24"/>
        </w:rPr>
        <w:t>本公司保证报价资料及其后提供的一切材料都是真实的。</w:t>
      </w:r>
    </w:p>
    <w:p>
      <w:pPr>
        <w:autoSpaceDE w:val="0"/>
        <w:autoSpaceDN w:val="0"/>
        <w:adjustRightInd w:val="0"/>
        <w:spacing w:line="360" w:lineRule="auto"/>
        <w:ind w:left="-539" w:leftChars="-257" w:firstLine="480" w:firstLineChars="200"/>
        <w:rPr>
          <w:rFonts w:cs="仿宋_GB2312" w:asciiTheme="majorEastAsia" w:hAnsiTheme="majorEastAsia" w:eastAsiaTheme="majorEastAsia"/>
          <w:sz w:val="24"/>
        </w:rPr>
      </w:pPr>
      <w:r>
        <w:rPr>
          <w:rFonts w:hint="eastAsia" w:cs="仿宋_GB2312" w:asciiTheme="majorEastAsia" w:hAnsiTheme="majorEastAsia" w:eastAsiaTheme="majorEastAsia"/>
          <w:sz w:val="24"/>
        </w:rPr>
        <w:t>⑵</w:t>
      </w:r>
      <w:r>
        <w:rPr>
          <w:rFonts w:cs="仿宋_GB2312" w:asciiTheme="majorEastAsia" w:hAnsiTheme="majorEastAsia" w:eastAsiaTheme="majorEastAsia"/>
          <w:sz w:val="24"/>
        </w:rPr>
        <w:t xml:space="preserve"> </w:t>
      </w:r>
      <w:r>
        <w:rPr>
          <w:rFonts w:hint="eastAsia" w:cs="仿宋_GB2312" w:asciiTheme="majorEastAsia" w:hAnsiTheme="majorEastAsia" w:eastAsiaTheme="majorEastAsia"/>
          <w:sz w:val="24"/>
        </w:rPr>
        <w:t>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cs="仿宋_GB2312" w:asciiTheme="majorEastAsia" w:hAnsiTheme="majorEastAsia" w:eastAsiaTheme="majorEastAsia"/>
          <w:sz w:val="24"/>
        </w:rPr>
      </w:pPr>
      <w:r>
        <w:rPr>
          <w:rFonts w:hint="eastAsia" w:cs="仿宋_GB2312" w:asciiTheme="majorEastAsia" w:hAnsiTheme="majorEastAsia" w:eastAsiaTheme="majorEastAsia"/>
          <w:sz w:val="24"/>
        </w:rPr>
        <w:t>⑶</w:t>
      </w:r>
      <w:r>
        <w:rPr>
          <w:rFonts w:cs="仿宋_GB2312" w:asciiTheme="majorEastAsia" w:hAnsiTheme="majorEastAsia" w:eastAsiaTheme="majorEastAsia"/>
          <w:sz w:val="24"/>
        </w:rPr>
        <w:t xml:space="preserve"> </w:t>
      </w:r>
      <w:r>
        <w:rPr>
          <w:rFonts w:hint="eastAsia" w:cs="仿宋_GB2312" w:asciiTheme="majorEastAsia" w:hAnsiTheme="majorEastAsia" w:eastAsiaTheme="majorEastAsia"/>
          <w:sz w:val="24"/>
        </w:rPr>
        <w:t>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cs="仿宋_GB2312" w:asciiTheme="majorEastAsia" w:hAnsiTheme="majorEastAsia" w:eastAsiaTheme="majorEastAsia"/>
          <w:sz w:val="24"/>
        </w:rPr>
      </w:pPr>
      <w:r>
        <w:rPr>
          <w:rFonts w:hint="eastAsia" w:cs="仿宋_GB2312" w:asciiTheme="majorEastAsia" w:hAnsiTheme="majorEastAsia" w:eastAsiaTheme="majorEastAsia"/>
          <w:sz w:val="24"/>
        </w:rPr>
        <w:t>⑷</w:t>
      </w:r>
      <w:r>
        <w:rPr>
          <w:rFonts w:cs="仿宋_GB2312" w:asciiTheme="majorEastAsia" w:hAnsiTheme="majorEastAsia" w:eastAsiaTheme="majorEastAsia"/>
          <w:sz w:val="24"/>
        </w:rPr>
        <w:t xml:space="preserve"> </w:t>
      </w:r>
      <w:r>
        <w:rPr>
          <w:rFonts w:hint="eastAsia" w:cs="仿宋_GB2312" w:asciiTheme="majorEastAsia" w:hAnsiTheme="majorEastAsia" w:eastAsiaTheme="majorEastAsia"/>
          <w:sz w:val="24"/>
        </w:rPr>
        <w:t>本公司及其有隶属关系的机构没有参加本项目的前期工作编写工作。</w:t>
      </w:r>
    </w:p>
    <w:p>
      <w:pPr>
        <w:pStyle w:val="44"/>
        <w:ind w:left="-539" w:leftChars="-257" w:firstLine="496"/>
        <w:rPr>
          <w:rFonts w:cs="仿宋_GB2312" w:asciiTheme="majorEastAsia" w:hAnsiTheme="majorEastAsia" w:eastAsiaTheme="majorEastAsia"/>
        </w:rPr>
      </w:pPr>
      <w:r>
        <w:rPr>
          <w:rFonts w:hint="eastAsia" w:cs="仿宋_GB2312" w:asciiTheme="majorEastAsia" w:hAnsiTheme="majorEastAsia" w:eastAsiaTheme="majorEastAsia"/>
        </w:rPr>
        <w:t>本公司违反上述承诺，或本声明陈述与事实不符，经查实，本公司愿意接受公开通报，承担由此带来的法律后果。</w:t>
      </w:r>
    </w:p>
    <w:p>
      <w:pPr>
        <w:pStyle w:val="44"/>
        <w:ind w:firstLine="496"/>
        <w:rPr>
          <w:rFonts w:cs="仿宋_GB2312" w:asciiTheme="majorEastAsia" w:hAnsiTheme="majorEastAsia" w:eastAsiaTheme="majorEastAsia"/>
        </w:rPr>
      </w:pPr>
    </w:p>
    <w:p>
      <w:pPr>
        <w:pStyle w:val="44"/>
        <w:ind w:firstLine="496"/>
        <w:rPr>
          <w:rFonts w:cs="仿宋_GB2312" w:asciiTheme="majorEastAsia" w:hAnsiTheme="majorEastAsia" w:eastAsiaTheme="majorEastAsia"/>
          <w:u w:val="single"/>
        </w:rPr>
      </w:pPr>
      <w:r>
        <w:rPr>
          <w:rFonts w:hint="eastAsia" w:cs="仿宋_GB2312" w:asciiTheme="majorEastAsia" w:hAnsiTheme="majorEastAsia" w:eastAsiaTheme="majorEastAsia"/>
        </w:rPr>
        <w:t>承包意向人：</w:t>
      </w:r>
      <w:r>
        <w:rPr>
          <w:rFonts w:cs="仿宋_GB2312" w:asciiTheme="majorEastAsia" w:hAnsiTheme="majorEastAsia" w:eastAsiaTheme="majorEastAsia"/>
        </w:rPr>
        <w:t>(盖公章)</w:t>
      </w:r>
      <w:r>
        <w:rPr>
          <w:rFonts w:cs="仿宋_GB2312" w:asciiTheme="majorEastAsia" w:hAnsiTheme="majorEastAsia" w:eastAsiaTheme="majorEastAsia"/>
          <w:u w:val="single"/>
        </w:rPr>
        <w:t xml:space="preserve">                                   </w:t>
      </w:r>
    </w:p>
    <w:p>
      <w:pPr>
        <w:pStyle w:val="44"/>
        <w:ind w:firstLine="496"/>
        <w:rPr>
          <w:rFonts w:cs="仿宋_GB2312" w:asciiTheme="majorEastAsia" w:hAnsiTheme="majorEastAsia" w:eastAsiaTheme="majorEastAsia"/>
        </w:rPr>
      </w:pPr>
      <w:r>
        <w:rPr>
          <w:rFonts w:hint="eastAsia" w:cs="仿宋_GB2312" w:asciiTheme="majorEastAsia" w:hAnsiTheme="majorEastAsia" w:eastAsiaTheme="majorEastAsia"/>
        </w:rPr>
        <w:t>法定代表人（签名或盖章）：</w:t>
      </w:r>
      <w:r>
        <w:rPr>
          <w:rFonts w:cs="仿宋_GB2312" w:asciiTheme="majorEastAsia" w:hAnsiTheme="majorEastAsia" w:eastAsiaTheme="majorEastAsia"/>
          <w:u w:val="single"/>
        </w:rPr>
        <w:t xml:space="preserve">               </w:t>
      </w:r>
    </w:p>
    <w:p>
      <w:pPr>
        <w:autoSpaceDE w:val="0"/>
        <w:autoSpaceDN w:val="0"/>
        <w:adjustRightInd w:val="0"/>
        <w:spacing w:line="360" w:lineRule="auto"/>
        <w:ind w:left="-539" w:leftChars="-257" w:firstLine="1006" w:firstLineChars="406"/>
        <w:rPr>
          <w:rFonts w:cs="仿宋_GB2312" w:asciiTheme="majorEastAsia" w:hAnsiTheme="majorEastAsia" w:eastAsiaTheme="majorEastAsia"/>
          <w:snapToGrid w:val="0"/>
          <w:spacing w:val="4"/>
          <w:kern w:val="0"/>
          <w:sz w:val="24"/>
        </w:rPr>
      </w:pPr>
      <w:r>
        <w:rPr>
          <w:rFonts w:hint="eastAsia" w:cs="仿宋_GB2312" w:asciiTheme="majorEastAsia" w:hAnsiTheme="majorEastAsia" w:eastAsiaTheme="majorEastAsia"/>
          <w:snapToGrid w:val="0"/>
          <w:spacing w:val="4"/>
          <w:kern w:val="0"/>
          <w:sz w:val="24"/>
        </w:rPr>
        <w:t>日</w:t>
      </w:r>
      <w:r>
        <w:rPr>
          <w:rFonts w:cs="仿宋_GB2312" w:asciiTheme="majorEastAsia" w:hAnsiTheme="majorEastAsia" w:eastAsiaTheme="majorEastAsia"/>
          <w:snapToGrid w:val="0"/>
          <w:spacing w:val="4"/>
          <w:kern w:val="0"/>
          <w:sz w:val="24"/>
        </w:rPr>
        <w:t xml:space="preserve">    期：  </w:t>
      </w:r>
      <w:r>
        <w:rPr>
          <w:rFonts w:cs="仿宋_GB2312" w:asciiTheme="majorEastAsia" w:hAnsiTheme="majorEastAsia" w:eastAsiaTheme="majorEastAsia"/>
          <w:snapToGrid w:val="0"/>
          <w:spacing w:val="4"/>
          <w:kern w:val="0"/>
          <w:sz w:val="24"/>
          <w:u w:val="single"/>
        </w:rPr>
        <w:t xml:space="preserve">      </w:t>
      </w:r>
      <w:r>
        <w:rPr>
          <w:rFonts w:hint="eastAsia" w:cs="仿宋_GB2312" w:asciiTheme="majorEastAsia" w:hAnsiTheme="majorEastAsia" w:eastAsiaTheme="majorEastAsia"/>
          <w:snapToGrid w:val="0"/>
          <w:spacing w:val="4"/>
          <w:kern w:val="0"/>
          <w:sz w:val="24"/>
        </w:rPr>
        <w:t>年</w:t>
      </w:r>
      <w:r>
        <w:rPr>
          <w:rFonts w:cs="仿宋_GB2312" w:asciiTheme="majorEastAsia" w:hAnsiTheme="majorEastAsia" w:eastAsiaTheme="majorEastAsia"/>
          <w:snapToGrid w:val="0"/>
          <w:spacing w:val="4"/>
          <w:kern w:val="0"/>
          <w:sz w:val="24"/>
        </w:rPr>
        <w:t xml:space="preserve"> </w:t>
      </w:r>
      <w:r>
        <w:rPr>
          <w:rFonts w:cs="仿宋_GB2312" w:asciiTheme="majorEastAsia" w:hAnsiTheme="majorEastAsia" w:eastAsiaTheme="majorEastAsia"/>
          <w:snapToGrid w:val="0"/>
          <w:spacing w:val="4"/>
          <w:kern w:val="0"/>
          <w:sz w:val="24"/>
          <w:u w:val="single"/>
        </w:rPr>
        <w:t xml:space="preserve">  </w:t>
      </w:r>
      <w:r>
        <w:rPr>
          <w:rFonts w:hint="eastAsia" w:cs="仿宋_GB2312" w:asciiTheme="majorEastAsia" w:hAnsiTheme="majorEastAsia" w:eastAsiaTheme="majorEastAsia"/>
          <w:snapToGrid w:val="0"/>
          <w:spacing w:val="4"/>
          <w:kern w:val="0"/>
          <w:sz w:val="24"/>
        </w:rPr>
        <w:t>月</w:t>
      </w:r>
      <w:r>
        <w:rPr>
          <w:rFonts w:cs="仿宋_GB2312" w:asciiTheme="majorEastAsia" w:hAnsiTheme="majorEastAsia" w:eastAsiaTheme="majorEastAsia"/>
          <w:snapToGrid w:val="0"/>
          <w:spacing w:val="4"/>
          <w:kern w:val="0"/>
          <w:sz w:val="24"/>
        </w:rPr>
        <w:t xml:space="preserve"> </w:t>
      </w:r>
      <w:r>
        <w:rPr>
          <w:rFonts w:cs="仿宋_GB2312" w:asciiTheme="majorEastAsia" w:hAnsiTheme="majorEastAsia" w:eastAsiaTheme="majorEastAsia"/>
          <w:snapToGrid w:val="0"/>
          <w:spacing w:val="4"/>
          <w:kern w:val="0"/>
          <w:sz w:val="24"/>
          <w:u w:val="single"/>
        </w:rPr>
        <w:t xml:space="preserve">   </w:t>
      </w:r>
      <w:r>
        <w:rPr>
          <w:rFonts w:hint="eastAsia" w:cs="仿宋_GB2312" w:asciiTheme="majorEastAsia" w:hAnsiTheme="majorEastAsia" w:eastAsiaTheme="majorEastAsia"/>
          <w:snapToGrid w:val="0"/>
          <w:spacing w:val="4"/>
          <w:kern w:val="0"/>
          <w:sz w:val="24"/>
        </w:rPr>
        <w:t>日</w:t>
      </w:r>
      <w:r>
        <w:rPr>
          <w:rFonts w:cs="仿宋_GB2312" w:asciiTheme="majorEastAsia" w:hAnsiTheme="majorEastAsia" w:eastAsiaTheme="majorEastAsia"/>
          <w:snapToGrid w:val="0"/>
          <w:spacing w:val="4"/>
          <w:kern w:val="0"/>
          <w:sz w:val="24"/>
        </w:rPr>
        <w:t xml:space="preserve">    </w:t>
      </w:r>
    </w:p>
    <w:p>
      <w:pPr>
        <w:pStyle w:val="44"/>
        <w:ind w:firstLine="496"/>
        <w:rPr>
          <w:rFonts w:cs="仿宋_GB2312" w:asciiTheme="majorEastAsia" w:hAnsiTheme="majorEastAsia" w:eastAsiaTheme="majorEastAsia"/>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cs="仿宋_GB2312" w:asciiTheme="majorEastAsia" w:hAnsiTheme="majorEastAsia" w:eastAsiaTheme="majorEastAsia"/>
          <w:b/>
          <w:sz w:val="28"/>
          <w:szCs w:val="28"/>
        </w:rPr>
      </w:pPr>
      <w:r>
        <w:rPr>
          <w:rFonts w:cs="仿宋_GB2312" w:asciiTheme="majorEastAsia" w:hAnsiTheme="majorEastAsia" w:eastAsiaTheme="majorEastAsia"/>
          <w:b/>
          <w:sz w:val="28"/>
          <w:szCs w:val="28"/>
        </w:rPr>
        <w:t xml:space="preserve">4 </w:t>
      </w:r>
      <w:r>
        <w:rPr>
          <w:rFonts w:hint="eastAsia" w:cs="仿宋_GB2312" w:asciiTheme="majorEastAsia" w:hAnsiTheme="majorEastAsia" w:eastAsiaTheme="majorEastAsia"/>
          <w:b/>
          <w:sz w:val="28"/>
          <w:szCs w:val="28"/>
        </w:rPr>
        <w:t>拟投入本项目的项目负责人情况表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姓名</w:t>
            </w:r>
          </w:p>
        </w:tc>
        <w:tc>
          <w:tcPr>
            <w:tcW w:w="1661" w:type="dxa"/>
            <w:gridSpan w:val="2"/>
          </w:tcPr>
          <w:p>
            <w:pPr>
              <w:jc w:val="center"/>
              <w:rPr>
                <w:rFonts w:cs="仿宋_GB2312" w:asciiTheme="majorEastAsia" w:hAnsiTheme="majorEastAsia" w:eastAsiaTheme="majorEastAsia"/>
                <w:b/>
                <w:sz w:val="28"/>
                <w:szCs w:val="28"/>
              </w:rPr>
            </w:pPr>
          </w:p>
        </w:tc>
        <w:tc>
          <w:tcPr>
            <w:tcW w:w="1661" w:type="dxa"/>
            <w:gridSpan w:val="2"/>
          </w:tcPr>
          <w:p>
            <w:pPr>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出生年月</w:t>
            </w:r>
          </w:p>
        </w:tc>
        <w:tc>
          <w:tcPr>
            <w:tcW w:w="1661" w:type="dxa"/>
            <w:gridSpan w:val="2"/>
          </w:tcPr>
          <w:p>
            <w:pPr>
              <w:jc w:val="center"/>
              <w:rPr>
                <w:rFonts w:cs="仿宋_GB2312" w:asciiTheme="majorEastAsia" w:hAnsiTheme="majorEastAsia" w:eastAsiaTheme="majorEastAsia"/>
                <w:b/>
                <w:sz w:val="28"/>
                <w:szCs w:val="28"/>
              </w:rPr>
            </w:pPr>
          </w:p>
        </w:tc>
        <w:tc>
          <w:tcPr>
            <w:tcW w:w="1662" w:type="dxa"/>
            <w:gridSpan w:val="2"/>
          </w:tcPr>
          <w:p>
            <w:pPr>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学历</w:t>
            </w:r>
          </w:p>
        </w:tc>
        <w:tc>
          <w:tcPr>
            <w:tcW w:w="1662" w:type="dxa"/>
          </w:tcPr>
          <w:p>
            <w:pPr>
              <w:jc w:val="center"/>
              <w:rPr>
                <w:rFonts w:cs="仿宋_GB2312" w:asciiTheme="majorEastAsia" w:hAnsiTheme="majorEastAsia" w:eastAsiaTheme="maj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职称</w:t>
            </w:r>
          </w:p>
        </w:tc>
        <w:tc>
          <w:tcPr>
            <w:tcW w:w="1661" w:type="dxa"/>
            <w:gridSpan w:val="2"/>
          </w:tcPr>
          <w:p>
            <w:pPr>
              <w:spacing w:line="360" w:lineRule="exact"/>
              <w:jc w:val="center"/>
              <w:rPr>
                <w:rFonts w:cs="仿宋_GB2312" w:asciiTheme="majorEastAsia" w:hAnsiTheme="majorEastAsia" w:eastAsiaTheme="majorEastAsia"/>
                <w:b/>
                <w:sz w:val="28"/>
                <w:szCs w:val="28"/>
              </w:rPr>
            </w:pPr>
          </w:p>
        </w:tc>
        <w:tc>
          <w:tcPr>
            <w:tcW w:w="1661" w:type="dxa"/>
            <w:gridSpan w:val="2"/>
          </w:tcPr>
          <w:p>
            <w:pPr>
              <w:spacing w:line="360" w:lineRule="exact"/>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职务</w:t>
            </w:r>
          </w:p>
        </w:tc>
        <w:tc>
          <w:tcPr>
            <w:tcW w:w="1661" w:type="dxa"/>
            <w:gridSpan w:val="2"/>
          </w:tcPr>
          <w:p>
            <w:pPr>
              <w:spacing w:line="360" w:lineRule="exact"/>
              <w:jc w:val="center"/>
              <w:rPr>
                <w:rFonts w:cs="仿宋_GB2312" w:asciiTheme="majorEastAsia" w:hAnsiTheme="majorEastAsia" w:eastAsiaTheme="majorEastAsia"/>
                <w:b/>
                <w:sz w:val="28"/>
                <w:szCs w:val="28"/>
              </w:rPr>
            </w:pPr>
          </w:p>
        </w:tc>
        <w:tc>
          <w:tcPr>
            <w:tcW w:w="1662" w:type="dxa"/>
            <w:gridSpan w:val="2"/>
          </w:tcPr>
          <w:p>
            <w:pPr>
              <w:spacing w:line="360" w:lineRule="exact"/>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从事本工作时间</w:t>
            </w:r>
          </w:p>
        </w:tc>
        <w:tc>
          <w:tcPr>
            <w:tcW w:w="1662" w:type="dxa"/>
          </w:tcPr>
          <w:p>
            <w:pPr>
              <w:spacing w:line="360" w:lineRule="exact"/>
              <w:jc w:val="center"/>
              <w:rPr>
                <w:rFonts w:cs="仿宋_GB2312" w:asciiTheme="majorEastAsia" w:hAnsiTheme="majorEastAsia" w:eastAsiaTheme="maj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毕业院校</w:t>
            </w:r>
          </w:p>
        </w:tc>
        <w:tc>
          <w:tcPr>
            <w:tcW w:w="1661" w:type="dxa"/>
            <w:gridSpan w:val="2"/>
          </w:tcPr>
          <w:p>
            <w:pPr>
              <w:spacing w:line="360" w:lineRule="exact"/>
              <w:jc w:val="center"/>
              <w:rPr>
                <w:rFonts w:cs="仿宋_GB2312" w:asciiTheme="majorEastAsia" w:hAnsiTheme="majorEastAsia" w:eastAsiaTheme="majorEastAsia"/>
                <w:b/>
                <w:sz w:val="28"/>
                <w:szCs w:val="28"/>
              </w:rPr>
            </w:pPr>
          </w:p>
        </w:tc>
        <w:tc>
          <w:tcPr>
            <w:tcW w:w="1661" w:type="dxa"/>
            <w:gridSpan w:val="2"/>
          </w:tcPr>
          <w:p>
            <w:pPr>
              <w:spacing w:line="360" w:lineRule="exact"/>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毕业时间</w:t>
            </w:r>
          </w:p>
        </w:tc>
        <w:tc>
          <w:tcPr>
            <w:tcW w:w="1661" w:type="dxa"/>
            <w:gridSpan w:val="2"/>
          </w:tcPr>
          <w:p>
            <w:pPr>
              <w:spacing w:line="360" w:lineRule="exact"/>
              <w:jc w:val="center"/>
              <w:rPr>
                <w:rFonts w:cs="仿宋_GB2312" w:asciiTheme="majorEastAsia" w:hAnsiTheme="majorEastAsia" w:eastAsiaTheme="majorEastAsia"/>
                <w:b/>
                <w:sz w:val="28"/>
                <w:szCs w:val="28"/>
              </w:rPr>
            </w:pPr>
          </w:p>
        </w:tc>
        <w:tc>
          <w:tcPr>
            <w:tcW w:w="1662" w:type="dxa"/>
            <w:gridSpan w:val="2"/>
          </w:tcPr>
          <w:p>
            <w:pPr>
              <w:spacing w:line="360" w:lineRule="exact"/>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专业</w:t>
            </w:r>
          </w:p>
        </w:tc>
        <w:tc>
          <w:tcPr>
            <w:tcW w:w="1662" w:type="dxa"/>
          </w:tcPr>
          <w:p>
            <w:pPr>
              <w:spacing w:line="360" w:lineRule="exact"/>
              <w:jc w:val="center"/>
              <w:rPr>
                <w:rFonts w:cs="仿宋_GB2312" w:asciiTheme="majorEastAsia" w:hAnsiTheme="majorEastAsia" w:eastAsiaTheme="maj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注册证书等级</w:t>
            </w:r>
          </w:p>
          <w:p>
            <w:pPr>
              <w:spacing w:line="360" w:lineRule="exact"/>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和专业</w:t>
            </w:r>
          </w:p>
        </w:tc>
        <w:tc>
          <w:tcPr>
            <w:tcW w:w="3322" w:type="dxa"/>
            <w:gridSpan w:val="4"/>
          </w:tcPr>
          <w:p>
            <w:pPr>
              <w:spacing w:line="360" w:lineRule="exact"/>
              <w:jc w:val="center"/>
              <w:rPr>
                <w:rFonts w:cs="仿宋_GB2312" w:asciiTheme="majorEastAsia" w:hAnsiTheme="majorEastAsia" w:eastAsiaTheme="majorEastAsia"/>
                <w:b/>
                <w:sz w:val="28"/>
                <w:szCs w:val="28"/>
              </w:rPr>
            </w:pPr>
          </w:p>
        </w:tc>
        <w:tc>
          <w:tcPr>
            <w:tcW w:w="1662" w:type="dxa"/>
            <w:gridSpan w:val="2"/>
          </w:tcPr>
          <w:p>
            <w:pPr>
              <w:spacing w:line="360" w:lineRule="exact"/>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证书编号</w:t>
            </w:r>
          </w:p>
        </w:tc>
        <w:tc>
          <w:tcPr>
            <w:tcW w:w="1662" w:type="dxa"/>
          </w:tcPr>
          <w:p>
            <w:pPr>
              <w:spacing w:line="360" w:lineRule="exact"/>
              <w:jc w:val="center"/>
              <w:rPr>
                <w:rFonts w:cs="仿宋_GB2312" w:asciiTheme="majorEastAsia" w:hAnsiTheme="majorEastAsia" w:eastAsiaTheme="maj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职称证专业</w:t>
            </w:r>
          </w:p>
        </w:tc>
        <w:tc>
          <w:tcPr>
            <w:tcW w:w="3322" w:type="dxa"/>
            <w:gridSpan w:val="4"/>
          </w:tcPr>
          <w:p>
            <w:pPr>
              <w:jc w:val="center"/>
              <w:rPr>
                <w:rFonts w:cs="仿宋_GB2312" w:asciiTheme="majorEastAsia" w:hAnsiTheme="majorEastAsia" w:eastAsiaTheme="majorEastAsia"/>
                <w:b/>
                <w:sz w:val="28"/>
                <w:szCs w:val="28"/>
              </w:rPr>
            </w:pPr>
          </w:p>
        </w:tc>
        <w:tc>
          <w:tcPr>
            <w:tcW w:w="1662" w:type="dxa"/>
            <w:gridSpan w:val="2"/>
          </w:tcPr>
          <w:p>
            <w:pPr>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证书编号</w:t>
            </w:r>
          </w:p>
        </w:tc>
        <w:tc>
          <w:tcPr>
            <w:tcW w:w="1662" w:type="dxa"/>
          </w:tcPr>
          <w:p>
            <w:pPr>
              <w:jc w:val="center"/>
              <w:rPr>
                <w:rFonts w:cs="仿宋_GB2312" w:asciiTheme="majorEastAsia" w:hAnsiTheme="majorEastAsia" w:eastAsiaTheme="maj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项目名称</w:t>
            </w:r>
          </w:p>
        </w:tc>
        <w:tc>
          <w:tcPr>
            <w:tcW w:w="1993" w:type="dxa"/>
            <w:gridSpan w:val="2"/>
          </w:tcPr>
          <w:p>
            <w:pPr>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合同金额</w:t>
            </w:r>
          </w:p>
        </w:tc>
        <w:tc>
          <w:tcPr>
            <w:tcW w:w="1993" w:type="dxa"/>
            <w:gridSpan w:val="2"/>
          </w:tcPr>
          <w:p>
            <w:pPr>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开、竣工时间</w:t>
            </w:r>
          </w:p>
        </w:tc>
        <w:tc>
          <w:tcPr>
            <w:tcW w:w="1993" w:type="dxa"/>
            <w:gridSpan w:val="2"/>
          </w:tcPr>
          <w:p>
            <w:pPr>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担任职务</w:t>
            </w:r>
          </w:p>
        </w:tc>
        <w:tc>
          <w:tcPr>
            <w:tcW w:w="1996" w:type="dxa"/>
            <w:gridSpan w:val="2"/>
          </w:tcPr>
          <w:p>
            <w:pPr>
              <w:jc w:val="center"/>
              <w:rPr>
                <w:rFonts w:cs="仿宋_GB2312" w:asciiTheme="majorEastAsia" w:hAnsiTheme="majorEastAsia" w:eastAsiaTheme="majorEastAsia"/>
                <w:b/>
                <w:sz w:val="28"/>
                <w:szCs w:val="28"/>
              </w:rPr>
            </w:pPr>
            <w:r>
              <w:rPr>
                <w:rFonts w:hint="eastAsia" w:cs="仿宋_GB2312" w:asciiTheme="majorEastAsia" w:hAnsiTheme="majorEastAsia" w:eastAsiaTheme="majorEastAsia"/>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cs="仿宋_GB2312" w:asciiTheme="majorEastAsia" w:hAnsiTheme="majorEastAsia" w:eastAsiaTheme="majorEastAsia"/>
                <w:b/>
                <w:sz w:val="28"/>
                <w:szCs w:val="28"/>
              </w:rPr>
            </w:pPr>
          </w:p>
        </w:tc>
        <w:tc>
          <w:tcPr>
            <w:tcW w:w="1993" w:type="dxa"/>
            <w:gridSpan w:val="2"/>
          </w:tcPr>
          <w:p>
            <w:pPr>
              <w:jc w:val="center"/>
              <w:rPr>
                <w:rFonts w:cs="仿宋_GB2312" w:asciiTheme="majorEastAsia" w:hAnsiTheme="majorEastAsia" w:eastAsiaTheme="majorEastAsia"/>
                <w:b/>
                <w:sz w:val="28"/>
                <w:szCs w:val="28"/>
              </w:rPr>
            </w:pPr>
          </w:p>
        </w:tc>
        <w:tc>
          <w:tcPr>
            <w:tcW w:w="1993" w:type="dxa"/>
            <w:gridSpan w:val="2"/>
          </w:tcPr>
          <w:p>
            <w:pPr>
              <w:jc w:val="center"/>
              <w:rPr>
                <w:rFonts w:cs="仿宋_GB2312" w:asciiTheme="majorEastAsia" w:hAnsiTheme="majorEastAsia" w:eastAsiaTheme="majorEastAsia"/>
                <w:b/>
                <w:sz w:val="28"/>
                <w:szCs w:val="28"/>
              </w:rPr>
            </w:pPr>
          </w:p>
        </w:tc>
        <w:tc>
          <w:tcPr>
            <w:tcW w:w="1993" w:type="dxa"/>
            <w:gridSpan w:val="2"/>
          </w:tcPr>
          <w:p>
            <w:pPr>
              <w:jc w:val="center"/>
              <w:rPr>
                <w:rFonts w:cs="仿宋_GB2312" w:asciiTheme="majorEastAsia" w:hAnsiTheme="majorEastAsia" w:eastAsiaTheme="majorEastAsia"/>
                <w:b/>
                <w:sz w:val="28"/>
                <w:szCs w:val="28"/>
              </w:rPr>
            </w:pPr>
          </w:p>
        </w:tc>
        <w:tc>
          <w:tcPr>
            <w:tcW w:w="1996" w:type="dxa"/>
            <w:gridSpan w:val="2"/>
          </w:tcPr>
          <w:p>
            <w:pPr>
              <w:jc w:val="center"/>
              <w:rPr>
                <w:rFonts w:cs="仿宋_GB2312" w:asciiTheme="majorEastAsia" w:hAnsiTheme="majorEastAsia" w:eastAsiaTheme="maj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cs="仿宋_GB2312" w:asciiTheme="majorEastAsia" w:hAnsiTheme="majorEastAsia" w:eastAsiaTheme="majorEastAsia"/>
                <w:b/>
                <w:sz w:val="28"/>
                <w:szCs w:val="28"/>
              </w:rPr>
            </w:pPr>
          </w:p>
        </w:tc>
        <w:tc>
          <w:tcPr>
            <w:tcW w:w="1993" w:type="dxa"/>
            <w:gridSpan w:val="2"/>
          </w:tcPr>
          <w:p>
            <w:pPr>
              <w:jc w:val="center"/>
              <w:rPr>
                <w:rFonts w:cs="仿宋_GB2312" w:asciiTheme="majorEastAsia" w:hAnsiTheme="majorEastAsia" w:eastAsiaTheme="majorEastAsia"/>
                <w:b/>
                <w:sz w:val="28"/>
                <w:szCs w:val="28"/>
              </w:rPr>
            </w:pPr>
          </w:p>
        </w:tc>
        <w:tc>
          <w:tcPr>
            <w:tcW w:w="1993" w:type="dxa"/>
            <w:gridSpan w:val="2"/>
          </w:tcPr>
          <w:p>
            <w:pPr>
              <w:jc w:val="center"/>
              <w:rPr>
                <w:rFonts w:cs="仿宋_GB2312" w:asciiTheme="majorEastAsia" w:hAnsiTheme="majorEastAsia" w:eastAsiaTheme="majorEastAsia"/>
                <w:b/>
                <w:sz w:val="28"/>
                <w:szCs w:val="28"/>
              </w:rPr>
            </w:pPr>
          </w:p>
        </w:tc>
        <w:tc>
          <w:tcPr>
            <w:tcW w:w="1993" w:type="dxa"/>
            <w:gridSpan w:val="2"/>
          </w:tcPr>
          <w:p>
            <w:pPr>
              <w:jc w:val="center"/>
              <w:rPr>
                <w:rFonts w:cs="仿宋_GB2312" w:asciiTheme="majorEastAsia" w:hAnsiTheme="majorEastAsia" w:eastAsiaTheme="majorEastAsia"/>
                <w:b/>
                <w:sz w:val="28"/>
                <w:szCs w:val="28"/>
              </w:rPr>
            </w:pPr>
          </w:p>
        </w:tc>
        <w:tc>
          <w:tcPr>
            <w:tcW w:w="1996" w:type="dxa"/>
            <w:gridSpan w:val="2"/>
          </w:tcPr>
          <w:p>
            <w:pPr>
              <w:jc w:val="center"/>
              <w:rPr>
                <w:rFonts w:cs="仿宋_GB2312" w:asciiTheme="majorEastAsia" w:hAnsiTheme="majorEastAsia" w:eastAsiaTheme="maj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cs="仿宋_GB2312" w:asciiTheme="majorEastAsia" w:hAnsiTheme="majorEastAsia" w:eastAsiaTheme="majorEastAsia"/>
                <w:b/>
                <w:sz w:val="28"/>
                <w:szCs w:val="28"/>
              </w:rPr>
            </w:pPr>
          </w:p>
        </w:tc>
        <w:tc>
          <w:tcPr>
            <w:tcW w:w="1993" w:type="dxa"/>
            <w:gridSpan w:val="2"/>
          </w:tcPr>
          <w:p>
            <w:pPr>
              <w:jc w:val="center"/>
              <w:rPr>
                <w:rFonts w:cs="仿宋_GB2312" w:asciiTheme="majorEastAsia" w:hAnsiTheme="majorEastAsia" w:eastAsiaTheme="majorEastAsia"/>
                <w:b/>
                <w:sz w:val="28"/>
                <w:szCs w:val="28"/>
              </w:rPr>
            </w:pPr>
          </w:p>
        </w:tc>
        <w:tc>
          <w:tcPr>
            <w:tcW w:w="1993" w:type="dxa"/>
            <w:gridSpan w:val="2"/>
          </w:tcPr>
          <w:p>
            <w:pPr>
              <w:jc w:val="center"/>
              <w:rPr>
                <w:rFonts w:cs="仿宋_GB2312" w:asciiTheme="majorEastAsia" w:hAnsiTheme="majorEastAsia" w:eastAsiaTheme="majorEastAsia"/>
                <w:b/>
                <w:sz w:val="28"/>
                <w:szCs w:val="28"/>
              </w:rPr>
            </w:pPr>
          </w:p>
        </w:tc>
        <w:tc>
          <w:tcPr>
            <w:tcW w:w="1993" w:type="dxa"/>
            <w:gridSpan w:val="2"/>
          </w:tcPr>
          <w:p>
            <w:pPr>
              <w:jc w:val="center"/>
              <w:rPr>
                <w:rFonts w:cs="仿宋_GB2312" w:asciiTheme="majorEastAsia" w:hAnsiTheme="majorEastAsia" w:eastAsiaTheme="majorEastAsia"/>
                <w:b/>
                <w:sz w:val="28"/>
                <w:szCs w:val="28"/>
              </w:rPr>
            </w:pPr>
          </w:p>
        </w:tc>
        <w:tc>
          <w:tcPr>
            <w:tcW w:w="1996" w:type="dxa"/>
            <w:gridSpan w:val="2"/>
          </w:tcPr>
          <w:p>
            <w:pPr>
              <w:jc w:val="center"/>
              <w:rPr>
                <w:rFonts w:cs="仿宋_GB2312" w:asciiTheme="majorEastAsia" w:hAnsiTheme="majorEastAsia" w:eastAsiaTheme="majorEastAsia"/>
                <w:b/>
                <w:sz w:val="28"/>
                <w:szCs w:val="28"/>
              </w:rPr>
            </w:pPr>
          </w:p>
        </w:tc>
      </w:tr>
    </w:tbl>
    <w:p>
      <w:pPr>
        <w:jc w:val="center"/>
        <w:rPr>
          <w:rFonts w:cs="仿宋_GB2312" w:asciiTheme="majorEastAsia" w:hAnsiTheme="majorEastAsia" w:eastAsiaTheme="majorEastAsia"/>
          <w:b/>
          <w:sz w:val="28"/>
          <w:szCs w:val="28"/>
        </w:rPr>
      </w:pPr>
    </w:p>
    <w:p>
      <w:pPr>
        <w:jc w:val="center"/>
        <w:rPr>
          <w:rFonts w:cs="仿宋_GB2312" w:asciiTheme="majorEastAsia" w:hAnsiTheme="majorEastAsia" w:eastAsiaTheme="majorEastAsia"/>
          <w:b/>
          <w:sz w:val="28"/>
          <w:szCs w:val="28"/>
        </w:rPr>
      </w:pPr>
    </w:p>
    <w:p>
      <w:pPr>
        <w:adjustRightInd w:val="0"/>
        <w:snapToGrid w:val="0"/>
        <w:spacing w:line="300" w:lineRule="auto"/>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报价单位代表（签名或盖私章）：</w:t>
      </w:r>
      <w:r>
        <w:rPr>
          <w:rFonts w:cs="仿宋_GB2312" w:asciiTheme="majorEastAsia" w:hAnsiTheme="majorEastAsia" w:eastAsiaTheme="majorEastAsia"/>
          <w:sz w:val="28"/>
          <w:szCs w:val="28"/>
          <w:u w:val="single"/>
        </w:rPr>
        <w:t xml:space="preserve">                   </w:t>
      </w:r>
    </w:p>
    <w:p>
      <w:pPr>
        <w:adjustRightInd w:val="0"/>
        <w:snapToGrid w:val="0"/>
        <w:spacing w:line="300" w:lineRule="auto"/>
        <w:rPr>
          <w:rFonts w:cs="仿宋_GB2312" w:asciiTheme="majorEastAsia" w:hAnsiTheme="majorEastAsia" w:eastAsiaTheme="majorEastAsia"/>
          <w:sz w:val="28"/>
          <w:szCs w:val="28"/>
          <w:u w:val="single"/>
        </w:rPr>
      </w:pPr>
      <w:r>
        <w:rPr>
          <w:rFonts w:hint="eastAsia" w:cs="仿宋_GB2312" w:asciiTheme="majorEastAsia" w:hAnsiTheme="majorEastAsia" w:eastAsiaTheme="majorEastAsia"/>
          <w:sz w:val="28"/>
          <w:szCs w:val="28"/>
        </w:rPr>
        <w:t>报价单位名称（盖单位公章）：</w:t>
      </w:r>
      <w:r>
        <w:rPr>
          <w:rFonts w:cs="仿宋_GB2312" w:asciiTheme="majorEastAsia" w:hAnsiTheme="majorEastAsia" w:eastAsiaTheme="majorEastAsia"/>
          <w:sz w:val="28"/>
          <w:szCs w:val="28"/>
          <w:u w:val="single"/>
        </w:rPr>
        <w:t xml:space="preserve">                        </w:t>
      </w:r>
    </w:p>
    <w:p>
      <w:pPr>
        <w:adjustRightInd w:val="0"/>
        <w:snapToGrid w:val="0"/>
        <w:spacing w:line="300" w:lineRule="auto"/>
        <w:rPr>
          <w:rFonts w:cs="仿宋_GB2312" w:asciiTheme="majorEastAsia" w:hAnsiTheme="majorEastAsia" w:eastAsiaTheme="majorEastAsia"/>
          <w:sz w:val="28"/>
          <w:szCs w:val="28"/>
        </w:rPr>
      </w:pPr>
      <w:r>
        <w:rPr>
          <w:rFonts w:hint="eastAsia" w:cs="仿宋_GB2312" w:asciiTheme="majorEastAsia" w:hAnsiTheme="majorEastAsia" w:eastAsiaTheme="majorEastAsia"/>
          <w:sz w:val="28"/>
          <w:szCs w:val="28"/>
        </w:rPr>
        <w:t>日期：</w:t>
      </w:r>
      <w:r>
        <w:rPr>
          <w:rFonts w:cs="仿宋_GB2312" w:asciiTheme="majorEastAsia" w:hAnsiTheme="majorEastAsia" w:eastAsiaTheme="majorEastAsia"/>
          <w:sz w:val="28"/>
          <w:szCs w:val="28"/>
          <w:u w:val="single"/>
        </w:rPr>
        <w:t xml:space="preserve">          </w:t>
      </w:r>
      <w:r>
        <w:rPr>
          <w:rFonts w:hint="eastAsia" w:cs="仿宋_GB2312" w:asciiTheme="majorEastAsia" w:hAnsiTheme="majorEastAsia" w:eastAsiaTheme="majorEastAsia"/>
          <w:sz w:val="28"/>
          <w:szCs w:val="28"/>
        </w:rPr>
        <w:t>年</w:t>
      </w:r>
      <w:r>
        <w:rPr>
          <w:rFonts w:cs="仿宋_GB2312" w:asciiTheme="majorEastAsia" w:hAnsiTheme="majorEastAsia" w:eastAsiaTheme="majorEastAsia"/>
          <w:sz w:val="28"/>
          <w:szCs w:val="28"/>
          <w:u w:val="single"/>
        </w:rPr>
        <w:t xml:space="preserve">     </w:t>
      </w:r>
      <w:r>
        <w:rPr>
          <w:rFonts w:cs="仿宋_GB2312" w:asciiTheme="majorEastAsia" w:hAnsiTheme="majorEastAsia" w:eastAsiaTheme="majorEastAsia"/>
          <w:sz w:val="28"/>
          <w:szCs w:val="28"/>
        </w:rPr>
        <w:t xml:space="preserve"> 月</w:t>
      </w:r>
      <w:r>
        <w:rPr>
          <w:rFonts w:cs="仿宋_GB2312" w:asciiTheme="majorEastAsia" w:hAnsiTheme="majorEastAsia" w:eastAsiaTheme="majorEastAsia"/>
          <w:sz w:val="28"/>
          <w:szCs w:val="28"/>
          <w:u w:val="single"/>
        </w:rPr>
        <w:t xml:space="preserve">    </w:t>
      </w:r>
      <w:r>
        <w:rPr>
          <w:rFonts w:cs="仿宋_GB2312" w:asciiTheme="majorEastAsia" w:hAnsiTheme="majorEastAsia" w:eastAsiaTheme="majorEastAsia"/>
          <w:sz w:val="28"/>
          <w:szCs w:val="28"/>
        </w:rPr>
        <w:t xml:space="preserve"> 日</w:t>
      </w:r>
    </w:p>
    <w:p>
      <w:pPr>
        <w:widowControl/>
        <w:jc w:val="left"/>
      </w:pPr>
      <w:r>
        <w:br w:type="page"/>
      </w:r>
    </w:p>
    <w:p>
      <w:pPr>
        <w:jc w:val="center"/>
        <w:rPr>
          <w:rFonts w:cs="仿宋_GB2312" w:asciiTheme="majorEastAsia" w:hAnsiTheme="majorEastAsia" w:eastAsiaTheme="majorEastAsia"/>
          <w:b/>
          <w:sz w:val="28"/>
          <w:szCs w:val="28"/>
        </w:rPr>
      </w:pPr>
      <w:r>
        <w:rPr>
          <w:rFonts w:cs="仿宋_GB2312" w:asciiTheme="majorEastAsia" w:hAnsiTheme="majorEastAsia" w:eastAsiaTheme="majorEastAsia"/>
          <w:b/>
          <w:sz w:val="28"/>
          <w:szCs w:val="28"/>
        </w:rPr>
        <w:t xml:space="preserve">5 </w:t>
      </w:r>
      <w:r>
        <w:rPr>
          <w:rFonts w:hint="eastAsia" w:cs="仿宋_GB2312" w:asciiTheme="majorEastAsia" w:hAnsiTheme="majorEastAsia" w:eastAsiaTheme="majorEastAsia"/>
          <w:b/>
          <w:sz w:val="28"/>
          <w:szCs w:val="28"/>
        </w:rPr>
        <w:t>采购需求报价单</w:t>
      </w:r>
    </w:p>
    <w:p>
      <w:pPr>
        <w:pStyle w:val="26"/>
        <w:jc w:val="right"/>
      </w:pPr>
      <w:r>
        <w:rPr>
          <w:rFonts w:hint="eastAsia"/>
        </w:rPr>
        <w:t>单位：人民币元</w:t>
      </w:r>
    </w:p>
    <w:tbl>
      <w:tblPr>
        <w:tblStyle w:val="27"/>
        <w:tblW w:w="9363" w:type="dxa"/>
        <w:tblInd w:w="0" w:type="dxa"/>
        <w:tblLayout w:type="autofit"/>
        <w:tblCellMar>
          <w:top w:w="0" w:type="dxa"/>
          <w:left w:w="108" w:type="dxa"/>
          <w:bottom w:w="0" w:type="dxa"/>
          <w:right w:w="108" w:type="dxa"/>
        </w:tblCellMar>
      </w:tblPr>
      <w:tblGrid>
        <w:gridCol w:w="2547"/>
        <w:gridCol w:w="850"/>
        <w:gridCol w:w="851"/>
        <w:gridCol w:w="4111"/>
        <w:gridCol w:w="1004"/>
      </w:tblGrid>
      <w:tr>
        <w:tblPrEx>
          <w:tblCellMar>
            <w:top w:w="0" w:type="dxa"/>
            <w:left w:w="108" w:type="dxa"/>
            <w:bottom w:w="0" w:type="dxa"/>
            <w:right w:w="108" w:type="dxa"/>
          </w:tblCellMar>
        </w:tblPrEx>
        <w:trPr>
          <w:trHeight w:val="390" w:hRule="atLeast"/>
        </w:trPr>
        <w:tc>
          <w:tcPr>
            <w:tcW w:w="2547"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配置名称</w:t>
            </w: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单位</w:t>
            </w:r>
          </w:p>
        </w:tc>
        <w:tc>
          <w:tcPr>
            <w:tcW w:w="85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数量</w:t>
            </w:r>
          </w:p>
        </w:tc>
        <w:tc>
          <w:tcPr>
            <w:tcW w:w="4111"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备注</w:t>
            </w:r>
          </w:p>
        </w:tc>
        <w:tc>
          <w:tcPr>
            <w:tcW w:w="1004" w:type="dxa"/>
            <w:tcBorders>
              <w:top w:val="single" w:color="auto" w:sz="8" w:space="0"/>
              <w:left w:val="single" w:color="auto" w:sz="4" w:space="0"/>
              <w:bottom w:val="single" w:color="auto" w:sz="8" w:space="0"/>
              <w:right w:val="single" w:color="auto" w:sz="4" w:space="0"/>
            </w:tcBorders>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单价</w:t>
            </w:r>
          </w:p>
        </w:tc>
      </w:tr>
      <w:tr>
        <w:tblPrEx>
          <w:tblCellMar>
            <w:top w:w="0" w:type="dxa"/>
            <w:left w:w="108" w:type="dxa"/>
            <w:bottom w:w="0" w:type="dxa"/>
            <w:right w:w="108" w:type="dxa"/>
          </w:tblCellMar>
        </w:tblPrEx>
        <w:trPr>
          <w:trHeight w:val="390" w:hRule="atLeast"/>
        </w:trPr>
        <w:tc>
          <w:tcPr>
            <w:tcW w:w="2547"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氨氮在线分析仪</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台</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7</w:t>
            </w:r>
          </w:p>
        </w:tc>
        <w:tc>
          <w:tcPr>
            <w:tcW w:w="4111" w:type="dxa"/>
            <w:tcBorders>
              <w:top w:val="nil"/>
              <w:left w:val="nil"/>
              <w:bottom w:val="single" w:color="auto" w:sz="8" w:space="0"/>
              <w:right w:val="single" w:color="auto" w:sz="4" w:space="0"/>
            </w:tcBorders>
            <w:shd w:val="clear" w:color="auto" w:fill="auto"/>
            <w:vAlign w:val="center"/>
          </w:tcPr>
          <w:p>
            <w:pPr>
              <w:widowControl/>
              <w:jc w:val="left"/>
              <w:rPr>
                <w:rFonts w:ascii="仿宋_GB2312" w:hAnsi="仿宋" w:eastAsia="仿宋_GB2312" w:cs="宋体"/>
                <w:kern w:val="0"/>
                <w:sz w:val="28"/>
              </w:rPr>
            </w:pPr>
            <w:r>
              <w:rPr>
                <w:rFonts w:hint="eastAsia" w:ascii="仿宋_GB2312" w:hAnsi="仿宋" w:eastAsia="仿宋_GB2312" w:cs="宋体"/>
                <w:kern w:val="0"/>
                <w:sz w:val="28"/>
              </w:rPr>
              <w:t>水杨酸分光光度法/纳氏试剂比色法</w:t>
            </w:r>
          </w:p>
        </w:tc>
        <w:tc>
          <w:tcPr>
            <w:tcW w:w="1004" w:type="dxa"/>
            <w:tcBorders>
              <w:top w:val="nil"/>
              <w:left w:val="single" w:color="auto" w:sz="4" w:space="0"/>
              <w:bottom w:val="single" w:color="auto" w:sz="8" w:space="0"/>
              <w:right w:val="single" w:color="auto" w:sz="4" w:space="0"/>
            </w:tcBorders>
          </w:tcPr>
          <w:p>
            <w:pPr>
              <w:widowControl/>
              <w:jc w:val="left"/>
              <w:rPr>
                <w:rFonts w:ascii="仿宋_GB2312" w:hAnsi="仿宋" w:eastAsia="仿宋_GB2312" w:cs="宋体"/>
                <w:kern w:val="0"/>
                <w:sz w:val="28"/>
              </w:rPr>
            </w:pPr>
          </w:p>
        </w:tc>
      </w:tr>
      <w:tr>
        <w:tblPrEx>
          <w:tblCellMar>
            <w:top w:w="0" w:type="dxa"/>
            <w:left w:w="108" w:type="dxa"/>
            <w:bottom w:w="0" w:type="dxa"/>
            <w:right w:w="108" w:type="dxa"/>
          </w:tblCellMar>
        </w:tblPrEx>
        <w:trPr>
          <w:trHeight w:val="390" w:hRule="atLeast"/>
        </w:trPr>
        <w:tc>
          <w:tcPr>
            <w:tcW w:w="2547"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硝酸盐氮分析仪</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台</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7</w:t>
            </w:r>
          </w:p>
        </w:tc>
        <w:tc>
          <w:tcPr>
            <w:tcW w:w="4111" w:type="dxa"/>
            <w:tcBorders>
              <w:top w:val="nil"/>
              <w:left w:val="nil"/>
              <w:bottom w:val="single" w:color="auto" w:sz="8" w:space="0"/>
              <w:right w:val="single" w:color="auto" w:sz="4" w:space="0"/>
            </w:tcBorders>
            <w:shd w:val="clear" w:color="auto" w:fill="auto"/>
            <w:vAlign w:val="center"/>
          </w:tcPr>
          <w:p>
            <w:pPr>
              <w:widowControl/>
              <w:jc w:val="left"/>
              <w:rPr>
                <w:rFonts w:ascii="仿宋_GB2312" w:hAnsi="仿宋" w:eastAsia="仿宋_GB2312" w:cs="宋体"/>
                <w:kern w:val="0"/>
                <w:sz w:val="28"/>
              </w:rPr>
            </w:pPr>
            <w:r>
              <w:rPr>
                <w:rFonts w:hint="eastAsia" w:ascii="仿宋_GB2312" w:hAnsi="仿宋" w:eastAsia="仿宋_GB2312" w:cs="宋体"/>
                <w:kern w:val="0"/>
                <w:sz w:val="28"/>
              </w:rPr>
              <w:t>紫外分光光度法</w:t>
            </w:r>
          </w:p>
        </w:tc>
        <w:tc>
          <w:tcPr>
            <w:tcW w:w="1004" w:type="dxa"/>
            <w:tcBorders>
              <w:top w:val="nil"/>
              <w:left w:val="single" w:color="auto" w:sz="4" w:space="0"/>
              <w:bottom w:val="single" w:color="auto" w:sz="8" w:space="0"/>
              <w:right w:val="single" w:color="auto" w:sz="4" w:space="0"/>
            </w:tcBorders>
          </w:tcPr>
          <w:p>
            <w:pPr>
              <w:widowControl/>
              <w:jc w:val="left"/>
              <w:rPr>
                <w:rFonts w:ascii="仿宋_GB2312" w:hAnsi="仿宋" w:eastAsia="仿宋_GB2312" w:cs="宋体"/>
                <w:kern w:val="0"/>
                <w:sz w:val="28"/>
              </w:rPr>
            </w:pPr>
          </w:p>
        </w:tc>
      </w:tr>
      <w:tr>
        <w:tblPrEx>
          <w:tblCellMar>
            <w:top w:w="0" w:type="dxa"/>
            <w:left w:w="108" w:type="dxa"/>
            <w:bottom w:w="0" w:type="dxa"/>
            <w:right w:w="108" w:type="dxa"/>
          </w:tblCellMar>
        </w:tblPrEx>
        <w:trPr>
          <w:trHeight w:val="390" w:hRule="atLeast"/>
        </w:trPr>
        <w:tc>
          <w:tcPr>
            <w:tcW w:w="2547"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磷酸盐分析仪</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台</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7</w:t>
            </w:r>
          </w:p>
        </w:tc>
        <w:tc>
          <w:tcPr>
            <w:tcW w:w="4111" w:type="dxa"/>
            <w:tcBorders>
              <w:top w:val="nil"/>
              <w:left w:val="nil"/>
              <w:bottom w:val="single" w:color="auto" w:sz="8" w:space="0"/>
              <w:right w:val="single" w:color="auto" w:sz="4" w:space="0"/>
            </w:tcBorders>
            <w:shd w:val="clear" w:color="auto" w:fill="auto"/>
            <w:vAlign w:val="center"/>
          </w:tcPr>
          <w:p>
            <w:pPr>
              <w:widowControl/>
              <w:jc w:val="left"/>
              <w:rPr>
                <w:rFonts w:ascii="仿宋_GB2312" w:hAnsi="仿宋" w:eastAsia="仿宋_GB2312" w:cs="宋体"/>
                <w:kern w:val="0"/>
                <w:sz w:val="28"/>
              </w:rPr>
            </w:pPr>
            <w:r>
              <w:rPr>
                <w:rFonts w:hint="eastAsia" w:ascii="仿宋_GB2312" w:hAnsi="仿宋" w:eastAsia="仿宋_GB2312" w:cs="宋体"/>
                <w:kern w:val="0"/>
                <w:sz w:val="28"/>
              </w:rPr>
              <w:t>钼酸铵分光光度法</w:t>
            </w:r>
          </w:p>
        </w:tc>
        <w:tc>
          <w:tcPr>
            <w:tcW w:w="1004" w:type="dxa"/>
            <w:tcBorders>
              <w:top w:val="nil"/>
              <w:left w:val="single" w:color="auto" w:sz="4" w:space="0"/>
              <w:bottom w:val="single" w:color="auto" w:sz="8" w:space="0"/>
              <w:right w:val="single" w:color="auto" w:sz="4" w:space="0"/>
            </w:tcBorders>
          </w:tcPr>
          <w:p>
            <w:pPr>
              <w:widowControl/>
              <w:jc w:val="left"/>
              <w:rPr>
                <w:rFonts w:ascii="仿宋_GB2312" w:hAnsi="仿宋" w:eastAsia="仿宋_GB2312" w:cs="宋体"/>
                <w:kern w:val="0"/>
                <w:sz w:val="28"/>
              </w:rPr>
            </w:pPr>
          </w:p>
        </w:tc>
      </w:tr>
      <w:tr>
        <w:tblPrEx>
          <w:tblCellMar>
            <w:top w:w="0" w:type="dxa"/>
            <w:left w:w="108" w:type="dxa"/>
            <w:bottom w:w="0" w:type="dxa"/>
            <w:right w:w="108" w:type="dxa"/>
          </w:tblCellMar>
        </w:tblPrEx>
        <w:trPr>
          <w:trHeight w:val="390" w:hRule="atLeast"/>
        </w:trPr>
        <w:tc>
          <w:tcPr>
            <w:tcW w:w="2547"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采水单元</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套</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28</w:t>
            </w:r>
          </w:p>
        </w:tc>
        <w:tc>
          <w:tcPr>
            <w:tcW w:w="4111" w:type="dxa"/>
            <w:tcBorders>
              <w:top w:val="nil"/>
              <w:left w:val="nil"/>
              <w:bottom w:val="single" w:color="auto" w:sz="8" w:space="0"/>
              <w:right w:val="single" w:color="auto" w:sz="4" w:space="0"/>
            </w:tcBorders>
            <w:shd w:val="clear" w:color="auto" w:fill="auto"/>
            <w:vAlign w:val="center"/>
          </w:tcPr>
          <w:p>
            <w:pPr>
              <w:widowControl/>
              <w:jc w:val="left"/>
              <w:rPr>
                <w:rFonts w:ascii="仿宋_GB2312" w:hAnsi="仿宋" w:eastAsia="仿宋_GB2312" w:cs="宋体"/>
                <w:kern w:val="0"/>
                <w:sz w:val="28"/>
              </w:rPr>
            </w:pPr>
            <w:r>
              <w:rPr>
                <w:rFonts w:hint="eastAsia" w:ascii="仿宋_GB2312" w:hAnsi="仿宋" w:eastAsia="仿宋_GB2312" w:cs="宋体"/>
                <w:kern w:val="0"/>
                <w:sz w:val="28"/>
              </w:rPr>
              <w:t>浮动取样，双管双泵等</w:t>
            </w:r>
          </w:p>
        </w:tc>
        <w:tc>
          <w:tcPr>
            <w:tcW w:w="1004" w:type="dxa"/>
            <w:tcBorders>
              <w:top w:val="nil"/>
              <w:left w:val="single" w:color="auto" w:sz="4" w:space="0"/>
              <w:bottom w:val="single" w:color="auto" w:sz="8" w:space="0"/>
              <w:right w:val="single" w:color="auto" w:sz="4" w:space="0"/>
            </w:tcBorders>
          </w:tcPr>
          <w:p>
            <w:pPr>
              <w:widowControl/>
              <w:jc w:val="left"/>
              <w:rPr>
                <w:rFonts w:ascii="仿宋_GB2312" w:hAnsi="仿宋" w:eastAsia="仿宋_GB2312" w:cs="宋体"/>
                <w:kern w:val="0"/>
                <w:sz w:val="28"/>
              </w:rPr>
            </w:pPr>
          </w:p>
        </w:tc>
      </w:tr>
      <w:tr>
        <w:tblPrEx>
          <w:tblCellMar>
            <w:top w:w="0" w:type="dxa"/>
            <w:left w:w="108" w:type="dxa"/>
            <w:bottom w:w="0" w:type="dxa"/>
            <w:right w:w="108" w:type="dxa"/>
          </w:tblCellMar>
        </w:tblPrEx>
        <w:trPr>
          <w:trHeight w:val="765" w:hRule="atLeast"/>
        </w:trPr>
        <w:tc>
          <w:tcPr>
            <w:tcW w:w="2547"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预处理及配水单元</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套</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7</w:t>
            </w:r>
          </w:p>
        </w:tc>
        <w:tc>
          <w:tcPr>
            <w:tcW w:w="4111" w:type="dxa"/>
            <w:tcBorders>
              <w:top w:val="nil"/>
              <w:left w:val="nil"/>
              <w:bottom w:val="single" w:color="auto" w:sz="8" w:space="0"/>
              <w:right w:val="single" w:color="auto" w:sz="4" w:space="0"/>
            </w:tcBorders>
            <w:shd w:val="clear" w:color="auto" w:fill="auto"/>
            <w:vAlign w:val="center"/>
          </w:tcPr>
          <w:p>
            <w:pPr>
              <w:widowControl/>
              <w:jc w:val="left"/>
              <w:rPr>
                <w:rFonts w:ascii="仿宋_GB2312" w:hAnsi="仿宋" w:eastAsia="仿宋_GB2312" w:cs="宋体"/>
                <w:kern w:val="0"/>
                <w:sz w:val="28"/>
              </w:rPr>
            </w:pPr>
            <w:r>
              <w:rPr>
                <w:rFonts w:hint="eastAsia" w:ascii="仿宋_GB2312" w:hAnsi="仿宋" w:eastAsia="仿宋_GB2312" w:cs="宋体"/>
                <w:kern w:val="0"/>
                <w:sz w:val="28"/>
              </w:rPr>
              <w:t>对水样进行预处理、为仪表提供样水（含超声波均化及清洗装置、气洗装置、沉砂静置装置、样水杯、管路、水阀等）</w:t>
            </w:r>
          </w:p>
        </w:tc>
        <w:tc>
          <w:tcPr>
            <w:tcW w:w="1004" w:type="dxa"/>
            <w:tcBorders>
              <w:top w:val="nil"/>
              <w:left w:val="single" w:color="auto" w:sz="4" w:space="0"/>
              <w:bottom w:val="single" w:color="auto" w:sz="8" w:space="0"/>
              <w:right w:val="single" w:color="auto" w:sz="4" w:space="0"/>
            </w:tcBorders>
          </w:tcPr>
          <w:p>
            <w:pPr>
              <w:widowControl/>
              <w:jc w:val="left"/>
              <w:rPr>
                <w:rFonts w:ascii="仿宋_GB2312" w:hAnsi="仿宋" w:eastAsia="仿宋_GB2312" w:cs="宋体"/>
                <w:kern w:val="0"/>
                <w:sz w:val="28"/>
              </w:rPr>
            </w:pPr>
          </w:p>
        </w:tc>
      </w:tr>
      <w:tr>
        <w:tblPrEx>
          <w:tblCellMar>
            <w:top w:w="0" w:type="dxa"/>
            <w:left w:w="108" w:type="dxa"/>
            <w:bottom w:w="0" w:type="dxa"/>
            <w:right w:w="108" w:type="dxa"/>
          </w:tblCellMar>
        </w:tblPrEx>
        <w:trPr>
          <w:trHeight w:val="765" w:hRule="atLeast"/>
        </w:trPr>
        <w:tc>
          <w:tcPr>
            <w:tcW w:w="2547"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数据采集与传输、系统控制单元</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套</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7</w:t>
            </w:r>
          </w:p>
        </w:tc>
        <w:tc>
          <w:tcPr>
            <w:tcW w:w="4111" w:type="dxa"/>
            <w:tcBorders>
              <w:top w:val="nil"/>
              <w:left w:val="nil"/>
              <w:bottom w:val="single" w:color="auto" w:sz="8" w:space="0"/>
              <w:right w:val="single" w:color="auto" w:sz="4" w:space="0"/>
            </w:tcBorders>
            <w:shd w:val="clear" w:color="auto" w:fill="auto"/>
            <w:vAlign w:val="center"/>
          </w:tcPr>
          <w:p>
            <w:pPr>
              <w:widowControl/>
              <w:jc w:val="left"/>
              <w:rPr>
                <w:rFonts w:ascii="仿宋_GB2312" w:hAnsi="仿宋" w:eastAsia="仿宋_GB2312" w:cs="宋体"/>
                <w:kern w:val="0"/>
                <w:sz w:val="28"/>
              </w:rPr>
            </w:pPr>
            <w:r>
              <w:rPr>
                <w:rFonts w:hint="eastAsia" w:ascii="仿宋_GB2312" w:hAnsi="仿宋" w:eastAsia="仿宋_GB2312" w:cs="宋体"/>
                <w:kern w:val="0"/>
                <w:sz w:val="28"/>
              </w:rPr>
              <w:t>数据采集、传输和系统采配水控制等</w:t>
            </w:r>
          </w:p>
        </w:tc>
        <w:tc>
          <w:tcPr>
            <w:tcW w:w="1004" w:type="dxa"/>
            <w:tcBorders>
              <w:top w:val="nil"/>
              <w:left w:val="single" w:color="auto" w:sz="4" w:space="0"/>
              <w:bottom w:val="single" w:color="auto" w:sz="8" w:space="0"/>
              <w:right w:val="single" w:color="auto" w:sz="4" w:space="0"/>
            </w:tcBorders>
          </w:tcPr>
          <w:p>
            <w:pPr>
              <w:widowControl/>
              <w:jc w:val="left"/>
              <w:rPr>
                <w:rFonts w:ascii="仿宋_GB2312" w:hAnsi="仿宋" w:eastAsia="仿宋_GB2312" w:cs="宋体"/>
                <w:kern w:val="0"/>
                <w:sz w:val="28"/>
              </w:rPr>
            </w:pPr>
          </w:p>
        </w:tc>
      </w:tr>
      <w:tr>
        <w:tblPrEx>
          <w:tblCellMar>
            <w:top w:w="0" w:type="dxa"/>
            <w:left w:w="108" w:type="dxa"/>
            <w:bottom w:w="0" w:type="dxa"/>
            <w:right w:w="108" w:type="dxa"/>
          </w:tblCellMar>
        </w:tblPrEx>
        <w:trPr>
          <w:trHeight w:val="390" w:hRule="atLeast"/>
        </w:trPr>
        <w:tc>
          <w:tcPr>
            <w:tcW w:w="2547"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一体化柜</w:t>
            </w:r>
          </w:p>
        </w:tc>
        <w:tc>
          <w:tcPr>
            <w:tcW w:w="85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台</w:t>
            </w:r>
          </w:p>
        </w:tc>
        <w:tc>
          <w:tcPr>
            <w:tcW w:w="851"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7</w:t>
            </w:r>
          </w:p>
        </w:tc>
        <w:tc>
          <w:tcPr>
            <w:tcW w:w="411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8"/>
              </w:rPr>
            </w:pPr>
            <w:r>
              <w:rPr>
                <w:rFonts w:hint="eastAsia" w:ascii="仿宋_GB2312" w:hAnsi="仿宋" w:eastAsia="仿宋_GB2312" w:cs="宋体"/>
                <w:kern w:val="0"/>
                <w:sz w:val="28"/>
              </w:rPr>
              <w:t>占地不大于2平方</w:t>
            </w:r>
          </w:p>
        </w:tc>
        <w:tc>
          <w:tcPr>
            <w:tcW w:w="1004" w:type="dxa"/>
            <w:tcBorders>
              <w:top w:val="nil"/>
              <w:left w:val="single" w:color="auto" w:sz="4" w:space="0"/>
              <w:bottom w:val="single" w:color="auto" w:sz="4" w:space="0"/>
              <w:right w:val="single" w:color="auto" w:sz="4" w:space="0"/>
            </w:tcBorders>
          </w:tcPr>
          <w:p>
            <w:pPr>
              <w:widowControl/>
              <w:jc w:val="left"/>
              <w:rPr>
                <w:rFonts w:ascii="仿宋_GB2312" w:hAnsi="仿宋" w:eastAsia="仿宋_GB2312" w:cs="宋体"/>
                <w:kern w:val="0"/>
                <w:sz w:val="28"/>
              </w:rPr>
            </w:pPr>
          </w:p>
        </w:tc>
      </w:tr>
      <w:tr>
        <w:tblPrEx>
          <w:tblCellMar>
            <w:top w:w="0" w:type="dxa"/>
            <w:left w:w="108" w:type="dxa"/>
            <w:bottom w:w="0" w:type="dxa"/>
            <w:right w:w="108" w:type="dxa"/>
          </w:tblCellMar>
        </w:tblPrEx>
        <w:trPr>
          <w:trHeight w:val="390" w:hRule="atLeast"/>
        </w:trPr>
        <w:tc>
          <w:tcPr>
            <w:tcW w:w="2547" w:type="dxa"/>
            <w:tcBorders>
              <w:top w:val="single" w:color="auto" w:sz="4" w:space="0"/>
              <w:left w:val="single" w:color="auto" w:sz="4" w:space="0"/>
              <w:bottom w:val="single" w:color="auto" w:sz="8" w:space="0"/>
              <w:right w:val="single" w:color="auto" w:sz="8" w:space="0"/>
            </w:tcBorders>
            <w:shd w:val="clear" w:color="auto" w:fill="auto"/>
            <w:vAlign w:val="center"/>
          </w:tcPr>
          <w:p>
            <w:pPr>
              <w:widowControl/>
              <w:jc w:val="center"/>
              <w:rPr>
                <w:rFonts w:ascii="仿宋_GB2312" w:hAnsi="仿宋" w:eastAsia="仿宋_GB2312" w:cs="宋体"/>
                <w:kern w:val="0"/>
                <w:sz w:val="28"/>
              </w:rPr>
            </w:pPr>
            <w:r>
              <w:rPr>
                <w:rFonts w:hint="eastAsia" w:ascii="仿宋_GB2312" w:hAnsi="仿宋" w:eastAsia="仿宋_GB2312" w:cs="宋体"/>
                <w:kern w:val="0"/>
                <w:sz w:val="28"/>
              </w:rPr>
              <w:t>总价（含税）</w:t>
            </w:r>
          </w:p>
        </w:tc>
        <w:tc>
          <w:tcPr>
            <w:tcW w:w="6816" w:type="dxa"/>
            <w:gridSpan w:val="4"/>
            <w:tcBorders>
              <w:top w:val="single" w:color="auto" w:sz="4" w:space="0"/>
              <w:left w:val="nil"/>
              <w:bottom w:val="single" w:color="auto" w:sz="8" w:space="0"/>
              <w:right w:val="single" w:color="auto" w:sz="4" w:space="0"/>
            </w:tcBorders>
            <w:shd w:val="clear" w:color="auto" w:fill="auto"/>
            <w:vAlign w:val="center"/>
          </w:tcPr>
          <w:p>
            <w:pPr>
              <w:widowControl/>
              <w:jc w:val="left"/>
              <w:rPr>
                <w:rFonts w:ascii="仿宋_GB2312" w:hAnsi="仿宋" w:eastAsia="仿宋_GB2312" w:cs="宋体"/>
                <w:kern w:val="0"/>
                <w:sz w:val="28"/>
              </w:rPr>
            </w:pPr>
          </w:p>
        </w:tc>
      </w:tr>
    </w:tbl>
    <w:p>
      <w:pPr>
        <w:pStyle w:val="26"/>
        <w:ind w:firstLine="0"/>
      </w:pPr>
    </w:p>
    <w:p>
      <w:pPr>
        <w:widowControl/>
        <w:jc w:val="left"/>
        <w:rPr>
          <w:rFonts w:cs="仿宋_GB2312" w:asciiTheme="majorEastAsia" w:hAnsiTheme="majorEastAsia" w:eastAsiaTheme="majorEastAsia"/>
          <w:sz w:val="28"/>
          <w:szCs w:val="28"/>
        </w:rPr>
      </w:pPr>
      <w:r>
        <w:rPr>
          <w:rFonts w:cs="仿宋_GB2312" w:asciiTheme="majorEastAsia" w:hAnsiTheme="majorEastAsia" w:eastAsiaTheme="majorEastAsia"/>
          <w:sz w:val="28"/>
          <w:szCs w:val="28"/>
        </w:rPr>
        <w:br w:type="page"/>
      </w:r>
    </w:p>
    <w:p>
      <w:pPr>
        <w:jc w:val="center"/>
        <w:rPr>
          <w:rFonts w:cs="仿宋_GB2312" w:asciiTheme="majorEastAsia" w:hAnsiTheme="majorEastAsia" w:eastAsiaTheme="majorEastAsia"/>
          <w:b/>
          <w:sz w:val="28"/>
          <w:szCs w:val="28"/>
        </w:rPr>
      </w:pPr>
      <w:r>
        <w:rPr>
          <w:rFonts w:cs="仿宋_GB2312" w:asciiTheme="majorEastAsia" w:hAnsiTheme="majorEastAsia" w:eastAsiaTheme="majorEastAsia"/>
          <w:b/>
          <w:sz w:val="28"/>
          <w:szCs w:val="28"/>
        </w:rPr>
        <w:t xml:space="preserve">6 </w:t>
      </w:r>
      <w:r>
        <w:rPr>
          <w:rFonts w:hint="eastAsia" w:cs="仿宋_GB2312" w:asciiTheme="majorEastAsia" w:hAnsiTheme="majorEastAsia" w:eastAsiaTheme="majorEastAsia"/>
          <w:b/>
          <w:sz w:val="28"/>
          <w:szCs w:val="28"/>
        </w:rPr>
        <w:t>项目单位、人员相关证明材料</w:t>
      </w:r>
    </w:p>
    <w:p>
      <w:pPr>
        <w:rPr>
          <w:rFonts w:asciiTheme="majorEastAsia" w:hAnsiTheme="majorEastAsia" w:eastAsiaTheme="majorEastAsia"/>
        </w:rPr>
      </w:pP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I</w:t>
    </w:r>
    <w:r>
      <w:fldChar w:fldCharType="end"/>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5</w:t>
    </w:r>
    <w:r>
      <w:fldChar w:fldCharType="end"/>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24</w:t>
    </w:r>
    <w:r>
      <w:fldChar w:fldCharType="end"/>
    </w:r>
  </w:p>
  <w:p>
    <w:pPr>
      <w:pStyle w:val="1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4141885"/>
    </w:sdtPr>
    <w:sdtContent>
      <w:p>
        <w:pPr>
          <w:pStyle w:val="18"/>
          <w:jc w:val="center"/>
        </w:pPr>
        <w:r>
          <w:fldChar w:fldCharType="begin"/>
        </w:r>
        <w:r>
          <w:instrText xml:space="preserve">PAGE   \* MERGEFORMAT</w:instrText>
        </w:r>
        <w:r>
          <w:fldChar w:fldCharType="separate"/>
        </w:r>
        <w:r>
          <w:rPr>
            <w:lang w:val="zh-CN"/>
          </w:rPr>
          <w:t>51</w:t>
        </w:r>
        <w:r>
          <w:fldChar w:fldCharType="end"/>
        </w:r>
      </w:p>
    </w:sdtContent>
  </w:sdt>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1973AE6"/>
    <w:multiLevelType w:val="multilevel"/>
    <w:tmpl w:val="01973AE6"/>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7322A2"/>
    <w:multiLevelType w:val="singleLevel"/>
    <w:tmpl w:val="0F7322A2"/>
    <w:lvl w:ilvl="0" w:tentative="0">
      <w:start w:val="1"/>
      <w:numFmt w:val="bullet"/>
      <w:lvlText w:val=""/>
      <w:lvlJc w:val="left"/>
      <w:pPr>
        <w:ind w:left="420" w:hanging="420"/>
      </w:pPr>
      <w:rPr>
        <w:rFonts w:hint="default" w:ascii="Wingdings" w:hAnsi="Wingdings"/>
      </w:rPr>
    </w:lvl>
  </w:abstractNum>
  <w:abstractNum w:abstractNumId="3">
    <w:nsid w:val="1E556848"/>
    <w:multiLevelType w:val="multilevel"/>
    <w:tmpl w:val="1E556848"/>
    <w:lvl w:ilvl="0" w:tentative="0">
      <w:start w:val="1"/>
      <w:numFmt w:val="decimal"/>
      <w:lvlText w:val="%1"/>
      <w:lvlJc w:val="left"/>
      <w:pPr>
        <w:ind w:left="420" w:hanging="420"/>
      </w:pPr>
      <w:rPr>
        <w:rFonts w:hint="eastAsia"/>
      </w:rPr>
    </w:lvl>
    <w:lvl w:ilvl="1" w:tentative="0">
      <w:start w:val="2"/>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2CD545E"/>
    <w:multiLevelType w:val="multilevel"/>
    <w:tmpl w:val="22CD545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C791AA3"/>
    <w:multiLevelType w:val="singleLevel"/>
    <w:tmpl w:val="2C791AA3"/>
    <w:lvl w:ilvl="0" w:tentative="0">
      <w:start w:val="3"/>
      <w:numFmt w:val="chineseCounting"/>
      <w:suff w:val="nothing"/>
      <w:lvlText w:val="%1、"/>
      <w:lvlJc w:val="left"/>
      <w:rPr>
        <w:rFonts w:hint="eastAsia"/>
      </w:rPr>
    </w:lvl>
  </w:abstractNum>
  <w:abstractNum w:abstractNumId="6">
    <w:nsid w:val="2F0B0689"/>
    <w:multiLevelType w:val="multilevel"/>
    <w:tmpl w:val="2F0B0689"/>
    <w:lvl w:ilvl="0" w:tentative="0">
      <w:start w:val="1"/>
      <w:numFmt w:val="decimal"/>
      <w:lvlText w:val="%1"/>
      <w:lvlJc w:val="left"/>
      <w:pPr>
        <w:ind w:left="420" w:hanging="420"/>
      </w:pPr>
      <w:rPr>
        <w:rFonts w:hint="eastAsia"/>
      </w:rPr>
    </w:lvl>
    <w:lvl w:ilvl="1" w:tentative="0">
      <w:start w:val="2"/>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34B5C71"/>
    <w:multiLevelType w:val="singleLevel"/>
    <w:tmpl w:val="534B5C71"/>
    <w:lvl w:ilvl="0" w:tentative="0">
      <w:start w:val="2"/>
      <w:numFmt w:val="decimal"/>
      <w:suff w:val="nothing"/>
      <w:lvlText w:val="%1、"/>
      <w:lvlJc w:val="left"/>
    </w:lvl>
  </w:abstractNum>
  <w:abstractNum w:abstractNumId="8">
    <w:nsid w:val="61A53875"/>
    <w:multiLevelType w:val="multilevel"/>
    <w:tmpl w:val="61A53875"/>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ED410FB"/>
    <w:multiLevelType w:val="multilevel"/>
    <w:tmpl w:val="6ED410FB"/>
    <w:lvl w:ilvl="0" w:tentative="0">
      <w:start w:val="1"/>
      <w:numFmt w:val="decimal"/>
      <w:lvlText w:val="%1"/>
      <w:lvlJc w:val="left"/>
      <w:pPr>
        <w:ind w:left="420" w:hanging="420"/>
      </w:pPr>
      <w:rPr>
        <w:rFonts w:hint="eastAsia"/>
      </w:rPr>
    </w:lvl>
    <w:lvl w:ilvl="1" w:tentative="0">
      <w:start w:val="2"/>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EF7165E"/>
    <w:multiLevelType w:val="multilevel"/>
    <w:tmpl w:val="7EF7165E"/>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4"/>
  </w:num>
  <w:num w:numId="4">
    <w:abstractNumId w:val="8"/>
  </w:num>
  <w:num w:numId="5">
    <w:abstractNumId w:val="2"/>
  </w:num>
  <w:num w:numId="6">
    <w:abstractNumId w:val="9"/>
  </w:num>
  <w:num w:numId="7">
    <w:abstractNumId w:val="1"/>
  </w:num>
  <w:num w:numId="8">
    <w:abstractNumId w:val="10"/>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EE5"/>
    <w:rsid w:val="00017246"/>
    <w:rsid w:val="0004163A"/>
    <w:rsid w:val="00046B98"/>
    <w:rsid w:val="0005574A"/>
    <w:rsid w:val="00056AFA"/>
    <w:rsid w:val="000622DA"/>
    <w:rsid w:val="0006416A"/>
    <w:rsid w:val="0006454E"/>
    <w:rsid w:val="00064CF5"/>
    <w:rsid w:val="00064EC0"/>
    <w:rsid w:val="00065C16"/>
    <w:rsid w:val="000665A4"/>
    <w:rsid w:val="000736DF"/>
    <w:rsid w:val="0007465D"/>
    <w:rsid w:val="000834A2"/>
    <w:rsid w:val="0008717A"/>
    <w:rsid w:val="00095AB8"/>
    <w:rsid w:val="000B3A5B"/>
    <w:rsid w:val="000C59F0"/>
    <w:rsid w:val="000C5A4A"/>
    <w:rsid w:val="000C792E"/>
    <w:rsid w:val="000C7B91"/>
    <w:rsid w:val="000D0E7E"/>
    <w:rsid w:val="000E488E"/>
    <w:rsid w:val="000F1CE8"/>
    <w:rsid w:val="000F2825"/>
    <w:rsid w:val="000F5A2F"/>
    <w:rsid w:val="001043E9"/>
    <w:rsid w:val="00111419"/>
    <w:rsid w:val="0011299B"/>
    <w:rsid w:val="001176CC"/>
    <w:rsid w:val="00132581"/>
    <w:rsid w:val="00144BCB"/>
    <w:rsid w:val="001576E5"/>
    <w:rsid w:val="0016137B"/>
    <w:rsid w:val="0016463F"/>
    <w:rsid w:val="00172A27"/>
    <w:rsid w:val="00172BF8"/>
    <w:rsid w:val="0017661B"/>
    <w:rsid w:val="00196257"/>
    <w:rsid w:val="001A036A"/>
    <w:rsid w:val="001A1791"/>
    <w:rsid w:val="001A3432"/>
    <w:rsid w:val="001D23FD"/>
    <w:rsid w:val="001D55BA"/>
    <w:rsid w:val="001D6B49"/>
    <w:rsid w:val="001E575E"/>
    <w:rsid w:val="001F45B2"/>
    <w:rsid w:val="002147DB"/>
    <w:rsid w:val="00223521"/>
    <w:rsid w:val="00223EAC"/>
    <w:rsid w:val="0023468C"/>
    <w:rsid w:val="00237945"/>
    <w:rsid w:val="00241C06"/>
    <w:rsid w:val="00263DF1"/>
    <w:rsid w:val="00271D75"/>
    <w:rsid w:val="00277030"/>
    <w:rsid w:val="002817C0"/>
    <w:rsid w:val="002839F7"/>
    <w:rsid w:val="00283DF3"/>
    <w:rsid w:val="00284D09"/>
    <w:rsid w:val="00287394"/>
    <w:rsid w:val="002918AB"/>
    <w:rsid w:val="0029286C"/>
    <w:rsid w:val="002A43D5"/>
    <w:rsid w:val="002B4DF5"/>
    <w:rsid w:val="002B5E99"/>
    <w:rsid w:val="002C1CC3"/>
    <w:rsid w:val="002C252B"/>
    <w:rsid w:val="002D0B51"/>
    <w:rsid w:val="002D4C6B"/>
    <w:rsid w:val="002D6D5B"/>
    <w:rsid w:val="002E3A82"/>
    <w:rsid w:val="002F253B"/>
    <w:rsid w:val="0030467B"/>
    <w:rsid w:val="00315FCF"/>
    <w:rsid w:val="00320321"/>
    <w:rsid w:val="00322607"/>
    <w:rsid w:val="00332692"/>
    <w:rsid w:val="00334AD1"/>
    <w:rsid w:val="00335C83"/>
    <w:rsid w:val="0033785B"/>
    <w:rsid w:val="00337D60"/>
    <w:rsid w:val="00342EF1"/>
    <w:rsid w:val="00344180"/>
    <w:rsid w:val="00352624"/>
    <w:rsid w:val="00352C8B"/>
    <w:rsid w:val="0035427C"/>
    <w:rsid w:val="00366EEA"/>
    <w:rsid w:val="0037007F"/>
    <w:rsid w:val="00370157"/>
    <w:rsid w:val="00377F71"/>
    <w:rsid w:val="00394229"/>
    <w:rsid w:val="003A3CCF"/>
    <w:rsid w:val="003A4E97"/>
    <w:rsid w:val="003B3094"/>
    <w:rsid w:val="003C2188"/>
    <w:rsid w:val="003C63EA"/>
    <w:rsid w:val="003D6F21"/>
    <w:rsid w:val="003E7075"/>
    <w:rsid w:val="003F06A8"/>
    <w:rsid w:val="003F5F24"/>
    <w:rsid w:val="00414FA3"/>
    <w:rsid w:val="00416AD9"/>
    <w:rsid w:val="00435A48"/>
    <w:rsid w:val="00441E1E"/>
    <w:rsid w:val="004513F2"/>
    <w:rsid w:val="00451A8C"/>
    <w:rsid w:val="00457A83"/>
    <w:rsid w:val="00465B45"/>
    <w:rsid w:val="00476D96"/>
    <w:rsid w:val="00482030"/>
    <w:rsid w:val="00492B0E"/>
    <w:rsid w:val="00494E4A"/>
    <w:rsid w:val="004A3C7E"/>
    <w:rsid w:val="004A412E"/>
    <w:rsid w:val="004B6B65"/>
    <w:rsid w:val="004D1F4E"/>
    <w:rsid w:val="004D30B1"/>
    <w:rsid w:val="00501180"/>
    <w:rsid w:val="0050358C"/>
    <w:rsid w:val="005100F4"/>
    <w:rsid w:val="00510BE7"/>
    <w:rsid w:val="0051206F"/>
    <w:rsid w:val="0051435F"/>
    <w:rsid w:val="00514A13"/>
    <w:rsid w:val="0051598B"/>
    <w:rsid w:val="00515BFB"/>
    <w:rsid w:val="00516BE8"/>
    <w:rsid w:val="00516CCD"/>
    <w:rsid w:val="00520C3F"/>
    <w:rsid w:val="00527E35"/>
    <w:rsid w:val="00530481"/>
    <w:rsid w:val="005327B5"/>
    <w:rsid w:val="005355A0"/>
    <w:rsid w:val="005406BA"/>
    <w:rsid w:val="005439F2"/>
    <w:rsid w:val="00546221"/>
    <w:rsid w:val="00547AAB"/>
    <w:rsid w:val="005507C0"/>
    <w:rsid w:val="005518E6"/>
    <w:rsid w:val="00552B2A"/>
    <w:rsid w:val="00560066"/>
    <w:rsid w:val="0056117F"/>
    <w:rsid w:val="0057255E"/>
    <w:rsid w:val="0057599C"/>
    <w:rsid w:val="0058616C"/>
    <w:rsid w:val="005934F7"/>
    <w:rsid w:val="0059688C"/>
    <w:rsid w:val="00596D75"/>
    <w:rsid w:val="00596F95"/>
    <w:rsid w:val="005A212F"/>
    <w:rsid w:val="005B4CB4"/>
    <w:rsid w:val="005B567E"/>
    <w:rsid w:val="005C2F78"/>
    <w:rsid w:val="005D49DE"/>
    <w:rsid w:val="005E2AB3"/>
    <w:rsid w:val="005F314E"/>
    <w:rsid w:val="00630657"/>
    <w:rsid w:val="00631B0F"/>
    <w:rsid w:val="006359A8"/>
    <w:rsid w:val="006421CD"/>
    <w:rsid w:val="00642D89"/>
    <w:rsid w:val="0064355F"/>
    <w:rsid w:val="006452F4"/>
    <w:rsid w:val="00653B2C"/>
    <w:rsid w:val="00657ECF"/>
    <w:rsid w:val="00662381"/>
    <w:rsid w:val="00676E37"/>
    <w:rsid w:val="006826DD"/>
    <w:rsid w:val="00686762"/>
    <w:rsid w:val="006B15B6"/>
    <w:rsid w:val="006B3FE0"/>
    <w:rsid w:val="006C0545"/>
    <w:rsid w:val="006C075C"/>
    <w:rsid w:val="006C32E7"/>
    <w:rsid w:val="006E35ED"/>
    <w:rsid w:val="00711A14"/>
    <w:rsid w:val="00722A37"/>
    <w:rsid w:val="007236CC"/>
    <w:rsid w:val="00725FA2"/>
    <w:rsid w:val="00731BE3"/>
    <w:rsid w:val="00736476"/>
    <w:rsid w:val="00741D9C"/>
    <w:rsid w:val="0074591E"/>
    <w:rsid w:val="007543F7"/>
    <w:rsid w:val="00757A1F"/>
    <w:rsid w:val="00765733"/>
    <w:rsid w:val="0077033F"/>
    <w:rsid w:val="00782385"/>
    <w:rsid w:val="00783A48"/>
    <w:rsid w:val="007848E1"/>
    <w:rsid w:val="00784F96"/>
    <w:rsid w:val="007873D9"/>
    <w:rsid w:val="00794569"/>
    <w:rsid w:val="0079710B"/>
    <w:rsid w:val="00797767"/>
    <w:rsid w:val="007A177E"/>
    <w:rsid w:val="007A1D73"/>
    <w:rsid w:val="007A547E"/>
    <w:rsid w:val="007B6E79"/>
    <w:rsid w:val="007C1AE6"/>
    <w:rsid w:val="007E6DD8"/>
    <w:rsid w:val="007F0A52"/>
    <w:rsid w:val="007F6329"/>
    <w:rsid w:val="00803FB1"/>
    <w:rsid w:val="0080474D"/>
    <w:rsid w:val="00804E3B"/>
    <w:rsid w:val="00807E65"/>
    <w:rsid w:val="00810D76"/>
    <w:rsid w:val="008121BA"/>
    <w:rsid w:val="008252A8"/>
    <w:rsid w:val="0083160F"/>
    <w:rsid w:val="00834C34"/>
    <w:rsid w:val="008417D4"/>
    <w:rsid w:val="008458D9"/>
    <w:rsid w:val="0085058B"/>
    <w:rsid w:val="00854529"/>
    <w:rsid w:val="00883B58"/>
    <w:rsid w:val="0089427C"/>
    <w:rsid w:val="00895594"/>
    <w:rsid w:val="008961EE"/>
    <w:rsid w:val="008A311C"/>
    <w:rsid w:val="008A3EBC"/>
    <w:rsid w:val="008B5E11"/>
    <w:rsid w:val="008B6952"/>
    <w:rsid w:val="008D1F24"/>
    <w:rsid w:val="008E1835"/>
    <w:rsid w:val="008E2479"/>
    <w:rsid w:val="008E365F"/>
    <w:rsid w:val="008E70B5"/>
    <w:rsid w:val="00901B83"/>
    <w:rsid w:val="00904214"/>
    <w:rsid w:val="00905D86"/>
    <w:rsid w:val="00914281"/>
    <w:rsid w:val="0092102A"/>
    <w:rsid w:val="009235C3"/>
    <w:rsid w:val="00925182"/>
    <w:rsid w:val="00934CCA"/>
    <w:rsid w:val="00937773"/>
    <w:rsid w:val="00944525"/>
    <w:rsid w:val="0094662C"/>
    <w:rsid w:val="00954ED4"/>
    <w:rsid w:val="00963579"/>
    <w:rsid w:val="00966C75"/>
    <w:rsid w:val="00971E0C"/>
    <w:rsid w:val="009851AD"/>
    <w:rsid w:val="009914B2"/>
    <w:rsid w:val="009930FE"/>
    <w:rsid w:val="00996B14"/>
    <w:rsid w:val="009A41CC"/>
    <w:rsid w:val="009C4B70"/>
    <w:rsid w:val="009D3201"/>
    <w:rsid w:val="009D66D3"/>
    <w:rsid w:val="009D7EBB"/>
    <w:rsid w:val="009E54C0"/>
    <w:rsid w:val="009F3BEF"/>
    <w:rsid w:val="00A14436"/>
    <w:rsid w:val="00A24700"/>
    <w:rsid w:val="00A27879"/>
    <w:rsid w:val="00A47375"/>
    <w:rsid w:val="00A51886"/>
    <w:rsid w:val="00A61C7B"/>
    <w:rsid w:val="00A65432"/>
    <w:rsid w:val="00A76E47"/>
    <w:rsid w:val="00A77110"/>
    <w:rsid w:val="00A83533"/>
    <w:rsid w:val="00A922D7"/>
    <w:rsid w:val="00A96C0E"/>
    <w:rsid w:val="00A9747F"/>
    <w:rsid w:val="00AA5CA1"/>
    <w:rsid w:val="00AA74D5"/>
    <w:rsid w:val="00AB16BF"/>
    <w:rsid w:val="00AB373C"/>
    <w:rsid w:val="00AC1F5A"/>
    <w:rsid w:val="00AC4C91"/>
    <w:rsid w:val="00AD7ACE"/>
    <w:rsid w:val="00AE5945"/>
    <w:rsid w:val="00AF044E"/>
    <w:rsid w:val="00B00EF4"/>
    <w:rsid w:val="00B0128C"/>
    <w:rsid w:val="00B025DB"/>
    <w:rsid w:val="00B12AF3"/>
    <w:rsid w:val="00B15822"/>
    <w:rsid w:val="00B16770"/>
    <w:rsid w:val="00B175D3"/>
    <w:rsid w:val="00B2629D"/>
    <w:rsid w:val="00B30827"/>
    <w:rsid w:val="00B355FB"/>
    <w:rsid w:val="00B5079A"/>
    <w:rsid w:val="00B6167B"/>
    <w:rsid w:val="00B62C4D"/>
    <w:rsid w:val="00B64209"/>
    <w:rsid w:val="00B71C81"/>
    <w:rsid w:val="00B76D9C"/>
    <w:rsid w:val="00B76E22"/>
    <w:rsid w:val="00B85351"/>
    <w:rsid w:val="00BA0462"/>
    <w:rsid w:val="00BB0DF4"/>
    <w:rsid w:val="00BB4A55"/>
    <w:rsid w:val="00BE287C"/>
    <w:rsid w:val="00BF1B00"/>
    <w:rsid w:val="00BF6CE0"/>
    <w:rsid w:val="00C043BF"/>
    <w:rsid w:val="00C07157"/>
    <w:rsid w:val="00C0766A"/>
    <w:rsid w:val="00C17361"/>
    <w:rsid w:val="00C22D33"/>
    <w:rsid w:val="00C247C8"/>
    <w:rsid w:val="00C32C9F"/>
    <w:rsid w:val="00C366BC"/>
    <w:rsid w:val="00C462C4"/>
    <w:rsid w:val="00C541FA"/>
    <w:rsid w:val="00C606FC"/>
    <w:rsid w:val="00C61585"/>
    <w:rsid w:val="00C640D2"/>
    <w:rsid w:val="00C77B75"/>
    <w:rsid w:val="00C8243A"/>
    <w:rsid w:val="00C959E0"/>
    <w:rsid w:val="00CA4618"/>
    <w:rsid w:val="00CB2B26"/>
    <w:rsid w:val="00CB5AAE"/>
    <w:rsid w:val="00CB5C45"/>
    <w:rsid w:val="00CB7FD7"/>
    <w:rsid w:val="00CC2377"/>
    <w:rsid w:val="00CC2649"/>
    <w:rsid w:val="00CC3722"/>
    <w:rsid w:val="00CC7E08"/>
    <w:rsid w:val="00CD0B22"/>
    <w:rsid w:val="00CF1255"/>
    <w:rsid w:val="00CF13AA"/>
    <w:rsid w:val="00CF5986"/>
    <w:rsid w:val="00D00BFD"/>
    <w:rsid w:val="00D109C9"/>
    <w:rsid w:val="00D13285"/>
    <w:rsid w:val="00D13408"/>
    <w:rsid w:val="00D22945"/>
    <w:rsid w:val="00D22C81"/>
    <w:rsid w:val="00D232A8"/>
    <w:rsid w:val="00D23731"/>
    <w:rsid w:val="00D25E67"/>
    <w:rsid w:val="00D410CF"/>
    <w:rsid w:val="00D44E49"/>
    <w:rsid w:val="00D44F2F"/>
    <w:rsid w:val="00D50BC1"/>
    <w:rsid w:val="00D520E5"/>
    <w:rsid w:val="00D52E07"/>
    <w:rsid w:val="00D55B7B"/>
    <w:rsid w:val="00D77466"/>
    <w:rsid w:val="00D83C9B"/>
    <w:rsid w:val="00D94726"/>
    <w:rsid w:val="00D97AC0"/>
    <w:rsid w:val="00DA2B7B"/>
    <w:rsid w:val="00DA43C0"/>
    <w:rsid w:val="00DB3CDF"/>
    <w:rsid w:val="00DB7AA2"/>
    <w:rsid w:val="00DC0416"/>
    <w:rsid w:val="00DC740F"/>
    <w:rsid w:val="00DD250A"/>
    <w:rsid w:val="00DD3EEC"/>
    <w:rsid w:val="00DD744A"/>
    <w:rsid w:val="00DD7871"/>
    <w:rsid w:val="00DE0AE1"/>
    <w:rsid w:val="00DE3A77"/>
    <w:rsid w:val="00DE42E5"/>
    <w:rsid w:val="00DE47F8"/>
    <w:rsid w:val="00DF0A90"/>
    <w:rsid w:val="00DF513D"/>
    <w:rsid w:val="00DF5557"/>
    <w:rsid w:val="00DF5FBC"/>
    <w:rsid w:val="00E03332"/>
    <w:rsid w:val="00E244E4"/>
    <w:rsid w:val="00E3092C"/>
    <w:rsid w:val="00E377EA"/>
    <w:rsid w:val="00E46FA1"/>
    <w:rsid w:val="00E472BB"/>
    <w:rsid w:val="00E473CF"/>
    <w:rsid w:val="00E5503B"/>
    <w:rsid w:val="00E56FB0"/>
    <w:rsid w:val="00E6459D"/>
    <w:rsid w:val="00E706A3"/>
    <w:rsid w:val="00E728CA"/>
    <w:rsid w:val="00E73AA3"/>
    <w:rsid w:val="00E7410F"/>
    <w:rsid w:val="00E75DCF"/>
    <w:rsid w:val="00E81864"/>
    <w:rsid w:val="00E83D6C"/>
    <w:rsid w:val="00E95C71"/>
    <w:rsid w:val="00ED3E05"/>
    <w:rsid w:val="00EE40C9"/>
    <w:rsid w:val="00EF5DC2"/>
    <w:rsid w:val="00F0486B"/>
    <w:rsid w:val="00F21522"/>
    <w:rsid w:val="00F2264E"/>
    <w:rsid w:val="00F25353"/>
    <w:rsid w:val="00F261C9"/>
    <w:rsid w:val="00F27CFD"/>
    <w:rsid w:val="00F3007D"/>
    <w:rsid w:val="00F3262C"/>
    <w:rsid w:val="00F44C50"/>
    <w:rsid w:val="00F511D5"/>
    <w:rsid w:val="00F64D3C"/>
    <w:rsid w:val="00F654ED"/>
    <w:rsid w:val="00F66F8D"/>
    <w:rsid w:val="00F74B84"/>
    <w:rsid w:val="00F77294"/>
    <w:rsid w:val="00F80DD6"/>
    <w:rsid w:val="00F92660"/>
    <w:rsid w:val="00F94248"/>
    <w:rsid w:val="00F96500"/>
    <w:rsid w:val="00FA292D"/>
    <w:rsid w:val="00FD2BB7"/>
    <w:rsid w:val="00FD323D"/>
    <w:rsid w:val="00FD6D94"/>
    <w:rsid w:val="00FE13B7"/>
    <w:rsid w:val="00FE2BCC"/>
    <w:rsid w:val="00FF17E2"/>
    <w:rsid w:val="00FF240D"/>
    <w:rsid w:val="00FF4A10"/>
    <w:rsid w:val="02072D67"/>
    <w:rsid w:val="03EC77F4"/>
    <w:rsid w:val="04200FF0"/>
    <w:rsid w:val="05C63350"/>
    <w:rsid w:val="05CF748C"/>
    <w:rsid w:val="06700A16"/>
    <w:rsid w:val="07FC389C"/>
    <w:rsid w:val="092D5BAA"/>
    <w:rsid w:val="0A505DA5"/>
    <w:rsid w:val="0A7819D7"/>
    <w:rsid w:val="0AE760F3"/>
    <w:rsid w:val="0B085AA5"/>
    <w:rsid w:val="0BB22459"/>
    <w:rsid w:val="0C2814EE"/>
    <w:rsid w:val="0CB24B4E"/>
    <w:rsid w:val="0D962914"/>
    <w:rsid w:val="0D962F3C"/>
    <w:rsid w:val="0DBA4AA3"/>
    <w:rsid w:val="0F0D3086"/>
    <w:rsid w:val="0F692F66"/>
    <w:rsid w:val="0FD92910"/>
    <w:rsid w:val="100514F5"/>
    <w:rsid w:val="102D2700"/>
    <w:rsid w:val="10791D40"/>
    <w:rsid w:val="10EC2EF0"/>
    <w:rsid w:val="11B04483"/>
    <w:rsid w:val="11B74972"/>
    <w:rsid w:val="126D275B"/>
    <w:rsid w:val="12723C00"/>
    <w:rsid w:val="129F6D7E"/>
    <w:rsid w:val="13415299"/>
    <w:rsid w:val="13DA72E2"/>
    <w:rsid w:val="13EB01A2"/>
    <w:rsid w:val="13ED6161"/>
    <w:rsid w:val="14446E3C"/>
    <w:rsid w:val="14824ED6"/>
    <w:rsid w:val="148E7116"/>
    <w:rsid w:val="14D428E1"/>
    <w:rsid w:val="15462B29"/>
    <w:rsid w:val="15746E6E"/>
    <w:rsid w:val="15AB7CE2"/>
    <w:rsid w:val="15E356DB"/>
    <w:rsid w:val="15F42398"/>
    <w:rsid w:val="16052FFB"/>
    <w:rsid w:val="161B32EA"/>
    <w:rsid w:val="163B56D8"/>
    <w:rsid w:val="177A2C10"/>
    <w:rsid w:val="17E13D95"/>
    <w:rsid w:val="18384BD9"/>
    <w:rsid w:val="18817BF8"/>
    <w:rsid w:val="18C706E8"/>
    <w:rsid w:val="1943433B"/>
    <w:rsid w:val="1A4A4285"/>
    <w:rsid w:val="1AA2702A"/>
    <w:rsid w:val="1B3B7FAC"/>
    <w:rsid w:val="1D515B8C"/>
    <w:rsid w:val="1E1419BF"/>
    <w:rsid w:val="1E461495"/>
    <w:rsid w:val="1F45743C"/>
    <w:rsid w:val="1FC865B0"/>
    <w:rsid w:val="208C26A5"/>
    <w:rsid w:val="20AF7F6F"/>
    <w:rsid w:val="21F304F8"/>
    <w:rsid w:val="226D68AD"/>
    <w:rsid w:val="2278579B"/>
    <w:rsid w:val="22E05C0D"/>
    <w:rsid w:val="24E119C9"/>
    <w:rsid w:val="25763F5C"/>
    <w:rsid w:val="265D48FF"/>
    <w:rsid w:val="266266B7"/>
    <w:rsid w:val="272B20E4"/>
    <w:rsid w:val="28174E14"/>
    <w:rsid w:val="282B3966"/>
    <w:rsid w:val="284D6266"/>
    <w:rsid w:val="28525506"/>
    <w:rsid w:val="2AEE473E"/>
    <w:rsid w:val="2B5940F6"/>
    <w:rsid w:val="2BE33973"/>
    <w:rsid w:val="2CF84AE3"/>
    <w:rsid w:val="2CF91EB5"/>
    <w:rsid w:val="2D702C74"/>
    <w:rsid w:val="2E043EA6"/>
    <w:rsid w:val="2FFA3EFE"/>
    <w:rsid w:val="305A54BE"/>
    <w:rsid w:val="30D323DD"/>
    <w:rsid w:val="30F938D3"/>
    <w:rsid w:val="313D0AFD"/>
    <w:rsid w:val="31B41A5C"/>
    <w:rsid w:val="32494F7D"/>
    <w:rsid w:val="32E17DCA"/>
    <w:rsid w:val="33C64C00"/>
    <w:rsid w:val="33EF4EC7"/>
    <w:rsid w:val="33FD0131"/>
    <w:rsid w:val="34295501"/>
    <w:rsid w:val="356E63B2"/>
    <w:rsid w:val="363F448C"/>
    <w:rsid w:val="37147A3B"/>
    <w:rsid w:val="388B5C7E"/>
    <w:rsid w:val="38EE78CF"/>
    <w:rsid w:val="394610E9"/>
    <w:rsid w:val="3A7757D8"/>
    <w:rsid w:val="3B126079"/>
    <w:rsid w:val="3D5103CA"/>
    <w:rsid w:val="3D6931F0"/>
    <w:rsid w:val="3DA356F0"/>
    <w:rsid w:val="3DCA7BBC"/>
    <w:rsid w:val="3EB71630"/>
    <w:rsid w:val="3ED52101"/>
    <w:rsid w:val="3FD1579D"/>
    <w:rsid w:val="40261CB9"/>
    <w:rsid w:val="40391D00"/>
    <w:rsid w:val="407E2E96"/>
    <w:rsid w:val="42DA36CA"/>
    <w:rsid w:val="43BE6872"/>
    <w:rsid w:val="44562FA0"/>
    <w:rsid w:val="44DC6151"/>
    <w:rsid w:val="461A4EC4"/>
    <w:rsid w:val="469E0187"/>
    <w:rsid w:val="47243A4B"/>
    <w:rsid w:val="48C64E42"/>
    <w:rsid w:val="49AD739F"/>
    <w:rsid w:val="4B235497"/>
    <w:rsid w:val="4E9670F7"/>
    <w:rsid w:val="4EBC35B5"/>
    <w:rsid w:val="50881D7F"/>
    <w:rsid w:val="50BB48B5"/>
    <w:rsid w:val="513D69DB"/>
    <w:rsid w:val="517145EB"/>
    <w:rsid w:val="51F95767"/>
    <w:rsid w:val="52083D56"/>
    <w:rsid w:val="523531C2"/>
    <w:rsid w:val="5246412D"/>
    <w:rsid w:val="53086D7C"/>
    <w:rsid w:val="53522C53"/>
    <w:rsid w:val="535D4041"/>
    <w:rsid w:val="546D4ADA"/>
    <w:rsid w:val="55322084"/>
    <w:rsid w:val="55F35D0B"/>
    <w:rsid w:val="56864F4E"/>
    <w:rsid w:val="57124015"/>
    <w:rsid w:val="57B16A46"/>
    <w:rsid w:val="58192C59"/>
    <w:rsid w:val="584A51AE"/>
    <w:rsid w:val="58553851"/>
    <w:rsid w:val="589A089B"/>
    <w:rsid w:val="5A2B62E5"/>
    <w:rsid w:val="5B635692"/>
    <w:rsid w:val="5C1307F8"/>
    <w:rsid w:val="5C2A7E68"/>
    <w:rsid w:val="5F947205"/>
    <w:rsid w:val="60EB1CEF"/>
    <w:rsid w:val="61DC2018"/>
    <w:rsid w:val="62122C14"/>
    <w:rsid w:val="625C2171"/>
    <w:rsid w:val="628220E6"/>
    <w:rsid w:val="65250490"/>
    <w:rsid w:val="652F5D96"/>
    <w:rsid w:val="6577503D"/>
    <w:rsid w:val="65C21C7E"/>
    <w:rsid w:val="660F0D05"/>
    <w:rsid w:val="662A0EBC"/>
    <w:rsid w:val="66333C43"/>
    <w:rsid w:val="66786701"/>
    <w:rsid w:val="66846522"/>
    <w:rsid w:val="68A274D5"/>
    <w:rsid w:val="68B2215C"/>
    <w:rsid w:val="69A50553"/>
    <w:rsid w:val="69FA5344"/>
    <w:rsid w:val="6A346D0C"/>
    <w:rsid w:val="6B0B5358"/>
    <w:rsid w:val="6B463467"/>
    <w:rsid w:val="6CA004B6"/>
    <w:rsid w:val="6CA06BA8"/>
    <w:rsid w:val="6CE900AC"/>
    <w:rsid w:val="6D1904FB"/>
    <w:rsid w:val="6D1965BA"/>
    <w:rsid w:val="6D2E4769"/>
    <w:rsid w:val="6DA63D64"/>
    <w:rsid w:val="6EC97DD0"/>
    <w:rsid w:val="6F1E0E1D"/>
    <w:rsid w:val="6F217DB2"/>
    <w:rsid w:val="70380022"/>
    <w:rsid w:val="70BC3EA3"/>
    <w:rsid w:val="7232561A"/>
    <w:rsid w:val="72390888"/>
    <w:rsid w:val="73A0519D"/>
    <w:rsid w:val="73DA30BA"/>
    <w:rsid w:val="74975FD4"/>
    <w:rsid w:val="74A10DBC"/>
    <w:rsid w:val="74C55583"/>
    <w:rsid w:val="752C5D82"/>
    <w:rsid w:val="755F6119"/>
    <w:rsid w:val="765E3AFF"/>
    <w:rsid w:val="76D3709B"/>
    <w:rsid w:val="770771A5"/>
    <w:rsid w:val="7717625E"/>
    <w:rsid w:val="77527CFE"/>
    <w:rsid w:val="7954280F"/>
    <w:rsid w:val="798219D5"/>
    <w:rsid w:val="7B692AB0"/>
    <w:rsid w:val="7C290A97"/>
    <w:rsid w:val="7D7A643E"/>
    <w:rsid w:val="7DCF4EC9"/>
    <w:rsid w:val="7DFA7C25"/>
    <w:rsid w:val="7F5A36D4"/>
    <w:rsid w:val="7FA90BF5"/>
    <w:rsid w:val="7FF63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unhideWhenUsed/>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4"/>
    <w:qFormat/>
    <w:uiPriority w:val="0"/>
    <w:pPr>
      <w:keepNext/>
      <w:keepLines/>
      <w:spacing w:before="260" w:after="260" w:line="416" w:lineRule="auto"/>
      <w:outlineLvl w:val="2"/>
    </w:pPr>
    <w:rPr>
      <w:b/>
      <w:bCs/>
      <w:sz w:val="32"/>
      <w:szCs w:val="32"/>
    </w:rPr>
  </w:style>
  <w:style w:type="paragraph" w:styleId="6">
    <w:name w:val="heading 4"/>
    <w:basedOn w:val="1"/>
    <w:next w:val="1"/>
    <w:link w:val="6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2"/>
    <w:semiHidden/>
    <w:unhideWhenUsed/>
    <w:qFormat/>
    <w:uiPriority w:val="0"/>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8">
    <w:name w:val="Normal Indent"/>
    <w:basedOn w:val="1"/>
    <w:link w:val="51"/>
    <w:qFormat/>
    <w:uiPriority w:val="99"/>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annotation text"/>
    <w:basedOn w:val="1"/>
    <w:link w:val="53"/>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next w:val="1"/>
    <w:link w:val="55"/>
    <w:qFormat/>
    <w:uiPriority w:val="0"/>
    <w:pPr>
      <w:spacing w:after="120"/>
    </w:p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48"/>
    <w:qFormat/>
    <w:uiPriority w:val="0"/>
    <w:rPr>
      <w:rFonts w:ascii="宋体" w:hAnsi="Courier New"/>
      <w:szCs w:val="21"/>
    </w:rPr>
  </w:style>
  <w:style w:type="paragraph" w:styleId="15">
    <w:name w:val="Date"/>
    <w:basedOn w:val="1"/>
    <w:next w:val="1"/>
    <w:link w:val="58"/>
    <w:qFormat/>
    <w:uiPriority w:val="0"/>
    <w:pPr>
      <w:ind w:left="100" w:leftChars="2500"/>
    </w:pPr>
  </w:style>
  <w:style w:type="paragraph" w:styleId="16">
    <w:name w:val="Body Text Indent 2"/>
    <w:basedOn w:val="1"/>
    <w:qFormat/>
    <w:uiPriority w:val="0"/>
    <w:pPr>
      <w:adjustRightInd w:val="0"/>
      <w:spacing w:after="120" w:line="480" w:lineRule="auto"/>
      <w:ind w:left="420"/>
      <w:textAlignment w:val="baseline"/>
    </w:pPr>
    <w:rPr>
      <w:rFonts w:ascii="Times New Roman" w:hAnsi="Times New Roman"/>
      <w:kern w:val="0"/>
      <w:szCs w:val="20"/>
    </w:rPr>
  </w:style>
  <w:style w:type="paragraph" w:styleId="17">
    <w:name w:val="Balloon Text"/>
    <w:basedOn w:val="1"/>
    <w:link w:val="50"/>
    <w:qFormat/>
    <w:uiPriority w:val="0"/>
    <w:rPr>
      <w:sz w:val="18"/>
      <w:szCs w:val="18"/>
    </w:rPr>
  </w:style>
  <w:style w:type="paragraph" w:styleId="18">
    <w:name w:val="footer"/>
    <w:basedOn w:val="1"/>
    <w:link w:val="49"/>
    <w:qFormat/>
    <w:uiPriority w:val="99"/>
    <w:pPr>
      <w:tabs>
        <w:tab w:val="center" w:pos="4153"/>
        <w:tab w:val="right" w:pos="8306"/>
      </w:tabs>
      <w:snapToGrid w:val="0"/>
      <w:jc w:val="left"/>
    </w:pPr>
    <w:rPr>
      <w:sz w:val="18"/>
    </w:rPr>
  </w:style>
  <w:style w:type="paragraph" w:styleId="19">
    <w:name w:val="header"/>
    <w:basedOn w:val="1"/>
    <w:link w:val="5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rFonts w:ascii="Times New Roman" w:hAnsi="Times New Roman"/>
      <w:kern w:val="0"/>
      <w:sz w:val="16"/>
      <w:szCs w:val="16"/>
    </w:rPr>
  </w:style>
  <w:style w:type="paragraph" w:styleId="22">
    <w:name w:val="HTML Preformatted"/>
    <w:basedOn w:val="1"/>
    <w:link w:val="6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4">
    <w:name w:val="index 1"/>
    <w:basedOn w:val="1"/>
    <w:next w:val="1"/>
    <w:qFormat/>
    <w:uiPriority w:val="0"/>
    <w:pPr>
      <w:tabs>
        <w:tab w:val="left" w:pos="7740"/>
      </w:tabs>
      <w:jc w:val="center"/>
    </w:pPr>
    <w:rPr>
      <w:rFonts w:ascii="仿宋" w:hAnsi="仿宋" w:eastAsia="仿宋"/>
      <w:b/>
      <w:sz w:val="28"/>
      <w:szCs w:val="28"/>
    </w:rPr>
  </w:style>
  <w:style w:type="paragraph" w:styleId="25">
    <w:name w:val="annotation subject"/>
    <w:basedOn w:val="10"/>
    <w:next w:val="10"/>
    <w:link w:val="59"/>
    <w:qFormat/>
    <w:uiPriority w:val="0"/>
    <w:rPr>
      <w:b/>
      <w:bCs/>
    </w:rPr>
  </w:style>
  <w:style w:type="paragraph" w:styleId="26">
    <w:name w:val="Body Text First Indent"/>
    <w:basedOn w:val="12"/>
    <w:unhideWhenUsed/>
    <w:qFormat/>
    <w:uiPriority w:val="99"/>
    <w:pPr>
      <w:ind w:firstLine="420"/>
    </w:pPr>
  </w:style>
  <w:style w:type="table" w:styleId="28">
    <w:name w:val="Table Grid"/>
    <w:basedOn w:val="2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Hyperlink"/>
    <w:qFormat/>
    <w:uiPriority w:val="0"/>
    <w:rPr>
      <w:color w:val="0563C1"/>
      <w:kern w:val="2"/>
      <w:sz w:val="24"/>
      <w:szCs w:val="24"/>
      <w:u w:val="single"/>
    </w:rPr>
  </w:style>
  <w:style w:type="character" w:styleId="33">
    <w:name w:val="annotation reference"/>
    <w:qFormat/>
    <w:uiPriority w:val="0"/>
    <w:rPr>
      <w:kern w:val="2"/>
      <w:sz w:val="21"/>
      <w:szCs w:val="21"/>
    </w:rPr>
  </w:style>
  <w:style w:type="paragraph" w:customStyle="1" w:styleId="34">
    <w:name w:val="列出段落1"/>
    <w:basedOn w:val="1"/>
    <w:qFormat/>
    <w:uiPriority w:val="99"/>
    <w:pPr>
      <w:ind w:firstLine="420"/>
    </w:pPr>
  </w:style>
  <w:style w:type="paragraph" w:customStyle="1" w:styleId="3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styleId="36">
    <w:name w:val="No Spacing"/>
    <w:qFormat/>
    <w:uiPriority w:val="1"/>
    <w:rPr>
      <w:rFonts w:ascii="Calibri" w:hAnsi="Calibri" w:eastAsia="宋体" w:cs="Times New Roman"/>
      <w:sz w:val="22"/>
      <w:szCs w:val="22"/>
      <w:lang w:val="en-US" w:eastAsia="zh-CN" w:bidi="ar-SA"/>
    </w:rPr>
  </w:style>
  <w:style w:type="paragraph" w:customStyle="1" w:styleId="37">
    <w:name w:val="表格文字"/>
    <w:basedOn w:val="1"/>
    <w:qFormat/>
    <w:uiPriority w:val="0"/>
    <w:pPr>
      <w:spacing w:before="25" w:after="25"/>
      <w:jc w:val="left"/>
    </w:pPr>
    <w:rPr>
      <w:bCs/>
      <w:spacing w:val="10"/>
      <w:kern w:val="0"/>
      <w:sz w:val="24"/>
      <w:szCs w:val="20"/>
    </w:rPr>
  </w:style>
  <w:style w:type="paragraph" w:customStyle="1" w:styleId="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9">
    <w:name w:val="Table Paragraph"/>
    <w:basedOn w:val="1"/>
    <w:qFormat/>
    <w:uiPriority w:val="1"/>
    <w:pPr>
      <w:jc w:val="left"/>
    </w:pPr>
    <w:rPr>
      <w:kern w:val="0"/>
      <w:sz w:val="22"/>
      <w:szCs w:val="22"/>
      <w:lang w:eastAsia="en-US"/>
    </w:rPr>
  </w:style>
  <w:style w:type="paragraph" w:customStyle="1" w:styleId="40">
    <w:name w:val="题注4"/>
    <w:basedOn w:val="1"/>
    <w:next w:val="9"/>
    <w:qFormat/>
    <w:uiPriority w:val="0"/>
    <w:pPr>
      <w:ind w:left="-132" w:leftChars="-64" w:right="-105" w:rightChars="-50" w:hanging="2"/>
      <w:jc w:val="center"/>
    </w:pPr>
    <w:rPr>
      <w:b/>
      <w:color w:val="FF0000"/>
      <w:szCs w:val="21"/>
      <w:lang w:val="en-GB"/>
    </w:rPr>
  </w:style>
  <w:style w:type="paragraph" w:customStyle="1" w:styleId="41">
    <w:name w:val="Char"/>
    <w:basedOn w:val="1"/>
    <w:qFormat/>
    <w:uiPriority w:val="0"/>
    <w:pPr>
      <w:spacing w:line="480" w:lineRule="exact"/>
    </w:pPr>
    <w:rPr>
      <w:sz w:val="24"/>
    </w:rPr>
  </w:style>
  <w:style w:type="paragraph" w:customStyle="1" w:styleId="4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5">
    <w:name w:val="Char Char2 Char"/>
    <w:basedOn w:val="1"/>
    <w:qFormat/>
    <w:uiPriority w:val="0"/>
  </w:style>
  <w:style w:type="paragraph" w:styleId="46">
    <w:name w:val="List Paragraph"/>
    <w:basedOn w:val="1"/>
    <w:qFormat/>
    <w:uiPriority w:val="99"/>
    <w:pPr>
      <w:ind w:firstLine="420" w:firstLineChars="200"/>
    </w:pPr>
  </w:style>
  <w:style w:type="paragraph" w:customStyle="1" w:styleId="4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8">
    <w:name w:val="纯文本 字符"/>
    <w:link w:val="14"/>
    <w:qFormat/>
    <w:uiPriority w:val="0"/>
    <w:rPr>
      <w:rFonts w:ascii="宋体" w:hAnsi="Courier New" w:cs="Courier New"/>
      <w:kern w:val="2"/>
      <w:sz w:val="21"/>
      <w:szCs w:val="21"/>
    </w:rPr>
  </w:style>
  <w:style w:type="character" w:customStyle="1" w:styleId="49">
    <w:name w:val="页脚 字符"/>
    <w:link w:val="18"/>
    <w:qFormat/>
    <w:uiPriority w:val="99"/>
    <w:rPr>
      <w:kern w:val="2"/>
      <w:sz w:val="18"/>
      <w:szCs w:val="24"/>
    </w:rPr>
  </w:style>
  <w:style w:type="character" w:customStyle="1" w:styleId="50">
    <w:name w:val="批注框文本 字符"/>
    <w:link w:val="17"/>
    <w:qFormat/>
    <w:uiPriority w:val="0"/>
    <w:rPr>
      <w:kern w:val="2"/>
      <w:sz w:val="18"/>
      <w:szCs w:val="18"/>
    </w:rPr>
  </w:style>
  <w:style w:type="character" w:customStyle="1" w:styleId="51">
    <w:name w:val="正文缩进 字符"/>
    <w:link w:val="8"/>
    <w:qFormat/>
    <w:uiPriority w:val="0"/>
    <w:rPr>
      <w:kern w:val="2"/>
      <w:sz w:val="21"/>
      <w:szCs w:val="24"/>
    </w:rPr>
  </w:style>
  <w:style w:type="character" w:customStyle="1" w:styleId="52">
    <w:name w:val="weby11"/>
    <w:qFormat/>
    <w:uiPriority w:val="0"/>
    <w:rPr>
      <w:sz w:val="18"/>
      <w:szCs w:val="18"/>
    </w:rPr>
  </w:style>
  <w:style w:type="character" w:customStyle="1" w:styleId="53">
    <w:name w:val="批注文字 字符"/>
    <w:link w:val="10"/>
    <w:qFormat/>
    <w:uiPriority w:val="0"/>
    <w:rPr>
      <w:kern w:val="2"/>
      <w:sz w:val="21"/>
      <w:szCs w:val="24"/>
    </w:rPr>
  </w:style>
  <w:style w:type="character" w:customStyle="1" w:styleId="54">
    <w:name w:val="页眉 字符"/>
    <w:link w:val="19"/>
    <w:qFormat/>
    <w:uiPriority w:val="99"/>
    <w:rPr>
      <w:kern w:val="2"/>
      <w:sz w:val="18"/>
      <w:szCs w:val="24"/>
    </w:rPr>
  </w:style>
  <w:style w:type="character" w:customStyle="1" w:styleId="55">
    <w:name w:val="正文文本 字符"/>
    <w:link w:val="12"/>
    <w:qFormat/>
    <w:uiPriority w:val="0"/>
    <w:rPr>
      <w:kern w:val="2"/>
      <w:sz w:val="21"/>
      <w:szCs w:val="24"/>
    </w:rPr>
  </w:style>
  <w:style w:type="character" w:customStyle="1" w:styleId="56">
    <w:name w:val="HTML 预设格式 Char1"/>
    <w:qFormat/>
    <w:uiPriority w:val="0"/>
    <w:rPr>
      <w:rFonts w:ascii="Courier New" w:hAnsi="Courier New" w:cs="Courier New"/>
      <w:kern w:val="2"/>
      <w:sz w:val="24"/>
      <w:szCs w:val="24"/>
    </w:rPr>
  </w:style>
  <w:style w:type="character" w:customStyle="1" w:styleId="57">
    <w:name w:val="无"/>
    <w:qFormat/>
    <w:uiPriority w:val="99"/>
  </w:style>
  <w:style w:type="character" w:customStyle="1" w:styleId="58">
    <w:name w:val="日期 字符"/>
    <w:link w:val="15"/>
    <w:qFormat/>
    <w:uiPriority w:val="0"/>
    <w:rPr>
      <w:kern w:val="2"/>
      <w:sz w:val="21"/>
      <w:szCs w:val="24"/>
    </w:rPr>
  </w:style>
  <w:style w:type="character" w:customStyle="1" w:styleId="59">
    <w:name w:val="批注主题 字符"/>
    <w:link w:val="25"/>
    <w:qFormat/>
    <w:uiPriority w:val="0"/>
    <w:rPr>
      <w:b/>
      <w:bCs/>
      <w:kern w:val="2"/>
      <w:sz w:val="21"/>
      <w:szCs w:val="24"/>
    </w:rPr>
  </w:style>
  <w:style w:type="character" w:customStyle="1" w:styleId="60">
    <w:name w:val="HTML 预设格式 字符"/>
    <w:link w:val="22"/>
    <w:qFormat/>
    <w:uiPriority w:val="0"/>
    <w:rPr>
      <w:rFonts w:ascii="黑体" w:hAnsi="Courier New" w:eastAsia="黑体"/>
    </w:rPr>
  </w:style>
  <w:style w:type="paragraph" w:customStyle="1" w:styleId="61">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character" w:customStyle="1" w:styleId="62">
    <w:name w:val="标题 5 字符"/>
    <w:basedOn w:val="29"/>
    <w:link w:val="7"/>
    <w:semiHidden/>
    <w:qFormat/>
    <w:uiPriority w:val="0"/>
    <w:rPr>
      <w:b/>
      <w:bCs/>
      <w:kern w:val="2"/>
      <w:sz w:val="28"/>
      <w:szCs w:val="28"/>
    </w:rPr>
  </w:style>
  <w:style w:type="paragraph" w:customStyle="1" w:styleId="63">
    <w:name w:val="正文缩进2格"/>
    <w:basedOn w:val="1"/>
    <w:qFormat/>
    <w:uiPriority w:val="0"/>
    <w:pPr>
      <w:widowControl/>
      <w:spacing w:line="600" w:lineRule="exact"/>
      <w:ind w:firstLine="639" w:firstLineChars="206"/>
      <w:jc w:val="left"/>
    </w:pPr>
    <w:rPr>
      <w:rFonts w:ascii="仿宋_GB2312" w:hAnsi="宋体" w:eastAsia="仿宋_GB2312"/>
      <w:kern w:val="0"/>
      <w:sz w:val="31"/>
      <w:szCs w:val="28"/>
    </w:rPr>
  </w:style>
  <w:style w:type="character" w:customStyle="1" w:styleId="64">
    <w:name w:val="标题 3 字符"/>
    <w:basedOn w:val="29"/>
    <w:link w:val="5"/>
    <w:qFormat/>
    <w:uiPriority w:val="0"/>
    <w:rPr>
      <w:b/>
      <w:bCs/>
      <w:kern w:val="2"/>
      <w:sz w:val="32"/>
      <w:szCs w:val="32"/>
    </w:rPr>
  </w:style>
  <w:style w:type="character" w:customStyle="1" w:styleId="65">
    <w:name w:val="标题 4 字符"/>
    <w:basedOn w:val="29"/>
    <w:link w:val="6"/>
    <w:qFormat/>
    <w:uiPriority w:val="0"/>
    <w:rPr>
      <w:rFonts w:ascii="Arial" w:hAnsi="Arial" w:eastAsia="黑体"/>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13A03-8604-4F61-BAFA-E84BC620E326}">
  <ds:schemaRefs/>
</ds:datastoreItem>
</file>

<file path=docProps/app.xml><?xml version="1.0" encoding="utf-8"?>
<Properties xmlns="http://schemas.openxmlformats.org/officeDocument/2006/extended-properties" xmlns:vt="http://schemas.openxmlformats.org/officeDocument/2006/docPropsVTypes">
  <Template>Normal.dotm</Template>
  <Pages>54</Pages>
  <Words>4051</Words>
  <Characters>23096</Characters>
  <Lines>192</Lines>
  <Paragraphs>54</Paragraphs>
  <TotalTime>15</TotalTime>
  <ScaleCrop>false</ScaleCrop>
  <LinksUpToDate>false</LinksUpToDate>
  <CharactersWithSpaces>27093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2021-04-20T10:26:00Z</dcterms:created>
  <dc:creator>广州市净水有限公司水质检测中心</dc:creator>
  <cp:lastModifiedBy>林煜韩</cp:lastModifiedBy>
  <cp:lastPrinted>2021-04-20T08:06:00Z</cp:lastPrinted>
  <dcterms:modified xsi:type="dcterms:W3CDTF">2021-04-25T06:51:59Z</dcterms:modified>
  <dc:title>询价文件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22554F365A3B4D2FACF0BDDA68BD68C0</vt:lpwstr>
  </property>
</Properties>
</file>