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640" w:firstLineChars="20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XE-20210416-1</w:t>
      </w:r>
    </w:p>
    <w:p>
      <w:pPr>
        <w:spacing w:line="500" w:lineRule="exact"/>
        <w:ind w:left="2249" w:hanging="2240" w:hangingChars="700"/>
        <w:jc w:val="left"/>
        <w:rPr>
          <w:rFonts w:hint="eastAsia"/>
        </w:rPr>
      </w:pPr>
      <w:r>
        <w:rPr>
          <w:rFonts w:ascii="仿宋_GB2312" w:hAnsi="仿宋_GB2312" w:eastAsia="仿宋_GB2312" w:cs="仿宋_GB2312"/>
          <w:b/>
          <w:bCs/>
          <w:color w:val="000000" w:themeColor="text1"/>
          <w:sz w:val="32"/>
          <w:szCs w:val="32"/>
          <w14:textFill>
            <w14:solidFill>
              <w14:schemeClr w14:val="tx1"/>
            </w14:solidFill>
          </w14:textFill>
        </w:rPr>
        <w:t xml:space="preserve">    项目</w:t>
      </w:r>
      <w:r>
        <w:rPr>
          <w:rFonts w:ascii="仿宋_GB2312" w:hAnsi="仿宋_GB2312" w:eastAsia="仿宋_GB2312" w:cs="仿宋_GB2312"/>
          <w:b/>
          <w:bCs/>
          <w:color w:val="000000" w:themeColor="text1"/>
          <w:sz w:val="32"/>
          <w:szCs w:val="32"/>
          <w:highlight w:val="none"/>
          <w14:textFill>
            <w14:solidFill>
              <w14:schemeClr w14:val="tx1"/>
            </w14:solidFill>
          </w14:textFill>
        </w:rPr>
        <w:t>名称：</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广州市净水有限公司</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石井净水厂地块控制性</w:t>
      </w:r>
    </w:p>
    <w:p>
      <w:pPr>
        <w:spacing w:line="500" w:lineRule="exact"/>
        <w:ind w:left="0" w:leftChars="0" w:firstLine="2240" w:firstLineChars="700"/>
        <w:jc w:val="left"/>
        <w:rPr>
          <w:rFonts w:ascii="仿宋_GB2312" w:hAnsi="仿宋_GB2312" w:eastAsia="仿宋_GB2312" w:cs="仿宋_GB2312"/>
          <w:b/>
          <w:bCs/>
          <w:color w:val="000000" w:themeColor="text1"/>
          <w:sz w:val="24"/>
          <w:szCs w:val="28"/>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详细规划调整及专题评估</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4</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16</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4"/>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w:t>
      </w:r>
      <w:r>
        <w:rPr>
          <w:rFonts w:hint="eastAsia" w:ascii="仿宋_GB2312" w:hAnsi="仿宋_GB2312" w:eastAsia="仿宋_GB2312" w:cs="仿宋_GB2312"/>
          <w:color w:val="000000" w:themeColor="text1"/>
          <w:sz w:val="28"/>
          <w:szCs w:val="28"/>
          <w:highlight w:val="none"/>
          <w14:textFill>
            <w14:solidFill>
              <w14:schemeClr w14:val="tx1"/>
            </w14:solidFill>
          </w14:textFill>
        </w:rPr>
        <w:t>司对</w:t>
      </w:r>
      <w:r>
        <w:rPr>
          <w:rFonts w:hint="eastAsia" w:ascii="仿宋" w:hAnsi="仿宋" w:eastAsia="仿宋" w:cs="仿宋_GB2312"/>
          <w:bCs/>
          <w:sz w:val="28"/>
          <w:szCs w:val="28"/>
          <w:highlight w:val="none"/>
          <w:u w:val="single"/>
        </w:rPr>
        <w:t xml:space="preserve">石井净水厂地块控制性详细规划调整及专题评估 </w:t>
      </w:r>
      <w:r>
        <w:rPr>
          <w:rFonts w:hint="eastAsia" w:ascii="仿宋_GB2312" w:hAnsi="仿宋_GB2312" w:eastAsia="仿宋_GB2312" w:cs="仿宋_GB2312"/>
          <w:color w:val="000000" w:themeColor="text1"/>
          <w:sz w:val="28"/>
          <w:szCs w:val="28"/>
          <w:highlight w:val="none"/>
          <w14:textFill>
            <w14:solidFill>
              <w14:schemeClr w14:val="tx1"/>
            </w14:solidFill>
          </w14:textFill>
        </w:rPr>
        <w:t>进</w:t>
      </w:r>
      <w:r>
        <w:rPr>
          <w:rFonts w:hint="eastAsia" w:ascii="仿宋_GB2312" w:hAnsi="仿宋_GB2312" w:eastAsia="仿宋_GB2312" w:cs="仿宋_GB2312"/>
          <w:color w:val="000000" w:themeColor="text1"/>
          <w:sz w:val="28"/>
          <w:szCs w:val="28"/>
          <w14:textFill>
            <w14:solidFill>
              <w14:schemeClr w14:val="tx1"/>
            </w14:solidFill>
          </w14:textFill>
        </w:rPr>
        <w:t>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rPr>
        <w:t>自筹资金</w:t>
      </w:r>
    </w:p>
    <w:p>
      <w:pPr>
        <w:autoSpaceDE w:val="0"/>
        <w:autoSpaceDN w:val="0"/>
        <w:ind w:firstLine="560" w:firstLineChars="200"/>
        <w:rPr>
          <w:rFonts w:ascii="仿宋_GB2312" w:hAnsi="仿宋_GB2312" w:eastAsia="仿宋_GB2312" w:cs="仿宋_GB2312"/>
          <w:color w:val="000000" w:themeColor="text1"/>
          <w:sz w:val="28"/>
          <w:szCs w:val="28"/>
          <w:highlight w:val="yellow"/>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XE-20210416-1</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autoSpaceDE w:val="0"/>
        <w:autoSpaceDN w:val="0"/>
        <w:ind w:firstLine="560" w:firstLineChars="200"/>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w:t>
      </w:r>
      <w:r>
        <w:rPr>
          <w:rFonts w:hint="eastAsia" w:ascii="仿宋_GB2312" w:hAnsi="仿宋_GB2312" w:eastAsia="仿宋_GB2312" w:cs="仿宋_GB2312"/>
          <w:color w:val="000000" w:themeColor="text1"/>
          <w:sz w:val="28"/>
          <w:szCs w:val="28"/>
          <w:highlight w:val="none"/>
          <w14:textFill>
            <w14:solidFill>
              <w14:schemeClr w14:val="tx1"/>
            </w14:solidFill>
          </w14:textFill>
        </w:rPr>
        <w:t>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石井净水厂地块控制性详细规划调整及专题评估 </w:t>
      </w:r>
    </w:p>
    <w:p>
      <w:pPr>
        <w:autoSpaceDE w:val="0"/>
        <w:autoSpaceDN w:val="0"/>
        <w:ind w:firstLine="560" w:firstLineChars="200"/>
        <w:rPr>
          <w:rFonts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118.2万元</w:t>
      </w:r>
    </w:p>
    <w:p>
      <w:pPr>
        <w:ind w:firstLine="602" w:firstLineChars="215"/>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为盘活现有土地资源，拓宽产业领域盈利渠道，现开展石井净水厂地块综合利用前期工作，拟按该地块综合开发方案，开展石井净水厂地块控规调整工作。结合市规自局要求，本次控规调整工作需包含控规调整论证报告，以及对应规划调整所需的专题评估（如交通影响评估、环境影响篇章、市政设施影响评估报告等）内容。</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27"/>
        <w:autoSpaceDE w:val="0"/>
        <w:autoSpaceDN w:val="0"/>
        <w:ind w:firstLine="560"/>
        <w:jc w:val="lef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sz w:val="28"/>
          <w:szCs w:val="28"/>
          <w:highlight w:val="none"/>
          <w:u w:val="single"/>
        </w:rPr>
        <w:t>报价单位须是中华人民共和国境内的法人或者其他组织，具有独立法人资格</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能开具增值税专用发票</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持有工商行政管理部门核发的法人营业执照或各级登记管理机关颁发的事业单位法定代表人证</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pPr>
        <w:pStyle w:val="27"/>
        <w:autoSpaceDE w:val="0"/>
        <w:autoSpaceDN w:val="0"/>
        <w:ind w:firstLine="560"/>
        <w:jc w:val="lef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持有建设行政主管部门颁发的城市（乡）规划编制乙级以上（含乙级）资质证书</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pPr>
        <w:pStyle w:val="27"/>
        <w:autoSpaceDE w:val="0"/>
        <w:autoSpaceDN w:val="0"/>
        <w:ind w:firstLine="56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拟派项目负责人需具备相关专业资质工程师及以上资格。</w:t>
      </w:r>
    </w:p>
    <w:p>
      <w:pPr>
        <w:pStyle w:val="27"/>
        <w:autoSpaceDE w:val="0"/>
        <w:autoSpaceDN w:val="0"/>
        <w:ind w:firstLine="56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自</w:t>
      </w:r>
      <w:bookmarkStart w:id="0" w:name="OLE_LINK3"/>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2018年1月1日至今，</w:t>
      </w:r>
      <w:bookmarkEnd w:id="0"/>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最少完成一项合同金额不少于78万元的广州市控规编制、修编、调整或修正项目业绩</w:t>
      </w:r>
      <w:r>
        <w:rPr>
          <w:rFonts w:hint="eastAsia" w:ascii="仿宋_GB2312" w:hAnsi="仿宋_GB2312" w:eastAsia="仿宋_GB2312" w:cs="仿宋_GB2312"/>
          <w:color w:val="auto"/>
          <w:sz w:val="28"/>
          <w:szCs w:val="28"/>
          <w:highlight w:val="none"/>
          <w:u w:val="single"/>
          <w:lang w:val="en-US" w:eastAsia="zh-CN"/>
        </w:rPr>
        <w:t>（提供合同复印件证明，包括但不限于项目名称、金额及实施内容、合同双方签字盖章、签订日期，并加盖单位公章），并提供项目调规批复文件。</w:t>
      </w:r>
    </w:p>
    <w:p>
      <w:pPr>
        <w:autoSpaceDE w:val="0"/>
        <w:autoSpaceDN w:val="0"/>
        <w:ind w:firstLine="560" w:firstLineChars="200"/>
        <w:rPr>
          <w:rFonts w:hint="eastAsia" w:ascii="仿宋_GB2312" w:hAnsi="仿宋_GB2312" w:eastAsia="仿宋_GB2312" w:cs="仿宋_GB2312"/>
          <w:color w:val="auto"/>
          <w:sz w:val="28"/>
          <w:szCs w:val="28"/>
          <w:highlight w:val="none"/>
          <w:u w:val="none"/>
          <w:lang w:val="zh-CN"/>
        </w:rPr>
      </w:pPr>
      <w:r>
        <w:rPr>
          <w:rFonts w:hint="eastAsia" w:ascii="仿宋_GB2312" w:hAnsi="仿宋_GB2312" w:eastAsia="仿宋_GB2312" w:cs="仿宋_GB2312"/>
          <w:color w:val="auto"/>
          <w:sz w:val="28"/>
          <w:szCs w:val="28"/>
          <w:highlight w:val="none"/>
          <w:u w:val="none"/>
        </w:rPr>
        <w:t>七</w:t>
      </w:r>
      <w:r>
        <w:rPr>
          <w:rFonts w:hint="eastAsia" w:ascii="仿宋_GB2312" w:hAnsi="仿宋_GB2312" w:eastAsia="仿宋_GB2312" w:cs="仿宋_GB2312"/>
          <w:color w:val="auto"/>
          <w:sz w:val="28"/>
          <w:szCs w:val="28"/>
          <w:highlight w:val="none"/>
          <w:u w:val="none"/>
          <w:lang w:val="zh-CN"/>
        </w:rPr>
        <w:t>、现场踏勘(答疑会)时间、地点（也可由</w:t>
      </w:r>
      <w:r>
        <w:rPr>
          <w:rFonts w:hint="eastAsia" w:ascii="仿宋_GB2312" w:hAnsi="仿宋_GB2312" w:eastAsia="仿宋_GB2312" w:cs="仿宋_GB2312"/>
          <w:color w:val="auto"/>
          <w:sz w:val="28"/>
          <w:szCs w:val="28"/>
          <w:highlight w:val="none"/>
          <w:u w:val="none"/>
        </w:rPr>
        <w:t>报价</w:t>
      </w:r>
      <w:r>
        <w:rPr>
          <w:rFonts w:hint="eastAsia" w:ascii="仿宋_GB2312" w:hAnsi="仿宋_GB2312" w:eastAsia="仿宋_GB2312" w:cs="仿宋_GB2312"/>
          <w:color w:val="auto"/>
          <w:sz w:val="28"/>
          <w:szCs w:val="28"/>
          <w:highlight w:val="none"/>
          <w:u w:val="none"/>
          <w:lang w:val="zh-CN"/>
        </w:rPr>
        <w:t>人自行踏勘现场）：</w:t>
      </w:r>
    </w:p>
    <w:p>
      <w:pPr>
        <w:autoSpaceDE w:val="0"/>
        <w:autoSpaceDN w:val="0"/>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zh-CN"/>
        </w:rPr>
        <w:t>1. 现场踏勘(答疑会)集合时间：</w:t>
      </w:r>
      <w:r>
        <w:rPr>
          <w:rFonts w:hint="eastAsia" w:ascii="仿宋_GB2312" w:hAnsi="仿宋_GB2312" w:eastAsia="仿宋_GB2312" w:cs="仿宋_GB2312"/>
          <w:color w:val="auto"/>
          <w:sz w:val="28"/>
          <w:szCs w:val="28"/>
          <w:highlight w:val="none"/>
          <w:u w:val="none"/>
        </w:rPr>
        <w:t>/</w:t>
      </w:r>
    </w:p>
    <w:p>
      <w:pPr>
        <w:autoSpaceDE w:val="0"/>
        <w:autoSpaceDN w:val="0"/>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zh-CN"/>
        </w:rPr>
        <w:t>2. 现场踏勘(答疑会)集合地点：</w:t>
      </w:r>
      <w:r>
        <w:rPr>
          <w:rFonts w:hint="eastAsia" w:ascii="仿宋_GB2312" w:hAnsi="仿宋_GB2312" w:eastAsia="仿宋_GB2312" w:cs="仿宋_GB2312"/>
          <w:color w:val="auto"/>
          <w:sz w:val="28"/>
          <w:szCs w:val="28"/>
          <w:highlight w:val="none"/>
          <w:u w:val="none"/>
        </w:rPr>
        <w:t>/</w:t>
      </w:r>
    </w:p>
    <w:p>
      <w:pPr>
        <w:ind w:firstLine="588" w:firstLineChars="21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八、询价文件的获取：在2021年</w:t>
      </w:r>
      <w:r>
        <w:rPr>
          <w:rFonts w:hint="eastAsia" w:ascii="仿宋" w:hAnsi="仿宋" w:eastAsia="仿宋" w:cs="仿宋_GB2312"/>
          <w:color w:val="auto"/>
          <w:sz w:val="28"/>
          <w:szCs w:val="28"/>
          <w:highlight w:val="none"/>
          <w:u w:val="none"/>
          <w:lang w:val="en-US" w:eastAsia="zh-CN"/>
        </w:rPr>
        <w:t>4月22日10</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00</w:t>
      </w:r>
      <w:r>
        <w:rPr>
          <w:rFonts w:hint="eastAsia" w:ascii="仿宋" w:hAnsi="仿宋" w:eastAsia="仿宋" w:cs="仿宋_GB2312"/>
          <w:color w:val="auto"/>
          <w:sz w:val="28"/>
          <w:szCs w:val="28"/>
          <w:highlight w:val="none"/>
          <w:u w:val="none"/>
        </w:rPr>
        <w:t>分前，在广州市净水有限公司门户网站免费下载。</w:t>
      </w:r>
    </w:p>
    <w:p>
      <w:pPr>
        <w:ind w:firstLine="588" w:firstLineChars="210"/>
        <w:rPr>
          <w:rFonts w:hint="default" w:eastAsia="仿宋"/>
          <w:u w:val="none"/>
          <w:lang w:val="en-US" w:eastAsia="zh-CN"/>
        </w:rPr>
      </w:pPr>
      <w:r>
        <w:rPr>
          <w:rFonts w:hint="eastAsia" w:ascii="仿宋" w:hAnsi="仿宋" w:eastAsia="仿宋" w:cs="仿宋_GB2312"/>
          <w:color w:val="auto"/>
          <w:sz w:val="28"/>
          <w:szCs w:val="28"/>
          <w:highlight w:val="none"/>
          <w:u w:val="none"/>
        </w:rPr>
        <w:t>九、询价响应文件递交时间：2021年</w:t>
      </w:r>
      <w:r>
        <w:rPr>
          <w:rFonts w:hint="eastAsia" w:ascii="仿宋" w:hAnsi="仿宋" w:eastAsia="仿宋" w:cs="仿宋_GB2312"/>
          <w:color w:val="auto"/>
          <w:sz w:val="28"/>
          <w:szCs w:val="28"/>
          <w:highlight w:val="none"/>
          <w:u w:val="none"/>
          <w:lang w:val="en-US" w:eastAsia="zh-CN"/>
        </w:rPr>
        <w:t>4月22日9</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30</w:t>
      </w:r>
      <w:r>
        <w:rPr>
          <w:rFonts w:hint="eastAsia" w:ascii="仿宋" w:hAnsi="仿宋" w:eastAsia="仿宋" w:cs="仿宋_GB2312"/>
          <w:color w:val="auto"/>
          <w:sz w:val="28"/>
          <w:szCs w:val="28"/>
          <w:highlight w:val="none"/>
          <w:u w:val="none"/>
        </w:rPr>
        <w:t>分至</w:t>
      </w:r>
      <w:r>
        <w:rPr>
          <w:rFonts w:hint="eastAsia" w:ascii="仿宋" w:hAnsi="仿宋" w:eastAsia="仿宋" w:cs="仿宋_GB2312"/>
          <w:color w:val="auto"/>
          <w:sz w:val="28"/>
          <w:szCs w:val="28"/>
          <w:highlight w:val="none"/>
          <w:u w:val="none"/>
          <w:lang w:val="en-US" w:eastAsia="zh-CN"/>
        </w:rPr>
        <w:t>10</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00</w:t>
      </w:r>
      <w:r>
        <w:rPr>
          <w:rFonts w:hint="eastAsia" w:ascii="仿宋" w:hAnsi="仿宋" w:eastAsia="仿宋" w:cs="仿宋_GB2312"/>
          <w:color w:val="auto"/>
          <w:sz w:val="28"/>
          <w:szCs w:val="28"/>
          <w:highlight w:val="none"/>
          <w:u w:val="none"/>
        </w:rPr>
        <w:t>分；询价响应文件截止时间：2021年</w:t>
      </w:r>
      <w:r>
        <w:rPr>
          <w:rFonts w:hint="eastAsia" w:ascii="仿宋" w:hAnsi="仿宋" w:eastAsia="仿宋" w:cs="仿宋_GB2312"/>
          <w:color w:val="auto"/>
          <w:sz w:val="28"/>
          <w:szCs w:val="28"/>
          <w:highlight w:val="none"/>
          <w:u w:val="none"/>
          <w:lang w:val="en-US" w:eastAsia="zh-CN"/>
        </w:rPr>
        <w:t>4月22日10</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00</w:t>
      </w:r>
      <w:r>
        <w:rPr>
          <w:rFonts w:hint="eastAsia" w:ascii="仿宋" w:hAnsi="仿宋" w:eastAsia="仿宋" w:cs="仿宋_GB2312"/>
          <w:color w:val="auto"/>
          <w:sz w:val="28"/>
          <w:szCs w:val="28"/>
          <w:highlight w:val="none"/>
          <w:u w:val="none"/>
        </w:rPr>
        <w:t xml:space="preserve">分。授权委托人递交响应文件时须附上在本单位近三个月社保记录，否则询价响应文件无效。 </w:t>
      </w:r>
    </w:p>
    <w:p>
      <w:pPr>
        <w:ind w:firstLine="588" w:firstLineChars="21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十、询价响应文件送达地点：广州市天河区临江大道501号广州市净水有限公司招标办</w:t>
      </w:r>
    </w:p>
    <w:p>
      <w:pPr>
        <w:ind w:firstLine="588" w:firstLineChars="21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十一、评审时间：2021年</w:t>
      </w:r>
      <w:r>
        <w:rPr>
          <w:rFonts w:hint="eastAsia" w:ascii="仿宋" w:hAnsi="仿宋" w:eastAsia="仿宋" w:cs="仿宋_GB2312"/>
          <w:color w:val="auto"/>
          <w:sz w:val="28"/>
          <w:szCs w:val="28"/>
          <w:highlight w:val="none"/>
          <w:u w:val="none"/>
          <w:lang w:val="en-US" w:eastAsia="zh-CN"/>
        </w:rPr>
        <w:t>4月22日10</w:t>
      </w:r>
      <w:r>
        <w:rPr>
          <w:rFonts w:hint="eastAsia" w:ascii="仿宋" w:hAnsi="仿宋" w:eastAsia="仿宋" w:cs="仿宋_GB2312"/>
          <w:color w:val="auto"/>
          <w:sz w:val="28"/>
          <w:szCs w:val="28"/>
          <w:highlight w:val="none"/>
          <w:u w:val="none"/>
        </w:rPr>
        <w:t>时</w:t>
      </w:r>
      <w:r>
        <w:rPr>
          <w:rFonts w:hint="eastAsia" w:ascii="仿宋" w:hAnsi="仿宋" w:eastAsia="仿宋" w:cs="仿宋_GB2312"/>
          <w:color w:val="auto"/>
          <w:sz w:val="28"/>
          <w:szCs w:val="28"/>
          <w:highlight w:val="none"/>
          <w:u w:val="none"/>
          <w:lang w:val="en-US" w:eastAsia="zh-CN"/>
        </w:rPr>
        <w:t>00</w:t>
      </w:r>
      <w:r>
        <w:rPr>
          <w:rFonts w:hint="eastAsia" w:ascii="仿宋" w:hAnsi="仿宋" w:eastAsia="仿宋" w:cs="仿宋_GB2312"/>
          <w:color w:val="auto"/>
          <w:sz w:val="28"/>
          <w:szCs w:val="28"/>
          <w:highlight w:val="none"/>
          <w:u w:val="none"/>
        </w:rPr>
        <w:t>分</w:t>
      </w:r>
    </w:p>
    <w:p>
      <w:pPr>
        <w:ind w:firstLine="588" w:firstLineChars="21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十二、评审地点：广州市净水有限公司</w:t>
      </w:r>
      <w:r>
        <w:rPr>
          <w:rFonts w:hint="eastAsia" w:ascii="仿宋" w:hAnsi="仿宋" w:eastAsia="仿宋" w:cs="仿宋_GB2312"/>
          <w:color w:val="auto"/>
          <w:sz w:val="28"/>
          <w:szCs w:val="28"/>
          <w:highlight w:val="none"/>
          <w:u w:val="none"/>
          <w:lang w:val="en-US" w:eastAsia="zh-CN"/>
        </w:rPr>
        <w:t>六楼</w:t>
      </w:r>
      <w:r>
        <w:rPr>
          <w:rFonts w:hint="eastAsia" w:ascii="仿宋" w:hAnsi="仿宋" w:eastAsia="仿宋" w:cs="仿宋_GB2312"/>
          <w:color w:val="auto"/>
          <w:sz w:val="28"/>
          <w:szCs w:val="28"/>
          <w:highlight w:val="none"/>
          <w:u w:val="none"/>
        </w:rPr>
        <w:t xml:space="preserve">招标办                   </w:t>
      </w:r>
    </w:p>
    <w:p>
      <w:pPr>
        <w:ind w:firstLine="588" w:firstLineChars="21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十三、联系方式</w:t>
      </w:r>
    </w:p>
    <w:p>
      <w:pPr>
        <w:ind w:firstLine="588" w:firstLineChars="21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询价人：广州市净水有限公司</w:t>
      </w:r>
    </w:p>
    <w:p>
      <w:pPr>
        <w:ind w:firstLine="588" w:firstLineChars="21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联系地址：广州市天河区临江大道501号            </w:t>
      </w:r>
    </w:p>
    <w:p>
      <w:pPr>
        <w:ind w:firstLine="560" w:firstLineChars="200"/>
        <w:rPr>
          <w:rFonts w:hint="eastAsia" w:ascii="仿宋" w:hAnsi="仿宋" w:eastAsia="仿宋" w:cs="仿宋_GB2312"/>
          <w:color w:val="auto"/>
          <w:sz w:val="28"/>
          <w:szCs w:val="28"/>
          <w:highlight w:val="none"/>
          <w:u w:val="none"/>
        </w:rPr>
      </w:pPr>
      <w:r>
        <w:rPr>
          <w:rFonts w:hint="eastAsia" w:ascii="仿宋" w:hAnsi="仿宋" w:eastAsia="仿宋" w:cs="仿宋_GB2312"/>
          <w:color w:val="auto"/>
          <w:sz w:val="28"/>
          <w:szCs w:val="28"/>
          <w:highlight w:val="none"/>
          <w:u w:val="none"/>
        </w:rPr>
        <w:t xml:space="preserve"> 联系人：黄工             联系方式：020-62315524   </w:t>
      </w:r>
    </w:p>
    <w:p>
      <w:pPr>
        <w:rPr>
          <w:rFonts w:hint="eastAsia" w:ascii="仿宋" w:hAnsi="仿宋" w:eastAsia="仿宋" w:cs="仿宋_GB2312"/>
          <w:color w:val="auto"/>
          <w:sz w:val="28"/>
          <w:szCs w:val="28"/>
          <w:highlight w:val="none"/>
          <w:u w:val="none"/>
        </w:rPr>
      </w:pPr>
    </w:p>
    <w:p>
      <w:pPr>
        <w:ind w:firstLine="5460" w:firstLineChars="195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广州市净水有限公司</w:t>
      </w:r>
    </w:p>
    <w:p>
      <w:pPr>
        <w:wordWrap w:val="0"/>
        <w:jc w:val="center"/>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2021年</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16</w:t>
      </w:r>
      <w:r>
        <w:rPr>
          <w:rFonts w:hint="eastAsia" w:ascii="仿宋" w:hAnsi="仿宋" w:eastAsia="仿宋" w:cs="仿宋"/>
          <w:color w:val="auto"/>
          <w:sz w:val="28"/>
          <w:szCs w:val="28"/>
          <w:highlight w:val="none"/>
          <w:u w:val="none"/>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石井净水厂地块位于广州市城市中心区，属于白云区张村社区，地块周边为机场高速与许广高速等高快速路。为盘活现有土地资源，拓宽产业领域盈利渠道，变“邻避”为“邻利”，现开展石井净水厂地块综合利用前期工作，拟按该地块综合开发方案，开展石井净水厂地块控规调整工作。</w:t>
      </w:r>
    </w:p>
    <w:p>
      <w:pPr>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auto"/>
          <w:sz w:val="28"/>
          <w:szCs w:val="28"/>
        </w:rPr>
        <w:t>结合市规自局要求，本次控规调整工作需包含控规调整论证报告，以及对应规划调整所需的专题评估（如交通影响评估、环境影响篇章、市政设施影响评估报告</w:t>
      </w:r>
      <w:r>
        <w:rPr>
          <w:rFonts w:hint="eastAsia" w:ascii="仿宋_GB2312" w:hAnsi="仿宋_GB2312" w:eastAsia="仿宋_GB2312" w:cs="仿宋_GB2312"/>
          <w:color w:val="auto"/>
          <w:sz w:val="28"/>
          <w:szCs w:val="28"/>
          <w:lang w:eastAsia="zh-CN"/>
        </w:rPr>
        <w:t>等</w:t>
      </w:r>
      <w:r>
        <w:rPr>
          <w:rFonts w:hint="eastAsia" w:ascii="仿宋_GB2312" w:hAnsi="仿宋_GB2312" w:eastAsia="仿宋_GB2312" w:cs="仿宋_GB2312"/>
          <w:color w:val="auto"/>
          <w:sz w:val="28"/>
          <w:szCs w:val="28"/>
        </w:rPr>
        <w:t>）内容。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二、项目技术要求</w:t>
      </w:r>
    </w:p>
    <w:p>
      <w:pPr>
        <w:spacing w:line="360" w:lineRule="auto"/>
        <w:ind w:firstLine="560" w:firstLineChars="200"/>
        <w:rPr>
          <w:rFonts w:ascii="仿宋" w:hAnsi="仿宋" w:eastAsia="仿宋"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 w:hAnsi="仿宋" w:eastAsia="仿宋" w:cs="仿宋_GB2312"/>
          <w:sz w:val="28"/>
          <w:szCs w:val="28"/>
          <w:highlight w:val="none"/>
        </w:rPr>
        <w:t>规划制定必须符合《中华人民共和国城乡规划法》、《城市规划编制办法》、《广州市城市规划管理标准与准则》、《广州市城乡规划技术规定（试行）》等有关国家和地方的法律、法规、规章、标准和技术要求。</w:t>
      </w:r>
    </w:p>
    <w:p>
      <w:pPr>
        <w:pStyle w:val="9"/>
        <w:adjustRightInd w:val="0"/>
        <w:snapToGrid w:val="0"/>
        <w:spacing w:line="360" w:lineRule="auto"/>
        <w:ind w:firstLine="560" w:firstLineChars="20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2.规划内容、深度必须符合并满足规划主管部门的有关要求，进行技术指导控制，落实所需配套项目等。</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三、项目商务要求</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1.工期：见合同书格式。</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2.质量要求：通过相关行政主管部门或单位的评审和审批。</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3.付款方式：见合同书格式。</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4.承包方式：总价包干。</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本合同采用总价包干，工作内容包括完成本合同项下的所有工作（包含但不限于报告编制和报审、现状展示视频制作及公示期间相关工作的配合）。整个项目</w:t>
      </w:r>
      <w:r>
        <w:rPr>
          <w:rFonts w:hint="eastAsia" w:ascii="仿宋_GB2312" w:hAnsi="仿宋_GB2312" w:eastAsia="仿宋_GB2312" w:cs="仿宋_GB2312"/>
          <w:color w:val="auto"/>
          <w:sz w:val="28"/>
          <w:szCs w:val="28"/>
          <w:lang w:eastAsia="zh-CN"/>
        </w:rPr>
        <w:t>主要工作内容</w:t>
      </w:r>
      <w:r>
        <w:rPr>
          <w:rFonts w:hint="eastAsia" w:ascii="仿宋_GB2312" w:hAnsi="仿宋_GB2312" w:eastAsia="仿宋_GB2312" w:cs="仿宋_GB2312"/>
          <w:color w:val="auto"/>
          <w:sz w:val="28"/>
          <w:szCs w:val="28"/>
        </w:rPr>
        <w:t>包括：</w:t>
      </w:r>
    </w:p>
    <w:p>
      <w:pPr>
        <w:spacing w:line="360" w:lineRule="auto"/>
        <w:ind w:firstLine="560" w:firstLineChars="200"/>
        <w:rPr>
          <w:rFonts w:hint="eastAsia" w:ascii="仿宋_GB2312" w:hAnsi="仿宋_GB2312" w:eastAsia="仿宋_GB2312" w:cs="仿宋_GB2312"/>
          <w:color w:val="auto"/>
          <w:sz w:val="28"/>
          <w:szCs w:val="28"/>
          <w:highlight w:val="none"/>
        </w:rPr>
      </w:pPr>
      <w:bookmarkStart w:id="1" w:name="_Toc62667714"/>
      <w:r>
        <w:rPr>
          <w:rFonts w:hint="eastAsia" w:ascii="仿宋_GB2312" w:hAnsi="仿宋_GB2312" w:eastAsia="仿宋_GB2312" w:cs="仿宋_GB2312"/>
          <w:color w:val="auto"/>
          <w:sz w:val="28"/>
          <w:szCs w:val="28"/>
          <w:highlight w:val="none"/>
        </w:rPr>
        <w:t>（1）控规调整论证</w:t>
      </w:r>
      <w:bookmarkEnd w:id="1"/>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通过现场调研、资料搜集，对规划管理单元内的现状建设情况、规划审批情况、用地权属情况等进行摸查与分析，搜集整理涉及本规划管理单元的相关规划。</w:t>
      </w:r>
      <w:bookmarkStart w:id="2" w:name="_Toc62667715"/>
      <w:bookmarkStart w:id="3" w:name="OLE_LINK2"/>
      <w:bookmarkStart w:id="4" w:name="OLE_LINK1"/>
      <w:r>
        <w:rPr>
          <w:rFonts w:hint="eastAsia" w:ascii="仿宋_GB2312" w:hAnsi="仿宋_GB2312" w:eastAsia="仿宋_GB2312" w:cs="仿宋_GB2312"/>
          <w:color w:val="auto"/>
          <w:sz w:val="28"/>
          <w:szCs w:val="28"/>
          <w:highlight w:val="none"/>
        </w:rPr>
        <w:t>根据要求，分析申请修改内容的可行性，并提出规划建议，编制规划管理单元控规导则调整方案。</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（2）环境影响篇章</w:t>
      </w:r>
      <w:bookmarkEnd w:id="2"/>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主要内容包含环境影响分析依据、现状调查与评价、环境影响预测与评价、环境影响减缓措施及相关图表等。</w:t>
      </w:r>
    </w:p>
    <w:bookmarkEnd w:id="3"/>
    <w:bookmarkEnd w:id="4"/>
    <w:p>
      <w:pPr>
        <w:spacing w:line="360" w:lineRule="auto"/>
        <w:ind w:firstLine="560" w:firstLineChars="200"/>
        <w:rPr>
          <w:rFonts w:hint="eastAsia" w:ascii="仿宋_GB2312" w:hAnsi="仿宋_GB2312" w:eastAsia="仿宋_GB2312" w:cs="仿宋_GB2312"/>
          <w:color w:val="auto"/>
          <w:sz w:val="28"/>
          <w:szCs w:val="28"/>
          <w:highlight w:val="none"/>
        </w:rPr>
      </w:pPr>
      <w:bookmarkStart w:id="5" w:name="_Toc62667716"/>
      <w:r>
        <w:rPr>
          <w:rFonts w:hint="eastAsia" w:ascii="仿宋_GB2312" w:hAnsi="仿宋_GB2312" w:eastAsia="仿宋_GB2312" w:cs="仿宋_GB2312"/>
          <w:color w:val="auto"/>
          <w:sz w:val="28"/>
          <w:szCs w:val="28"/>
          <w:highlight w:val="none"/>
        </w:rPr>
        <w:t>（3）交通影响评估报告</w:t>
      </w:r>
      <w:bookmarkEnd w:id="5"/>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主要内容包括交通需求预测、交通承载力及影响评价，并提出交通优化方案及建议。</w:t>
      </w:r>
    </w:p>
    <w:p>
      <w:pPr>
        <w:spacing w:line="360" w:lineRule="auto"/>
        <w:ind w:firstLine="560" w:firstLineChars="200"/>
        <w:rPr>
          <w:rFonts w:hint="eastAsia" w:ascii="仿宋_GB2312" w:hAnsi="仿宋_GB2312" w:eastAsia="仿宋_GB2312" w:cs="仿宋_GB2312"/>
          <w:color w:val="auto"/>
          <w:sz w:val="28"/>
          <w:szCs w:val="28"/>
          <w:highlight w:val="none"/>
        </w:rPr>
      </w:pPr>
      <w:bookmarkStart w:id="6" w:name="_Toc62667717"/>
      <w:r>
        <w:rPr>
          <w:rFonts w:hint="eastAsia" w:ascii="仿宋_GB2312" w:hAnsi="仿宋_GB2312" w:eastAsia="仿宋_GB2312" w:cs="仿宋_GB2312"/>
          <w:color w:val="auto"/>
          <w:sz w:val="28"/>
          <w:szCs w:val="28"/>
          <w:highlight w:val="none"/>
        </w:rPr>
        <w:t>（4）市政基础设施影响评估报告</w:t>
      </w:r>
      <w:bookmarkEnd w:id="6"/>
    </w:p>
    <w:p>
      <w:pPr>
        <w:spacing w:line="360" w:lineRule="auto"/>
        <w:ind w:firstLine="560" w:firstLineChars="200"/>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color w:val="auto"/>
          <w:sz w:val="28"/>
          <w:szCs w:val="28"/>
          <w:highlight w:val="none"/>
        </w:rPr>
        <w:t>主要对规划管理单元范围内的给水、污水、雨水、燃气、电力、通信等工程进行评估，分析市政工程对控规调整方案的影响因素以及管线能否承载新增建设量，并提出优化方案及建议。</w:t>
      </w:r>
    </w:p>
    <w:p>
      <w:pPr>
        <w:pStyle w:val="24"/>
      </w:pPr>
    </w:p>
    <w:p>
      <w:pPr>
        <w:widowControl/>
        <w:spacing w:line="560" w:lineRule="exact"/>
        <w:ind w:firstLine="560" w:firstLineChars="200"/>
        <w:jc w:val="left"/>
        <w:rPr>
          <w:rFonts w:ascii="仿宋_GB2312" w:hAnsi="宋体" w:eastAsia="仿宋_GB2312"/>
          <w:sz w:val="28"/>
          <w:szCs w:val="28"/>
        </w:rPr>
      </w:pP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9"/>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9"/>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widowControl/>
        <w:jc w:val="left"/>
        <w:rPr>
          <w:sz w:val="28"/>
          <w:szCs w:val="28"/>
        </w:rPr>
      </w:pPr>
      <w:r>
        <w:rPr>
          <w:sz w:val="28"/>
          <w:szCs w:val="28"/>
        </w:rPr>
        <w:br w:type="page"/>
      </w:r>
    </w:p>
    <w:p>
      <w:pPr>
        <w:pStyle w:val="4"/>
      </w:pPr>
      <w:bookmarkStart w:id="7" w:name="_Toc179632599"/>
      <w:bookmarkStart w:id="8" w:name="_Toc144974548"/>
      <w:bookmarkStart w:id="9" w:name="_Toc152042358"/>
      <w:bookmarkStart w:id="10" w:name="_Toc152045581"/>
      <w:bookmarkStart w:id="11" w:name="_Toc371433002"/>
      <w:bookmarkStart w:id="12" w:name="_Toc247085739"/>
      <w:r>
        <w:rPr>
          <w:rFonts w:hint="eastAsia"/>
        </w:rPr>
        <w:t>附件一报价记录表</w:t>
      </w:r>
      <w:bookmarkEnd w:id="7"/>
      <w:bookmarkEnd w:id="8"/>
      <w:bookmarkEnd w:id="9"/>
      <w:bookmarkEnd w:id="10"/>
      <w:bookmarkEnd w:id="11"/>
      <w:bookmarkEnd w:id="12"/>
    </w:p>
    <w:p>
      <w:pPr>
        <w:spacing w:line="400" w:lineRule="exact"/>
        <w:jc w:val="center"/>
        <w:rPr>
          <w:rFonts w:ascii="仿宋" w:hAnsi="仿宋" w:eastAsia="仿宋" w:cs="仿宋_GB2312"/>
          <w:bCs/>
          <w:color w:val="000000"/>
          <w:sz w:val="28"/>
          <w:szCs w:val="28"/>
          <w:highlight w:val="none"/>
          <w:u w:val="single"/>
        </w:rPr>
      </w:pPr>
      <w:r>
        <w:rPr>
          <w:rFonts w:hint="eastAsia" w:ascii="仿宋" w:hAnsi="仿宋" w:eastAsia="仿宋" w:cs="仿宋_GB2312"/>
          <w:bCs/>
          <w:color w:val="000000"/>
          <w:sz w:val="28"/>
          <w:szCs w:val="28"/>
          <w:highlight w:val="none"/>
          <w:u w:val="single"/>
          <w:lang w:val="en-US" w:eastAsia="zh-CN"/>
        </w:rPr>
        <w:t>广州市净水有限公司</w:t>
      </w:r>
      <w:r>
        <w:rPr>
          <w:rFonts w:hint="eastAsia" w:ascii="仿宋" w:hAnsi="仿宋" w:eastAsia="仿宋" w:cs="仿宋_GB2312"/>
          <w:bCs/>
          <w:color w:val="000000"/>
          <w:sz w:val="28"/>
          <w:szCs w:val="28"/>
          <w:highlight w:val="none"/>
          <w:u w:val="single"/>
        </w:rPr>
        <w:t xml:space="preserve">石井净水厂地块控制性详细规划调整及专题评估 </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w:t>
      </w:r>
      <w:r>
        <w:rPr>
          <w:rFonts w:hint="eastAsia" w:ascii="仿宋" w:hAnsi="仿宋" w:eastAsia="仿宋"/>
          <w:color w:val="000000"/>
          <w:sz w:val="24"/>
          <w:highlight w:val="none"/>
        </w:rPr>
        <w:t>:</w:t>
      </w:r>
      <w:r>
        <w:rPr>
          <w:rFonts w:hint="eastAsia" w:ascii="仿宋" w:hAnsi="仿宋" w:eastAsia="仿宋"/>
          <w:color w:val="000000"/>
          <w:sz w:val="24"/>
          <w:highlight w:val="none"/>
          <w:lang w:val="en-US" w:eastAsia="zh-CN"/>
        </w:rPr>
        <w:t>广州市净水有限公司</w:t>
      </w:r>
      <w:r>
        <w:rPr>
          <w:rFonts w:hint="eastAsia" w:ascii="仿宋" w:hAnsi="仿宋" w:eastAsia="仿宋"/>
          <w:color w:val="000000"/>
          <w:sz w:val="24"/>
          <w:highlight w:val="none"/>
        </w:rPr>
        <w:t xml:space="preserve">石井净水厂地块控制性详细规划调整及专题评估 </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lang w:val="en-US" w:eastAsia="zh-CN"/>
          <w14:textFill>
            <w14:solidFill>
              <w14:schemeClr w14:val="tx1"/>
            </w14:solidFill>
          </w14:textFill>
        </w:rPr>
        <w:t>广州市净水有限公司</w:t>
      </w:r>
      <w:r>
        <w:rPr>
          <w:rFonts w:hint="eastAsia" w:ascii="仿宋" w:hAnsi="仿宋" w:eastAsia="仿宋" w:cs="STSong-Light"/>
          <w:color w:val="000000" w:themeColor="text1"/>
          <w:kern w:val="0"/>
          <w:sz w:val="32"/>
          <w:szCs w:val="32"/>
          <w:highlight w:val="none"/>
          <w14:textFill>
            <w14:solidFill>
              <w14:schemeClr w14:val="tx1"/>
            </w14:solidFill>
          </w14:textFill>
        </w:rPr>
        <w:t>石井净水厂地块控制性详细规划调整及专题评估 的承包单位，承包</w:t>
      </w:r>
      <w:r>
        <w:rPr>
          <w:rFonts w:hint="eastAsia" w:ascii="仿宋" w:hAnsi="仿宋" w:eastAsia="仿宋" w:cs="STSong-Light"/>
          <w:color w:val="000000" w:themeColor="text1"/>
          <w:kern w:val="0"/>
          <w:sz w:val="32"/>
          <w:szCs w:val="32"/>
          <w14:textFill>
            <w14:solidFill>
              <w14:schemeClr w14:val="tx1"/>
            </w14:solidFill>
          </w14:textFill>
        </w:rPr>
        <w:t>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7"/>
        <w:numPr>
          <w:ilvl w:val="0"/>
          <w:numId w:val="3"/>
        </w:numPr>
        <w:rPr>
          <w:rFonts w:hint="eastAsia"/>
          <w:highlight w:val="none"/>
        </w:rPr>
      </w:pPr>
      <w:r>
        <w:rPr>
          <w:rFonts w:hint="eastAsia"/>
          <w:highlight w:val="none"/>
        </w:rPr>
        <w:t>合同书格式</w:t>
      </w: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numPr>
          <w:ilvl w:val="0"/>
          <w:numId w:val="0"/>
        </w:numPr>
        <w:rPr>
          <w:rFonts w:hint="eastAsia"/>
          <w:highlight w:val="none"/>
        </w:rPr>
      </w:pPr>
    </w:p>
    <w:p>
      <w:pPr>
        <w:rPr>
          <w:rFonts w:ascii="仿宋_GB2312" w:hAnsi="仿宋_GB2312" w:eastAsia="仿宋_GB2312" w:cs="仿宋_GB2312"/>
          <w:sz w:val="28"/>
          <w:szCs w:val="28"/>
        </w:rPr>
      </w:pPr>
    </w:p>
    <w:p>
      <w:pPr>
        <w:ind w:firstLine="228" w:firstLineChars="95"/>
        <w:rPr>
          <w:rFonts w:ascii="宋体" w:hAnsi="宋体"/>
          <w:color w:val="000000"/>
          <w:sz w:val="24"/>
        </w:rPr>
      </w:pP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 ：</w:t>
      </w:r>
      <w:r>
        <w:rPr>
          <w:rFonts w:hint="eastAsia" w:ascii="宋体" w:hAnsi="宋体" w:cs="宋体"/>
          <w:color w:val="000000"/>
          <w:sz w:val="24"/>
          <w:szCs w:val="24"/>
          <w:u w:val="single"/>
        </w:rPr>
        <w:t>广州市</w:t>
      </w:r>
      <w:r>
        <w:rPr>
          <w:rFonts w:hint="eastAsia" w:ascii="宋体" w:hAnsi="宋体" w:cs="宋体"/>
          <w:bCs/>
          <w:color w:val="000000"/>
          <w:sz w:val="24"/>
          <w:szCs w:val="24"/>
          <w:u w:val="singl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 ：</w:t>
      </w:r>
    </w:p>
    <w:p>
      <w:pPr>
        <w:adjustRightInd w:val="0"/>
        <w:spacing w:line="360" w:lineRule="auto"/>
        <w:ind w:firstLine="228" w:firstLineChars="95"/>
        <w:jc w:val="left"/>
        <w:textAlignment w:val="baseline"/>
        <w:rPr>
          <w:rFonts w:ascii="宋体" w:hAnsi="宋体" w:cs="宋体"/>
          <w:color w:val="000000"/>
          <w:sz w:val="24"/>
          <w:szCs w:val="24"/>
          <w:u w:val="single"/>
        </w:rPr>
      </w:pPr>
    </w:p>
    <w:p>
      <w:pPr>
        <w:pStyle w:val="9"/>
        <w:spacing w:line="360" w:lineRule="auto"/>
        <w:ind w:firstLine="480" w:firstLineChars="200"/>
        <w:rPr>
          <w:rFonts w:hAnsi="宋体" w:cs="宋体"/>
          <w:color w:val="000000"/>
          <w:sz w:val="24"/>
          <w:szCs w:val="24"/>
        </w:rPr>
      </w:pPr>
      <w:r>
        <w:rPr>
          <w:rFonts w:hint="eastAsia" w:hAnsi="宋体" w:cs="宋体"/>
          <w:color w:val="000000"/>
          <w:sz w:val="24"/>
          <w:szCs w:val="24"/>
        </w:rPr>
        <w:t>甲方</w:t>
      </w:r>
      <w:r>
        <w:rPr>
          <w:rFonts w:hint="eastAsia" w:hAnsi="宋体" w:cs="宋体"/>
          <w:color w:val="000000"/>
          <w:sz w:val="24"/>
          <w:szCs w:val="24"/>
          <w:lang w:val="en-US" w:eastAsia="zh-CN"/>
        </w:rPr>
        <w:t>就</w:t>
      </w:r>
      <w:r>
        <w:rPr>
          <w:rFonts w:hint="eastAsia" w:ascii="宋体" w:hAnsi="宋体" w:cs="宋体"/>
          <w:sz w:val="24"/>
          <w:szCs w:val="24"/>
          <w:highlight w:val="none"/>
          <w:u w:val="single"/>
        </w:rPr>
        <w:t>石井净水厂地块控制性详细规划调整及专题评估</w:t>
      </w:r>
      <w:r>
        <w:rPr>
          <w:rFonts w:hint="eastAsia" w:hAnsi="宋体" w:cs="宋体"/>
          <w:sz w:val="24"/>
          <w:szCs w:val="24"/>
          <w:highlight w:val="none"/>
          <w:u w:val="single"/>
          <w:lang w:val="en-US" w:eastAsia="zh-CN"/>
        </w:rPr>
        <w:t>项目</w:t>
      </w:r>
      <w:r>
        <w:rPr>
          <w:rFonts w:hint="eastAsia" w:hAnsi="宋体" w:cs="宋体"/>
          <w:color w:val="000000"/>
          <w:sz w:val="24"/>
          <w:szCs w:val="24"/>
        </w:rPr>
        <w:t>委托乙方提供</w:t>
      </w:r>
      <w:r>
        <w:rPr>
          <w:rFonts w:hint="eastAsia" w:hAnsi="宋体" w:cs="宋体"/>
          <w:color w:val="000000"/>
          <w:sz w:val="24"/>
          <w:szCs w:val="24"/>
          <w:lang w:val="en-US" w:eastAsia="zh-CN"/>
        </w:rPr>
        <w:t>相应工作</w:t>
      </w:r>
      <w:r>
        <w:rPr>
          <w:rFonts w:hint="eastAsia" w:hAnsi="宋体" w:cs="宋体"/>
          <w:color w:val="000000"/>
          <w:sz w:val="24"/>
          <w:szCs w:val="24"/>
        </w:rPr>
        <w:t>成果。经双方协商一致，签订本合同。</w:t>
      </w:r>
    </w:p>
    <w:p>
      <w:pPr>
        <w:adjustRightInd w:val="0"/>
        <w:spacing w:line="360" w:lineRule="auto"/>
        <w:jc w:val="left"/>
        <w:textAlignment w:val="baseline"/>
        <w:rPr>
          <w:rFonts w:ascii="宋体" w:hAnsi="宋体" w:cs="宋体"/>
          <w:b/>
          <w:color w:val="000000"/>
          <w:sz w:val="24"/>
          <w:szCs w:val="24"/>
        </w:rPr>
      </w:pPr>
      <w:r>
        <w:rPr>
          <w:rFonts w:hint="eastAsia" w:ascii="宋体" w:hAnsi="宋体" w:cs="宋体"/>
          <w:b/>
          <w:bCs/>
          <w:color w:val="000000"/>
          <w:sz w:val="24"/>
          <w:szCs w:val="24"/>
        </w:rPr>
        <w:t>第一条</w:t>
      </w:r>
      <w:r>
        <w:rPr>
          <w:rFonts w:hint="eastAsia" w:ascii="宋体" w:hAnsi="宋体" w:cs="宋体"/>
          <w:b/>
          <w:color w:val="000000"/>
          <w:sz w:val="24"/>
          <w:szCs w:val="24"/>
        </w:rPr>
        <w:t xml:space="preserve">  签订依据 </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1.1《中华人民共和国民法典》、《中华人民共和国城乡规划法》、《中华人民共和国建筑法》、《建设工程勘察设计管理条例》、《广州市城乡规划条例》</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1.2 国家及地方有关规划、建设工程勘察设计管理法规和规章。</w:t>
      </w:r>
    </w:p>
    <w:p>
      <w:pPr>
        <w:overflowPunct w:val="0"/>
        <w:adjustRightInd w:val="0"/>
        <w:spacing w:line="360" w:lineRule="auto"/>
        <w:ind w:firstLine="480" w:firstLineChars="200"/>
        <w:jc w:val="left"/>
        <w:textAlignment w:val="baseline"/>
        <w:rPr>
          <w:rFonts w:ascii="宋体" w:hAnsi="宋体" w:cs="宋体"/>
          <w:color w:val="000000"/>
          <w:sz w:val="24"/>
          <w:szCs w:val="24"/>
          <w:highlight w:val="none"/>
        </w:rPr>
      </w:pPr>
      <w:r>
        <w:rPr>
          <w:rFonts w:hint="eastAsia" w:ascii="宋体" w:hAnsi="宋体" w:cs="宋体"/>
          <w:color w:val="auto"/>
          <w:sz w:val="24"/>
          <w:szCs w:val="24"/>
          <w:highlight w:val="none"/>
        </w:rPr>
        <w:t>1.3 建设工程批准文件。</w:t>
      </w:r>
    </w:p>
    <w:p>
      <w:pPr>
        <w:pStyle w:val="24"/>
        <w:rPr>
          <w:rFonts w:hAnsi="宋体"/>
        </w:rPr>
      </w:pP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第二条  编制依据</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2.1甲方给乙方的委托通知书</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2.2甲方提交的基础资料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2.3 乙方采用的主要技术标准包括但不限于：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《城市规划编制办法》</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《城市用地分类与规划建设用地标准》（GBJ137-2011）</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《村镇规划标准》（GB50188-93）</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《城市居住区规划设计规范》（GB50180-93)</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《城市道路交通规划设计规范》（GB50220-95)</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上述规范如有更新的，以最新版本为准。</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第三条  合同文件的优先次序</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3.1合同书</w:t>
      </w:r>
    </w:p>
    <w:p>
      <w:pPr>
        <w:adjustRightInd w:val="0"/>
        <w:spacing w:line="360" w:lineRule="auto"/>
        <w:ind w:firstLine="480" w:firstLineChars="200"/>
        <w:jc w:val="left"/>
        <w:textAlignment w:val="baseline"/>
        <w:rPr>
          <w:rFonts w:ascii="宋体" w:hAnsi="宋体" w:cs="宋体"/>
          <w:color w:val="000000"/>
          <w:sz w:val="24"/>
          <w:szCs w:val="24"/>
          <w:shd w:val="pct10" w:color="auto" w:fill="FFFFFF"/>
        </w:rPr>
      </w:pPr>
      <w:r>
        <w:rPr>
          <w:rFonts w:hint="eastAsia" w:ascii="宋体" w:hAnsi="宋体" w:cs="宋体"/>
          <w:color w:val="000000"/>
          <w:sz w:val="24"/>
          <w:szCs w:val="24"/>
        </w:rPr>
        <w:t>3.2发包通知书</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3.3 甲方的要求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3.4技术规范</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 xml:space="preserve">第四条  </w:t>
      </w:r>
      <w:r>
        <w:rPr>
          <w:rFonts w:hint="eastAsia" w:ascii="宋体" w:hAnsi="宋体" w:cs="宋体"/>
          <w:b/>
          <w:bCs/>
          <w:color w:val="000000"/>
          <w:sz w:val="24"/>
          <w:szCs w:val="24"/>
          <w:lang w:val="en-US" w:eastAsia="zh-CN"/>
        </w:rPr>
        <w:t>项目</w:t>
      </w:r>
      <w:r>
        <w:rPr>
          <w:rFonts w:hint="eastAsia" w:ascii="宋体" w:hAnsi="宋体" w:cs="宋体"/>
          <w:b/>
          <w:bCs/>
          <w:color w:val="000000"/>
          <w:sz w:val="24"/>
          <w:szCs w:val="24"/>
        </w:rPr>
        <w:t>概况</w:t>
      </w:r>
    </w:p>
    <w:p>
      <w:pPr>
        <w:adjustRightInd w:val="0"/>
        <w:spacing w:line="360" w:lineRule="auto"/>
        <w:ind w:left="1" w:firstLine="480" w:firstLineChars="200"/>
        <w:jc w:val="left"/>
        <w:textAlignment w:val="baseline"/>
        <w:rPr>
          <w:rFonts w:hint="eastAsia" w:ascii="宋体" w:hAnsi="宋体" w:cs="宋体"/>
          <w:sz w:val="24"/>
          <w:szCs w:val="24"/>
          <w:highlight w:val="none"/>
        </w:rPr>
      </w:pPr>
      <w:r>
        <w:rPr>
          <w:rFonts w:hint="eastAsia" w:ascii="宋体" w:hAnsi="宋体" w:cs="宋体"/>
          <w:sz w:val="24"/>
          <w:szCs w:val="24"/>
          <w:highlight w:val="none"/>
          <w:lang w:val="en-US" w:eastAsia="zh-CN"/>
        </w:rPr>
        <w:t>项目</w:t>
      </w:r>
      <w:r>
        <w:rPr>
          <w:rFonts w:hint="eastAsia" w:ascii="宋体" w:hAnsi="宋体" w:cs="宋体"/>
          <w:sz w:val="24"/>
          <w:szCs w:val="24"/>
          <w:highlight w:val="none"/>
        </w:rPr>
        <w:t>名称：</w:t>
      </w:r>
      <w:r>
        <w:rPr>
          <w:rFonts w:hint="eastAsia" w:ascii="宋体" w:hAnsi="宋体" w:cs="宋体"/>
          <w:sz w:val="24"/>
          <w:szCs w:val="24"/>
          <w:highlight w:val="none"/>
          <w:u w:val="single"/>
        </w:rPr>
        <w:t xml:space="preserve"> 石井净水厂地块控制性详细规划调整及专题评估</w:t>
      </w:r>
      <w:r>
        <w:rPr>
          <w:rFonts w:hint="eastAsia" w:ascii="宋体" w:hAnsi="宋体" w:cs="宋体"/>
          <w:sz w:val="24"/>
          <w:szCs w:val="24"/>
          <w:highlight w:val="none"/>
        </w:rPr>
        <w:t>。</w:t>
      </w:r>
    </w:p>
    <w:p>
      <w:pPr>
        <w:adjustRightInd w:val="0"/>
        <w:spacing w:line="360" w:lineRule="auto"/>
        <w:ind w:left="1" w:firstLine="480" w:firstLineChars="200"/>
        <w:jc w:val="left"/>
        <w:textAlignment w:val="baseline"/>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项目地点：</w:t>
      </w:r>
      <w:r>
        <w:rPr>
          <w:rFonts w:hint="eastAsia" w:asciiTheme="minorEastAsia" w:hAnsiTheme="minorEastAsia" w:eastAsiaTheme="minorEastAsia" w:cstheme="minorEastAsia"/>
          <w:color w:val="auto"/>
          <w:sz w:val="24"/>
          <w:szCs w:val="24"/>
          <w:u w:val="single"/>
        </w:rPr>
        <w:t xml:space="preserve">  本项目地块位于白云区张村社区。</w:t>
      </w:r>
    </w:p>
    <w:p>
      <w:pPr>
        <w:adjustRightInd w:val="0"/>
        <w:spacing w:line="360" w:lineRule="auto"/>
        <w:ind w:left="1" w:firstLine="480" w:firstLineChars="200"/>
        <w:jc w:val="left"/>
        <w:textAlignment w:val="baseline"/>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用地面积：</w:t>
      </w:r>
      <w:r>
        <w:rPr>
          <w:rFonts w:hint="eastAsia" w:asciiTheme="minorEastAsia" w:hAnsiTheme="minorEastAsia" w:eastAsiaTheme="minorEastAsia" w:cstheme="minorEastAsia"/>
          <w:color w:val="auto"/>
          <w:sz w:val="24"/>
          <w:szCs w:val="24"/>
          <w:u w:val="single"/>
        </w:rPr>
        <w:t xml:space="preserve">  本项目地块用地面积14.68公顷；控规调整涉及AB2715规划管理单元，总用地面积为123.36公顷。 </w:t>
      </w:r>
    </w:p>
    <w:p>
      <w:pPr>
        <w:adjustRightInd w:val="0"/>
        <w:spacing w:line="360" w:lineRule="auto"/>
        <w:ind w:left="1" w:firstLine="480" w:firstLineChars="20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建筑面积：</w:t>
      </w:r>
      <w:r>
        <w:rPr>
          <w:rFonts w:hint="eastAsia" w:asciiTheme="minorEastAsia" w:hAnsiTheme="minorEastAsia" w:eastAsiaTheme="minorEastAsia" w:cstheme="minorEastAsia"/>
          <w:color w:val="auto"/>
          <w:sz w:val="24"/>
          <w:szCs w:val="24"/>
          <w:u w:val="single"/>
        </w:rPr>
        <w:t xml:space="preserve">  以相关职能部门审批文件为准</w:t>
      </w:r>
      <w:r>
        <w:rPr>
          <w:rFonts w:hint="eastAsia" w:asciiTheme="minorEastAsia" w:hAnsiTheme="minorEastAsia" w:eastAsiaTheme="minorEastAsia" w:cstheme="minorEastAsia"/>
          <w:color w:val="auto"/>
          <w:sz w:val="24"/>
          <w:szCs w:val="24"/>
        </w:rPr>
        <w:t>。</w:t>
      </w:r>
    </w:p>
    <w:p>
      <w:pPr>
        <w:adjustRightInd w:val="0"/>
        <w:spacing w:line="360" w:lineRule="auto"/>
        <w:ind w:left="1" w:firstLine="480" w:firstLineChars="200"/>
        <w:jc w:val="left"/>
        <w:textAlignment w:val="baseline"/>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为盘活现有土地资源，拓宽产业领域盈利渠道，现对石井净水厂地块进行综合开发利用，拟按该地块综合开发方案，开展石井净水厂地块控规调整工作。结合市规</w:t>
      </w:r>
      <w:r>
        <w:rPr>
          <w:rFonts w:hint="eastAsia" w:asciiTheme="minorEastAsia" w:hAnsiTheme="minorEastAsia" w:cstheme="minorEastAsia"/>
          <w:color w:val="auto"/>
          <w:sz w:val="24"/>
          <w:szCs w:val="24"/>
          <w:highlight w:val="none"/>
          <w:u w:val="none"/>
          <w:lang w:val="en-US" w:eastAsia="zh-CN"/>
        </w:rPr>
        <w:t>划</w:t>
      </w:r>
      <w:r>
        <w:rPr>
          <w:rFonts w:hint="eastAsia" w:asciiTheme="minorEastAsia" w:hAnsiTheme="minorEastAsia" w:eastAsiaTheme="minorEastAsia" w:cstheme="minorEastAsia"/>
          <w:color w:val="auto"/>
          <w:sz w:val="24"/>
          <w:szCs w:val="24"/>
          <w:highlight w:val="none"/>
          <w:u w:val="none"/>
          <w:lang w:val="en-US" w:eastAsia="zh-CN"/>
        </w:rPr>
        <w:t>局要求，本次控规调整工作包含控规调整论证报告，以及对应规划调整所需的专题评估（如交通影响评估报告、环境影响篇章、市政设施影响评估报告等）内容。</w:t>
      </w:r>
      <w:r>
        <w:rPr>
          <w:rFonts w:hint="eastAsia" w:asciiTheme="minorEastAsia" w:hAnsiTheme="minorEastAsia" w:cstheme="minorEastAsia"/>
          <w:color w:val="auto"/>
          <w:sz w:val="24"/>
          <w:szCs w:val="24"/>
          <w:highlight w:val="none"/>
          <w:u w:val="none"/>
          <w:lang w:val="en-US" w:eastAsia="zh-CN"/>
        </w:rPr>
        <w:t>主要工作内容如下：</w:t>
      </w:r>
    </w:p>
    <w:p>
      <w:pPr>
        <w:adjustRightInd w:val="0"/>
        <w:spacing w:line="360" w:lineRule="auto"/>
        <w:ind w:firstLine="480" w:firstLineChars="200"/>
        <w:jc w:val="left"/>
        <w:textAlignment w:val="baseline"/>
        <w:outlineLvl w:val="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4.1控规调整论证</w:t>
      </w:r>
    </w:p>
    <w:p>
      <w:pPr>
        <w:adjustRightInd w:val="0"/>
        <w:spacing w:line="360" w:lineRule="auto"/>
        <w:ind w:firstLine="480" w:firstLineChars="200"/>
        <w:jc w:val="left"/>
        <w:textAlignment w:val="baseline"/>
        <w:outlineLvl w:val="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通过现场调研、资料搜集，对规划管理单元内的现状建设情况、规划审批情况、用地权属情况等进行摸查与分析，搜集整理涉及本规划管理单元的相关规划。根据要求，分析申请修改内容的可行性，并提出规划建议，编制规划管理单元控规导则调整方案。</w:t>
      </w:r>
    </w:p>
    <w:p>
      <w:pPr>
        <w:adjustRightInd w:val="0"/>
        <w:spacing w:line="360" w:lineRule="auto"/>
        <w:ind w:firstLine="480" w:firstLineChars="200"/>
        <w:jc w:val="left"/>
        <w:textAlignment w:val="baseline"/>
        <w:outlineLvl w:val="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4.2环境影响篇章</w:t>
      </w:r>
    </w:p>
    <w:p>
      <w:pPr>
        <w:adjustRightInd w:val="0"/>
        <w:spacing w:line="360" w:lineRule="auto"/>
        <w:ind w:firstLine="480" w:firstLineChars="200"/>
        <w:jc w:val="left"/>
        <w:textAlignment w:val="baseline"/>
        <w:outlineLvl w:val="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主要内容包含环境影响分析依据、现状调查与评价、环境影响预测与评价、环境影响减缓措施及相关图表等。</w:t>
      </w:r>
    </w:p>
    <w:p>
      <w:pPr>
        <w:adjustRightInd w:val="0"/>
        <w:spacing w:line="360" w:lineRule="auto"/>
        <w:ind w:firstLine="480" w:firstLineChars="200"/>
        <w:jc w:val="left"/>
        <w:textAlignment w:val="baseline"/>
        <w:outlineLvl w:val="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4.3交通影响评估报告</w:t>
      </w:r>
    </w:p>
    <w:p>
      <w:pPr>
        <w:adjustRightInd w:val="0"/>
        <w:spacing w:line="360" w:lineRule="auto"/>
        <w:ind w:firstLine="480" w:firstLineChars="200"/>
        <w:jc w:val="left"/>
        <w:textAlignment w:val="baseline"/>
        <w:outlineLvl w:val="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主要内容包括交通需求预测、交通承载力及影响评价，并提出交通优化方案及建议。</w:t>
      </w:r>
    </w:p>
    <w:p>
      <w:pPr>
        <w:adjustRightInd w:val="0"/>
        <w:spacing w:line="360" w:lineRule="auto"/>
        <w:ind w:firstLine="480" w:firstLineChars="200"/>
        <w:jc w:val="left"/>
        <w:textAlignment w:val="baseline"/>
        <w:outlineLvl w:val="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4.4市政基础设施影响评估报告</w:t>
      </w:r>
    </w:p>
    <w:p>
      <w:pPr>
        <w:adjustRightInd w:val="0"/>
        <w:spacing w:line="360" w:lineRule="auto"/>
        <w:ind w:firstLine="480" w:firstLineChars="200"/>
        <w:jc w:val="left"/>
        <w:textAlignment w:val="baseline"/>
        <w:outlineLvl w:val="0"/>
        <w:rPr>
          <w:rFonts w:ascii="宋体" w:hAnsi="宋体" w:cs="宋体"/>
          <w:color w:val="FF0000"/>
          <w:sz w:val="24"/>
          <w:szCs w:val="24"/>
          <w:highlight w:val="none"/>
          <w:shd w:val="clear" w:color="auto" w:fill="FFFFFF"/>
        </w:rPr>
      </w:pPr>
      <w:r>
        <w:rPr>
          <w:rFonts w:hint="eastAsia" w:ascii="宋体" w:hAnsi="宋体" w:cs="宋体"/>
          <w:color w:val="auto"/>
          <w:sz w:val="24"/>
          <w:szCs w:val="24"/>
          <w:highlight w:val="none"/>
          <w:shd w:val="clear" w:color="auto" w:fill="FFFFFF"/>
        </w:rPr>
        <w:t>主要对规划管理单元范围内的给水、污水、雨水、燃气、电力、通信等工程进行评估，分析市政工程对控规调整方案的影响因素以及管线能否承载新增建设量，并提出优化方案及建议。</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第五条 乙方向甲方交付资料及文件</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sz w:val="24"/>
          <w:szCs w:val="24"/>
        </w:rPr>
        <w:t>5.1本合同签订后，乙方应在3工作日内提交编制计划及参编人员名单。</w:t>
      </w:r>
      <w:r>
        <w:rPr>
          <w:rFonts w:hint="eastAsia" w:ascii="宋体" w:hAnsi="宋体" w:cs="宋体"/>
          <w:sz w:val="24"/>
          <w:szCs w:val="24"/>
          <w:lang w:val="en-US" w:eastAsia="zh-CN"/>
        </w:rPr>
        <w:t>合同执行中，</w:t>
      </w:r>
      <w:r>
        <w:rPr>
          <w:rFonts w:hint="eastAsia" w:ascii="宋体" w:hAnsi="宋体" w:cs="宋体"/>
          <w:sz w:val="24"/>
          <w:szCs w:val="24"/>
        </w:rPr>
        <w:t>乙方如需更换设计人员的，需征得甲方书面同意。</w:t>
      </w:r>
      <w:r>
        <w:rPr>
          <w:rFonts w:hint="eastAsia" w:ascii="宋体" w:hAnsi="宋体" w:cs="宋体"/>
          <w:color w:val="auto"/>
          <w:sz w:val="24"/>
          <w:szCs w:val="24"/>
          <w:highlight w:val="none"/>
        </w:rPr>
        <w:t>控规调整论证报告及专题评估报告(第一次成果)应</w:t>
      </w:r>
      <w:r>
        <w:rPr>
          <w:rFonts w:hint="eastAsia" w:ascii="宋体" w:hAnsi="宋体" w:cs="宋体"/>
          <w:color w:val="auto"/>
          <w:sz w:val="24"/>
          <w:szCs w:val="24"/>
          <w:highlight w:val="none"/>
          <w:lang w:eastAsia="zh-CN"/>
        </w:rPr>
        <w:t>按</w:t>
      </w:r>
      <w:r>
        <w:rPr>
          <w:rFonts w:hint="eastAsia" w:ascii="宋体" w:hAnsi="宋体" w:cs="宋体"/>
          <w:color w:val="auto"/>
          <w:sz w:val="24"/>
          <w:szCs w:val="24"/>
          <w:highlight w:val="none"/>
        </w:rPr>
        <w:t>编制</w:t>
      </w:r>
      <w:r>
        <w:rPr>
          <w:rFonts w:hint="eastAsia" w:ascii="宋体" w:hAnsi="宋体" w:cs="宋体"/>
          <w:color w:val="auto"/>
          <w:sz w:val="24"/>
          <w:szCs w:val="24"/>
          <w:highlight w:val="none"/>
          <w:lang w:eastAsia="zh-CN"/>
        </w:rPr>
        <w:t>计划所列时间</w:t>
      </w:r>
      <w:r>
        <w:rPr>
          <w:rFonts w:hint="eastAsia" w:ascii="宋体" w:hAnsi="宋体" w:cs="宋体"/>
          <w:color w:val="auto"/>
          <w:sz w:val="24"/>
          <w:szCs w:val="24"/>
          <w:highlight w:val="none"/>
        </w:rPr>
        <w:t>提交，用于甲方申请控规调整。</w:t>
      </w:r>
    </w:p>
    <w:p>
      <w:pPr>
        <w:adjustRightInd w:val="0"/>
        <w:spacing w:line="360" w:lineRule="auto"/>
        <w:ind w:firstLine="480" w:firstLineChars="200"/>
        <w:jc w:val="left"/>
        <w:textAlignment w:val="baseline"/>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rPr>
        <w:t>5.2自收到行政主管部门同意控规调整的书面意见之日起15日内，乙方向甲方交付正式的规划设计成果报告书（第二次成果），该成果用于规划和用地专题业务会审议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暂定</w:t>
      </w:r>
      <w:r>
        <w:rPr>
          <w:rFonts w:hint="eastAsia" w:ascii="宋体" w:hAnsi="宋体" w:cs="宋体"/>
          <w:color w:val="auto"/>
          <w:sz w:val="24"/>
          <w:szCs w:val="24"/>
          <w:highlight w:val="none"/>
        </w:rPr>
        <w:t>一式五份，电子光盘2份（未加密且可编辑格式）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具体以甲方通知为准</w:t>
      </w:r>
      <w:r>
        <w:rPr>
          <w:rFonts w:hint="eastAsia" w:ascii="宋体" w:hAnsi="宋体" w:cs="宋体"/>
          <w:color w:val="auto"/>
          <w:sz w:val="24"/>
          <w:szCs w:val="24"/>
          <w:highlight w:val="none"/>
          <w:lang w:eastAsia="zh-CN"/>
        </w:rPr>
        <w:t>。</w:t>
      </w:r>
    </w:p>
    <w:p>
      <w:pPr>
        <w:adjustRightInd w:val="0"/>
        <w:spacing w:line="360" w:lineRule="auto"/>
        <w:ind w:firstLine="480"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5.3自收到行政主管部门书面审查意见之日起15日内，乙方向甲方交付正式的最终</w:t>
      </w:r>
      <w:r>
        <w:rPr>
          <w:rFonts w:hint="eastAsia" w:ascii="宋体" w:hAnsi="宋体" w:cs="宋体"/>
          <w:color w:val="auto"/>
          <w:sz w:val="24"/>
          <w:szCs w:val="24"/>
          <w:highlight w:val="none"/>
          <w:lang w:eastAsia="zh-CN"/>
        </w:rPr>
        <w:t>规划</w:t>
      </w:r>
      <w:r>
        <w:rPr>
          <w:rFonts w:hint="eastAsia" w:ascii="宋体" w:hAnsi="宋体" w:cs="宋体"/>
          <w:color w:val="auto"/>
          <w:sz w:val="24"/>
          <w:szCs w:val="24"/>
          <w:highlight w:val="none"/>
        </w:rPr>
        <w:t>设计成果报告书（第三次成果），该成果用于报广州市城市规划委员会(以下简称“市规委会”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审议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暂定</w:t>
      </w:r>
      <w:r>
        <w:rPr>
          <w:rFonts w:hint="eastAsia" w:ascii="宋体" w:hAnsi="宋体" w:cs="宋体"/>
          <w:color w:val="auto"/>
          <w:sz w:val="24"/>
          <w:szCs w:val="24"/>
          <w:highlight w:val="none"/>
        </w:rPr>
        <w:t>一式十份，电子光盘2份（未加密且可编辑格式）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具体以甲方通知为准。</w:t>
      </w:r>
    </w:p>
    <w:p>
      <w:pPr>
        <w:adjustRightInd w:val="0"/>
        <w:spacing w:line="360" w:lineRule="auto"/>
        <w:ind w:firstLine="480" w:firstLineChars="200"/>
        <w:jc w:val="left"/>
        <w:textAlignment w:val="baseline"/>
        <w:rPr>
          <w:rFonts w:hint="eastAsia" w:ascii="宋体" w:hAnsi="宋体" w:cs="宋体"/>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4</w:t>
      </w:r>
      <w:r>
        <w:rPr>
          <w:rFonts w:hint="eastAsia" w:ascii="宋体" w:hAnsi="宋体" w:cs="宋体"/>
          <w:color w:val="auto"/>
          <w:sz w:val="24"/>
          <w:szCs w:val="24"/>
        </w:rPr>
        <w:t>乙方应配合甲方开展结算工作并提交结算的相关资料,若乙方在接到甲方通知后</w:t>
      </w:r>
      <w:r>
        <w:rPr>
          <w:rFonts w:hint="eastAsia" w:ascii="宋体" w:hAnsi="宋体" w:cs="宋体"/>
          <w:sz w:val="24"/>
          <w:szCs w:val="24"/>
        </w:rPr>
        <w:t>逾期超过30天未提交完整的结算资料和结算报告等，甲方有权单方自行结算，由此产生的一切责任由乙方承担。</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 xml:space="preserve">第六条 费用 </w:t>
      </w:r>
    </w:p>
    <w:p>
      <w:pPr>
        <w:adjustRightInd w:val="0"/>
        <w:spacing w:line="360" w:lineRule="auto"/>
        <w:ind w:firstLine="480" w:firstLineChars="200"/>
        <w:jc w:val="left"/>
        <w:textAlignment w:val="baseline"/>
        <w:rPr>
          <w:rFonts w:hint="eastAsia" w:ascii="宋体" w:hAnsi="宋体" w:cs="宋体"/>
          <w:sz w:val="24"/>
          <w:szCs w:val="24"/>
        </w:rPr>
      </w:pPr>
      <w:r>
        <w:rPr>
          <w:rFonts w:hint="eastAsia" w:ascii="宋体" w:hAnsi="宋体" w:cs="宋体"/>
          <w:sz w:val="24"/>
          <w:szCs w:val="24"/>
        </w:rPr>
        <w:t>6.1本合同总价包干</w:t>
      </w:r>
      <w:r>
        <w:rPr>
          <w:rFonts w:hint="eastAsia" w:ascii="宋体" w:hAnsi="宋体" w:cs="宋体"/>
          <w:sz w:val="24"/>
          <w:szCs w:val="24"/>
          <w:lang w:val="en-US" w:eastAsia="zh-CN"/>
        </w:rPr>
        <w:t>暂定</w:t>
      </w:r>
      <w:r>
        <w:rPr>
          <w:rFonts w:hint="eastAsia" w:ascii="宋体" w:hAnsi="宋体" w:cs="宋体"/>
          <w:sz w:val="24"/>
          <w:szCs w:val="24"/>
        </w:rPr>
        <w:t>为人民币XX万元（大写：人民币XXX）</w:t>
      </w:r>
      <w:r>
        <w:rPr>
          <w:rFonts w:hint="eastAsia" w:ascii="宋体" w:hAnsi="宋体" w:cs="宋体"/>
          <w:sz w:val="24"/>
          <w:szCs w:val="24"/>
          <w:lang w:eastAsia="zh-CN"/>
        </w:rPr>
        <w:t>，</w:t>
      </w:r>
      <w:r>
        <w:rPr>
          <w:rFonts w:hint="eastAsia" w:ascii="宋体" w:hAnsi="宋体" w:cs="宋体"/>
          <w:sz w:val="24"/>
          <w:szCs w:val="24"/>
          <w:lang w:val="en-US" w:eastAsia="zh-CN"/>
        </w:rPr>
        <w:t>含税率</w:t>
      </w:r>
      <w:r>
        <w:rPr>
          <w:rFonts w:hint="eastAsia" w:ascii="宋体" w:hAnsi="宋体" w:cs="宋体"/>
          <w:sz w:val="24"/>
          <w:szCs w:val="24"/>
        </w:rPr>
        <w:t>。甲、乙双方同意，对属于《广州市财政投资评审管理办法》评审范围的财政性资金投资项目，财政投资评审结果作为该项目价款结算的依据。</w:t>
      </w:r>
    </w:p>
    <w:p>
      <w:pPr>
        <w:adjustRightInd w:val="0"/>
        <w:spacing w:line="360" w:lineRule="auto"/>
        <w:ind w:firstLine="480" w:firstLineChars="200"/>
        <w:jc w:val="left"/>
        <w:textAlignment w:val="baseline"/>
        <w:rPr>
          <w:rFonts w:hint="eastAsia" w:ascii="宋体" w:hAnsi="宋体" w:cs="宋体"/>
          <w:sz w:val="24"/>
          <w:szCs w:val="24"/>
        </w:rPr>
      </w:pPr>
      <w:r>
        <w:rPr>
          <w:rFonts w:hint="eastAsia" w:ascii="宋体" w:hAnsi="宋体" w:cs="宋体"/>
          <w:sz w:val="24"/>
          <w:szCs w:val="24"/>
        </w:rPr>
        <w:t>6.2本合同采用总价包干，工作内容包括完成本合同项下的所有工作（包含但不限于报告编制和报审、现状展示视频制作及公示期间相关工作的配合）。</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第七条 支付方式</w:t>
      </w:r>
    </w:p>
    <w:p>
      <w:pPr>
        <w:adjustRightInd w:val="0"/>
        <w:spacing w:line="360" w:lineRule="auto"/>
        <w:ind w:firstLine="480" w:firstLineChars="200"/>
        <w:jc w:val="left"/>
        <w:textAlignment w:val="baseline"/>
        <w:rPr>
          <w:rFonts w:hint="eastAsia" w:ascii="宋体" w:hAnsi="宋体" w:cs="宋体"/>
          <w:sz w:val="24"/>
          <w:szCs w:val="24"/>
        </w:rPr>
      </w:pPr>
      <w:r>
        <w:rPr>
          <w:rFonts w:hint="eastAsia" w:ascii="宋体" w:hAnsi="宋体" w:cs="宋体"/>
          <w:sz w:val="24"/>
          <w:szCs w:val="24"/>
        </w:rPr>
        <w:t>7.1</w:t>
      </w:r>
      <w:r>
        <w:rPr>
          <w:rFonts w:hint="eastAsia" w:ascii="宋体" w:hAnsi="宋体" w:cs="宋体"/>
          <w:sz w:val="24"/>
          <w:szCs w:val="24"/>
          <w:lang w:val="en-US" w:eastAsia="zh-CN"/>
        </w:rPr>
        <w:t xml:space="preserve">.1 </w:t>
      </w:r>
      <w:r>
        <w:rPr>
          <w:rFonts w:hint="eastAsia" w:ascii="宋体" w:hAnsi="宋体" w:cs="宋体"/>
          <w:sz w:val="24"/>
          <w:szCs w:val="24"/>
        </w:rPr>
        <w:t>支付办法：本合同生效后，甲方按照</w:t>
      </w:r>
      <w:r>
        <w:rPr>
          <w:rFonts w:hint="eastAsia" w:ascii="宋体" w:hAnsi="宋体" w:cs="宋体"/>
          <w:sz w:val="24"/>
          <w:szCs w:val="24"/>
          <w:u w:val="single"/>
        </w:rPr>
        <w:t>《广州市</w:t>
      </w:r>
      <w:r>
        <w:rPr>
          <w:rFonts w:hint="eastAsia" w:ascii="宋体" w:hAnsi="宋体" w:cs="宋体"/>
          <w:sz w:val="24"/>
          <w:szCs w:val="24"/>
          <w:u w:val="single"/>
          <w:lang w:val="en-US" w:eastAsia="zh-CN"/>
        </w:rPr>
        <w:t>净水有限公司资金集中支付管理办法</w:t>
      </w:r>
      <w:r>
        <w:rPr>
          <w:rFonts w:hint="eastAsia" w:ascii="宋体" w:hAnsi="宋体" w:cs="宋体"/>
          <w:sz w:val="24"/>
          <w:szCs w:val="24"/>
          <w:u w:val="single"/>
        </w:rPr>
        <w:t>》（穗</w:t>
      </w:r>
      <w:r>
        <w:rPr>
          <w:rFonts w:hint="eastAsia" w:ascii="宋体" w:hAnsi="宋体" w:cs="宋体"/>
          <w:sz w:val="24"/>
          <w:szCs w:val="24"/>
          <w:u w:val="single"/>
          <w:lang w:val="en-US" w:eastAsia="zh-CN"/>
        </w:rPr>
        <w:t>净水</w:t>
      </w:r>
      <w:r>
        <w:rPr>
          <w:rFonts w:hint="eastAsia" w:ascii="宋体" w:hAnsi="宋体" w:cs="宋体"/>
          <w:sz w:val="24"/>
          <w:szCs w:val="24"/>
          <w:u w:val="single"/>
        </w:rPr>
        <w:t>[20</w:t>
      </w:r>
      <w:r>
        <w:rPr>
          <w:rFonts w:hint="eastAsia" w:ascii="宋体" w:hAnsi="宋体" w:cs="宋体"/>
          <w:sz w:val="24"/>
          <w:szCs w:val="24"/>
          <w:u w:val="single"/>
          <w:lang w:val="en-US" w:eastAsia="zh-CN"/>
        </w:rPr>
        <w:t>15</w:t>
      </w:r>
      <w:r>
        <w:rPr>
          <w:rFonts w:hint="eastAsia" w:ascii="宋体" w:hAnsi="宋体" w:cs="宋体"/>
          <w:sz w:val="24"/>
          <w:szCs w:val="24"/>
          <w:u w:val="single"/>
        </w:rPr>
        <w:t>]</w:t>
      </w:r>
      <w:r>
        <w:rPr>
          <w:rFonts w:hint="eastAsia" w:ascii="宋体" w:hAnsi="宋体" w:cs="宋体"/>
          <w:sz w:val="24"/>
          <w:szCs w:val="24"/>
          <w:u w:val="single"/>
          <w:lang w:val="en-US" w:eastAsia="zh-CN"/>
        </w:rPr>
        <w:t>278</w:t>
      </w:r>
      <w:r>
        <w:rPr>
          <w:rFonts w:hint="eastAsia" w:ascii="宋体" w:hAnsi="宋体" w:cs="宋体"/>
          <w:sz w:val="24"/>
          <w:szCs w:val="24"/>
          <w:u w:val="single"/>
        </w:rPr>
        <w:t>号）（见附件1）</w:t>
      </w:r>
      <w:r>
        <w:rPr>
          <w:rFonts w:hint="eastAsia" w:ascii="宋体" w:hAnsi="宋体" w:cs="宋体"/>
          <w:sz w:val="24"/>
          <w:szCs w:val="24"/>
          <w:u w:val="single"/>
          <w:lang w:val="en-US" w:eastAsia="zh-CN"/>
        </w:rPr>
        <w:t>的</w:t>
      </w:r>
      <w:r>
        <w:rPr>
          <w:rFonts w:hint="eastAsia" w:ascii="宋体" w:hAnsi="宋体" w:cs="宋体"/>
          <w:sz w:val="24"/>
          <w:szCs w:val="24"/>
        </w:rPr>
        <w:t>操作程序，向乙方支付</w:t>
      </w:r>
      <w:r>
        <w:rPr>
          <w:rFonts w:hint="eastAsia" w:ascii="宋体" w:hAnsi="宋体" w:cs="宋体"/>
          <w:sz w:val="24"/>
          <w:szCs w:val="24"/>
          <w:lang w:val="en-US" w:eastAsia="zh-CN"/>
        </w:rPr>
        <w:t>合同费用</w:t>
      </w:r>
      <w:r>
        <w:rPr>
          <w:rFonts w:hint="eastAsia" w:ascii="宋体" w:hAnsi="宋体" w:cs="宋体"/>
          <w:sz w:val="24"/>
          <w:szCs w:val="24"/>
        </w:rPr>
        <w:t>。</w:t>
      </w:r>
    </w:p>
    <w:p>
      <w:pPr>
        <w:pStyle w:val="24"/>
        <w:ind w:firstLine="480" w:firstLineChars="200"/>
        <w:rPr>
          <w:rFonts w:hint="eastAsia" w:asciiTheme="minorEastAsia" w:hAnsiTheme="minorEastAsia" w:eastAsiaTheme="minorEastAsia" w:cstheme="minorEastAsia"/>
          <w:sz w:val="24"/>
          <w:szCs w:val="24"/>
          <w:lang w:val="en-US" w:eastAsia="zh-CN"/>
        </w:rPr>
      </w:pPr>
      <w:r>
        <w:rPr>
          <w:rFonts w:hint="eastAsia" w:hAnsi="宋体" w:cs="宋体"/>
          <w:sz w:val="24"/>
          <w:szCs w:val="24"/>
          <w:lang w:val="en-US" w:eastAsia="zh-CN"/>
        </w:rPr>
        <w:t xml:space="preserve">7.1.2 </w:t>
      </w:r>
      <w:r>
        <w:rPr>
          <w:rFonts w:hint="eastAsia" w:asciiTheme="minorEastAsia" w:hAnsiTheme="minorEastAsia" w:eastAsiaTheme="minorEastAsia" w:cstheme="minorEastAsia"/>
          <w:sz w:val="24"/>
          <w:szCs w:val="24"/>
          <w:lang w:val="en-US" w:eastAsia="zh-CN"/>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720" w:firstLineChars="300"/>
        <w:rPr>
          <w:rFonts w:ascii="宋体" w:hAnsi="宋体" w:cs="宋体"/>
          <w:sz w:val="24"/>
        </w:rPr>
      </w:pP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pStyle w:val="24"/>
        <w:ind w:firstLine="960" w:firstLineChars="4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rPr>
        <w:t>地址：</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7.2 本合同生效后，乙方向甲方提出定金支付申请，甲方向乙方支付合同包干价的20％作为定金，计</w:t>
      </w:r>
      <w:r>
        <w:rPr>
          <w:rFonts w:hint="eastAsia" w:ascii="宋体" w:hAnsi="宋体" w:cs="宋体"/>
          <w:sz w:val="24"/>
          <w:szCs w:val="24"/>
          <w:u w:val="single"/>
          <w:lang w:val="en-US" w:eastAsia="zh-CN"/>
        </w:rPr>
        <w:t xml:space="preserve">     </w:t>
      </w:r>
      <w:r>
        <w:rPr>
          <w:rFonts w:hint="eastAsia" w:ascii="宋体" w:hAnsi="宋体" w:cs="宋体"/>
          <w:sz w:val="24"/>
          <w:szCs w:val="24"/>
        </w:rPr>
        <w:t>万元。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 乙方应于当月20日前将工程支付申请书一式四份报送给甲方，规划设计费按照以下方式予以支付：</w:t>
      </w:r>
    </w:p>
    <w:p>
      <w:pPr>
        <w:adjustRightInd w:val="0"/>
        <w:spacing w:line="360" w:lineRule="auto"/>
        <w:ind w:firstLine="480"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7.3.1 </w:t>
      </w:r>
      <w:r>
        <w:rPr>
          <w:rFonts w:hint="eastAsia" w:ascii="宋体" w:hAnsi="宋体" w:cs="宋体" w:eastAsiaTheme="minorEastAsia"/>
          <w:color w:val="auto"/>
          <w:kern w:val="2"/>
          <w:sz w:val="24"/>
          <w:szCs w:val="24"/>
          <w:highlight w:val="none"/>
          <w:lang w:val="en-US" w:eastAsia="zh-CN" w:bidi="ar-SA"/>
        </w:rPr>
        <w:t>乙方提交本合同5.2所述规划设计成果报告书（第二次成果）至规划和用地专题业务会审议，并取得最终意见后，甲方向乙方支付至合同包干价的60%（含定金）。</w:t>
      </w:r>
      <w:r>
        <w:rPr>
          <w:rFonts w:hint="eastAsia" w:ascii="宋体" w:hAnsi="宋体" w:cs="宋体"/>
          <w:color w:val="auto"/>
          <w:sz w:val="24"/>
          <w:szCs w:val="24"/>
          <w:highlight w:val="none"/>
        </w:rPr>
        <w:t xml:space="preserve"> </w:t>
      </w:r>
    </w:p>
    <w:p>
      <w:pPr>
        <w:overflowPunct w:val="0"/>
        <w:adjustRightInd w:val="0"/>
        <w:spacing w:line="360" w:lineRule="auto"/>
        <w:ind w:firstLine="480" w:firstLineChars="200"/>
        <w:jc w:val="left"/>
        <w:textAlignment w:val="baseline"/>
        <w:rPr>
          <w:rFonts w:hint="eastAsia" w:ascii="宋体" w:hAnsi="宋体" w:cs="宋体" w:eastAsiaTheme="minorEastAsia"/>
          <w:color w:val="FF0000"/>
          <w:kern w:val="2"/>
          <w:sz w:val="24"/>
          <w:szCs w:val="24"/>
          <w:highlight w:val="none"/>
          <w:lang w:val="en-US" w:eastAsia="zh-CN" w:bidi="ar-SA"/>
        </w:rPr>
      </w:pPr>
      <w:r>
        <w:rPr>
          <w:rFonts w:hint="eastAsia" w:ascii="宋体" w:hAnsi="宋体" w:cs="宋体"/>
          <w:color w:val="auto"/>
          <w:sz w:val="24"/>
          <w:szCs w:val="24"/>
          <w:highlight w:val="none"/>
        </w:rPr>
        <w:t xml:space="preserve">7.3.2 </w:t>
      </w:r>
      <w:r>
        <w:rPr>
          <w:rFonts w:hint="eastAsia" w:ascii="宋体" w:hAnsi="宋体" w:cs="宋体" w:eastAsiaTheme="minorEastAsia"/>
          <w:color w:val="auto"/>
          <w:kern w:val="2"/>
          <w:sz w:val="24"/>
          <w:szCs w:val="24"/>
          <w:highlight w:val="none"/>
          <w:lang w:val="en-US" w:eastAsia="zh-CN" w:bidi="ar-SA"/>
        </w:rPr>
        <w:t>乙方提交本合同5.3所述</w:t>
      </w:r>
      <w:r>
        <w:rPr>
          <w:rFonts w:hint="eastAsia" w:ascii="宋体" w:hAnsi="宋体" w:cs="宋体"/>
          <w:color w:val="auto"/>
          <w:kern w:val="2"/>
          <w:sz w:val="24"/>
          <w:szCs w:val="24"/>
          <w:highlight w:val="none"/>
          <w:lang w:val="en-US" w:eastAsia="zh-CN" w:bidi="ar-SA"/>
        </w:rPr>
        <w:t>最终</w:t>
      </w:r>
      <w:r>
        <w:rPr>
          <w:rFonts w:hint="eastAsia" w:ascii="宋体" w:hAnsi="宋体" w:cs="宋体" w:eastAsiaTheme="minorEastAsia"/>
          <w:color w:val="auto"/>
          <w:kern w:val="2"/>
          <w:sz w:val="24"/>
          <w:szCs w:val="24"/>
          <w:highlight w:val="none"/>
          <w:lang w:val="en-US" w:eastAsia="zh-CN" w:bidi="ar-SA"/>
        </w:rPr>
        <w:t>规划设计成果报告书（第三次成果）并取得</w:t>
      </w:r>
      <w:r>
        <w:rPr>
          <w:rFonts w:hint="eastAsia" w:ascii="宋体" w:hAnsi="宋体" w:cs="宋体"/>
          <w:color w:val="auto"/>
          <w:sz w:val="24"/>
          <w:szCs w:val="24"/>
          <w:highlight w:val="none"/>
        </w:rPr>
        <w:t>市规委会</w:t>
      </w:r>
      <w:r>
        <w:rPr>
          <w:rFonts w:hint="eastAsia" w:ascii="宋体" w:hAnsi="宋体" w:cs="宋体" w:eastAsiaTheme="minorEastAsia"/>
          <w:color w:val="auto"/>
          <w:kern w:val="2"/>
          <w:sz w:val="24"/>
          <w:szCs w:val="24"/>
          <w:highlight w:val="none"/>
          <w:lang w:val="en-US" w:eastAsia="zh-CN" w:bidi="ar-SA"/>
        </w:rPr>
        <w:t>书面同意意见后，甲方向乙方支付至合同包干价的80%（含定金）。</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7.3.3对属于《广州市财政投资评审管理办法》评审范围的财政性资金投资项目，财政投资评审结果作为该项目价款结算的依据，甲方按照评审结果全额支付。如甲方实际支付的费</w:t>
      </w:r>
      <w:r>
        <w:rPr>
          <w:rFonts w:hint="eastAsia" w:ascii="宋体" w:hAnsi="宋体" w:cs="宋体"/>
          <w:sz w:val="24"/>
          <w:szCs w:val="24"/>
          <w:lang w:val="en-US" w:eastAsia="zh-CN"/>
        </w:rPr>
        <w:t>用</w:t>
      </w:r>
      <w:r>
        <w:rPr>
          <w:rFonts w:hint="eastAsia" w:ascii="宋体" w:hAnsi="宋体" w:cs="宋体"/>
          <w:sz w:val="24"/>
          <w:szCs w:val="24"/>
        </w:rPr>
        <w:t>超过财政投资评审结算价的，乙方应当在财政投资评审结算完毕之日起30日内向甲方退还超支费</w:t>
      </w:r>
      <w:r>
        <w:rPr>
          <w:rFonts w:hint="eastAsia" w:ascii="宋体" w:hAnsi="宋体" w:cs="宋体"/>
          <w:sz w:val="24"/>
          <w:szCs w:val="24"/>
          <w:lang w:val="en-US" w:eastAsia="zh-CN"/>
        </w:rPr>
        <w:t>用</w:t>
      </w:r>
      <w:r>
        <w:rPr>
          <w:rFonts w:hint="eastAsia" w:ascii="宋体" w:hAnsi="宋体" w:cs="宋体"/>
          <w:sz w:val="24"/>
          <w:szCs w:val="24"/>
        </w:rPr>
        <w:t>。乙方迟延退还的，每逾期一天按超支费</w:t>
      </w:r>
      <w:r>
        <w:rPr>
          <w:rFonts w:hint="eastAsia" w:ascii="宋体" w:hAnsi="宋体" w:cs="宋体"/>
          <w:sz w:val="24"/>
          <w:szCs w:val="24"/>
          <w:lang w:val="en-US" w:eastAsia="zh-CN"/>
        </w:rPr>
        <w:t>用</w:t>
      </w:r>
      <w:r>
        <w:rPr>
          <w:rFonts w:hint="eastAsia" w:ascii="宋体" w:hAnsi="宋体" w:cs="宋体"/>
          <w:sz w:val="24"/>
          <w:szCs w:val="24"/>
        </w:rPr>
        <w:t>的三倍银行同期储蓄利率向甲方支付利息。</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7.3.4</w:t>
      </w:r>
      <w:r>
        <w:rPr>
          <w:rFonts w:hint="eastAsia" w:ascii="宋体" w:hAnsi="宋体"/>
          <w:sz w:val="24"/>
          <w:szCs w:val="24"/>
        </w:rPr>
        <w:t>如合同项目非</w:t>
      </w:r>
      <w:r>
        <w:rPr>
          <w:rFonts w:hint="eastAsia" w:ascii="宋体" w:hAnsi="宋体"/>
          <w:sz w:val="24"/>
          <w:szCs w:val="24"/>
          <w:lang w:val="en-US" w:eastAsia="zh-CN"/>
        </w:rPr>
        <w:t>财政性资金投资项目</w:t>
      </w:r>
      <w:r>
        <w:rPr>
          <w:rFonts w:hint="eastAsia" w:ascii="宋体" w:hAnsi="宋体"/>
          <w:sz w:val="24"/>
          <w:szCs w:val="24"/>
        </w:rPr>
        <w:t>，待相关部门终审结算后，甲方支付至合同结算价的100%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7.4双方委托银行代付代收有关费用。</w:t>
      </w:r>
    </w:p>
    <w:p>
      <w:pPr>
        <w:adjustRightInd w:val="0"/>
        <w:spacing w:line="360" w:lineRule="auto"/>
        <w:ind w:firstLine="480" w:firstLineChars="200"/>
        <w:jc w:val="left"/>
        <w:textAlignment w:val="baseline"/>
        <w:rPr>
          <w:color w:val="FF0000"/>
        </w:rPr>
      </w:pPr>
      <w:r>
        <w:rPr>
          <w:rFonts w:hint="eastAsia" w:ascii="宋体" w:hAnsi="宋体" w:cs="宋体"/>
          <w:color w:val="auto"/>
          <w:sz w:val="24"/>
          <w:szCs w:val="24"/>
        </w:rPr>
        <w:t>7.5乙方</w:t>
      </w:r>
      <w:r>
        <w:rPr>
          <w:rFonts w:hint="eastAsia" w:ascii="宋体" w:hAnsi="宋体"/>
          <w:color w:val="auto"/>
          <w:sz w:val="24"/>
          <w:szCs w:val="24"/>
        </w:rPr>
        <w:t>在收取每一笔合同费用前，需向甲方提供等额有效的增值税</w:t>
      </w:r>
      <w:r>
        <w:rPr>
          <w:rFonts w:hint="eastAsia" w:ascii="宋体" w:hAnsi="宋体"/>
          <w:color w:val="auto"/>
          <w:sz w:val="24"/>
          <w:szCs w:val="24"/>
          <w:lang w:val="en-US" w:eastAsia="zh-CN"/>
        </w:rPr>
        <w:t>专用</w:t>
      </w:r>
      <w:r>
        <w:rPr>
          <w:rFonts w:hint="eastAsia" w:ascii="宋体" w:hAnsi="宋体"/>
          <w:color w:val="auto"/>
          <w:sz w:val="24"/>
          <w:szCs w:val="24"/>
        </w:rPr>
        <w:t>发票。</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第八条 双方责任</w:t>
      </w:r>
    </w:p>
    <w:p>
      <w:pPr>
        <w:spacing w:line="360" w:lineRule="auto"/>
        <w:ind w:firstLine="482" w:firstLineChars="200"/>
        <w:rPr>
          <w:rFonts w:ascii="宋体" w:hAnsi="宋体" w:cs="宋体"/>
          <w:sz w:val="24"/>
          <w:szCs w:val="24"/>
        </w:rPr>
      </w:pPr>
      <w:r>
        <w:rPr>
          <w:rFonts w:hint="eastAsia" w:ascii="宋体" w:hAnsi="宋体" w:cs="宋体"/>
          <w:b/>
          <w:bCs/>
          <w:sz w:val="24"/>
          <w:szCs w:val="24"/>
        </w:rPr>
        <w:t>8.1甲方责任</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8.1.</w:t>
      </w:r>
      <w:r>
        <w:rPr>
          <w:rFonts w:hint="eastAsia" w:ascii="宋体" w:hAnsi="宋体" w:cs="宋体"/>
          <w:sz w:val="24"/>
          <w:szCs w:val="24"/>
          <w:lang w:val="en-US" w:eastAsia="zh-CN"/>
        </w:rPr>
        <w:t>1</w:t>
      </w:r>
      <w:r>
        <w:rPr>
          <w:rFonts w:hint="eastAsia" w:ascii="宋体" w:hAnsi="宋体" w:cs="宋体"/>
          <w:sz w:val="24"/>
          <w:szCs w:val="24"/>
        </w:rPr>
        <w:t>在合同履行期间，已开始编制工作，</w:t>
      </w:r>
      <w:r>
        <w:rPr>
          <w:rFonts w:hint="eastAsia" w:ascii="宋体" w:hAnsi="宋体" w:cs="宋体"/>
          <w:sz w:val="24"/>
          <w:szCs w:val="24"/>
          <w:lang w:val="en-US" w:eastAsia="zh-CN"/>
        </w:rPr>
        <w:t>非乙方原因</w:t>
      </w:r>
      <w:r>
        <w:rPr>
          <w:rFonts w:hint="eastAsia" w:ascii="宋体" w:hAnsi="宋体" w:cs="宋体"/>
          <w:sz w:val="24"/>
          <w:szCs w:val="24"/>
        </w:rPr>
        <w:t>甲方要求</w:t>
      </w:r>
      <w:r>
        <w:rPr>
          <w:rFonts w:hint="eastAsia" w:ascii="宋体" w:hAnsi="宋体" w:cs="宋体"/>
          <w:sz w:val="24"/>
          <w:szCs w:val="24"/>
          <w:lang w:val="en-US" w:eastAsia="zh-CN"/>
        </w:rPr>
        <w:t>终止或</w:t>
      </w:r>
      <w:r>
        <w:rPr>
          <w:rFonts w:hint="eastAsia" w:ascii="宋体" w:hAnsi="宋体" w:cs="宋体"/>
          <w:sz w:val="24"/>
          <w:szCs w:val="24"/>
        </w:rPr>
        <w:t>解除合同</w:t>
      </w:r>
      <w:r>
        <w:rPr>
          <w:rFonts w:hint="eastAsia" w:ascii="宋体" w:hAnsi="宋体" w:cs="宋体"/>
          <w:sz w:val="24"/>
          <w:szCs w:val="24"/>
          <w:lang w:val="en-US" w:eastAsia="zh-CN"/>
        </w:rPr>
        <w:t>的</w:t>
      </w:r>
      <w:r>
        <w:rPr>
          <w:rFonts w:hint="eastAsia" w:ascii="宋体" w:hAnsi="宋体" w:cs="宋体"/>
          <w:sz w:val="24"/>
          <w:szCs w:val="24"/>
        </w:rPr>
        <w:t>，甲方根据乙方已进行的实际工作量按实进行结算，最高支付至合同</w:t>
      </w:r>
      <w:r>
        <w:rPr>
          <w:rFonts w:hint="eastAsia" w:ascii="宋体" w:hAnsi="宋体" w:cs="宋体"/>
          <w:sz w:val="24"/>
          <w:szCs w:val="24"/>
          <w:lang w:val="en-US" w:eastAsia="zh-CN"/>
        </w:rPr>
        <w:t>包干</w:t>
      </w:r>
      <w:r>
        <w:rPr>
          <w:rFonts w:hint="eastAsia" w:ascii="宋体" w:hAnsi="宋体" w:cs="宋体"/>
          <w:sz w:val="24"/>
          <w:szCs w:val="24"/>
        </w:rPr>
        <w:t>价的六成。</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 8.1.3甲方要求乙方比合同规定时间提前交付编制文件时，需提前通知乙方，</w:t>
      </w:r>
      <w:r>
        <w:rPr>
          <w:rFonts w:hint="eastAsia" w:ascii="宋体" w:hAnsi="宋体" w:cs="宋体"/>
          <w:sz w:val="24"/>
          <w:szCs w:val="24"/>
          <w:lang w:val="en-US" w:eastAsia="zh-CN"/>
        </w:rPr>
        <w:t>且征得乙方同意，</w:t>
      </w:r>
      <w:r>
        <w:rPr>
          <w:rFonts w:hint="eastAsia" w:ascii="宋体" w:hAnsi="宋体" w:cs="宋体"/>
          <w:sz w:val="24"/>
          <w:szCs w:val="24"/>
        </w:rPr>
        <w:t>不得严重背离合理编制周期。</w:t>
      </w:r>
    </w:p>
    <w:p>
      <w:pPr>
        <w:pStyle w:val="5"/>
        <w:keepNext w:val="0"/>
        <w:keepLines w:val="0"/>
        <w:spacing w:before="0" w:after="0" w:line="360" w:lineRule="auto"/>
        <w:ind w:firstLine="482" w:firstLineChars="200"/>
        <w:rPr>
          <w:rFonts w:ascii="宋体" w:hAnsi="宋体" w:cs="宋体"/>
          <w:bCs w:val="0"/>
          <w:sz w:val="24"/>
          <w:szCs w:val="24"/>
        </w:rPr>
      </w:pPr>
      <w:r>
        <w:rPr>
          <w:rFonts w:hint="eastAsia" w:ascii="宋体" w:hAnsi="宋体" w:cs="宋体"/>
          <w:bCs w:val="0"/>
          <w:sz w:val="24"/>
          <w:szCs w:val="24"/>
        </w:rPr>
        <w:t>8.2乙方责任</w:t>
      </w:r>
    </w:p>
    <w:p>
      <w:pPr>
        <w:spacing w:line="360" w:lineRule="auto"/>
        <w:ind w:firstLine="480" w:firstLineChars="200"/>
        <w:rPr>
          <w:rFonts w:ascii="宋体" w:hAnsi="宋体" w:cs="宋体"/>
          <w:sz w:val="24"/>
          <w:szCs w:val="24"/>
        </w:rPr>
      </w:pPr>
      <w:r>
        <w:rPr>
          <w:rFonts w:hint="eastAsia" w:ascii="宋体" w:hAnsi="宋体" w:cs="宋体"/>
          <w:sz w:val="24"/>
          <w:szCs w:val="24"/>
        </w:rPr>
        <w:t>8.2.1乙方</w:t>
      </w:r>
      <w:r>
        <w:rPr>
          <w:rFonts w:hint="eastAsia" w:ascii="宋体" w:hAnsi="宋体" w:cs="宋体"/>
          <w:sz w:val="24"/>
          <w:szCs w:val="24"/>
          <w:lang w:val="en-US" w:eastAsia="zh-CN"/>
        </w:rPr>
        <w:t>按合同约定</w:t>
      </w:r>
      <w:r>
        <w:rPr>
          <w:rFonts w:hint="eastAsia" w:ascii="宋体" w:hAnsi="宋体" w:cs="宋体"/>
          <w:sz w:val="24"/>
          <w:szCs w:val="24"/>
        </w:rPr>
        <w:t>时间向甲方提交有关</w:t>
      </w:r>
      <w:r>
        <w:rPr>
          <w:rFonts w:hint="eastAsia" w:ascii="宋体" w:hAnsi="宋体" w:cs="宋体"/>
          <w:sz w:val="24"/>
          <w:szCs w:val="24"/>
          <w:lang w:val="en-US" w:eastAsia="zh-CN"/>
        </w:rPr>
        <w:t>工作成果</w:t>
      </w:r>
      <w:r>
        <w:rPr>
          <w:rFonts w:hint="eastAsia" w:ascii="宋体" w:hAnsi="宋体" w:cs="宋体"/>
          <w:sz w:val="24"/>
          <w:szCs w:val="24"/>
        </w:rPr>
        <w:t>，乙方保证具备相应的资质并对提交的文件、报告及所出的结论负责。</w:t>
      </w:r>
    </w:p>
    <w:p>
      <w:pPr>
        <w:spacing w:line="360" w:lineRule="auto"/>
        <w:ind w:firstLine="480" w:firstLineChars="200"/>
        <w:rPr>
          <w:rFonts w:ascii="宋体" w:hAnsi="宋体" w:cs="宋体"/>
          <w:sz w:val="24"/>
          <w:szCs w:val="24"/>
        </w:rPr>
      </w:pPr>
      <w:r>
        <w:rPr>
          <w:rFonts w:hint="eastAsia" w:ascii="宋体" w:hAnsi="宋体" w:cs="宋体"/>
          <w:sz w:val="24"/>
          <w:szCs w:val="24"/>
        </w:rPr>
        <w:t>8.2.2因文件质量问题引起返工，除由乙方继续完善外，并视造成损失大小，减收直至免收编制费。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szCs w:val="24"/>
        </w:rPr>
        <w:t>8.2.3乙方提交的文件不符合合同约定，经修改后仍未达到要求的，甲方有权解除合同，要求乙方赔偿损失并返还已收到的全部合同价款</w:t>
      </w:r>
      <w:r>
        <w:rPr>
          <w:rFonts w:hint="eastAsia" w:ascii="宋体" w:hAnsi="宋体" w:cs="宋体"/>
          <w:sz w:val="24"/>
          <w:szCs w:val="24"/>
          <w:lang w:eastAsia="zh-CN"/>
        </w:rPr>
        <w:t>，</w:t>
      </w:r>
      <w:r>
        <w:rPr>
          <w:rFonts w:hint="eastAsia" w:ascii="宋体" w:hAnsi="宋体" w:cs="宋体"/>
          <w:sz w:val="24"/>
          <w:szCs w:val="24"/>
          <w:lang w:val="en-US" w:eastAsia="zh-CN"/>
        </w:rPr>
        <w:t>如逾期未返还，应按同期银行贷款利率支付相应利息。</w:t>
      </w:r>
    </w:p>
    <w:p>
      <w:pPr>
        <w:spacing w:line="360" w:lineRule="auto"/>
        <w:ind w:firstLine="480" w:firstLineChars="200"/>
        <w:rPr>
          <w:rFonts w:ascii="宋体" w:hAnsi="宋体" w:cs="宋体"/>
          <w:sz w:val="24"/>
          <w:szCs w:val="24"/>
        </w:rPr>
      </w:pPr>
      <w:r>
        <w:rPr>
          <w:rFonts w:hint="eastAsia" w:ascii="宋体" w:hAnsi="宋体" w:cs="宋体"/>
          <w:sz w:val="24"/>
          <w:szCs w:val="24"/>
        </w:rPr>
        <w:t>8.2.4由于乙方自身原因，延误了按本合同第五条规定的规划设计成果交付时间，每延误一天应减收该项目</w:t>
      </w:r>
      <w:r>
        <w:rPr>
          <w:rFonts w:hint="eastAsia" w:ascii="宋体" w:hAnsi="宋体" w:cs="宋体"/>
          <w:sz w:val="24"/>
          <w:szCs w:val="24"/>
          <w:lang w:val="en-US" w:eastAsia="zh-CN"/>
        </w:rPr>
        <w:t>合同价</w:t>
      </w:r>
      <w:r>
        <w:rPr>
          <w:rFonts w:hint="eastAsia" w:ascii="宋体" w:hAnsi="宋体" w:cs="宋体"/>
          <w:sz w:val="24"/>
          <w:szCs w:val="24"/>
        </w:rPr>
        <w:t>的2‰，逾期超过30天，甲方有权解除合同。由此给甲方造成损失的，乙方应承担赔偿责任。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8.2.5乙方有责任对甲方提供的资料保密，未经许可，不得提供给与本</w:t>
      </w:r>
      <w:r>
        <w:rPr>
          <w:rFonts w:hint="eastAsia" w:ascii="宋体" w:hAnsi="宋体" w:cs="宋体"/>
          <w:sz w:val="24"/>
          <w:szCs w:val="24"/>
          <w:lang w:val="en-US" w:eastAsia="zh-CN"/>
        </w:rPr>
        <w:t>项目</w:t>
      </w:r>
      <w:r>
        <w:rPr>
          <w:rFonts w:hint="eastAsia" w:ascii="宋体" w:hAnsi="宋体" w:cs="宋体"/>
          <w:sz w:val="24"/>
          <w:szCs w:val="24"/>
        </w:rPr>
        <w:t>无关的单位和人员使用。乙方未尽保密义务，给甲方造成损失的，应承担赔偿责任，并向甲方一次性支付合同价款1%的违约金。不论何种情况下保密内容</w:t>
      </w:r>
      <w:r>
        <w:rPr>
          <w:rFonts w:hint="eastAsia" w:ascii="宋体" w:hAnsi="宋体" w:cs="宋体"/>
          <w:sz w:val="24"/>
          <w:szCs w:val="24"/>
          <w:lang w:val="en-US" w:eastAsia="zh-CN"/>
        </w:rPr>
        <w:t>泄</w:t>
      </w:r>
      <w:r>
        <w:rPr>
          <w:rFonts w:hint="eastAsia" w:ascii="宋体" w:hAnsi="宋体" w:cs="宋体"/>
          <w:sz w:val="24"/>
          <w:szCs w:val="24"/>
        </w:rPr>
        <w:t>密的，乙方应当及时采取救济措施。若乙方怠于救济导致甲方损失扩大的，乙方对扩大部分承担赔偿责任。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8.2.6若标准或计划变更，经甲方同意，乙方可顺延期</w:t>
      </w:r>
      <w:r>
        <w:rPr>
          <w:rFonts w:hint="eastAsia" w:ascii="宋体" w:hAnsi="宋体" w:cs="宋体"/>
          <w:sz w:val="24"/>
          <w:szCs w:val="24"/>
          <w:lang w:val="en-US" w:eastAsia="zh-CN"/>
        </w:rPr>
        <w:t>限</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8.2.7合同生效后，</w:t>
      </w:r>
      <w:r>
        <w:rPr>
          <w:rFonts w:hint="eastAsia" w:ascii="宋体" w:hAnsi="宋体" w:cs="宋体"/>
          <w:sz w:val="24"/>
          <w:szCs w:val="24"/>
          <w:lang w:val="en-US" w:eastAsia="zh-CN"/>
        </w:rPr>
        <w:t>非甲方原因</w:t>
      </w:r>
      <w:r>
        <w:rPr>
          <w:rFonts w:hint="eastAsia" w:ascii="宋体" w:hAnsi="宋体" w:cs="宋体"/>
          <w:sz w:val="24"/>
          <w:szCs w:val="24"/>
        </w:rPr>
        <w:t>乙方要求解除合同</w:t>
      </w:r>
      <w:r>
        <w:rPr>
          <w:rFonts w:hint="eastAsia" w:ascii="宋体" w:hAnsi="宋体" w:cs="宋体"/>
          <w:sz w:val="24"/>
          <w:szCs w:val="24"/>
          <w:lang w:val="en-US" w:eastAsia="zh-CN"/>
        </w:rPr>
        <w:t>的</w:t>
      </w:r>
      <w:r>
        <w:rPr>
          <w:rFonts w:hint="eastAsia" w:ascii="宋体" w:hAnsi="宋体" w:cs="宋体"/>
          <w:sz w:val="24"/>
          <w:szCs w:val="24"/>
        </w:rPr>
        <w:t>，</w:t>
      </w:r>
      <w:r>
        <w:rPr>
          <w:rFonts w:hint="eastAsia" w:ascii="宋体" w:hAnsi="宋体" w:cs="宋体"/>
          <w:sz w:val="24"/>
          <w:szCs w:val="24"/>
          <w:lang w:val="en-US" w:eastAsia="zh-CN"/>
        </w:rPr>
        <w:t>应赔偿甲方的损失，并双倍退还定金</w:t>
      </w:r>
      <w:r>
        <w:rPr>
          <w:rFonts w:hint="eastAsia" w:ascii="宋体" w:hAnsi="宋体" w:cs="宋体"/>
          <w:sz w:val="24"/>
          <w:szCs w:val="24"/>
        </w:rPr>
        <w:t>。</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第九条  知识产权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 xml:space="preserve">第十条  </w:t>
      </w:r>
      <w:r>
        <w:rPr>
          <w:rFonts w:hint="eastAsia" w:ascii="宋体" w:hAnsi="宋体" w:cs="宋体"/>
          <w:b/>
          <w:bCs/>
          <w:sz w:val="24"/>
          <w:szCs w:val="24"/>
          <w:lang w:val="en-US" w:eastAsia="zh-CN"/>
        </w:rPr>
        <w:t>争议解决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（一）提交广州仲裁委员会仲裁；</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（二）依法向甲方所在地的人民法院起诉。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第十一条  合同生效及其他</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11.1合同生效的条件：合同签订盖章。</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11.5本合同正本一式</w:t>
      </w:r>
      <w:r>
        <w:rPr>
          <w:rFonts w:hint="eastAsia" w:ascii="宋体" w:hAnsi="宋体" w:cs="宋体"/>
          <w:sz w:val="24"/>
          <w:szCs w:val="24"/>
          <w:u w:val="single"/>
        </w:rPr>
        <w:t xml:space="preserve"> 贰 </w:t>
      </w:r>
      <w:r>
        <w:rPr>
          <w:rFonts w:hint="eastAsia" w:ascii="宋体" w:hAnsi="宋体" w:cs="宋体"/>
          <w:sz w:val="24"/>
          <w:szCs w:val="24"/>
        </w:rPr>
        <w:t>份，甲方执</w:t>
      </w:r>
      <w:r>
        <w:rPr>
          <w:rFonts w:hint="eastAsia" w:ascii="宋体" w:hAnsi="宋体" w:cs="宋体"/>
          <w:sz w:val="24"/>
          <w:szCs w:val="24"/>
          <w:u w:val="single"/>
        </w:rPr>
        <w:t xml:space="preserve"> 壹 </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份；副本一式</w:t>
      </w:r>
      <w:r>
        <w:rPr>
          <w:rFonts w:hint="eastAsia" w:ascii="宋体" w:hAnsi="宋体" w:cs="宋体"/>
          <w:sz w:val="24"/>
          <w:szCs w:val="24"/>
          <w:u w:val="single"/>
        </w:rPr>
        <w:t>捌</w:t>
      </w:r>
      <w:r>
        <w:rPr>
          <w:rFonts w:hint="eastAsia" w:ascii="宋体" w:hAnsi="宋体" w:cs="宋体"/>
          <w:sz w:val="24"/>
          <w:szCs w:val="24"/>
        </w:rPr>
        <w:t>份，甲方执</w:t>
      </w:r>
      <w:r>
        <w:rPr>
          <w:rFonts w:hint="eastAsia" w:ascii="宋体" w:hAnsi="宋体" w:cs="宋体"/>
          <w:sz w:val="24"/>
          <w:szCs w:val="24"/>
          <w:u w:val="single"/>
        </w:rPr>
        <w:t>伍</w:t>
      </w:r>
      <w:r>
        <w:rPr>
          <w:rFonts w:hint="eastAsia" w:ascii="宋体" w:hAnsi="宋体" w:cs="宋体"/>
          <w:sz w:val="24"/>
          <w:szCs w:val="24"/>
        </w:rPr>
        <w:t>份，乙方执</w:t>
      </w:r>
      <w:r>
        <w:rPr>
          <w:rFonts w:hint="eastAsia" w:ascii="宋体" w:hAnsi="宋体" w:cs="宋体"/>
          <w:sz w:val="24"/>
          <w:szCs w:val="24"/>
          <w:u w:val="single"/>
        </w:rPr>
        <w:t>叁</w:t>
      </w:r>
      <w:r>
        <w:rPr>
          <w:rFonts w:hint="eastAsia" w:ascii="宋体" w:hAnsi="宋体" w:cs="宋体"/>
          <w:sz w:val="24"/>
          <w:szCs w:val="24"/>
        </w:rPr>
        <w:t>份，双方所执合同具同等法律效力</w:t>
      </w:r>
      <w:r>
        <w:rPr>
          <w:rFonts w:hint="eastAsia" w:ascii="宋体" w:hAnsi="宋体" w:cs="宋体"/>
          <w:sz w:val="24"/>
          <w:szCs w:val="24"/>
          <w:lang w:eastAsia="zh-CN"/>
        </w:rPr>
        <w:t>。</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11.6双方履行完合同规定的义务后，本合同即行终止。</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11.7双方认可的来往传真、会议纪要等，均为合同的组成部分，与本合同具有同等法律效力。</w:t>
      </w:r>
    </w:p>
    <w:p>
      <w:pPr>
        <w:spacing w:line="360" w:lineRule="auto"/>
        <w:ind w:firstLine="480" w:firstLineChars="200"/>
        <w:outlineLvl w:val="0"/>
        <w:rPr>
          <w:rFonts w:hint="eastAsia" w:ascii="宋体" w:hAnsi="宋体" w:cs="宋体"/>
          <w:color w:val="000000"/>
          <w:sz w:val="24"/>
          <w:szCs w:val="24"/>
        </w:rPr>
      </w:pPr>
      <w:r>
        <w:rPr>
          <w:rFonts w:hint="eastAsia" w:ascii="宋体" w:hAnsi="宋体" w:cs="宋体"/>
          <w:sz w:val="24"/>
          <w:szCs w:val="24"/>
        </w:rPr>
        <w:t>11.8未尽事宜，双方协商一致，</w:t>
      </w:r>
      <w:r>
        <w:rPr>
          <w:rFonts w:hint="eastAsia" w:ascii="宋体" w:hAnsi="宋体" w:cs="宋体"/>
          <w:color w:val="000000"/>
          <w:sz w:val="24"/>
          <w:szCs w:val="24"/>
        </w:rPr>
        <w:t>可签订补充协议，补充协议与本合同具有同等效力。</w:t>
      </w:r>
    </w:p>
    <w:p>
      <w:pPr>
        <w:pStyle w:val="10"/>
        <w:spacing w:line="360" w:lineRule="auto"/>
        <w:ind w:left="465" w:leftChars="50" w:hanging="360" w:hangingChars="150"/>
        <w:jc w:val="center"/>
        <w:rPr>
          <w:rFonts w:hint="eastAsia" w:ascii="宋体" w:hAnsi="宋体" w:cs="宋体"/>
          <w:color w:val="000000"/>
          <w:sz w:val="24"/>
          <w:szCs w:val="24"/>
        </w:rPr>
      </w:pPr>
      <w:r>
        <w:rPr>
          <w:rFonts w:hint="eastAsia" w:ascii="宋体" w:hAnsi="宋体" w:cs="宋体"/>
          <w:color w:val="000000"/>
          <w:sz w:val="24"/>
          <w:szCs w:val="24"/>
          <w:lang w:val="en-US" w:eastAsia="zh-CN"/>
        </w:rPr>
        <w:t>11.9</w:t>
      </w:r>
      <w:r>
        <w:rPr>
          <w:rFonts w:hint="eastAsia" w:ascii="宋体" w:hAnsi="宋体" w:cs="宋体"/>
          <w:color w:val="000000"/>
          <w:sz w:val="24"/>
          <w:szCs w:val="24"/>
        </w:rPr>
        <w:t>本合同附件是合同不可分割的一部分，具有相同的法律效力，具体附件如下：</w:t>
      </w:r>
    </w:p>
    <w:p>
      <w:pPr>
        <w:pStyle w:val="10"/>
        <w:spacing w:line="360" w:lineRule="auto"/>
        <w:ind w:left="0" w:leftChars="0" w:firstLine="720" w:firstLineChars="300"/>
        <w:jc w:val="both"/>
        <w:rPr>
          <w:rFonts w:hint="eastAsia" w:ascii="宋体" w:hAnsi="宋体" w:cs="宋体"/>
          <w:color w:val="000000"/>
          <w:sz w:val="24"/>
          <w:szCs w:val="24"/>
        </w:rPr>
      </w:pPr>
      <w:r>
        <w:rPr>
          <w:rFonts w:hint="eastAsia" w:ascii="宋体" w:hAnsi="宋体" w:cs="宋体"/>
          <w:color w:val="000000"/>
          <w:sz w:val="24"/>
          <w:szCs w:val="24"/>
        </w:rPr>
        <w:t>附件</w:t>
      </w: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b/>
          <w:bCs/>
          <w:szCs w:val="21"/>
        </w:rPr>
        <w:t>发包通知书</w:t>
      </w:r>
      <w:r>
        <w:rPr>
          <w:rFonts w:hint="eastAsia" w:ascii="宋体" w:hAnsi="宋体" w:cs="宋体"/>
          <w:color w:val="000000"/>
          <w:sz w:val="24"/>
          <w:szCs w:val="24"/>
        </w:rPr>
        <w:t xml:space="preserve"> </w:t>
      </w:r>
    </w:p>
    <w:p>
      <w:pPr>
        <w:pStyle w:val="10"/>
        <w:spacing w:line="360" w:lineRule="auto"/>
        <w:ind w:left="584" w:leftChars="278" w:firstLine="120" w:firstLineChars="50"/>
        <w:jc w:val="both"/>
        <w:rPr>
          <w:rFonts w:hint="eastAsia" w:ascii="宋体" w:hAnsi="宋体" w:cs="宋体"/>
          <w:color w:val="000000"/>
          <w:sz w:val="24"/>
          <w:szCs w:val="24"/>
        </w:rPr>
      </w:pPr>
      <w:r>
        <w:rPr>
          <w:rFonts w:hint="eastAsia" w:ascii="宋体" w:hAnsi="宋体" w:cs="宋体"/>
          <w:color w:val="000000"/>
          <w:sz w:val="24"/>
          <w:szCs w:val="24"/>
        </w:rPr>
        <w:t>附件</w:t>
      </w:r>
      <w:r>
        <w:rPr>
          <w:rFonts w:hint="eastAsia" w:ascii="宋体" w:hAnsi="宋体" w:cs="宋体"/>
          <w:color w:val="000000"/>
          <w:sz w:val="24"/>
          <w:szCs w:val="24"/>
          <w:lang w:val="en-US" w:eastAsia="zh-CN"/>
        </w:rPr>
        <w:t>2</w:t>
      </w:r>
      <w:r>
        <w:rPr>
          <w:rFonts w:hint="eastAsia" w:ascii="宋体" w:hAnsi="宋体" w:cs="宋体"/>
          <w:color w:val="000000"/>
          <w:sz w:val="24"/>
          <w:szCs w:val="24"/>
        </w:rPr>
        <w:t>：</w:t>
      </w:r>
      <w:r>
        <w:rPr>
          <w:rFonts w:hint="eastAsia" w:ascii="宋体" w:hAnsi="宋体" w:cs="宋体"/>
          <w:b/>
          <w:bCs/>
          <w:szCs w:val="21"/>
        </w:rPr>
        <w:t>廉洁协议</w:t>
      </w:r>
      <w:r>
        <w:rPr>
          <w:rFonts w:hint="eastAsia" w:ascii="宋体" w:hAnsi="宋体" w:cs="宋体"/>
          <w:color w:val="000000"/>
          <w:sz w:val="24"/>
          <w:szCs w:val="24"/>
        </w:rPr>
        <w:t xml:space="preserve"> </w:t>
      </w:r>
    </w:p>
    <w:p>
      <w:pPr>
        <w:pStyle w:val="10"/>
        <w:spacing w:line="360" w:lineRule="auto"/>
        <w:ind w:left="584" w:leftChars="278" w:firstLine="120" w:firstLineChars="50"/>
        <w:jc w:val="both"/>
        <w:rPr>
          <w:rFonts w:hint="eastAsia" w:ascii="宋体" w:hAnsi="宋体" w:cs="宋体"/>
          <w:color w:val="000000"/>
          <w:sz w:val="24"/>
          <w:szCs w:val="24"/>
        </w:rPr>
      </w:pPr>
      <w:r>
        <w:rPr>
          <w:rFonts w:hint="eastAsia" w:ascii="宋体" w:hAnsi="宋体" w:cs="宋体"/>
          <w:color w:val="000000"/>
          <w:sz w:val="24"/>
          <w:szCs w:val="24"/>
        </w:rPr>
        <w:t>附件</w:t>
      </w:r>
      <w:r>
        <w:rPr>
          <w:rFonts w:hint="eastAsia" w:ascii="宋体" w:hAnsi="宋体" w:cs="宋体"/>
          <w:color w:val="000000"/>
          <w:sz w:val="24"/>
          <w:szCs w:val="24"/>
          <w:lang w:val="en-US" w:eastAsia="zh-CN"/>
        </w:rPr>
        <w:t>3</w:t>
      </w:r>
      <w:r>
        <w:rPr>
          <w:rFonts w:hint="eastAsia" w:ascii="宋体" w:hAnsi="宋体" w:cs="宋体"/>
          <w:color w:val="000000"/>
          <w:sz w:val="24"/>
          <w:szCs w:val="24"/>
        </w:rPr>
        <w:t>：</w:t>
      </w:r>
      <w:r>
        <w:rPr>
          <w:rFonts w:hint="eastAsia" w:ascii="宋体" w:hAnsi="宋体" w:cs="宋体"/>
          <w:color w:val="000000"/>
          <w:sz w:val="24"/>
          <w:szCs w:val="24"/>
          <w:lang w:val="en-US" w:eastAsia="zh-CN"/>
        </w:rPr>
        <w:t>安全协议书</w:t>
      </w:r>
      <w:r>
        <w:rPr>
          <w:rFonts w:hint="eastAsia" w:ascii="宋体" w:hAnsi="宋体" w:cs="宋体"/>
          <w:color w:val="000000"/>
          <w:sz w:val="24"/>
          <w:szCs w:val="24"/>
        </w:rPr>
        <w:t xml:space="preserve"> </w:t>
      </w:r>
    </w:p>
    <w:p>
      <w:pPr>
        <w:pStyle w:val="10"/>
        <w:spacing w:line="360" w:lineRule="auto"/>
        <w:ind w:left="465" w:leftChars="50" w:hanging="360" w:hangingChars="150"/>
        <w:jc w:val="both"/>
        <w:rPr>
          <w:rFonts w:ascii="宋体" w:hAnsi="宋体" w:cs="宋体"/>
          <w:color w:val="000000"/>
          <w:sz w:val="24"/>
          <w:szCs w:val="24"/>
        </w:rPr>
      </w:pPr>
      <w:r>
        <w:rPr>
          <w:rFonts w:hint="eastAsia" w:ascii="宋体" w:hAnsi="宋体" w:cs="宋体"/>
          <w:color w:val="000000"/>
          <w:sz w:val="24"/>
          <w:szCs w:val="24"/>
        </w:rPr>
        <w:t>（以下无正文）</w:t>
      </w:r>
    </w:p>
    <w:tbl>
      <w:tblPr>
        <w:tblStyle w:val="18"/>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szCs w:val="24"/>
              </w:rPr>
            </w:pPr>
            <w:r>
              <w:rPr>
                <w:rFonts w:hint="eastAsia" w:ascii="宋体" w:hAnsi="宋体" w:cs="宋体"/>
                <w:color w:val="000000"/>
                <w:sz w:val="24"/>
                <w:szCs w:val="24"/>
              </w:rPr>
              <w:t>甲方：广州市净水有限公司</w:t>
            </w:r>
          </w:p>
        </w:tc>
        <w:tc>
          <w:tcPr>
            <w:tcW w:w="562" w:type="dxa"/>
            <w:vAlign w:val="center"/>
          </w:tcPr>
          <w:p>
            <w:pPr>
              <w:spacing w:line="360" w:lineRule="auto"/>
              <w:rPr>
                <w:rFonts w:ascii="宋体" w:hAnsi="宋体" w:cs="宋体"/>
                <w:color w:val="000000"/>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color w:val="000000"/>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联系人：</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ind w:right="-19" w:rightChars="-9"/>
              <w:rPr>
                <w:rFonts w:ascii="宋体" w:hAnsi="宋体" w:cs="宋体"/>
                <w:color w:val="000000"/>
                <w:sz w:val="24"/>
                <w:szCs w:val="24"/>
              </w:rPr>
            </w:pPr>
            <w:r>
              <w:rPr>
                <w:rFonts w:hint="eastAsia" w:ascii="宋体" w:hAnsi="宋体" w:cs="宋体"/>
                <w:color w:val="000000"/>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color w:val="000000"/>
                <w:sz w:val="24"/>
                <w:szCs w:val="24"/>
              </w:rPr>
              <w:t>地址：广州市天河区临江大道501号</w:t>
            </w: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color w:val="000000"/>
                <w:sz w:val="24"/>
                <w:szCs w:val="24"/>
              </w:rPr>
              <w:t>邮政编码：510655</w:t>
            </w:r>
            <w:r>
              <w:rPr>
                <w:rFonts w:hint="eastAsia" w:ascii="宋体" w:hAnsi="宋体" w:cs="宋体"/>
                <w:sz w:val="24"/>
                <w:szCs w:val="24"/>
              </w:rPr>
              <w:tab/>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电话：</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传真：</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签约日期：2021年月日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spacing w:line="360" w:lineRule="auto"/>
        <w:rPr>
          <w:rFonts w:ascii="宋体" w:hAnsi="宋体" w:cs="宋体"/>
          <w:b/>
          <w:bCs/>
          <w:szCs w:val="21"/>
        </w:rPr>
      </w:pPr>
    </w:p>
    <w:p>
      <w:pPr>
        <w:pStyle w:val="24"/>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hint="eastAsia" w:ascii="宋体" w:hAnsi="宋体" w:cs="宋体"/>
          <w:b/>
          <w:bCs/>
          <w:szCs w:val="21"/>
        </w:rPr>
      </w:pPr>
      <w:r>
        <w:rPr>
          <w:rFonts w:hint="eastAsia" w:ascii="宋体" w:hAnsi="宋体" w:cs="宋体"/>
          <w:b/>
          <w:bCs/>
          <w:szCs w:val="21"/>
        </w:rPr>
        <w:t>附件2</w:t>
      </w:r>
      <w:r>
        <w:rPr>
          <w:rFonts w:hint="eastAsia" w:ascii="宋体" w:hAnsi="宋体" w:cs="宋体"/>
          <w:b/>
          <w:bCs/>
          <w:szCs w:val="21"/>
          <w:lang w:val="en-US" w:eastAsia="zh-CN"/>
        </w:rPr>
        <w:t xml:space="preserve">  </w:t>
      </w:r>
      <w:r>
        <w:rPr>
          <w:rFonts w:hint="eastAsia" w:ascii="宋体" w:hAnsi="宋体" w:cs="宋体"/>
          <w:b/>
          <w:bCs/>
          <w:szCs w:val="21"/>
        </w:rPr>
        <w:t>廉洁协议</w:t>
      </w:r>
    </w:p>
    <w:p>
      <w:pPr>
        <w:pStyle w:val="24"/>
        <w:rPr>
          <w:rFonts w:hint="default" w:eastAsia="仿宋_GB2312"/>
          <w:lang w:val="en-US" w:eastAsia="zh-CN"/>
        </w:rPr>
      </w:pPr>
      <w:bookmarkStart w:id="17" w:name="_GoBack"/>
      <w:bookmarkEnd w:id="17"/>
    </w:p>
    <w:p>
      <w:pPr>
        <w:spacing w:line="360" w:lineRule="auto"/>
        <w:jc w:val="center"/>
        <w:rPr>
          <w:rFonts w:ascii="宋体" w:hAnsi="宋体"/>
          <w:b/>
          <w:sz w:val="32"/>
          <w:szCs w:val="32"/>
        </w:rPr>
      </w:pPr>
      <w:bookmarkStart w:id="13" w:name="_Toc389815339"/>
      <w:bookmarkStart w:id="14" w:name="_Toc387080836"/>
      <w:bookmarkStart w:id="15" w:name="_Toc389815031"/>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w:t>
      </w:r>
      <w:r>
        <w:rPr>
          <w:rFonts w:ascii="宋体" w:hAnsi="宋体"/>
          <w:sz w:val="24"/>
          <w:szCs w:val="24"/>
        </w:rPr>
        <w:t>协议一式份，甲方份，乙方份。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2"/>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2021</w:t>
      </w:r>
      <w:r>
        <w:rPr>
          <w:rFonts w:ascii="宋体" w:hAnsi="宋体"/>
          <w:sz w:val="24"/>
        </w:rPr>
        <w:t>年月日</w:t>
      </w:r>
      <w:r>
        <w:rPr>
          <w:rFonts w:ascii="宋体" w:hAnsi="宋体"/>
          <w:sz w:val="24"/>
        </w:rPr>
        <w:tab/>
      </w:r>
      <w:r>
        <w:rPr>
          <w:rFonts w:hint="eastAsia" w:ascii="宋体" w:hAnsi="宋体"/>
          <w:sz w:val="24"/>
        </w:rPr>
        <w:t>日期：2021</w:t>
      </w:r>
      <w:r>
        <w:rPr>
          <w:rFonts w:ascii="宋体" w:hAnsi="宋体"/>
          <w:sz w:val="24"/>
        </w:rPr>
        <w:t>年月 日</w:t>
      </w: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center"/>
        <w:rPr>
          <w:rFonts w:hint="eastAsia" w:ascii="黑体" w:hAnsi="Batang" w:eastAsia="黑体" w:cs="Batang"/>
          <w:bCs/>
          <w:kern w:val="0"/>
          <w:sz w:val="44"/>
          <w:szCs w:val="44"/>
        </w:rPr>
      </w:pPr>
    </w:p>
    <w:p>
      <w:pPr>
        <w:spacing w:line="560" w:lineRule="exact"/>
        <w:jc w:val="left"/>
        <w:rPr>
          <w:rFonts w:hint="default" w:ascii="黑体" w:hAnsi="Batang" w:eastAsia="黑体" w:cs="Batang"/>
          <w:bCs/>
          <w:kern w:val="0"/>
          <w:sz w:val="28"/>
          <w:szCs w:val="28"/>
          <w:lang w:val="en-US" w:eastAsia="zh-CN"/>
        </w:rPr>
      </w:pPr>
      <w:r>
        <w:rPr>
          <w:rFonts w:hint="eastAsia" w:ascii="宋体" w:hAnsi="宋体" w:cs="宋体" w:eastAsiaTheme="minorEastAsia"/>
          <w:b/>
          <w:bCs/>
          <w:kern w:val="2"/>
          <w:sz w:val="21"/>
          <w:szCs w:val="21"/>
          <w:lang w:val="en-US" w:eastAsia="zh-CN"/>
        </w:rPr>
        <w:t>附件3</w:t>
      </w:r>
      <w:r>
        <w:rPr>
          <w:rFonts w:hint="eastAsia" w:ascii="宋体" w:hAnsi="宋体" w:cs="宋体"/>
          <w:b/>
          <w:bCs/>
          <w:kern w:val="2"/>
          <w:sz w:val="21"/>
          <w:szCs w:val="21"/>
          <w:lang w:val="en-US" w:eastAsia="zh-CN"/>
        </w:rPr>
        <w:t xml:space="preserve"> 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6"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1"/>
          <w:rFonts w:asciiTheme="minorEastAsia" w:hAnsiTheme="minorEastAsia" w:eastAsiaTheme="minorEastAsia"/>
          <w:b w:val="0"/>
          <w:u w:val="single"/>
        </w:rPr>
      </w:pPr>
    </w:p>
    <w:bookmarkEnd w:id="16"/>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二、甲方权责</w:t>
      </w:r>
    </w:p>
    <w:p>
      <w:pPr>
        <w:adjustRightInd w:val="0"/>
        <w:snapToGrid w:val="0"/>
        <w:spacing w:line="5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（七）委托的第三方运输单位或个人，违反本协议的，全部责任均由乙方承担。</w:t>
      </w:r>
    </w:p>
    <w:p>
      <w:pPr>
        <w:pStyle w:val="43"/>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24"/>
      </w:pPr>
    </w:p>
    <w:p>
      <w:pPr>
        <w:spacing w:line="360" w:lineRule="auto"/>
        <w:jc w:val="center"/>
        <w:rPr>
          <w:rFonts w:ascii="宋体" w:hAnsi="宋体"/>
          <w:b/>
          <w:sz w:val="32"/>
          <w:szCs w:val="32"/>
          <w:highlight w:val="yellow"/>
        </w:rPr>
      </w:pPr>
    </w:p>
    <w:p>
      <w:pPr>
        <w:spacing w:line="360" w:lineRule="auto"/>
        <w:jc w:val="center"/>
        <w:rPr>
          <w:rFonts w:ascii="宋体" w:hAnsi="宋体"/>
          <w:b/>
          <w:sz w:val="32"/>
          <w:szCs w:val="32"/>
          <w:highlight w:val="yellow"/>
        </w:rPr>
      </w:pPr>
    </w:p>
    <w:p>
      <w:pPr>
        <w:tabs>
          <w:tab w:val="left" w:pos="4170"/>
        </w:tabs>
        <w:spacing w:line="360" w:lineRule="auto"/>
        <w:rPr>
          <w:rFonts w:ascii="宋体" w:hAnsi="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bookmarkEnd w:id="13"/>
    <w:bookmarkEnd w:id="14"/>
    <w:bookmarkEnd w:id="15"/>
    <w:p>
      <w:pPr>
        <w:pStyle w:val="5"/>
        <w:spacing w:line="360" w:lineRule="auto"/>
        <w:jc w:val="center"/>
        <w:rPr>
          <w:rFonts w:ascii="仿宋" w:hAnsi="仿宋" w:eastAsia="仿宋" w:cs="仿宋_GB2312"/>
          <w:color w:val="000000" w:themeColor="text1"/>
          <w14:textFill>
            <w14:solidFill>
              <w14:schemeClr w14:val="tx1"/>
            </w14:solidFill>
          </w14:textFill>
        </w:rPr>
      </w:pPr>
    </w:p>
    <w:p>
      <w:pPr>
        <w:pStyle w:val="5"/>
        <w:spacing w:line="360" w:lineRule="auto"/>
        <w:jc w:val="both"/>
        <w:rPr>
          <w:rFonts w:hint="eastAsia" w:ascii="仿宋" w:hAnsi="仿宋" w:eastAsia="仿宋" w:cs="仿宋_GB2312"/>
          <w:color w:val="000000" w:themeColor="text1"/>
          <w14:textFill>
            <w14:solidFill>
              <w14:schemeClr w14:val="tx1"/>
            </w14:solidFill>
          </w14:textFill>
        </w:rPr>
      </w:pPr>
    </w:p>
    <w:p>
      <w:pPr>
        <w:pStyle w:val="5"/>
        <w:spacing w:line="360" w:lineRule="auto"/>
        <w:jc w:val="center"/>
        <w:rPr>
          <w:rFonts w:hint="eastAsia" w:ascii="仿宋" w:hAnsi="仿宋" w:eastAsia="仿宋" w:cs="仿宋_GB2312"/>
          <w:color w:val="000000" w:themeColor="text1"/>
          <w14:textFill>
            <w14:solidFill>
              <w14:schemeClr w14:val="tx1"/>
            </w14:solidFill>
          </w14:textFill>
        </w:rPr>
      </w:pPr>
    </w:p>
    <w:p>
      <w:pPr>
        <w:pStyle w:val="5"/>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9"/>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980" w:firstLineChars="350"/>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w:t>
      </w:r>
      <w:r>
        <w:rPr>
          <w:rFonts w:hint="eastAsia" w:ascii="仿宋" w:hAnsi="仿宋" w:eastAsia="仿宋" w:cs="仿宋_GB2312"/>
          <w:color w:val="000000" w:themeColor="text1"/>
          <w:sz w:val="28"/>
          <w:szCs w:val="28"/>
          <w:highlight w:val="none"/>
          <w14:textFill>
            <w14:solidFill>
              <w14:schemeClr w14:val="tx1"/>
            </w14:solidFill>
          </w14:textFill>
        </w:rPr>
        <w:t>、组号）：</w:t>
      </w:r>
    </w:p>
    <w:p>
      <w:pPr>
        <w:pStyle w:val="8"/>
        <w:spacing w:line="360" w:lineRule="auto"/>
        <w:ind w:firstLine="560" w:firstLineChars="200"/>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项目名称：</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广州市净水有限公司</w:t>
      </w:r>
      <w:r>
        <w:rPr>
          <w:rFonts w:hint="eastAsia" w:ascii="仿宋" w:hAnsi="仿宋" w:eastAsia="仿宋" w:cs="仿宋_GB2312"/>
          <w:b/>
          <w:bCs/>
          <w:color w:val="000000" w:themeColor="text1"/>
          <w:sz w:val="28"/>
          <w:szCs w:val="28"/>
          <w:highlight w:val="none"/>
          <w14:textFill>
            <w14:solidFill>
              <w14:schemeClr w14:val="tx1"/>
            </w14:solidFill>
          </w14:textFill>
        </w:rPr>
        <w:t>石井净水厂地块控制性详细规划调整及专题评估。</w:t>
      </w: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5"/>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60288;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abLCdcAAAAK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w:t>
      </w:r>
      <w:r>
        <w:rPr>
          <w:rFonts w:ascii="仿宋" w:hAnsi="仿宋" w:eastAsia="仿宋" w:cs="仿宋_GB2312"/>
          <w:color w:val="000000" w:themeColor="text1"/>
          <w:sz w:val="24"/>
          <w:szCs w:val="24"/>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14:textFill>
            <w14:solidFill>
              <w14:schemeClr w14:val="tx1"/>
            </w14:solidFill>
          </w14:textFill>
        </w:rPr>
        <w:t>。</w:t>
      </w:r>
    </w:p>
    <w:p>
      <w:pPr>
        <w:spacing w:line="480" w:lineRule="exact"/>
        <w:ind w:firstLine="720" w:firstLineChars="300"/>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6.谈判签字代表为法定代表人，则本表不适用。</w:t>
      </w:r>
    </w:p>
    <w:p>
      <w:pPr>
        <w:pStyle w:val="24"/>
        <w:spacing w:line="480" w:lineRule="exact"/>
        <w:ind w:firstLine="720" w:firstLineChars="300"/>
        <w:rPr>
          <w:rFonts w:ascii="仿宋" w:hAnsi="仿宋" w:eastAsia="仿宋" w:cs="仿宋_GB2312"/>
          <w:b/>
          <w:color w:val="000000" w:themeColor="text1"/>
          <w:sz w:val="28"/>
          <w:szCs w:val="28"/>
          <w14:textFill>
            <w14:solidFill>
              <w14:schemeClr w14:val="tx1"/>
            </w14:solidFill>
          </w14:textFill>
        </w:rPr>
      </w:pPr>
      <w:r>
        <w:rPr>
          <w:rFonts w:hint="default" w:ascii="仿宋" w:hAnsi="仿宋" w:eastAsia="仿宋" w:cs="仿宋_GB2312"/>
          <w:b w:val="0"/>
          <w:bCs w:val="0"/>
          <w:color w:val="000000" w:themeColor="text1"/>
          <w:kern w:val="2"/>
          <w:sz w:val="24"/>
          <w:szCs w:val="24"/>
          <w:lang w:val="en-US" w:eastAsia="zh-CN"/>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3276600</wp:posOffset>
                </wp:positionH>
                <wp:positionV relativeFrom="paragraph">
                  <wp:posOffset>29210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258pt;margin-top:2.3pt;height:124.75pt;width:183.75pt;z-index:251662336;mso-width-relative:page;mso-height-relative:page;" fillcolor="#FFFFFF" filled="t" stroked="t" coordsize="21600,21600" o:gfxdata="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m0BhfYAAAA&#10;CQEAAA8AAAAAAAAAAQAgAAAAIgAAAGRycy9kb3ducmV2LnhtbFBLAQIUABQAAAAIAIdO4kDPW64b&#10;HQIAAFMEAAAOAAAAAAAAAAEAIAAAACcBAABkcnMvZTJvRG9jLnhtbFBLBQYAAAAABgAGAFkBAAC2&#10;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p>
                  </w:txbxContent>
                </v:textbox>
              </v:shape>
            </w:pict>
          </mc:Fallback>
        </mc:AlternateContent>
      </w: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38735</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35.25pt;margin-top:3.05pt;height:124.75pt;width:183.75pt;z-index:251661312;mso-width-relative:page;mso-height-relative:page;" fillcolor="#FFFFFF" filled="t" stroked="t" coordsize="21600,21600" o:gfxdata="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0P0HNcAAAAI&#10;AQAADwAAAAAAAAABACAAAAAiAAAAZHJzL2Rvd25yZXYueG1sUEsBAhQAFAAAAAgAh07iQFOh4aM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5"/>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40"/>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39"/>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39"/>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39"/>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法定代表人（签名或盖章）：</w:t>
      </w:r>
    </w:p>
    <w:p>
      <w:pPr>
        <w:pStyle w:val="39"/>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39"/>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snapToGrid w:val="0"/>
        <w:spacing w:line="300" w:lineRule="auto"/>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24"/>
        <w:jc w:val="center"/>
        <w:rPr>
          <w:rFonts w:hint="eastAsia" w:ascii="仿宋" w:hAnsi="仿宋" w:eastAsia="仿宋" w:cs="仿宋_GB2312"/>
          <w:color w:val="000000" w:themeColor="text1"/>
          <w:sz w:val="28"/>
          <w:szCs w:val="28"/>
          <w:lang w:val="en-US" w:eastAsia="zh-CN"/>
          <w14:textFill>
            <w14:solidFill>
              <w14:schemeClr w14:val="tx1"/>
            </w14:solidFill>
          </w14:textFill>
        </w:rPr>
      </w:pPr>
    </w:p>
    <w:p>
      <w:pPr>
        <w:pStyle w:val="24"/>
        <w:jc w:val="center"/>
        <w:rPr>
          <w:rFonts w:hint="eastAsia" w:ascii="仿宋" w:hAnsi="仿宋" w:eastAsia="仿宋" w:cs="仿宋_GB2312"/>
          <w:color w:val="000000" w:themeColor="text1"/>
          <w:sz w:val="28"/>
          <w:szCs w:val="28"/>
          <w:lang w:val="en-US" w:eastAsia="zh-CN"/>
          <w14:textFill>
            <w14:solidFill>
              <w14:schemeClr w14:val="tx1"/>
            </w14:solidFill>
          </w14:textFill>
        </w:rPr>
      </w:pPr>
    </w:p>
    <w:p>
      <w:pPr>
        <w:pStyle w:val="24"/>
        <w:jc w:val="center"/>
        <w:rPr>
          <w:rFonts w:hint="eastAsia" w:ascii="仿宋" w:hAnsi="仿宋" w:eastAsia="仿宋" w:cs="仿宋_GB2312"/>
          <w:color w:val="000000" w:themeColor="text1"/>
          <w:sz w:val="28"/>
          <w:szCs w:val="28"/>
          <w:lang w:val="en-US" w:eastAsia="zh-CN"/>
          <w14:textFill>
            <w14:solidFill>
              <w14:schemeClr w14:val="tx1"/>
            </w14:solidFill>
          </w14:textFill>
        </w:rPr>
      </w:pPr>
    </w:p>
    <w:p>
      <w:pPr>
        <w:pStyle w:val="24"/>
        <w:jc w:val="center"/>
        <w:rPr>
          <w:rFonts w:hint="default" w:eastAsia="仿宋"/>
          <w:lang w:val="en-US" w:eastAsia="zh-CN"/>
        </w:rPr>
      </w:pPr>
      <w:r>
        <w:rPr>
          <w:rFonts w:hint="eastAsia" w:ascii="仿宋" w:hAnsi="仿宋" w:eastAsia="仿宋" w:cs="仿宋_GB2312"/>
          <w:color w:val="000000" w:themeColor="text1"/>
          <w:sz w:val="28"/>
          <w:szCs w:val="28"/>
          <w:lang w:val="en-US" w:eastAsia="zh-CN"/>
          <w14:textFill>
            <w14:solidFill>
              <w14:schemeClr w14:val="tx1"/>
            </w14:solidFill>
          </w14:textFill>
        </w:rPr>
        <w:t>5  项目单位、人员资格情况</w:t>
      </w: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644E6"/>
    <w:rsid w:val="000657B9"/>
    <w:rsid w:val="000A46D5"/>
    <w:rsid w:val="000A513D"/>
    <w:rsid w:val="000B2E59"/>
    <w:rsid w:val="000B6E2A"/>
    <w:rsid w:val="000E45BC"/>
    <w:rsid w:val="000F0E33"/>
    <w:rsid w:val="00112127"/>
    <w:rsid w:val="00113A79"/>
    <w:rsid w:val="001166BB"/>
    <w:rsid w:val="001467CA"/>
    <w:rsid w:val="00163A61"/>
    <w:rsid w:val="00194425"/>
    <w:rsid w:val="00196351"/>
    <w:rsid w:val="001F46A9"/>
    <w:rsid w:val="001F4B7D"/>
    <w:rsid w:val="001F5CC8"/>
    <w:rsid w:val="00203513"/>
    <w:rsid w:val="00204AB7"/>
    <w:rsid w:val="002144D7"/>
    <w:rsid w:val="00235700"/>
    <w:rsid w:val="00243240"/>
    <w:rsid w:val="00250256"/>
    <w:rsid w:val="002A21F8"/>
    <w:rsid w:val="002E23B2"/>
    <w:rsid w:val="002F588A"/>
    <w:rsid w:val="00320FA9"/>
    <w:rsid w:val="00335D77"/>
    <w:rsid w:val="00352134"/>
    <w:rsid w:val="00356EFB"/>
    <w:rsid w:val="003A0C70"/>
    <w:rsid w:val="003A30A6"/>
    <w:rsid w:val="003D205C"/>
    <w:rsid w:val="003D66E3"/>
    <w:rsid w:val="003E3A96"/>
    <w:rsid w:val="00413436"/>
    <w:rsid w:val="004273C1"/>
    <w:rsid w:val="0046764A"/>
    <w:rsid w:val="00477301"/>
    <w:rsid w:val="00481194"/>
    <w:rsid w:val="004814F2"/>
    <w:rsid w:val="0048211B"/>
    <w:rsid w:val="004E1354"/>
    <w:rsid w:val="004F3212"/>
    <w:rsid w:val="0050227A"/>
    <w:rsid w:val="00504917"/>
    <w:rsid w:val="00523FFA"/>
    <w:rsid w:val="00525D06"/>
    <w:rsid w:val="00527A1E"/>
    <w:rsid w:val="005328FE"/>
    <w:rsid w:val="00536854"/>
    <w:rsid w:val="00570096"/>
    <w:rsid w:val="00570D85"/>
    <w:rsid w:val="005840C1"/>
    <w:rsid w:val="005A4EA8"/>
    <w:rsid w:val="005A6632"/>
    <w:rsid w:val="005F336B"/>
    <w:rsid w:val="006077E7"/>
    <w:rsid w:val="00613B10"/>
    <w:rsid w:val="00653163"/>
    <w:rsid w:val="006840DB"/>
    <w:rsid w:val="006E0C83"/>
    <w:rsid w:val="00703691"/>
    <w:rsid w:val="00724C42"/>
    <w:rsid w:val="007263F2"/>
    <w:rsid w:val="007331F2"/>
    <w:rsid w:val="00747A49"/>
    <w:rsid w:val="007550D7"/>
    <w:rsid w:val="00786097"/>
    <w:rsid w:val="007957B4"/>
    <w:rsid w:val="0079655F"/>
    <w:rsid w:val="007A6F35"/>
    <w:rsid w:val="007B6895"/>
    <w:rsid w:val="007D172A"/>
    <w:rsid w:val="007F6D48"/>
    <w:rsid w:val="007F7F8F"/>
    <w:rsid w:val="008077D6"/>
    <w:rsid w:val="0083305F"/>
    <w:rsid w:val="00833F4E"/>
    <w:rsid w:val="008410FC"/>
    <w:rsid w:val="00850945"/>
    <w:rsid w:val="00854ED4"/>
    <w:rsid w:val="00876F4F"/>
    <w:rsid w:val="008A3A31"/>
    <w:rsid w:val="008B03F8"/>
    <w:rsid w:val="008E4F0E"/>
    <w:rsid w:val="00933EEF"/>
    <w:rsid w:val="00940686"/>
    <w:rsid w:val="0095329C"/>
    <w:rsid w:val="00974494"/>
    <w:rsid w:val="0098076A"/>
    <w:rsid w:val="009B1F7B"/>
    <w:rsid w:val="009C7F95"/>
    <w:rsid w:val="00A042A5"/>
    <w:rsid w:val="00A07297"/>
    <w:rsid w:val="00A10754"/>
    <w:rsid w:val="00A10F87"/>
    <w:rsid w:val="00A26B96"/>
    <w:rsid w:val="00A37654"/>
    <w:rsid w:val="00A55510"/>
    <w:rsid w:val="00A66265"/>
    <w:rsid w:val="00A9730C"/>
    <w:rsid w:val="00AC7CE3"/>
    <w:rsid w:val="00AE2741"/>
    <w:rsid w:val="00AF5C08"/>
    <w:rsid w:val="00B057D6"/>
    <w:rsid w:val="00B322B9"/>
    <w:rsid w:val="00B76342"/>
    <w:rsid w:val="00B908B9"/>
    <w:rsid w:val="00B936D7"/>
    <w:rsid w:val="00BA63CA"/>
    <w:rsid w:val="00BC5308"/>
    <w:rsid w:val="00BC63F4"/>
    <w:rsid w:val="00BD0A61"/>
    <w:rsid w:val="00BD2540"/>
    <w:rsid w:val="00BD6CB0"/>
    <w:rsid w:val="00BF29CD"/>
    <w:rsid w:val="00C00DEE"/>
    <w:rsid w:val="00C2525F"/>
    <w:rsid w:val="00C351CD"/>
    <w:rsid w:val="00C40D7A"/>
    <w:rsid w:val="00C669FA"/>
    <w:rsid w:val="00C95977"/>
    <w:rsid w:val="00CA61FE"/>
    <w:rsid w:val="00CC428A"/>
    <w:rsid w:val="00CC688F"/>
    <w:rsid w:val="00D0201F"/>
    <w:rsid w:val="00D141CE"/>
    <w:rsid w:val="00D30450"/>
    <w:rsid w:val="00D32BCA"/>
    <w:rsid w:val="00D61CC7"/>
    <w:rsid w:val="00D61E8F"/>
    <w:rsid w:val="00D70B32"/>
    <w:rsid w:val="00DB0C60"/>
    <w:rsid w:val="00DC06EB"/>
    <w:rsid w:val="00E135A3"/>
    <w:rsid w:val="00EE09EB"/>
    <w:rsid w:val="00EE5DF6"/>
    <w:rsid w:val="00F056F1"/>
    <w:rsid w:val="00F222B0"/>
    <w:rsid w:val="00F35C04"/>
    <w:rsid w:val="00F44C25"/>
    <w:rsid w:val="00F81A4F"/>
    <w:rsid w:val="00FC38AC"/>
    <w:rsid w:val="00FC4531"/>
    <w:rsid w:val="00FD2A30"/>
    <w:rsid w:val="01213C08"/>
    <w:rsid w:val="0215573E"/>
    <w:rsid w:val="024822B0"/>
    <w:rsid w:val="027951E6"/>
    <w:rsid w:val="02C45024"/>
    <w:rsid w:val="02CB58CB"/>
    <w:rsid w:val="03087985"/>
    <w:rsid w:val="03475D9E"/>
    <w:rsid w:val="035D56B7"/>
    <w:rsid w:val="03832948"/>
    <w:rsid w:val="03D06DBA"/>
    <w:rsid w:val="055C1B6B"/>
    <w:rsid w:val="05F767B7"/>
    <w:rsid w:val="06DB216C"/>
    <w:rsid w:val="0738668D"/>
    <w:rsid w:val="07945DCD"/>
    <w:rsid w:val="07966214"/>
    <w:rsid w:val="079E1868"/>
    <w:rsid w:val="07BF48E5"/>
    <w:rsid w:val="0A4A2DA1"/>
    <w:rsid w:val="0A810BB7"/>
    <w:rsid w:val="0A851038"/>
    <w:rsid w:val="0BEE4AD8"/>
    <w:rsid w:val="0BF7794B"/>
    <w:rsid w:val="0C056B63"/>
    <w:rsid w:val="0C165C1F"/>
    <w:rsid w:val="0CA010C8"/>
    <w:rsid w:val="0CD71487"/>
    <w:rsid w:val="0D4A2254"/>
    <w:rsid w:val="0D917F28"/>
    <w:rsid w:val="0DD442A4"/>
    <w:rsid w:val="0E0F34CE"/>
    <w:rsid w:val="0E105F13"/>
    <w:rsid w:val="0E8B1A39"/>
    <w:rsid w:val="0F157AE7"/>
    <w:rsid w:val="0F390B28"/>
    <w:rsid w:val="0F5027BF"/>
    <w:rsid w:val="0F595CE1"/>
    <w:rsid w:val="0F5D2C98"/>
    <w:rsid w:val="0FB15B6E"/>
    <w:rsid w:val="0FE9290F"/>
    <w:rsid w:val="100551E5"/>
    <w:rsid w:val="10930A51"/>
    <w:rsid w:val="10A21193"/>
    <w:rsid w:val="10CC2CED"/>
    <w:rsid w:val="117C356D"/>
    <w:rsid w:val="117D701A"/>
    <w:rsid w:val="118C396D"/>
    <w:rsid w:val="11DD09DC"/>
    <w:rsid w:val="120339C7"/>
    <w:rsid w:val="122261D1"/>
    <w:rsid w:val="166677CD"/>
    <w:rsid w:val="16774A77"/>
    <w:rsid w:val="16AD7949"/>
    <w:rsid w:val="16CB57E7"/>
    <w:rsid w:val="16CE05E6"/>
    <w:rsid w:val="16EE30E7"/>
    <w:rsid w:val="171B257B"/>
    <w:rsid w:val="17374AFE"/>
    <w:rsid w:val="175975CB"/>
    <w:rsid w:val="18341647"/>
    <w:rsid w:val="18576EA5"/>
    <w:rsid w:val="18832F1A"/>
    <w:rsid w:val="195E787B"/>
    <w:rsid w:val="198533A4"/>
    <w:rsid w:val="19EE3322"/>
    <w:rsid w:val="1A3C59EA"/>
    <w:rsid w:val="1A5A050B"/>
    <w:rsid w:val="1B43354C"/>
    <w:rsid w:val="1B6C3A06"/>
    <w:rsid w:val="1BC51A48"/>
    <w:rsid w:val="1BE72C9D"/>
    <w:rsid w:val="1C440C1D"/>
    <w:rsid w:val="1CC63289"/>
    <w:rsid w:val="1D8D6C0F"/>
    <w:rsid w:val="1DDD2F7D"/>
    <w:rsid w:val="1DFD3E11"/>
    <w:rsid w:val="1E172573"/>
    <w:rsid w:val="1E75317E"/>
    <w:rsid w:val="1E8651E3"/>
    <w:rsid w:val="1F626CBE"/>
    <w:rsid w:val="1FDA5354"/>
    <w:rsid w:val="201607F8"/>
    <w:rsid w:val="201C0EBB"/>
    <w:rsid w:val="2094043D"/>
    <w:rsid w:val="20E1358A"/>
    <w:rsid w:val="21197576"/>
    <w:rsid w:val="214B6BF0"/>
    <w:rsid w:val="21734A3E"/>
    <w:rsid w:val="221F635B"/>
    <w:rsid w:val="229B7230"/>
    <w:rsid w:val="23285357"/>
    <w:rsid w:val="2344568D"/>
    <w:rsid w:val="23CB38A6"/>
    <w:rsid w:val="23E76396"/>
    <w:rsid w:val="2411337A"/>
    <w:rsid w:val="24254283"/>
    <w:rsid w:val="24AF79E0"/>
    <w:rsid w:val="251A021B"/>
    <w:rsid w:val="25351C96"/>
    <w:rsid w:val="25C507A2"/>
    <w:rsid w:val="26F56AC0"/>
    <w:rsid w:val="27B26870"/>
    <w:rsid w:val="27D50AB7"/>
    <w:rsid w:val="27EF76F4"/>
    <w:rsid w:val="28651E57"/>
    <w:rsid w:val="28B67AA9"/>
    <w:rsid w:val="28F033EC"/>
    <w:rsid w:val="291E1603"/>
    <w:rsid w:val="29221318"/>
    <w:rsid w:val="29A441D3"/>
    <w:rsid w:val="29B26E64"/>
    <w:rsid w:val="29E47B0A"/>
    <w:rsid w:val="2A940D1D"/>
    <w:rsid w:val="2AFA2A43"/>
    <w:rsid w:val="2B8F2CA4"/>
    <w:rsid w:val="2BF2732D"/>
    <w:rsid w:val="2C0F5B60"/>
    <w:rsid w:val="2C2E6EB5"/>
    <w:rsid w:val="2CD61190"/>
    <w:rsid w:val="2D19638F"/>
    <w:rsid w:val="2DAB1D7F"/>
    <w:rsid w:val="2DF2482E"/>
    <w:rsid w:val="2E234B22"/>
    <w:rsid w:val="2E9A7907"/>
    <w:rsid w:val="2EBA18AD"/>
    <w:rsid w:val="2F0B2C00"/>
    <w:rsid w:val="2FC067FF"/>
    <w:rsid w:val="2FCA12C3"/>
    <w:rsid w:val="31343EAE"/>
    <w:rsid w:val="31D806F6"/>
    <w:rsid w:val="31FE415B"/>
    <w:rsid w:val="32207E65"/>
    <w:rsid w:val="32D03ED3"/>
    <w:rsid w:val="338D3FB9"/>
    <w:rsid w:val="33B204B9"/>
    <w:rsid w:val="3427114C"/>
    <w:rsid w:val="349E71E6"/>
    <w:rsid w:val="34E92F2E"/>
    <w:rsid w:val="357836E7"/>
    <w:rsid w:val="358B4E40"/>
    <w:rsid w:val="35971342"/>
    <w:rsid w:val="35C75BE6"/>
    <w:rsid w:val="368842E7"/>
    <w:rsid w:val="377E7997"/>
    <w:rsid w:val="37942F37"/>
    <w:rsid w:val="381E2730"/>
    <w:rsid w:val="38F70FAB"/>
    <w:rsid w:val="394D21E7"/>
    <w:rsid w:val="395A5702"/>
    <w:rsid w:val="39C851DB"/>
    <w:rsid w:val="3A042CB3"/>
    <w:rsid w:val="3AB900A5"/>
    <w:rsid w:val="3B5E7FDD"/>
    <w:rsid w:val="3B6B6DD0"/>
    <w:rsid w:val="3BA305CB"/>
    <w:rsid w:val="3CE74F29"/>
    <w:rsid w:val="3D1F511B"/>
    <w:rsid w:val="3D5B310B"/>
    <w:rsid w:val="3E095BCA"/>
    <w:rsid w:val="3E0F351A"/>
    <w:rsid w:val="3EC8123A"/>
    <w:rsid w:val="3EEB1ACE"/>
    <w:rsid w:val="3F055128"/>
    <w:rsid w:val="3F54054D"/>
    <w:rsid w:val="3F7A5E74"/>
    <w:rsid w:val="401310ED"/>
    <w:rsid w:val="41D14A55"/>
    <w:rsid w:val="41DF27B1"/>
    <w:rsid w:val="42093E84"/>
    <w:rsid w:val="42BF01C5"/>
    <w:rsid w:val="42C17449"/>
    <w:rsid w:val="4310494B"/>
    <w:rsid w:val="43415061"/>
    <w:rsid w:val="43A4461F"/>
    <w:rsid w:val="441066A3"/>
    <w:rsid w:val="441A32F1"/>
    <w:rsid w:val="44600DBD"/>
    <w:rsid w:val="44FD12C2"/>
    <w:rsid w:val="45D04201"/>
    <w:rsid w:val="45D12721"/>
    <w:rsid w:val="4611043A"/>
    <w:rsid w:val="46194FAB"/>
    <w:rsid w:val="461C0EF1"/>
    <w:rsid w:val="464B1280"/>
    <w:rsid w:val="46B34996"/>
    <w:rsid w:val="475A2186"/>
    <w:rsid w:val="477F4975"/>
    <w:rsid w:val="478B465D"/>
    <w:rsid w:val="47977170"/>
    <w:rsid w:val="47C65815"/>
    <w:rsid w:val="480139C4"/>
    <w:rsid w:val="481F5DE7"/>
    <w:rsid w:val="48DB21ED"/>
    <w:rsid w:val="4A2851B5"/>
    <w:rsid w:val="4A2F4E2F"/>
    <w:rsid w:val="4AD262D7"/>
    <w:rsid w:val="4AD9788D"/>
    <w:rsid w:val="4BC82AC7"/>
    <w:rsid w:val="4CE82F0D"/>
    <w:rsid w:val="4D284C9B"/>
    <w:rsid w:val="4D3840BE"/>
    <w:rsid w:val="4E725989"/>
    <w:rsid w:val="4E762343"/>
    <w:rsid w:val="4F2F4D0F"/>
    <w:rsid w:val="4FCB1D63"/>
    <w:rsid w:val="500D4543"/>
    <w:rsid w:val="502E55DD"/>
    <w:rsid w:val="513E3034"/>
    <w:rsid w:val="515A6194"/>
    <w:rsid w:val="51722D1F"/>
    <w:rsid w:val="5172393A"/>
    <w:rsid w:val="51734708"/>
    <w:rsid w:val="51A926EA"/>
    <w:rsid w:val="51B65006"/>
    <w:rsid w:val="52090955"/>
    <w:rsid w:val="5210640D"/>
    <w:rsid w:val="52253E41"/>
    <w:rsid w:val="522971FC"/>
    <w:rsid w:val="523A3295"/>
    <w:rsid w:val="52755A5B"/>
    <w:rsid w:val="52A50864"/>
    <w:rsid w:val="52FC3E3A"/>
    <w:rsid w:val="5375002C"/>
    <w:rsid w:val="537F7BFD"/>
    <w:rsid w:val="5428437A"/>
    <w:rsid w:val="54606D16"/>
    <w:rsid w:val="5489728D"/>
    <w:rsid w:val="54B057B0"/>
    <w:rsid w:val="54B91869"/>
    <w:rsid w:val="54BF3C9C"/>
    <w:rsid w:val="54FB7AE0"/>
    <w:rsid w:val="55461FCB"/>
    <w:rsid w:val="56447F87"/>
    <w:rsid w:val="56A0149E"/>
    <w:rsid w:val="56E25835"/>
    <w:rsid w:val="57435AA6"/>
    <w:rsid w:val="57E2260A"/>
    <w:rsid w:val="57FC0614"/>
    <w:rsid w:val="582E1436"/>
    <w:rsid w:val="584222D3"/>
    <w:rsid w:val="58C8034C"/>
    <w:rsid w:val="595A6DAA"/>
    <w:rsid w:val="5A36592C"/>
    <w:rsid w:val="5A6155C2"/>
    <w:rsid w:val="5A9D2DFB"/>
    <w:rsid w:val="5AFC4773"/>
    <w:rsid w:val="5B1E4FDA"/>
    <w:rsid w:val="5B3C1EDE"/>
    <w:rsid w:val="5B7758D0"/>
    <w:rsid w:val="5C955D81"/>
    <w:rsid w:val="5CF93944"/>
    <w:rsid w:val="5DD0123C"/>
    <w:rsid w:val="5E52450A"/>
    <w:rsid w:val="5E6C1EE2"/>
    <w:rsid w:val="5E784C84"/>
    <w:rsid w:val="5F2B4751"/>
    <w:rsid w:val="5F6F647E"/>
    <w:rsid w:val="5F7B439F"/>
    <w:rsid w:val="612F265F"/>
    <w:rsid w:val="61317F51"/>
    <w:rsid w:val="616A4354"/>
    <w:rsid w:val="61932D7D"/>
    <w:rsid w:val="62CD5B89"/>
    <w:rsid w:val="6331176E"/>
    <w:rsid w:val="634D18EF"/>
    <w:rsid w:val="63526B3A"/>
    <w:rsid w:val="635D716A"/>
    <w:rsid w:val="63BE341B"/>
    <w:rsid w:val="64D4152E"/>
    <w:rsid w:val="65284570"/>
    <w:rsid w:val="655C3140"/>
    <w:rsid w:val="656D64FA"/>
    <w:rsid w:val="658052DD"/>
    <w:rsid w:val="65C47416"/>
    <w:rsid w:val="665C3C76"/>
    <w:rsid w:val="669D7E10"/>
    <w:rsid w:val="67057CC2"/>
    <w:rsid w:val="670D7173"/>
    <w:rsid w:val="673B2037"/>
    <w:rsid w:val="6785569E"/>
    <w:rsid w:val="67C72854"/>
    <w:rsid w:val="681869FD"/>
    <w:rsid w:val="690B6D7C"/>
    <w:rsid w:val="699C0231"/>
    <w:rsid w:val="6A091B6D"/>
    <w:rsid w:val="6A3320AF"/>
    <w:rsid w:val="6ABB5727"/>
    <w:rsid w:val="6B1A6F57"/>
    <w:rsid w:val="6B4026C8"/>
    <w:rsid w:val="6CD41863"/>
    <w:rsid w:val="6DA93AF7"/>
    <w:rsid w:val="6DFD1267"/>
    <w:rsid w:val="6F0A4BA7"/>
    <w:rsid w:val="6F1A7372"/>
    <w:rsid w:val="6F2155D1"/>
    <w:rsid w:val="6F3B08A0"/>
    <w:rsid w:val="6F4D1D02"/>
    <w:rsid w:val="702E3856"/>
    <w:rsid w:val="70624653"/>
    <w:rsid w:val="710B10C2"/>
    <w:rsid w:val="71950079"/>
    <w:rsid w:val="71EA5114"/>
    <w:rsid w:val="71F37EA0"/>
    <w:rsid w:val="72411309"/>
    <w:rsid w:val="726957A9"/>
    <w:rsid w:val="72903204"/>
    <w:rsid w:val="72962E22"/>
    <w:rsid w:val="72A30DB4"/>
    <w:rsid w:val="72AD7B2C"/>
    <w:rsid w:val="73AD6D3B"/>
    <w:rsid w:val="73B5332C"/>
    <w:rsid w:val="73F64AD6"/>
    <w:rsid w:val="745B0474"/>
    <w:rsid w:val="75664885"/>
    <w:rsid w:val="75FC5708"/>
    <w:rsid w:val="764515DD"/>
    <w:rsid w:val="76B414A3"/>
    <w:rsid w:val="76C057F2"/>
    <w:rsid w:val="77104A5B"/>
    <w:rsid w:val="774A16C1"/>
    <w:rsid w:val="78033B32"/>
    <w:rsid w:val="79816561"/>
    <w:rsid w:val="79BE5874"/>
    <w:rsid w:val="79FE6F5F"/>
    <w:rsid w:val="7A052862"/>
    <w:rsid w:val="7AA856BE"/>
    <w:rsid w:val="7ADA653A"/>
    <w:rsid w:val="7C57001E"/>
    <w:rsid w:val="7C8912DD"/>
    <w:rsid w:val="7C8F63C8"/>
    <w:rsid w:val="7DCB439A"/>
    <w:rsid w:val="7EC07050"/>
    <w:rsid w:val="7ECE0477"/>
    <w:rsid w:val="7F0B2A41"/>
    <w:rsid w:val="7F6053B4"/>
    <w:rsid w:val="7F8C2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29"/>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after="120" w:line="240" w:lineRule="auto"/>
      <w:ind w:firstLine="420"/>
    </w:pPr>
    <w:rPr>
      <w:kern w:val="2"/>
      <w:sz w:val="21"/>
    </w:rPr>
  </w:style>
  <w:style w:type="paragraph" w:styleId="3">
    <w:name w:val="Body Text"/>
    <w:basedOn w:val="1"/>
    <w:unhideWhenUsed/>
    <w:qFormat/>
    <w:uiPriority w:val="99"/>
    <w:rPr>
      <w:sz w:val="28"/>
    </w:rPr>
  </w:style>
  <w:style w:type="paragraph" w:styleId="7">
    <w:name w:val="annotation text"/>
    <w:basedOn w:val="1"/>
    <w:link w:val="36"/>
    <w:qFormat/>
    <w:uiPriority w:val="0"/>
    <w:pPr>
      <w:jc w:val="left"/>
    </w:pPr>
    <w:rPr>
      <w:rFonts w:ascii="Times New Roman" w:hAnsi="Times New Roman" w:eastAsia="宋体" w:cs="Times New Roman"/>
      <w:szCs w:val="24"/>
    </w:rPr>
  </w:style>
  <w:style w:type="paragraph" w:styleId="8">
    <w:name w:val="Body Text Indent"/>
    <w:basedOn w:val="1"/>
    <w:link w:val="38"/>
    <w:semiHidden/>
    <w:unhideWhenUsed/>
    <w:qFormat/>
    <w:uiPriority w:val="99"/>
    <w:pPr>
      <w:spacing w:after="120"/>
      <w:ind w:left="420" w:leftChars="200"/>
    </w:pPr>
  </w:style>
  <w:style w:type="paragraph" w:styleId="9">
    <w:name w:val="Plain Text"/>
    <w:basedOn w:val="1"/>
    <w:link w:val="33"/>
    <w:qFormat/>
    <w:uiPriority w:val="0"/>
    <w:rPr>
      <w:rFonts w:ascii="宋体" w:hAnsi="Courier New" w:eastAsia="宋体" w:cs="Courier New"/>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42"/>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cs="Times New Roman"/>
      <w:szCs w:val="24"/>
    </w:rPr>
  </w:style>
  <w:style w:type="paragraph" w:styleId="15">
    <w:name w:val="Body Text Indent 3"/>
    <w:basedOn w:val="1"/>
    <w:link w:val="31"/>
    <w:qFormat/>
    <w:uiPriority w:val="99"/>
    <w:pPr>
      <w:widowControl/>
      <w:spacing w:after="120" w:line="259" w:lineRule="auto"/>
      <w:ind w:left="420" w:leftChars="200"/>
      <w:jc w:val="left"/>
    </w:pPr>
    <w:rPr>
      <w:kern w:val="0"/>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7">
    <w:name w:val="Title"/>
    <w:basedOn w:val="1"/>
    <w:next w:val="1"/>
    <w:link w:val="35"/>
    <w:qFormat/>
    <w:uiPriority w:val="0"/>
    <w:pPr>
      <w:spacing w:before="240" w:after="60"/>
      <w:jc w:val="center"/>
      <w:outlineLvl w:val="0"/>
    </w:pPr>
    <w:rPr>
      <w:rFonts w:ascii="Cambria" w:hAnsi="Cambria" w:eastAsia="宋体" w:cs="Times New Roman"/>
      <w:b/>
      <w:bCs/>
      <w:sz w:val="32"/>
      <w:szCs w:val="32"/>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rFonts w:eastAsia="宋体"/>
      <w:b/>
      <w:bCs/>
      <w:kern w:val="2"/>
      <w:sz w:val="24"/>
      <w:szCs w:val="24"/>
      <w:lang w:val="en-US" w:eastAsia="zh-CN" w:bidi="ar-SA"/>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5">
    <w:name w:val="页眉 Char"/>
    <w:basedOn w:val="20"/>
    <w:link w:val="13"/>
    <w:qFormat/>
    <w:uiPriority w:val="99"/>
    <w:rPr>
      <w:sz w:val="18"/>
      <w:szCs w:val="18"/>
    </w:rPr>
  </w:style>
  <w:style w:type="character" w:customStyle="1" w:styleId="26">
    <w:name w:val="页脚 Char"/>
    <w:basedOn w:val="20"/>
    <w:link w:val="12"/>
    <w:qFormat/>
    <w:uiPriority w:val="99"/>
    <w:rPr>
      <w:sz w:val="18"/>
      <w:szCs w:val="18"/>
    </w:rPr>
  </w:style>
  <w:style w:type="paragraph" w:customStyle="1" w:styleId="27">
    <w:name w:val="列出段落1"/>
    <w:basedOn w:val="1"/>
    <w:qFormat/>
    <w:uiPriority w:val="34"/>
    <w:pPr>
      <w:ind w:firstLine="420" w:firstLineChars="200"/>
    </w:pPr>
    <w:rPr>
      <w:rFonts w:ascii="Calibri" w:hAnsi="Calibri" w:eastAsia="宋体" w:cs="Times New Roman"/>
    </w:rPr>
  </w:style>
  <w:style w:type="character" w:customStyle="1" w:styleId="28">
    <w:name w:val="标题 5 Char"/>
    <w:basedOn w:val="20"/>
    <w:link w:val="6"/>
    <w:semiHidden/>
    <w:qFormat/>
    <w:uiPriority w:val="9"/>
    <w:rPr>
      <w:b/>
      <w:bCs/>
      <w:sz w:val="28"/>
      <w:szCs w:val="28"/>
    </w:rPr>
  </w:style>
  <w:style w:type="character" w:customStyle="1" w:styleId="29">
    <w:name w:val="标题 5 Char1"/>
    <w:basedOn w:val="20"/>
    <w:link w:val="6"/>
    <w:qFormat/>
    <w:uiPriority w:val="9"/>
    <w:rPr>
      <w:rFonts w:asciiTheme="majorHAnsi" w:hAnsiTheme="majorHAnsi" w:eastAsiaTheme="majorEastAsia" w:cstheme="majorBidi"/>
      <w:color w:val="376092" w:themeColor="accent1" w:themeShade="BF"/>
      <w:kern w:val="0"/>
      <w:sz w:val="22"/>
    </w:rPr>
  </w:style>
  <w:style w:type="character" w:customStyle="1" w:styleId="30">
    <w:name w:val="正文文本缩进 3 Char"/>
    <w:basedOn w:val="20"/>
    <w:link w:val="15"/>
    <w:semiHidden/>
    <w:qFormat/>
    <w:uiPriority w:val="99"/>
    <w:rPr>
      <w:sz w:val="16"/>
      <w:szCs w:val="16"/>
    </w:rPr>
  </w:style>
  <w:style w:type="character" w:customStyle="1" w:styleId="31">
    <w:name w:val="正文文本缩进 3 Char1"/>
    <w:basedOn w:val="20"/>
    <w:link w:val="15"/>
    <w:qFormat/>
    <w:uiPriority w:val="99"/>
    <w:rPr>
      <w:kern w:val="0"/>
      <w:sz w:val="16"/>
      <w:szCs w:val="16"/>
    </w:rPr>
  </w:style>
  <w:style w:type="paragraph" w:styleId="32">
    <w:name w:val="List Paragraph"/>
    <w:basedOn w:val="1"/>
    <w:qFormat/>
    <w:uiPriority w:val="34"/>
    <w:pPr>
      <w:ind w:firstLine="420" w:firstLineChars="200"/>
    </w:pPr>
  </w:style>
  <w:style w:type="character" w:customStyle="1" w:styleId="33">
    <w:name w:val="纯文本 Char"/>
    <w:basedOn w:val="20"/>
    <w:link w:val="9"/>
    <w:qFormat/>
    <w:uiPriority w:val="0"/>
    <w:rPr>
      <w:rFonts w:ascii="宋体" w:hAnsi="Courier New" w:eastAsia="宋体" w:cs="Courier New"/>
      <w:szCs w:val="21"/>
    </w:rPr>
  </w:style>
  <w:style w:type="character" w:customStyle="1" w:styleId="34">
    <w:name w:val="标题 2 Char"/>
    <w:basedOn w:val="20"/>
    <w:link w:val="4"/>
    <w:semiHidden/>
    <w:qFormat/>
    <w:uiPriority w:val="9"/>
    <w:rPr>
      <w:rFonts w:asciiTheme="majorHAnsi" w:hAnsiTheme="majorHAnsi" w:eastAsiaTheme="majorEastAsia" w:cstheme="majorBidi"/>
      <w:b/>
      <w:bCs/>
      <w:sz w:val="32"/>
      <w:szCs w:val="32"/>
    </w:rPr>
  </w:style>
  <w:style w:type="character" w:customStyle="1" w:styleId="35">
    <w:name w:val="标题 Char"/>
    <w:basedOn w:val="20"/>
    <w:link w:val="17"/>
    <w:qFormat/>
    <w:uiPriority w:val="0"/>
    <w:rPr>
      <w:rFonts w:ascii="Cambria" w:hAnsi="Cambria" w:eastAsia="宋体" w:cs="Times New Roman"/>
      <w:b/>
      <w:bCs/>
      <w:sz w:val="32"/>
      <w:szCs w:val="32"/>
    </w:rPr>
  </w:style>
  <w:style w:type="character" w:customStyle="1" w:styleId="36">
    <w:name w:val="批注文字 Char"/>
    <w:basedOn w:val="20"/>
    <w:link w:val="7"/>
    <w:qFormat/>
    <w:uiPriority w:val="0"/>
    <w:rPr>
      <w:rFonts w:ascii="Times New Roman" w:hAnsi="Times New Roman" w:eastAsia="宋体" w:cs="Times New Roman"/>
      <w:szCs w:val="24"/>
    </w:rPr>
  </w:style>
  <w:style w:type="character" w:customStyle="1" w:styleId="37">
    <w:name w:val="标题 3 Char"/>
    <w:basedOn w:val="20"/>
    <w:link w:val="5"/>
    <w:semiHidden/>
    <w:qFormat/>
    <w:uiPriority w:val="9"/>
    <w:rPr>
      <w:b/>
      <w:bCs/>
      <w:sz w:val="32"/>
      <w:szCs w:val="32"/>
    </w:rPr>
  </w:style>
  <w:style w:type="character" w:customStyle="1" w:styleId="38">
    <w:name w:val="正文文本缩进 Char"/>
    <w:basedOn w:val="20"/>
    <w:link w:val="8"/>
    <w:semiHidden/>
    <w:qFormat/>
    <w:uiPriority w:val="99"/>
  </w:style>
  <w:style w:type="paragraph" w:customStyle="1" w:styleId="39">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1">
    <w:name w:val="apple-converted-space"/>
    <w:basedOn w:val="20"/>
    <w:qFormat/>
    <w:uiPriority w:val="0"/>
  </w:style>
  <w:style w:type="character" w:customStyle="1" w:styleId="42">
    <w:name w:val="批注框文本 Char"/>
    <w:basedOn w:val="20"/>
    <w:link w:val="11"/>
    <w:semiHidden/>
    <w:qFormat/>
    <w:uiPriority w:val="99"/>
    <w:rPr>
      <w:kern w:val="2"/>
      <w:sz w:val="18"/>
      <w:szCs w:val="18"/>
    </w:rPr>
  </w:style>
  <w:style w:type="paragraph"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14D70-2D37-492B-849D-1B5330ED1F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2087</Words>
  <Characters>11896</Characters>
  <Lines>99</Lines>
  <Paragraphs>27</Paragraphs>
  <TotalTime>18</TotalTime>
  <ScaleCrop>false</ScaleCrop>
  <LinksUpToDate>false</LinksUpToDate>
  <CharactersWithSpaces>13956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2020-12-07T02:55:00Z</dcterms:created>
  <dc:creator>李嘉雯</dc:creator>
  <cp:lastModifiedBy>林煜韩</cp:lastModifiedBy>
  <cp:lastPrinted>2021-04-13T01:04:00Z</cp:lastPrinted>
  <dcterms:modified xsi:type="dcterms:W3CDTF">2021-04-15T09:48:25Z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9FCDD6B33D9C47FC966785BD55E953E1</vt:lpwstr>
  </property>
</Properties>
</file>