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rPr>
      </w:pPr>
      <w:r>
        <w:rPr>
          <w:rFonts w:hint="eastAsia" w:ascii="仿宋_GB2312" w:hAnsi="仿宋_GB2312" w:eastAsia="仿宋_GB2312" w:cs="仿宋_GB2312"/>
          <w:b/>
          <w:bCs/>
          <w:color w:val="000000" w:themeColor="text1"/>
          <w:sz w:val="72"/>
        </w:rPr>
        <w:t>询价文件</w:t>
      </w:r>
    </w:p>
    <w:p>
      <w:pPr>
        <w:spacing w:line="500" w:lineRule="exact"/>
        <w:jc w:val="center"/>
        <w:rPr>
          <w:rFonts w:ascii="仿宋_GB2312" w:hAnsi="仿宋_GB2312" w:eastAsia="仿宋_GB2312" w:cs="仿宋_GB2312"/>
          <w:bCs/>
          <w:color w:val="000000" w:themeColor="text1"/>
          <w:sz w:val="24"/>
          <w:szCs w:val="28"/>
        </w:rPr>
      </w:pPr>
    </w:p>
    <w:p>
      <w:pPr>
        <w:spacing w:line="500" w:lineRule="exact"/>
        <w:jc w:val="left"/>
        <w:rPr>
          <w:rFonts w:ascii="仿宋_GB2312" w:hAnsi="仿宋_GB2312" w:eastAsia="仿宋_GB2312" w:cs="仿宋_GB2312"/>
          <w:b/>
          <w:bCs/>
          <w:color w:val="000000" w:themeColor="text1"/>
          <w:sz w:val="24"/>
          <w:szCs w:val="28"/>
        </w:rPr>
      </w:pPr>
      <w:r>
        <w:rPr>
          <w:rFonts w:ascii="仿宋_GB2312" w:hAnsi="仿宋_GB2312" w:eastAsia="仿宋_GB2312" w:cs="仿宋_GB2312"/>
          <w:b/>
          <w:bCs/>
          <w:color w:val="000000" w:themeColor="text1"/>
          <w:sz w:val="24"/>
          <w:szCs w:val="28"/>
        </w:rPr>
        <w:t xml:space="preserve">          项目编号：</w:t>
      </w:r>
      <w:r>
        <w:rPr>
          <w:rFonts w:hint="eastAsia" w:ascii="仿宋_GB2312" w:hAnsi="仿宋_GB2312" w:eastAsia="仿宋_GB2312" w:cs="仿宋_GB2312"/>
          <w:b/>
          <w:bCs/>
          <w:color w:val="000000" w:themeColor="text1"/>
          <w:sz w:val="24"/>
          <w:szCs w:val="28"/>
          <w:lang w:val="en-US" w:eastAsia="zh-CN"/>
        </w:rPr>
        <w:t>XE-20200107-1</w:t>
      </w:r>
      <w:r>
        <w:rPr>
          <w:color w:val="000000" w:themeColor="text1"/>
          <w:sz w:val="24"/>
          <w:szCs w:val="28"/>
        </w:rPr>
        <w:fldChar w:fldCharType="begin"/>
      </w:r>
      <w:r>
        <w:rPr>
          <w:rFonts w:hint="eastAsia"/>
          <w:color w:val="000000" w:themeColor="text1"/>
          <w:sz w:val="24"/>
          <w:szCs w:val="28"/>
        </w:rPr>
        <w:instrText xml:space="preserve"> DOCVARIABLE  采购编号  \* MERGEFORMAT </w:instrText>
      </w:r>
      <w:r>
        <w:rPr>
          <w:color w:val="000000" w:themeColor="text1"/>
          <w:sz w:val="24"/>
          <w:szCs w:val="28"/>
        </w:rPr>
        <w:fldChar w:fldCharType="end"/>
      </w:r>
    </w:p>
    <w:p>
      <w:pPr>
        <w:spacing w:line="500" w:lineRule="exact"/>
        <w:jc w:val="left"/>
        <w:rPr>
          <w:rFonts w:ascii="仿宋_GB2312" w:hAnsi="仿宋_GB2312" w:eastAsia="仿宋_GB2312" w:cs="仿宋_GB2312"/>
          <w:b/>
          <w:bCs/>
          <w:color w:val="000000" w:themeColor="text1"/>
          <w:sz w:val="24"/>
          <w:szCs w:val="28"/>
        </w:rPr>
      </w:pPr>
      <w:r>
        <w:rPr>
          <w:rFonts w:ascii="仿宋_GB2312" w:hAnsi="仿宋_GB2312" w:eastAsia="仿宋_GB2312" w:cs="仿宋_GB2312"/>
          <w:b/>
          <w:bCs/>
          <w:color w:val="000000" w:themeColor="text1"/>
          <w:sz w:val="24"/>
          <w:szCs w:val="28"/>
        </w:rPr>
        <w:t xml:space="preserve">          项目名称：广州市净水有限公司</w:t>
      </w:r>
      <w:r>
        <w:rPr>
          <w:rFonts w:hint="eastAsia" w:ascii="仿宋_GB2312" w:hAnsi="仿宋_GB2312" w:eastAsia="仿宋_GB2312" w:cs="仿宋_GB2312"/>
          <w:b/>
          <w:bCs/>
          <w:color w:val="000000" w:themeColor="text1"/>
          <w:sz w:val="24"/>
          <w:szCs w:val="28"/>
        </w:rPr>
        <w:t>2021年消防设施维保项目</w:t>
      </w:r>
    </w:p>
    <w:p>
      <w:pPr>
        <w:spacing w:line="500" w:lineRule="exact"/>
        <w:jc w:val="center"/>
        <w:rPr>
          <w:rFonts w:ascii="仿宋_GB2312" w:hAnsi="仿宋_GB2312" w:eastAsia="仿宋_GB2312" w:cs="仿宋_GB2312"/>
          <w:b/>
          <w:bCs/>
          <w:color w:val="000000" w:themeColor="text1"/>
        </w:rPr>
      </w:pPr>
    </w:p>
    <w:p>
      <w:pPr>
        <w:spacing w:line="500" w:lineRule="exact"/>
        <w:jc w:val="center"/>
        <w:rPr>
          <w:rFonts w:ascii="仿宋_GB2312" w:hAnsi="仿宋_GB2312" w:eastAsia="仿宋_GB2312" w:cs="仿宋_GB2312"/>
          <w:b/>
          <w:bCs/>
          <w:color w:val="000000" w:themeColor="text1"/>
          <w:sz w:val="72"/>
        </w:rPr>
      </w:pPr>
    </w:p>
    <w:p>
      <w:pPr>
        <w:spacing w:line="360" w:lineRule="auto"/>
        <w:jc w:val="center"/>
        <w:rPr>
          <w:rFonts w:ascii="仿宋_GB2312" w:hAnsi="仿宋_GB2312" w:eastAsia="仿宋_GB2312" w:cs="仿宋_GB2312"/>
          <w:b/>
          <w:color w:val="000000" w:themeColor="text1"/>
          <w:sz w:val="28"/>
        </w:rPr>
      </w:pPr>
    </w:p>
    <w:p>
      <w:pPr>
        <w:spacing w:line="360" w:lineRule="auto"/>
        <w:jc w:val="center"/>
        <w:rPr>
          <w:rFonts w:ascii="仿宋_GB2312" w:hAnsi="仿宋_GB2312" w:eastAsia="仿宋_GB2312" w:cs="仿宋_GB2312"/>
          <w:b/>
          <w:color w:val="000000" w:themeColor="text1"/>
          <w:sz w:val="28"/>
        </w:rPr>
      </w:pPr>
    </w:p>
    <w:p>
      <w:pPr>
        <w:spacing w:line="360" w:lineRule="auto"/>
        <w:jc w:val="center"/>
        <w:rPr>
          <w:rFonts w:ascii="仿宋_GB2312" w:hAnsi="仿宋_GB2312" w:eastAsia="仿宋_GB2312" w:cs="仿宋_GB2312"/>
          <w:b/>
          <w:color w:val="000000" w:themeColor="text1"/>
          <w:sz w:val="28"/>
        </w:rPr>
      </w:pPr>
    </w:p>
    <w:p>
      <w:pPr>
        <w:spacing w:line="360" w:lineRule="auto"/>
        <w:jc w:val="center"/>
        <w:rPr>
          <w:rFonts w:ascii="仿宋_GB2312" w:hAnsi="仿宋_GB2312" w:eastAsia="仿宋_GB2312" w:cs="仿宋_GB2312"/>
          <w:b/>
          <w:color w:val="000000" w:themeColor="text1"/>
          <w:sz w:val="28"/>
        </w:rPr>
      </w:pPr>
    </w:p>
    <w:p>
      <w:pPr>
        <w:spacing w:line="360" w:lineRule="auto"/>
        <w:jc w:val="center"/>
        <w:rPr>
          <w:rFonts w:ascii="仿宋_GB2312" w:hAnsi="仿宋_GB2312" w:eastAsia="仿宋_GB2312" w:cs="仿宋_GB2312"/>
          <w:b/>
          <w:color w:val="000000" w:themeColor="text1"/>
          <w:sz w:val="28"/>
        </w:rPr>
      </w:pPr>
    </w:p>
    <w:p>
      <w:pPr>
        <w:spacing w:line="360" w:lineRule="auto"/>
        <w:jc w:val="center"/>
        <w:rPr>
          <w:rFonts w:ascii="仿宋_GB2312" w:hAnsi="仿宋_GB2312" w:eastAsia="仿宋_GB2312" w:cs="仿宋_GB2312"/>
          <w:b/>
          <w:color w:val="000000" w:themeColor="text1"/>
          <w:sz w:val="28"/>
        </w:rPr>
      </w:pPr>
    </w:p>
    <w:p>
      <w:pPr>
        <w:spacing w:line="360" w:lineRule="auto"/>
        <w:jc w:val="center"/>
        <w:rPr>
          <w:rFonts w:ascii="仿宋_GB2312" w:hAnsi="仿宋_GB2312" w:eastAsia="仿宋_GB2312" w:cs="仿宋_GB2312"/>
          <w:b/>
          <w:color w:val="000000" w:themeColor="text1"/>
          <w:sz w:val="28"/>
        </w:rPr>
      </w:pPr>
    </w:p>
    <w:p>
      <w:pPr>
        <w:spacing w:line="360" w:lineRule="auto"/>
        <w:jc w:val="center"/>
        <w:rPr>
          <w:rFonts w:ascii="仿宋_GB2312" w:hAnsi="仿宋_GB2312" w:eastAsia="仿宋_GB2312" w:cs="仿宋_GB2312"/>
          <w:b/>
          <w:color w:val="000000" w:themeColor="text1"/>
          <w:sz w:val="28"/>
        </w:rPr>
      </w:pPr>
    </w:p>
    <w:p>
      <w:pPr>
        <w:spacing w:line="360" w:lineRule="auto"/>
        <w:jc w:val="center"/>
        <w:rPr>
          <w:rFonts w:ascii="仿宋_GB2312" w:hAnsi="仿宋_GB2312" w:eastAsia="仿宋_GB2312" w:cs="仿宋_GB2312"/>
          <w:b/>
          <w:color w:val="000000" w:themeColor="text1"/>
          <w:sz w:val="28"/>
        </w:rPr>
      </w:pPr>
    </w:p>
    <w:p>
      <w:pPr>
        <w:spacing w:line="360" w:lineRule="auto"/>
        <w:jc w:val="center"/>
        <w:rPr>
          <w:rFonts w:ascii="仿宋_GB2312" w:hAnsi="仿宋_GB2312" w:eastAsia="仿宋_GB2312" w:cs="仿宋_GB2312"/>
          <w:b/>
          <w:bCs/>
          <w:color w:val="000000" w:themeColor="text1"/>
          <w:sz w:val="28"/>
        </w:rPr>
      </w:pPr>
    </w:p>
    <w:p>
      <w:pPr>
        <w:spacing w:line="360" w:lineRule="auto"/>
        <w:jc w:val="center"/>
        <w:rPr>
          <w:rFonts w:ascii="仿宋_GB2312" w:hAnsi="仿宋_GB2312" w:eastAsia="仿宋_GB2312" w:cs="仿宋_GB2312"/>
          <w:b/>
          <w:bCs/>
          <w:color w:val="000000" w:themeColor="text1"/>
          <w:sz w:val="36"/>
        </w:rPr>
      </w:pPr>
      <w:r>
        <w:rPr>
          <w:rFonts w:ascii="仿宋_GB2312" w:hAnsi="仿宋_GB2312" w:eastAsia="仿宋_GB2312" w:cs="仿宋_GB2312"/>
          <w:b/>
          <w:bCs/>
          <w:color w:val="000000" w:themeColor="text1"/>
          <w:sz w:val="36"/>
        </w:rPr>
        <w:t xml:space="preserve"> 广州市净水有限公司编制</w:t>
      </w:r>
    </w:p>
    <w:p>
      <w:pPr>
        <w:spacing w:line="360" w:lineRule="auto"/>
        <w:jc w:val="center"/>
        <w:rPr>
          <w:rFonts w:ascii="仿宋_GB2312" w:hAnsi="仿宋_GB2312" w:eastAsia="仿宋_GB2312" w:cs="仿宋_GB2312"/>
          <w:color w:val="000000" w:themeColor="text1"/>
          <w:sz w:val="28"/>
          <w:szCs w:val="28"/>
        </w:rPr>
      </w:pPr>
    </w:p>
    <w:p>
      <w:pPr>
        <w:spacing w:line="360" w:lineRule="auto"/>
        <w:jc w:val="center"/>
        <w:rPr>
          <w:rFonts w:ascii="仿宋_GB2312" w:hAnsi="仿宋_GB2312" w:eastAsia="仿宋_GB2312" w:cs="仿宋_GB2312"/>
          <w:b/>
          <w:bCs/>
          <w:color w:val="000000" w:themeColor="text1"/>
          <w:sz w:val="28"/>
        </w:rPr>
      </w:pPr>
      <w:r>
        <w:rPr>
          <w:rFonts w:hint="eastAsia" w:ascii="仿宋_GB2312" w:hAnsi="仿宋_GB2312" w:eastAsia="仿宋_GB2312" w:cs="仿宋_GB2312"/>
          <w:b/>
          <w:bCs/>
          <w:color w:val="000000" w:themeColor="text1"/>
          <w:sz w:val="28"/>
        </w:rPr>
        <w:t>发布日期：</w:t>
      </w:r>
      <w:r>
        <w:rPr>
          <w:rFonts w:ascii="仿宋_GB2312" w:hAnsi="仿宋_GB2312" w:eastAsia="仿宋_GB2312" w:cs="仿宋_GB2312"/>
          <w:b/>
          <w:bCs/>
          <w:color w:val="000000" w:themeColor="text1"/>
          <w:sz w:val="28"/>
        </w:rPr>
        <w:t>202</w:t>
      </w:r>
      <w:r>
        <w:rPr>
          <w:rFonts w:hint="eastAsia" w:ascii="仿宋_GB2312" w:hAnsi="仿宋_GB2312" w:eastAsia="仿宋_GB2312" w:cs="仿宋_GB2312"/>
          <w:b/>
          <w:bCs/>
          <w:color w:val="000000" w:themeColor="text1"/>
          <w:sz w:val="28"/>
          <w:lang w:val="en-US" w:eastAsia="zh-CN"/>
        </w:rPr>
        <w:t>1</w:t>
      </w:r>
      <w:r>
        <w:rPr>
          <w:rFonts w:ascii="仿宋_GB2312" w:hAnsi="仿宋_GB2312" w:eastAsia="仿宋_GB2312" w:cs="仿宋_GB2312"/>
          <w:b/>
          <w:bCs/>
          <w:color w:val="000000" w:themeColor="text1"/>
          <w:sz w:val="28"/>
        </w:rPr>
        <w:t>年</w:t>
      </w:r>
      <w:r>
        <w:rPr>
          <w:rFonts w:hint="eastAsia" w:ascii="仿宋_GB2312" w:hAnsi="仿宋_GB2312" w:eastAsia="仿宋_GB2312" w:cs="仿宋_GB2312"/>
          <w:b/>
          <w:bCs/>
          <w:color w:val="000000" w:themeColor="text1"/>
          <w:sz w:val="28"/>
          <w:lang w:val="en-US" w:eastAsia="zh-CN"/>
        </w:rPr>
        <w:t>1</w:t>
      </w:r>
      <w:r>
        <w:rPr>
          <w:rFonts w:ascii="仿宋_GB2312" w:hAnsi="仿宋_GB2312" w:eastAsia="仿宋_GB2312" w:cs="仿宋_GB2312"/>
          <w:b/>
          <w:bCs/>
          <w:color w:val="000000" w:themeColor="text1"/>
          <w:sz w:val="28"/>
        </w:rPr>
        <w:t>月</w:t>
      </w:r>
      <w:r>
        <w:rPr>
          <w:rFonts w:hint="eastAsia" w:ascii="仿宋_GB2312" w:hAnsi="仿宋_GB2312" w:eastAsia="仿宋_GB2312" w:cs="仿宋_GB2312"/>
          <w:b/>
          <w:bCs/>
          <w:color w:val="000000" w:themeColor="text1"/>
          <w:sz w:val="28"/>
          <w:lang w:val="en-US" w:eastAsia="zh-CN"/>
        </w:rPr>
        <w:t>7</w:t>
      </w:r>
      <w:r>
        <w:rPr>
          <w:rFonts w:ascii="仿宋_GB2312" w:hAnsi="仿宋_GB2312" w:eastAsia="仿宋_GB2312" w:cs="仿宋_GB2312"/>
          <w:b/>
          <w:bCs/>
          <w:color w:val="000000" w:themeColor="text1"/>
          <w:sz w:val="28"/>
        </w:rPr>
        <w:t>日</w:t>
      </w:r>
    </w:p>
    <w:p>
      <w:pPr>
        <w:rPr>
          <w:rFonts w:ascii="仿宋_GB2312" w:hAnsi="仿宋_GB2312" w:eastAsia="仿宋_GB2312" w:cs="仿宋_GB2312"/>
          <w:color w:val="000000" w:themeColor="text1"/>
        </w:rPr>
      </w:pPr>
    </w:p>
    <w:p>
      <w:pPr>
        <w:rPr>
          <w:rFonts w:ascii="仿宋_GB2312" w:hAnsi="仿宋_GB2312" w:eastAsia="仿宋_GB2312" w:cs="仿宋_GB2312"/>
          <w:b/>
          <w:color w:val="000000" w:themeColor="text1"/>
          <w:sz w:val="28"/>
          <w:szCs w:val="28"/>
        </w:rPr>
      </w:pPr>
    </w:p>
    <w:p>
      <w:pPr>
        <w:rPr>
          <w:rFonts w:ascii="仿宋_GB2312" w:hAnsi="仿宋_GB2312" w:eastAsia="仿宋_GB2312" w:cs="仿宋_GB2312"/>
          <w:b/>
          <w:color w:val="000000" w:themeColor="text1"/>
          <w:sz w:val="28"/>
          <w:szCs w:val="28"/>
        </w:rPr>
      </w:pPr>
    </w:p>
    <w:p>
      <w:pPr>
        <w:pageBreakBefore/>
        <w:jc w:val="center"/>
        <w:rPr>
          <w:rFonts w:ascii="仿宋_GB2312" w:hAnsi="仿宋_GB2312" w:eastAsia="仿宋_GB2312" w:cs="仿宋_GB2312"/>
          <w:b/>
          <w:bCs/>
          <w:caps/>
          <w:color w:val="000000" w:themeColor="text1"/>
          <w:sz w:val="28"/>
          <w:szCs w:val="28"/>
        </w:rPr>
      </w:pPr>
      <w:r>
        <w:rPr>
          <w:rFonts w:hint="eastAsia" w:ascii="仿宋_GB2312" w:hAnsi="仿宋_GB2312" w:eastAsia="仿宋_GB2312" w:cs="仿宋_GB2312"/>
          <w:b/>
          <w:bCs/>
          <w:color w:val="000000" w:themeColor="text1"/>
          <w:sz w:val="28"/>
          <w:szCs w:val="28"/>
        </w:rPr>
        <w:t>目录</w:t>
      </w:r>
      <w:r>
        <w:rPr>
          <w:rFonts w:ascii="仿宋_GB2312" w:hAnsi="仿宋_GB2312" w:eastAsia="仿宋_GB2312" w:cs="仿宋_GB2312"/>
          <w:b/>
          <w:bCs/>
          <w:caps/>
          <w:color w:val="000000" w:themeColor="text1"/>
          <w:sz w:val="28"/>
          <w:szCs w:val="28"/>
        </w:rPr>
        <w:br w:type="textWrapping"/>
      </w:r>
    </w:p>
    <w:p>
      <w:pPr>
        <w:pStyle w:val="11"/>
        <w:tabs>
          <w:tab w:val="right" w:leader="dot" w:pos="9174"/>
        </w:tabs>
        <w:spacing w:line="360" w:lineRule="auto"/>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第一部分报价邀请函</w:t>
      </w:r>
    </w:p>
    <w:p>
      <w:pP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第二部分项目内容</w:t>
      </w:r>
    </w:p>
    <w:p>
      <w:pP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第三部分报价须知</w:t>
      </w:r>
    </w:p>
    <w:p>
      <w:pP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第四部分合同书格式</w:t>
      </w:r>
    </w:p>
    <w:p>
      <w:pP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第五部分响应文件格式</w:t>
      </w:r>
    </w:p>
    <w:p>
      <w:pP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第六部分附件</w:t>
      </w:r>
    </w:p>
    <w:p>
      <w:pPr>
        <w:ind w:firstLine="548" w:firstLineChars="196"/>
        <w:rPr>
          <w:rFonts w:ascii="仿宋_GB2312" w:hAnsi="仿宋_GB2312" w:eastAsia="仿宋_GB2312" w:cs="仿宋_GB2312"/>
          <w:color w:val="000000" w:themeColor="text1"/>
          <w:sz w:val="28"/>
          <w:szCs w:val="28"/>
        </w:rPr>
      </w:pPr>
    </w:p>
    <w:p>
      <w:pPr>
        <w:ind w:firstLine="548" w:firstLineChars="196"/>
        <w:rPr>
          <w:rFonts w:ascii="仿宋_GB2312" w:hAnsi="仿宋_GB2312" w:eastAsia="仿宋_GB2312" w:cs="仿宋_GB2312"/>
          <w:color w:val="000000" w:themeColor="text1"/>
          <w:sz w:val="28"/>
          <w:szCs w:val="28"/>
        </w:rPr>
      </w:pPr>
    </w:p>
    <w:p>
      <w:pPr>
        <w:ind w:firstLine="548" w:firstLineChars="196"/>
        <w:rPr>
          <w:rFonts w:ascii="仿宋_GB2312" w:hAnsi="仿宋_GB2312" w:eastAsia="仿宋_GB2312" w:cs="仿宋_GB2312"/>
          <w:color w:val="000000" w:themeColor="text1"/>
          <w:sz w:val="28"/>
          <w:szCs w:val="28"/>
        </w:rPr>
      </w:pPr>
    </w:p>
    <w:p>
      <w:pPr>
        <w:ind w:firstLine="548" w:firstLineChars="196"/>
        <w:rPr>
          <w:rFonts w:ascii="仿宋_GB2312" w:hAnsi="仿宋_GB2312" w:eastAsia="仿宋_GB2312" w:cs="仿宋_GB2312"/>
          <w:color w:val="000000" w:themeColor="text1"/>
          <w:sz w:val="28"/>
          <w:szCs w:val="28"/>
        </w:rPr>
      </w:pPr>
    </w:p>
    <w:p>
      <w:pPr>
        <w:ind w:firstLine="548" w:firstLineChars="196"/>
        <w:rPr>
          <w:rFonts w:ascii="仿宋_GB2312" w:hAnsi="仿宋_GB2312" w:eastAsia="仿宋_GB2312" w:cs="仿宋_GB2312"/>
          <w:color w:val="000000" w:themeColor="text1"/>
          <w:sz w:val="28"/>
          <w:szCs w:val="28"/>
        </w:rPr>
      </w:pPr>
    </w:p>
    <w:p>
      <w:pPr>
        <w:ind w:firstLine="548" w:firstLineChars="196"/>
        <w:rPr>
          <w:rFonts w:ascii="仿宋_GB2312" w:hAnsi="仿宋_GB2312" w:eastAsia="仿宋_GB2312" w:cs="仿宋_GB2312"/>
          <w:color w:val="000000" w:themeColor="text1"/>
          <w:sz w:val="28"/>
          <w:szCs w:val="28"/>
        </w:rPr>
      </w:pPr>
    </w:p>
    <w:p>
      <w:pPr>
        <w:ind w:firstLine="548" w:firstLineChars="196"/>
        <w:rPr>
          <w:rFonts w:ascii="仿宋_GB2312" w:hAnsi="仿宋_GB2312" w:eastAsia="仿宋_GB2312" w:cs="仿宋_GB2312"/>
          <w:color w:val="000000" w:themeColor="text1"/>
          <w:sz w:val="28"/>
          <w:szCs w:val="28"/>
        </w:rPr>
      </w:pPr>
    </w:p>
    <w:p>
      <w:pPr>
        <w:ind w:firstLine="548" w:firstLineChars="196"/>
        <w:rPr>
          <w:rFonts w:ascii="仿宋_GB2312" w:hAnsi="仿宋_GB2312" w:eastAsia="仿宋_GB2312" w:cs="仿宋_GB2312"/>
          <w:color w:val="000000" w:themeColor="text1"/>
          <w:sz w:val="28"/>
          <w:szCs w:val="28"/>
        </w:rPr>
      </w:pPr>
    </w:p>
    <w:p>
      <w:pPr>
        <w:ind w:firstLine="548" w:firstLineChars="196"/>
        <w:rPr>
          <w:rFonts w:ascii="仿宋_GB2312" w:hAnsi="仿宋_GB2312" w:eastAsia="仿宋_GB2312" w:cs="仿宋_GB2312"/>
          <w:b/>
          <w:color w:val="000000" w:themeColor="text1"/>
          <w:sz w:val="28"/>
          <w:szCs w:val="28"/>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rPr>
      </w:pPr>
    </w:p>
    <w:p>
      <w:pPr>
        <w:rPr>
          <w:rFonts w:ascii="仿宋_GB2312" w:hAnsi="仿宋_GB2312" w:eastAsia="仿宋_GB2312" w:cs="仿宋_GB2312"/>
          <w:b/>
          <w:color w:val="000000" w:themeColor="text1"/>
          <w:sz w:val="28"/>
          <w:szCs w:val="28"/>
        </w:rPr>
      </w:pPr>
    </w:p>
    <w:p>
      <w:pPr>
        <w:rPr>
          <w:rFonts w:ascii="仿宋_GB2312" w:hAnsi="仿宋_GB2312" w:eastAsia="仿宋_GB2312" w:cs="仿宋_GB2312"/>
          <w:b/>
          <w:color w:val="000000" w:themeColor="text1"/>
          <w:sz w:val="28"/>
          <w:szCs w:val="28"/>
        </w:rPr>
      </w:pPr>
    </w:p>
    <w:p>
      <w:pPr>
        <w:rPr>
          <w:rFonts w:ascii="仿宋_GB2312" w:hAnsi="仿宋_GB2312" w:eastAsia="仿宋_GB2312" w:cs="仿宋_GB2312"/>
          <w:b/>
          <w:color w:val="000000" w:themeColor="text1"/>
          <w:sz w:val="28"/>
          <w:szCs w:val="28"/>
        </w:rPr>
      </w:pPr>
    </w:p>
    <w:p>
      <w:pPr>
        <w:rPr>
          <w:rFonts w:ascii="仿宋_GB2312" w:hAnsi="仿宋_GB2312" w:eastAsia="仿宋_GB2312" w:cs="仿宋_GB2312"/>
          <w:b/>
          <w:color w:val="000000" w:themeColor="text1"/>
          <w:sz w:val="28"/>
          <w:szCs w:val="28"/>
        </w:rPr>
      </w:pPr>
    </w:p>
    <w:p>
      <w:pPr>
        <w:rPr>
          <w:rFonts w:ascii="仿宋_GB2312" w:hAnsi="仿宋_GB2312" w:eastAsia="仿宋_GB2312" w:cs="仿宋_GB2312"/>
          <w:b/>
          <w:color w:val="000000" w:themeColor="text1"/>
          <w:sz w:val="28"/>
          <w:szCs w:val="28"/>
        </w:rPr>
      </w:pPr>
    </w:p>
    <w:p>
      <w:pPr>
        <w:jc w:val="center"/>
        <w:rPr>
          <w:rFonts w:ascii="仿宋" w:hAnsi="仿宋" w:eastAsia="仿宋" w:cs="仿宋_GB2312"/>
          <w:b/>
          <w:color w:val="000000" w:themeColor="text1"/>
          <w:kern w:val="0"/>
          <w:sz w:val="28"/>
          <w:szCs w:val="28"/>
        </w:rPr>
      </w:pPr>
      <w:r>
        <w:rPr>
          <w:rFonts w:hint="eastAsia" w:ascii="仿宋" w:hAnsi="仿宋" w:eastAsia="仿宋" w:cs="仿宋_GB2312"/>
          <w:b/>
          <w:color w:val="000000" w:themeColor="text1"/>
          <w:kern w:val="0"/>
          <w:sz w:val="28"/>
          <w:szCs w:val="28"/>
        </w:rPr>
        <w:t>第一部分报价邀请函</w:t>
      </w:r>
    </w:p>
    <w:p>
      <w:pPr>
        <w:ind w:firstLine="478" w:firstLineChars="171"/>
        <w:rPr>
          <w:rFonts w:ascii="仿宋_GB2312" w:hAnsi="仿宋_GB2312" w:eastAsia="仿宋_GB2312" w:cs="仿宋_GB2312"/>
          <w:color w:val="000000" w:themeColor="text1"/>
          <w:kern w:val="0"/>
          <w:sz w:val="28"/>
          <w:szCs w:val="28"/>
        </w:rPr>
      </w:pPr>
    </w:p>
    <w:p>
      <w:pPr>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000000" w:themeColor="text1"/>
          <w:kern w:val="0"/>
          <w:sz w:val="28"/>
          <w:szCs w:val="28"/>
        </w:rPr>
        <w:t>各报价单位</w:t>
      </w:r>
      <w:r>
        <w:rPr>
          <w:rFonts w:ascii="仿宋_GB2312" w:hAnsi="仿宋_GB2312" w:eastAsia="仿宋_GB2312" w:cs="仿宋_GB2312"/>
          <w:color w:val="000000" w:themeColor="text1"/>
          <w:kern w:val="0"/>
          <w:sz w:val="28"/>
          <w:szCs w:val="28"/>
        </w:rPr>
        <w:t>:</w:t>
      </w:r>
    </w:p>
    <w:p>
      <w:pPr>
        <w:ind w:firstLine="560" w:firstLineChars="200"/>
        <w:rPr>
          <w:rFonts w:ascii="仿宋_GB2312" w:hAnsi="仿宋_GB2312" w:eastAsia="仿宋_GB2312" w:cs="仿宋_GB2312"/>
          <w:color w:val="000000" w:themeColor="text1"/>
          <w:sz w:val="28"/>
          <w:szCs w:val="28"/>
          <w:u w:val="single"/>
        </w:rPr>
      </w:pPr>
      <w:r>
        <w:rPr>
          <w:rFonts w:hint="eastAsia" w:ascii="仿宋_GB2312" w:hAnsi="仿宋_GB2312" w:eastAsia="仿宋_GB2312" w:cs="仿宋_GB2312"/>
          <w:color w:val="000000" w:themeColor="text1"/>
          <w:sz w:val="28"/>
          <w:szCs w:val="28"/>
        </w:rPr>
        <w:t>现我公司对</w:t>
      </w:r>
      <w:r>
        <w:rPr>
          <w:rFonts w:hint="eastAsia" w:ascii="仿宋_GB2312" w:hAnsi="仿宋_GB2312" w:eastAsia="仿宋_GB2312" w:cs="仿宋_GB2312"/>
          <w:color w:val="000000" w:themeColor="text1"/>
          <w:sz w:val="28"/>
          <w:szCs w:val="28"/>
          <w:u w:val="single"/>
        </w:rPr>
        <w:t>2021年消防设施维保项目</w:t>
      </w:r>
      <w:r>
        <w:rPr>
          <w:rFonts w:hint="eastAsia" w:ascii="仿宋_GB2312" w:hAnsi="仿宋_GB2312" w:eastAsia="仿宋_GB2312" w:cs="仿宋_GB2312"/>
          <w:color w:val="000000" w:themeColor="text1"/>
          <w:sz w:val="28"/>
          <w:szCs w:val="28"/>
        </w:rPr>
        <w:t>进行询价，</w:t>
      </w:r>
      <w:r>
        <w:rPr>
          <w:rFonts w:hint="eastAsia" w:ascii="仿宋_GB2312" w:hAnsi="仿宋_GB2312" w:eastAsia="仿宋_GB2312" w:cs="仿宋_GB2312"/>
          <w:color w:val="000000" w:themeColor="text1"/>
          <w:sz w:val="28"/>
          <w:szCs w:val="28"/>
          <w:lang w:val="zh-CN"/>
        </w:rPr>
        <w:t>欢迎符合资格条件</w:t>
      </w:r>
      <w:r>
        <w:rPr>
          <w:rFonts w:hint="eastAsia" w:ascii="仿宋_GB2312" w:hAnsi="仿宋_GB2312" w:eastAsia="仿宋_GB2312" w:cs="仿宋_GB2312"/>
          <w:color w:val="000000" w:themeColor="text1"/>
          <w:sz w:val="28"/>
          <w:szCs w:val="28"/>
        </w:rPr>
        <w:t>的报价单位参加。</w:t>
      </w:r>
    </w:p>
    <w:p>
      <w:pPr>
        <w:autoSpaceDE w:val="0"/>
        <w:autoSpaceDN w:val="0"/>
        <w:ind w:firstLine="560" w:firstLineChars="200"/>
        <w:rPr>
          <w:rFonts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一、资金计划：</w:t>
      </w:r>
      <w:r>
        <w:rPr>
          <w:rFonts w:hint="eastAsia" w:ascii="仿宋_GB2312" w:hAnsi="仿宋_GB2312" w:eastAsia="仿宋_GB2312" w:cs="仿宋_GB2312"/>
          <w:color w:val="000000" w:themeColor="text1"/>
          <w:sz w:val="28"/>
          <w:szCs w:val="28"/>
          <w:u w:val="single"/>
          <w:lang w:val="zh-CN"/>
        </w:rPr>
        <w:t>743452.20元</w:t>
      </w:r>
    </w:p>
    <w:p>
      <w:pPr>
        <w:autoSpaceDE w:val="0"/>
        <w:autoSpaceDN w:val="0"/>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二</w:t>
      </w:r>
      <w:r>
        <w:rPr>
          <w:rFonts w:hint="eastAsia" w:ascii="仿宋_GB2312" w:hAnsi="仿宋_GB2312" w:eastAsia="仿宋_GB2312" w:cs="仿宋_GB2312"/>
          <w:color w:val="000000" w:themeColor="text1"/>
          <w:sz w:val="28"/>
          <w:szCs w:val="28"/>
          <w:lang w:val="zh-CN"/>
        </w:rPr>
        <w:t>、项目编号：</w:t>
      </w:r>
      <w:r>
        <w:rPr>
          <w:rFonts w:hint="eastAsia" w:ascii="仿宋_GB2312" w:hAnsi="仿宋_GB2312" w:eastAsia="仿宋_GB2312" w:cs="仿宋_GB2312"/>
          <w:color w:val="000000" w:themeColor="text1"/>
          <w:sz w:val="28"/>
          <w:szCs w:val="28"/>
          <w:u w:val="single"/>
          <w:lang w:val="zh-CN"/>
        </w:rPr>
        <w:t>XE-20200107-1</w:t>
      </w:r>
    </w:p>
    <w:p>
      <w:pPr>
        <w:autoSpaceDE w:val="0"/>
        <w:autoSpaceDN w:val="0"/>
        <w:ind w:firstLine="560" w:firstLineChars="200"/>
        <w:rPr>
          <w:rFonts w:ascii="仿宋_GB2312" w:hAnsi="仿宋_GB2312" w:eastAsia="仿宋_GB2312" w:cs="仿宋_GB2312"/>
          <w:color w:val="000000" w:themeColor="text1"/>
          <w:sz w:val="28"/>
          <w:szCs w:val="28"/>
          <w:u w:val="single"/>
        </w:rPr>
      </w:pPr>
      <w:r>
        <w:rPr>
          <w:rFonts w:hint="eastAsia" w:ascii="仿宋_GB2312" w:hAnsi="仿宋_GB2312" w:eastAsia="仿宋_GB2312" w:cs="仿宋_GB2312"/>
          <w:color w:val="000000" w:themeColor="text1"/>
          <w:sz w:val="28"/>
          <w:szCs w:val="28"/>
          <w:lang w:val="zh-CN"/>
        </w:rPr>
        <w:t>三</w:t>
      </w:r>
      <w:r>
        <w:rPr>
          <w:rFonts w:hint="eastAsia" w:ascii="仿宋_GB2312" w:hAnsi="仿宋_GB2312" w:eastAsia="仿宋_GB2312" w:cs="仿宋_GB2312"/>
          <w:color w:val="000000" w:themeColor="text1"/>
          <w:sz w:val="28"/>
          <w:szCs w:val="28"/>
        </w:rPr>
        <w:t>、项目名称：</w:t>
      </w:r>
      <w:r>
        <w:rPr>
          <w:rFonts w:hint="eastAsia" w:ascii="仿宋_GB2312" w:hAnsi="仿宋_GB2312" w:eastAsia="仿宋_GB2312" w:cs="仿宋_GB2312"/>
          <w:color w:val="000000" w:themeColor="text1"/>
          <w:sz w:val="28"/>
          <w:szCs w:val="28"/>
          <w:u w:val="single"/>
        </w:rPr>
        <w:t>广州市净水有限公司</w:t>
      </w:r>
      <w:bookmarkStart w:id="6" w:name="_GoBack"/>
      <w:bookmarkEnd w:id="6"/>
      <w:r>
        <w:rPr>
          <w:rFonts w:hint="eastAsia" w:ascii="仿宋_GB2312" w:hAnsi="仿宋_GB2312" w:eastAsia="仿宋_GB2312" w:cs="仿宋_GB2312"/>
          <w:color w:val="000000" w:themeColor="text1"/>
          <w:sz w:val="28"/>
          <w:szCs w:val="28"/>
          <w:u w:val="single"/>
        </w:rPr>
        <w:t>2021年消防设施维保项目</w:t>
      </w:r>
    </w:p>
    <w:p>
      <w:pPr>
        <w:autoSpaceDE w:val="0"/>
        <w:autoSpaceDN w:val="0"/>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lang w:val="zh-CN"/>
        </w:rPr>
        <w:t>四、最高限价</w:t>
      </w:r>
      <w:r>
        <w:rPr>
          <w:rFonts w:hint="eastAsia" w:ascii="仿宋_GB2312" w:hAnsi="仿宋_GB2312" w:eastAsia="仿宋_GB2312" w:cs="仿宋_GB2312"/>
          <w:color w:val="000000" w:themeColor="text1"/>
          <w:sz w:val="28"/>
          <w:szCs w:val="28"/>
        </w:rPr>
        <w:t>：</w:t>
      </w:r>
      <w:r>
        <w:rPr>
          <w:rFonts w:hint="eastAsia" w:ascii="仿宋_GB2312" w:hAnsi="仿宋_GB2312" w:eastAsia="仿宋_GB2312" w:cs="仿宋_GB2312"/>
          <w:color w:val="000000" w:themeColor="text1"/>
          <w:sz w:val="28"/>
          <w:szCs w:val="28"/>
          <w:u w:val="single"/>
          <w:lang w:val="zh-CN"/>
        </w:rPr>
        <w:t>743452.20元</w:t>
      </w:r>
    </w:p>
    <w:p>
      <w:pPr>
        <w:autoSpaceDE w:val="0"/>
        <w:autoSpaceDN w:val="0"/>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五</w:t>
      </w:r>
      <w:r>
        <w:rPr>
          <w:rFonts w:hint="eastAsia" w:ascii="仿宋_GB2312" w:hAnsi="仿宋_GB2312" w:eastAsia="仿宋_GB2312" w:cs="仿宋_GB2312"/>
          <w:color w:val="000000" w:themeColor="text1"/>
          <w:sz w:val="28"/>
          <w:szCs w:val="28"/>
          <w:lang w:val="zh-CN"/>
        </w:rPr>
        <w:t>、</w:t>
      </w:r>
      <w:r>
        <w:rPr>
          <w:rFonts w:hint="eastAsia" w:ascii="仿宋_GB2312" w:hAnsi="仿宋_GB2312" w:eastAsia="仿宋_GB2312" w:cs="仿宋_GB2312"/>
          <w:color w:val="000000" w:themeColor="text1"/>
          <w:sz w:val="28"/>
          <w:szCs w:val="28"/>
        </w:rPr>
        <w:t>项目内容及需求：针对我</w:t>
      </w:r>
      <w:r>
        <w:rPr>
          <w:rFonts w:hint="eastAsia" w:ascii="仿宋_GB2312" w:hAnsi="仿宋_GB2312" w:eastAsia="仿宋_GB2312" w:cs="仿宋_GB2312"/>
          <w:color w:val="000000" w:themeColor="text1"/>
          <w:sz w:val="28"/>
          <w:szCs w:val="28"/>
          <w:u w:val="single"/>
        </w:rPr>
        <w:t>广州市净水有限公司2021年消防设施维保项目</w:t>
      </w:r>
      <w:r>
        <w:rPr>
          <w:rFonts w:hint="eastAsia" w:ascii="仿宋_GB2312" w:hAnsi="仿宋_GB2312" w:eastAsia="仿宋_GB2312" w:cs="仿宋_GB2312"/>
          <w:color w:val="000000" w:themeColor="text1"/>
          <w:sz w:val="28"/>
          <w:szCs w:val="28"/>
        </w:rPr>
        <w:t>具体实施内容，详见第二部分项目内容。</w:t>
      </w:r>
    </w:p>
    <w:p>
      <w:pPr>
        <w:autoSpaceDE w:val="0"/>
        <w:autoSpaceDN w:val="0"/>
        <w:ind w:firstLine="560" w:firstLineChars="20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六、报价单位资格要求：</w:t>
      </w:r>
    </w:p>
    <w:p>
      <w:pPr>
        <w:autoSpaceDE w:val="0"/>
        <w:autoSpaceDN w:val="0"/>
        <w:ind w:firstLine="560" w:firstLineChars="20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１.报价单位须是中华人民共和国境内的法人或者其他组织，具有独立法人资格，且能开具增值税专用发票。</w:t>
      </w:r>
    </w:p>
    <w:p>
      <w:pPr>
        <w:pStyle w:val="21"/>
        <w:autoSpaceDE w:val="0"/>
        <w:autoSpaceDN w:val="0"/>
        <w:ind w:firstLine="560"/>
        <w:jc w:val="left"/>
        <w:rPr>
          <w:rFonts w:ascii="仿宋_GB2312" w:hAnsi="仿宋_GB2312" w:eastAsia="仿宋_GB2312" w:cs="仿宋_GB2312"/>
          <w:color w:val="000000"/>
          <w:sz w:val="28"/>
          <w:szCs w:val="28"/>
          <w:lang w:val="zh-CN"/>
        </w:rPr>
      </w:pPr>
      <w:r>
        <w:rPr>
          <w:rFonts w:ascii="仿宋_GB2312" w:hAnsi="仿宋_GB2312" w:eastAsia="仿宋_GB2312" w:cs="仿宋_GB2312"/>
          <w:color w:val="000000"/>
          <w:sz w:val="28"/>
          <w:szCs w:val="28"/>
        </w:rPr>
        <w:t>2</w:t>
      </w:r>
      <w:r>
        <w:rPr>
          <w:rFonts w:ascii="仿宋_GB2312" w:hAnsi="仿宋_GB2312" w:eastAsia="仿宋_GB2312" w:cs="仿宋_GB2312"/>
          <w:color w:val="000000"/>
          <w:sz w:val="28"/>
          <w:szCs w:val="28"/>
          <w:lang w:val="zh-CN"/>
        </w:rPr>
        <w:t>. 201</w:t>
      </w:r>
      <w:r>
        <w:rPr>
          <w:rFonts w:hint="eastAsia" w:ascii="仿宋_GB2312" w:hAnsi="仿宋_GB2312" w:eastAsia="仿宋_GB2312" w:cs="仿宋_GB2312"/>
          <w:color w:val="000000"/>
          <w:sz w:val="28"/>
          <w:szCs w:val="28"/>
          <w:lang w:val="en-US" w:eastAsia="zh-CN"/>
        </w:rPr>
        <w:t>8</w:t>
      </w:r>
      <w:r>
        <w:rPr>
          <w:rFonts w:ascii="仿宋_GB2312" w:hAnsi="仿宋_GB2312" w:eastAsia="仿宋_GB2312" w:cs="仿宋_GB2312"/>
          <w:color w:val="000000"/>
          <w:sz w:val="28"/>
          <w:szCs w:val="28"/>
          <w:lang w:val="zh-CN"/>
        </w:rPr>
        <w:t>年</w:t>
      </w:r>
      <w:r>
        <w:rPr>
          <w:rFonts w:ascii="仿宋_GB2312" w:hAnsi="仿宋_GB2312" w:eastAsia="仿宋_GB2312" w:cs="仿宋_GB2312"/>
          <w:color w:val="000000"/>
          <w:sz w:val="28"/>
          <w:szCs w:val="28"/>
        </w:rPr>
        <w:t>1月1日</w:t>
      </w:r>
      <w:r>
        <w:rPr>
          <w:rFonts w:hint="eastAsia" w:ascii="仿宋_GB2312" w:hAnsi="仿宋_GB2312" w:eastAsia="仿宋_GB2312" w:cs="仿宋_GB2312"/>
          <w:color w:val="000000"/>
          <w:sz w:val="28"/>
          <w:szCs w:val="28"/>
          <w:lang w:val="zh-CN"/>
        </w:rPr>
        <w:t>至今，至少有一个服务期为1年以上的消防设施维保检测项目</w:t>
      </w:r>
      <w:r>
        <w:rPr>
          <w:rFonts w:hint="eastAsia" w:ascii="仿宋_GB2312" w:hAnsi="仿宋_GB2312" w:eastAsia="仿宋_GB2312" w:cs="仿宋_GB2312"/>
          <w:color w:val="000000" w:themeColor="text1"/>
          <w:sz w:val="28"/>
          <w:szCs w:val="28"/>
        </w:rPr>
        <w:t>业绩</w:t>
      </w:r>
      <w:r>
        <w:rPr>
          <w:rFonts w:hint="eastAsia" w:ascii="仿宋_GB2312" w:hAnsi="仿宋_GB2312" w:eastAsia="仿宋_GB2312" w:cs="仿宋_GB2312"/>
          <w:color w:val="000000"/>
          <w:sz w:val="28"/>
          <w:szCs w:val="28"/>
          <w:lang w:val="zh-CN"/>
        </w:rPr>
        <w:t>，并提供相关证明文件（合同复印件，加盖单位公章）。</w:t>
      </w:r>
    </w:p>
    <w:p>
      <w:pPr>
        <w:pStyle w:val="21"/>
        <w:autoSpaceDE w:val="0"/>
        <w:autoSpaceDN w:val="0"/>
        <w:ind w:firstLine="56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lang w:val="zh-CN"/>
        </w:rPr>
        <w:t>3.</w:t>
      </w:r>
      <w:r>
        <w:rPr>
          <w:rFonts w:hint="eastAsia" w:ascii="仿宋_GB2312" w:hAnsi="宋体" w:eastAsia="仿宋_GB2312"/>
          <w:sz w:val="28"/>
          <w:szCs w:val="28"/>
        </w:rPr>
        <w:t>报价单位项目负责人应持有</w:t>
      </w:r>
      <w:r>
        <w:rPr>
          <w:rFonts w:hint="eastAsia" w:ascii="仿宋_GB2312" w:hAnsi="仿宋_GB2312" w:eastAsia="仿宋_GB2312" w:cs="仿宋_GB2312"/>
          <w:sz w:val="28"/>
          <w:szCs w:val="28"/>
        </w:rPr>
        <w:t>高级构筑物消防员证或高级消防设施操作员证（维保检测方向）。（需提供资格证复印件，</w:t>
      </w:r>
      <w:r>
        <w:rPr>
          <w:rFonts w:hint="eastAsia" w:ascii="仿宋_GB2312" w:hAnsi="仿宋_GB2312" w:eastAsia="仿宋_GB2312" w:cs="仿宋_GB2312"/>
          <w:color w:val="000000"/>
          <w:sz w:val="28"/>
          <w:szCs w:val="28"/>
          <w:lang w:val="zh-CN"/>
        </w:rPr>
        <w:t>加盖单位公章</w:t>
      </w:r>
      <w:r>
        <w:rPr>
          <w:rFonts w:hint="eastAsia" w:ascii="仿宋_GB2312" w:hAnsi="仿宋_GB2312" w:eastAsia="仿宋_GB2312" w:cs="仿宋_GB2312"/>
          <w:sz w:val="28"/>
          <w:szCs w:val="28"/>
        </w:rPr>
        <w:t>）</w:t>
      </w:r>
    </w:p>
    <w:p>
      <w:pPr>
        <w:pStyle w:val="21"/>
        <w:autoSpaceDE w:val="0"/>
        <w:autoSpaceDN w:val="0"/>
        <w:ind w:firstLine="560"/>
        <w:jc w:val="lef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七、现场踏勘</w:t>
      </w:r>
      <w:r>
        <w:rPr>
          <w:rFonts w:ascii="仿宋_GB2312" w:hAnsi="仿宋_GB2312" w:eastAsia="仿宋_GB2312" w:cs="仿宋_GB2312"/>
          <w:color w:val="000000" w:themeColor="text1"/>
          <w:sz w:val="28"/>
          <w:szCs w:val="28"/>
        </w:rPr>
        <w:t>(答疑会)时间、地点（也可由报价单位自行踏勘现场）：/</w:t>
      </w:r>
    </w:p>
    <w:p>
      <w:pPr>
        <w:rPr>
          <w:rFonts w:ascii="仿宋" w:hAnsi="仿宋" w:eastAsia="仿宋" w:cs="仿宋_GB2312"/>
          <w:color w:val="000000" w:themeColor="text1"/>
          <w:sz w:val="28"/>
          <w:szCs w:val="28"/>
        </w:rPr>
      </w:pPr>
      <w:r>
        <w:rPr>
          <w:rFonts w:hint="eastAsia" w:ascii="仿宋_GB2312" w:hAnsi="仿宋_GB2312" w:eastAsia="仿宋_GB2312" w:cs="仿宋_GB2312"/>
          <w:color w:val="000000" w:themeColor="text1"/>
          <w:sz w:val="28"/>
          <w:szCs w:val="28"/>
        </w:rPr>
        <w:t>八、询价文件的获取：在</w:t>
      </w:r>
      <w:r>
        <w:rPr>
          <w:rFonts w:ascii="仿宋_GB2312" w:hAnsi="仿宋_GB2312" w:eastAsia="仿宋_GB2312" w:cs="仿宋_GB2312"/>
          <w:color w:val="000000" w:themeColor="text1"/>
          <w:sz w:val="28"/>
          <w:szCs w:val="28"/>
        </w:rPr>
        <w:t>202</w:t>
      </w:r>
      <w:r>
        <w:rPr>
          <w:rFonts w:hint="eastAsia" w:ascii="仿宋_GB2312" w:hAnsi="仿宋_GB2312" w:eastAsia="仿宋_GB2312" w:cs="仿宋_GB2312"/>
          <w:color w:val="000000" w:themeColor="text1"/>
          <w:sz w:val="28"/>
          <w:szCs w:val="28"/>
          <w:lang w:val="en-US" w:eastAsia="zh-CN"/>
        </w:rPr>
        <w:t>1</w:t>
      </w:r>
      <w:r>
        <w:rPr>
          <w:rFonts w:ascii="仿宋_GB2312" w:hAnsi="仿宋_GB2312" w:eastAsia="仿宋_GB2312" w:cs="仿宋_GB2312"/>
          <w:color w:val="000000" w:themeColor="text1"/>
          <w:sz w:val="28"/>
          <w:szCs w:val="28"/>
        </w:rPr>
        <w:t>年1月</w:t>
      </w:r>
      <w:r>
        <w:rPr>
          <w:rFonts w:hint="eastAsia" w:ascii="仿宋_GB2312" w:hAnsi="仿宋_GB2312" w:eastAsia="仿宋_GB2312" w:cs="仿宋_GB2312"/>
          <w:color w:val="000000" w:themeColor="text1"/>
          <w:sz w:val="28"/>
          <w:szCs w:val="28"/>
          <w:lang w:val="en-US" w:eastAsia="zh-CN"/>
        </w:rPr>
        <w:t>12</w:t>
      </w:r>
      <w:r>
        <w:rPr>
          <w:rFonts w:ascii="仿宋_GB2312" w:hAnsi="仿宋_GB2312" w:eastAsia="仿宋_GB2312" w:cs="仿宋_GB2312"/>
          <w:color w:val="000000" w:themeColor="text1"/>
          <w:sz w:val="28"/>
          <w:szCs w:val="28"/>
        </w:rPr>
        <w:t>日</w:t>
      </w:r>
      <w:r>
        <w:rPr>
          <w:rFonts w:hint="eastAsia" w:ascii="仿宋_GB2312" w:hAnsi="仿宋_GB2312" w:eastAsia="仿宋_GB2312" w:cs="仿宋_GB2312"/>
          <w:color w:val="000000" w:themeColor="text1"/>
          <w:sz w:val="28"/>
          <w:szCs w:val="28"/>
          <w:lang w:val="en-US" w:eastAsia="zh-CN"/>
        </w:rPr>
        <w:t>10</w:t>
      </w:r>
      <w:r>
        <w:rPr>
          <w:rFonts w:ascii="仿宋_GB2312" w:hAnsi="仿宋_GB2312" w:eastAsia="仿宋_GB2312" w:cs="仿宋_GB2312"/>
          <w:color w:val="000000" w:themeColor="text1"/>
          <w:sz w:val="28"/>
          <w:szCs w:val="28"/>
        </w:rPr>
        <w:t>时</w:t>
      </w:r>
      <w:r>
        <w:rPr>
          <w:rFonts w:hint="eastAsia" w:ascii="仿宋_GB2312" w:hAnsi="仿宋_GB2312" w:eastAsia="仿宋_GB2312" w:cs="仿宋_GB2312"/>
          <w:color w:val="000000" w:themeColor="text1"/>
          <w:sz w:val="28"/>
          <w:szCs w:val="28"/>
          <w:lang w:val="en-US" w:eastAsia="zh-CN"/>
        </w:rPr>
        <w:t>00</w:t>
      </w:r>
      <w:r>
        <w:rPr>
          <w:rFonts w:hint="eastAsia" w:ascii="仿宋_GB2312" w:hAnsi="仿宋_GB2312" w:eastAsia="仿宋_GB2312" w:cs="仿宋_GB2312"/>
          <w:color w:val="000000" w:themeColor="text1"/>
          <w:sz w:val="28"/>
          <w:szCs w:val="28"/>
        </w:rPr>
        <w:t>分</w:t>
      </w:r>
      <w:r>
        <w:rPr>
          <w:rFonts w:ascii="仿宋_GB2312" w:hAnsi="仿宋_GB2312" w:eastAsia="仿宋_GB2312" w:cs="仿宋_GB2312"/>
          <w:color w:val="000000" w:themeColor="text1"/>
          <w:sz w:val="28"/>
          <w:szCs w:val="28"/>
        </w:rPr>
        <w:t>前</w:t>
      </w:r>
      <w:r>
        <w:rPr>
          <w:rFonts w:hint="eastAsia" w:ascii="仿宋_GB2312" w:hAnsi="仿宋_GB2312" w:eastAsia="仿宋_GB2312" w:cs="仿宋_GB2312"/>
          <w:color w:val="000000" w:themeColor="text1"/>
          <w:sz w:val="28"/>
          <w:szCs w:val="28"/>
        </w:rPr>
        <w:t>，在广州市净水有限公司门户网站免费下载。</w:t>
      </w:r>
    </w:p>
    <w:p>
      <w:pPr>
        <w:spacing w:line="540" w:lineRule="exact"/>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九、询价响应文件递交时间：</w:t>
      </w:r>
      <w:r>
        <w:rPr>
          <w:rFonts w:ascii="仿宋_GB2312" w:hAnsi="仿宋_GB2312" w:eastAsia="仿宋_GB2312" w:cs="仿宋_GB2312"/>
          <w:color w:val="000000" w:themeColor="text1"/>
          <w:sz w:val="28"/>
          <w:szCs w:val="28"/>
        </w:rPr>
        <w:t>202</w:t>
      </w:r>
      <w:r>
        <w:rPr>
          <w:rFonts w:hint="eastAsia" w:ascii="仿宋_GB2312" w:hAnsi="仿宋_GB2312" w:eastAsia="仿宋_GB2312" w:cs="仿宋_GB2312"/>
          <w:color w:val="000000" w:themeColor="text1"/>
          <w:sz w:val="28"/>
          <w:szCs w:val="28"/>
          <w:lang w:val="en-US" w:eastAsia="zh-CN"/>
        </w:rPr>
        <w:t>1</w:t>
      </w:r>
      <w:r>
        <w:rPr>
          <w:rFonts w:ascii="仿宋_GB2312" w:hAnsi="仿宋_GB2312" w:eastAsia="仿宋_GB2312" w:cs="仿宋_GB2312"/>
          <w:color w:val="000000" w:themeColor="text1"/>
          <w:sz w:val="28"/>
          <w:szCs w:val="28"/>
        </w:rPr>
        <w:t>年1</w:t>
      </w:r>
      <w:r>
        <w:rPr>
          <w:rFonts w:hint="eastAsia" w:ascii="仿宋_GB2312" w:hAnsi="仿宋_GB2312" w:eastAsia="仿宋_GB2312" w:cs="仿宋_GB2312"/>
          <w:color w:val="000000" w:themeColor="text1"/>
          <w:sz w:val="28"/>
          <w:szCs w:val="28"/>
        </w:rPr>
        <w:t>月</w:t>
      </w:r>
      <w:r>
        <w:rPr>
          <w:rFonts w:hint="eastAsia" w:ascii="仿宋_GB2312" w:hAnsi="仿宋_GB2312" w:eastAsia="仿宋_GB2312" w:cs="仿宋_GB2312"/>
          <w:color w:val="000000" w:themeColor="text1"/>
          <w:sz w:val="28"/>
          <w:szCs w:val="28"/>
          <w:lang w:val="en-US" w:eastAsia="zh-CN"/>
        </w:rPr>
        <w:t>12</w:t>
      </w:r>
      <w:r>
        <w:rPr>
          <w:rFonts w:hint="eastAsia" w:ascii="仿宋_GB2312" w:hAnsi="仿宋_GB2312" w:eastAsia="仿宋_GB2312" w:cs="仿宋_GB2312"/>
          <w:color w:val="000000" w:themeColor="text1"/>
          <w:sz w:val="28"/>
          <w:szCs w:val="28"/>
        </w:rPr>
        <w:t>日</w:t>
      </w:r>
      <w:r>
        <w:rPr>
          <w:rFonts w:hint="eastAsia" w:ascii="仿宋_GB2312" w:hAnsi="仿宋_GB2312" w:eastAsia="仿宋_GB2312" w:cs="仿宋_GB2312"/>
          <w:color w:val="000000" w:themeColor="text1"/>
          <w:sz w:val="28"/>
          <w:szCs w:val="28"/>
          <w:lang w:val="en-US" w:eastAsia="zh-CN"/>
        </w:rPr>
        <w:t>9</w:t>
      </w:r>
      <w:r>
        <w:rPr>
          <w:rFonts w:ascii="仿宋_GB2312" w:hAnsi="仿宋_GB2312" w:eastAsia="仿宋_GB2312" w:cs="仿宋_GB2312"/>
          <w:color w:val="000000" w:themeColor="text1"/>
          <w:sz w:val="28"/>
          <w:szCs w:val="28"/>
        </w:rPr>
        <w:t>时</w:t>
      </w:r>
      <w:r>
        <w:rPr>
          <w:rFonts w:hint="eastAsia" w:ascii="仿宋_GB2312" w:hAnsi="仿宋_GB2312" w:eastAsia="仿宋_GB2312" w:cs="仿宋_GB2312"/>
          <w:color w:val="000000" w:themeColor="text1"/>
          <w:sz w:val="28"/>
          <w:szCs w:val="28"/>
          <w:lang w:val="en-US" w:eastAsia="zh-CN"/>
        </w:rPr>
        <w:t>30</w:t>
      </w:r>
      <w:r>
        <w:rPr>
          <w:rFonts w:ascii="仿宋_GB2312" w:hAnsi="仿宋_GB2312" w:eastAsia="仿宋_GB2312" w:cs="仿宋_GB2312"/>
          <w:color w:val="000000" w:themeColor="text1"/>
          <w:sz w:val="28"/>
          <w:szCs w:val="28"/>
        </w:rPr>
        <w:t>分</w:t>
      </w:r>
      <w:r>
        <w:rPr>
          <w:rFonts w:hint="eastAsia" w:ascii="仿宋_GB2312" w:hAnsi="仿宋_GB2312" w:eastAsia="仿宋_GB2312" w:cs="仿宋_GB2312"/>
          <w:color w:val="000000" w:themeColor="text1"/>
          <w:sz w:val="28"/>
          <w:szCs w:val="28"/>
        </w:rPr>
        <w:t>至</w:t>
      </w:r>
      <w:r>
        <w:rPr>
          <w:rFonts w:hint="eastAsia" w:ascii="仿宋_GB2312" w:hAnsi="仿宋_GB2312" w:eastAsia="仿宋_GB2312" w:cs="仿宋_GB2312"/>
          <w:color w:val="000000" w:themeColor="text1"/>
          <w:sz w:val="28"/>
          <w:szCs w:val="28"/>
          <w:lang w:val="en-US" w:eastAsia="zh-CN"/>
        </w:rPr>
        <w:t>10</w:t>
      </w:r>
      <w:r>
        <w:rPr>
          <w:rFonts w:hint="eastAsia" w:ascii="仿宋_GB2312" w:hAnsi="仿宋_GB2312" w:eastAsia="仿宋_GB2312" w:cs="仿宋_GB2312"/>
          <w:color w:val="000000" w:themeColor="text1"/>
          <w:sz w:val="28"/>
          <w:szCs w:val="28"/>
        </w:rPr>
        <w:t>时</w:t>
      </w:r>
      <w:r>
        <w:rPr>
          <w:rFonts w:hint="eastAsia" w:ascii="仿宋_GB2312" w:hAnsi="仿宋_GB2312" w:eastAsia="仿宋_GB2312" w:cs="仿宋_GB2312"/>
          <w:color w:val="000000" w:themeColor="text1"/>
          <w:sz w:val="28"/>
          <w:szCs w:val="28"/>
          <w:lang w:val="en-US" w:eastAsia="zh-CN"/>
        </w:rPr>
        <w:t>00</w:t>
      </w:r>
      <w:r>
        <w:rPr>
          <w:rFonts w:hint="eastAsia" w:ascii="仿宋_GB2312" w:hAnsi="仿宋_GB2312" w:eastAsia="仿宋_GB2312" w:cs="仿宋_GB2312"/>
          <w:color w:val="000000" w:themeColor="text1"/>
          <w:sz w:val="28"/>
          <w:szCs w:val="28"/>
        </w:rPr>
        <w:t>分；询价响应文件递交截止时间：</w:t>
      </w:r>
      <w:r>
        <w:rPr>
          <w:rFonts w:ascii="仿宋_GB2312" w:hAnsi="仿宋_GB2312" w:eastAsia="仿宋_GB2312" w:cs="仿宋_GB2312"/>
          <w:color w:val="000000" w:themeColor="text1"/>
          <w:sz w:val="28"/>
          <w:szCs w:val="28"/>
        </w:rPr>
        <w:t>202</w:t>
      </w:r>
      <w:r>
        <w:rPr>
          <w:rFonts w:hint="eastAsia" w:ascii="仿宋_GB2312" w:hAnsi="仿宋_GB2312" w:eastAsia="仿宋_GB2312" w:cs="仿宋_GB2312"/>
          <w:color w:val="000000" w:themeColor="text1"/>
          <w:sz w:val="28"/>
          <w:szCs w:val="28"/>
          <w:lang w:val="en-US" w:eastAsia="zh-CN"/>
        </w:rPr>
        <w:t>1</w:t>
      </w:r>
      <w:r>
        <w:rPr>
          <w:rFonts w:ascii="仿宋_GB2312" w:hAnsi="仿宋_GB2312" w:eastAsia="仿宋_GB2312" w:cs="仿宋_GB2312"/>
          <w:color w:val="000000" w:themeColor="text1"/>
          <w:sz w:val="28"/>
          <w:szCs w:val="28"/>
        </w:rPr>
        <w:t>年1</w:t>
      </w:r>
      <w:r>
        <w:rPr>
          <w:rFonts w:hint="eastAsia" w:ascii="仿宋_GB2312" w:hAnsi="仿宋_GB2312" w:eastAsia="仿宋_GB2312" w:cs="仿宋_GB2312"/>
          <w:color w:val="000000" w:themeColor="text1"/>
          <w:sz w:val="28"/>
          <w:szCs w:val="28"/>
        </w:rPr>
        <w:t>月</w:t>
      </w:r>
      <w:r>
        <w:rPr>
          <w:rFonts w:hint="eastAsia" w:ascii="仿宋_GB2312" w:hAnsi="仿宋_GB2312" w:eastAsia="仿宋_GB2312" w:cs="仿宋_GB2312"/>
          <w:color w:val="000000" w:themeColor="text1"/>
          <w:sz w:val="28"/>
          <w:szCs w:val="28"/>
          <w:lang w:val="en-US" w:eastAsia="zh-CN"/>
        </w:rPr>
        <w:t>12</w:t>
      </w:r>
      <w:r>
        <w:rPr>
          <w:rFonts w:hint="eastAsia" w:ascii="仿宋_GB2312" w:hAnsi="仿宋_GB2312" w:eastAsia="仿宋_GB2312" w:cs="仿宋_GB2312"/>
          <w:color w:val="000000" w:themeColor="text1"/>
          <w:sz w:val="28"/>
          <w:szCs w:val="28"/>
        </w:rPr>
        <w:t>日</w:t>
      </w:r>
      <w:r>
        <w:rPr>
          <w:rFonts w:hint="eastAsia" w:ascii="仿宋_GB2312" w:hAnsi="仿宋_GB2312" w:eastAsia="仿宋_GB2312" w:cs="仿宋_GB2312"/>
          <w:color w:val="000000" w:themeColor="text1"/>
          <w:sz w:val="28"/>
          <w:szCs w:val="28"/>
          <w:lang w:val="en-US" w:eastAsia="zh-CN"/>
        </w:rPr>
        <w:t>10</w:t>
      </w:r>
      <w:r>
        <w:rPr>
          <w:rFonts w:ascii="仿宋_GB2312" w:hAnsi="仿宋_GB2312" w:eastAsia="仿宋_GB2312" w:cs="仿宋_GB2312"/>
          <w:color w:val="000000" w:themeColor="text1"/>
          <w:sz w:val="28"/>
          <w:szCs w:val="28"/>
        </w:rPr>
        <w:t>时</w:t>
      </w:r>
      <w:r>
        <w:rPr>
          <w:rFonts w:hint="eastAsia" w:ascii="仿宋_GB2312" w:hAnsi="仿宋_GB2312" w:eastAsia="仿宋_GB2312" w:cs="仿宋_GB2312"/>
          <w:color w:val="000000" w:themeColor="text1"/>
          <w:sz w:val="28"/>
          <w:szCs w:val="28"/>
          <w:lang w:val="en-US" w:eastAsia="zh-CN"/>
        </w:rPr>
        <w:t>00</w:t>
      </w:r>
      <w:r>
        <w:rPr>
          <w:rFonts w:hint="eastAsia" w:ascii="仿宋_GB2312" w:hAnsi="仿宋_GB2312" w:eastAsia="仿宋_GB2312" w:cs="仿宋_GB2312"/>
          <w:color w:val="000000" w:themeColor="text1"/>
          <w:sz w:val="28"/>
          <w:szCs w:val="28"/>
        </w:rPr>
        <w:t>分。</w:t>
      </w:r>
    </w:p>
    <w:p>
      <w:pPr>
        <w:rPr>
          <w:rFonts w:ascii="仿宋" w:hAnsi="仿宋" w:eastAsia="仿宋" w:cs="仿宋"/>
          <w:color w:val="000000" w:themeColor="text1"/>
          <w:sz w:val="28"/>
          <w:szCs w:val="28"/>
        </w:rPr>
      </w:pPr>
      <w:r>
        <w:rPr>
          <w:rFonts w:hint="eastAsia" w:ascii="仿宋_GB2312" w:hAnsi="仿宋_GB2312" w:eastAsia="仿宋_GB2312" w:cs="仿宋_GB2312"/>
          <w:color w:val="000000" w:themeColor="text1"/>
          <w:sz w:val="28"/>
          <w:szCs w:val="28"/>
        </w:rPr>
        <w:t>十、响应文件送达地点：广州市天河区临江大道</w:t>
      </w:r>
      <w:r>
        <w:rPr>
          <w:rFonts w:ascii="仿宋_GB2312" w:hAnsi="仿宋_GB2312" w:eastAsia="仿宋_GB2312" w:cs="仿宋_GB2312"/>
          <w:color w:val="000000" w:themeColor="text1"/>
          <w:sz w:val="28"/>
          <w:szCs w:val="28"/>
        </w:rPr>
        <w:t>501号广州市净水有限公司</w:t>
      </w:r>
    </w:p>
    <w:p>
      <w:pPr>
        <w:rPr>
          <w:rFonts w:ascii="仿宋_GB2312" w:hAnsi="仿宋_GB2312" w:eastAsia="仿宋_GB2312" w:cs="仿宋_GB2312"/>
          <w:color w:val="000000" w:themeColor="text1"/>
          <w:sz w:val="28"/>
          <w:szCs w:val="28"/>
        </w:rPr>
      </w:pPr>
      <w:r>
        <w:rPr>
          <w:rFonts w:hint="eastAsia" w:ascii="仿宋" w:hAnsi="仿宋" w:eastAsia="仿宋" w:cs="仿宋_GB2312"/>
          <w:color w:val="000000" w:themeColor="text1"/>
          <w:sz w:val="28"/>
          <w:szCs w:val="28"/>
        </w:rPr>
        <w:t>十一、</w:t>
      </w:r>
      <w:r>
        <w:rPr>
          <w:rFonts w:hint="eastAsia" w:ascii="仿宋_GB2312" w:hAnsi="仿宋_GB2312" w:eastAsia="仿宋_GB2312" w:cs="仿宋_GB2312"/>
          <w:color w:val="000000" w:themeColor="text1"/>
          <w:sz w:val="28"/>
          <w:szCs w:val="28"/>
        </w:rPr>
        <w:t>评审时间：</w:t>
      </w:r>
      <w:r>
        <w:rPr>
          <w:rFonts w:ascii="仿宋_GB2312" w:hAnsi="仿宋_GB2312" w:eastAsia="仿宋_GB2312" w:cs="仿宋_GB2312"/>
          <w:color w:val="000000" w:themeColor="text1"/>
          <w:sz w:val="28"/>
          <w:szCs w:val="28"/>
        </w:rPr>
        <w:t>202</w:t>
      </w:r>
      <w:r>
        <w:rPr>
          <w:rFonts w:hint="eastAsia" w:ascii="仿宋_GB2312" w:hAnsi="仿宋_GB2312" w:eastAsia="仿宋_GB2312" w:cs="仿宋_GB2312"/>
          <w:color w:val="000000" w:themeColor="text1"/>
          <w:sz w:val="28"/>
          <w:szCs w:val="28"/>
          <w:lang w:val="en-US" w:eastAsia="zh-CN"/>
        </w:rPr>
        <w:t>1</w:t>
      </w:r>
      <w:r>
        <w:rPr>
          <w:rFonts w:ascii="仿宋_GB2312" w:hAnsi="仿宋_GB2312" w:eastAsia="仿宋_GB2312" w:cs="仿宋_GB2312"/>
          <w:color w:val="000000" w:themeColor="text1"/>
          <w:sz w:val="28"/>
          <w:szCs w:val="28"/>
        </w:rPr>
        <w:t>年1</w:t>
      </w:r>
      <w:r>
        <w:rPr>
          <w:rFonts w:hint="eastAsia" w:ascii="仿宋_GB2312" w:hAnsi="仿宋_GB2312" w:eastAsia="仿宋_GB2312" w:cs="仿宋_GB2312"/>
          <w:color w:val="000000" w:themeColor="text1"/>
          <w:sz w:val="28"/>
          <w:szCs w:val="28"/>
        </w:rPr>
        <w:t>月</w:t>
      </w:r>
      <w:r>
        <w:rPr>
          <w:rFonts w:hint="eastAsia" w:ascii="仿宋_GB2312" w:hAnsi="仿宋_GB2312" w:eastAsia="仿宋_GB2312" w:cs="仿宋_GB2312"/>
          <w:color w:val="000000" w:themeColor="text1"/>
          <w:sz w:val="28"/>
          <w:szCs w:val="28"/>
          <w:lang w:val="en-US" w:eastAsia="zh-CN"/>
        </w:rPr>
        <w:t>12</w:t>
      </w:r>
      <w:r>
        <w:rPr>
          <w:rFonts w:hint="eastAsia" w:ascii="仿宋_GB2312" w:hAnsi="仿宋_GB2312" w:eastAsia="仿宋_GB2312" w:cs="仿宋_GB2312"/>
          <w:color w:val="000000" w:themeColor="text1"/>
          <w:sz w:val="28"/>
          <w:szCs w:val="28"/>
        </w:rPr>
        <w:t>日</w:t>
      </w:r>
      <w:r>
        <w:rPr>
          <w:rFonts w:hint="eastAsia" w:ascii="仿宋_GB2312" w:hAnsi="仿宋_GB2312" w:eastAsia="仿宋_GB2312" w:cs="仿宋_GB2312"/>
          <w:color w:val="000000" w:themeColor="text1"/>
          <w:sz w:val="28"/>
          <w:szCs w:val="28"/>
          <w:lang w:val="en-US" w:eastAsia="zh-CN"/>
        </w:rPr>
        <w:t>10</w:t>
      </w:r>
      <w:r>
        <w:rPr>
          <w:rFonts w:ascii="仿宋_GB2312" w:hAnsi="仿宋_GB2312" w:eastAsia="仿宋_GB2312" w:cs="仿宋_GB2312"/>
          <w:color w:val="000000" w:themeColor="text1"/>
          <w:sz w:val="28"/>
          <w:szCs w:val="28"/>
        </w:rPr>
        <w:t>时</w:t>
      </w:r>
      <w:r>
        <w:rPr>
          <w:rFonts w:hint="eastAsia" w:ascii="仿宋_GB2312" w:hAnsi="仿宋_GB2312" w:eastAsia="仿宋_GB2312" w:cs="仿宋_GB2312"/>
          <w:color w:val="000000" w:themeColor="text1"/>
          <w:sz w:val="28"/>
          <w:szCs w:val="28"/>
          <w:lang w:val="en-US" w:eastAsia="zh-CN"/>
        </w:rPr>
        <w:t>00</w:t>
      </w:r>
      <w:r>
        <w:rPr>
          <w:rFonts w:hint="eastAsia" w:ascii="仿宋_GB2312" w:hAnsi="仿宋_GB2312" w:eastAsia="仿宋_GB2312" w:cs="仿宋_GB2312"/>
          <w:color w:val="000000" w:themeColor="text1"/>
          <w:sz w:val="28"/>
          <w:szCs w:val="28"/>
        </w:rPr>
        <w:t>分</w:t>
      </w:r>
    </w:p>
    <w:p>
      <w:pP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十二、评审地点：广州市净水有限公司六楼招标办</w:t>
      </w:r>
    </w:p>
    <w:p>
      <w:pPr>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十三、询价人的联系方式</w:t>
      </w:r>
    </w:p>
    <w:p>
      <w:pPr>
        <w:snapToGrid w:val="0"/>
        <w:spacing w:line="540" w:lineRule="exact"/>
        <w:ind w:firstLine="630" w:firstLineChars="225"/>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询价人：广州市净水有限公司</w:t>
      </w:r>
    </w:p>
    <w:p>
      <w:pPr>
        <w:snapToGrid w:val="0"/>
        <w:spacing w:line="540" w:lineRule="exact"/>
        <w:rPr>
          <w:rFonts w:ascii="仿宋_GB2312" w:hAnsi="仿宋_GB2312" w:eastAsia="仿宋_GB2312" w:cs="仿宋_GB2312"/>
          <w:color w:val="000000" w:themeColor="text1"/>
          <w:sz w:val="28"/>
          <w:szCs w:val="28"/>
        </w:rPr>
      </w:pPr>
      <w:r>
        <w:rPr>
          <w:rFonts w:ascii="仿宋_GB2312" w:hAnsi="仿宋_GB2312" w:eastAsia="仿宋_GB2312" w:cs="仿宋_GB2312"/>
          <w:color w:val="000000" w:themeColor="text1"/>
          <w:sz w:val="28"/>
          <w:szCs w:val="28"/>
        </w:rPr>
        <w:t xml:space="preserve">     联系地址：广州市天河区临江大道501号</w:t>
      </w:r>
    </w:p>
    <w:p>
      <w:pPr>
        <w:snapToGrid w:val="0"/>
        <w:spacing w:line="540" w:lineRule="exact"/>
        <w:ind w:firstLine="700" w:firstLineChars="250"/>
        <w:rPr>
          <w:rFonts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联系人：黄工  联系方式：</w:t>
      </w:r>
      <w:r>
        <w:rPr>
          <w:rFonts w:ascii="仿宋_GB2312" w:hAnsi="仿宋_GB2312" w:eastAsia="仿宋_GB2312" w:cs="仿宋_GB2312"/>
          <w:color w:val="000000" w:themeColor="text1"/>
          <w:sz w:val="28"/>
          <w:szCs w:val="28"/>
        </w:rPr>
        <w:t>020-62315524</w:t>
      </w:r>
    </w:p>
    <w:p>
      <w:pPr>
        <w:jc w:val="right"/>
        <w:rPr>
          <w:rFonts w:ascii="仿宋" w:hAnsi="仿宋" w:eastAsia="仿宋" w:cs="仿宋"/>
          <w:color w:val="000000" w:themeColor="text1"/>
          <w:sz w:val="28"/>
          <w:szCs w:val="28"/>
        </w:rPr>
      </w:pPr>
    </w:p>
    <w:p>
      <w:pPr>
        <w:wordWrap w:val="0"/>
        <w:jc w:val="right"/>
        <w:rPr>
          <w:rFonts w:ascii="仿宋" w:hAnsi="仿宋" w:eastAsia="仿宋" w:cs="仿宋"/>
          <w:color w:val="000000" w:themeColor="text1"/>
          <w:sz w:val="28"/>
          <w:szCs w:val="28"/>
        </w:rPr>
      </w:pPr>
      <w:r>
        <w:rPr>
          <w:rFonts w:hint="eastAsia" w:ascii="仿宋" w:hAnsi="仿宋" w:eastAsia="仿宋" w:cs="仿宋"/>
          <w:color w:val="000000" w:themeColor="text1"/>
          <w:sz w:val="28"/>
          <w:szCs w:val="28"/>
        </w:rPr>
        <w:t xml:space="preserve">广州市净水有限公司    </w:t>
      </w:r>
    </w:p>
    <w:p>
      <w:pPr>
        <w:wordWrap w:val="0"/>
        <w:jc w:val="center"/>
        <w:rPr>
          <w:rFonts w:ascii="仿宋" w:hAnsi="仿宋" w:eastAsia="仿宋" w:cs="仿宋_GB2312"/>
          <w:color w:val="000000" w:themeColor="text1"/>
          <w:sz w:val="28"/>
          <w:szCs w:val="28"/>
        </w:rPr>
      </w:pPr>
      <w:r>
        <w:rPr>
          <w:rFonts w:hint="eastAsia" w:ascii="仿宋" w:hAnsi="仿宋" w:eastAsia="仿宋" w:cs="仿宋"/>
          <w:color w:val="000000" w:themeColor="text1"/>
          <w:sz w:val="28"/>
          <w:szCs w:val="28"/>
          <w:lang w:val="en-US" w:eastAsia="zh-CN"/>
        </w:rPr>
        <w:t xml:space="preserve">                                 </w:t>
      </w:r>
      <w:r>
        <w:rPr>
          <w:rFonts w:ascii="仿宋" w:hAnsi="仿宋" w:eastAsia="仿宋" w:cs="仿宋"/>
          <w:color w:val="000000" w:themeColor="text1"/>
          <w:sz w:val="28"/>
          <w:szCs w:val="28"/>
        </w:rPr>
        <w:t>202</w:t>
      </w:r>
      <w:r>
        <w:rPr>
          <w:rFonts w:hint="eastAsia" w:ascii="仿宋" w:hAnsi="仿宋" w:eastAsia="仿宋" w:cs="仿宋"/>
          <w:color w:val="000000" w:themeColor="text1"/>
          <w:sz w:val="28"/>
          <w:szCs w:val="28"/>
          <w:lang w:val="en-US" w:eastAsia="zh-CN"/>
        </w:rPr>
        <w:t>1</w:t>
      </w:r>
      <w:r>
        <w:rPr>
          <w:rFonts w:ascii="仿宋" w:hAnsi="仿宋" w:eastAsia="仿宋" w:cs="仿宋"/>
          <w:color w:val="000000" w:themeColor="text1"/>
          <w:sz w:val="28"/>
          <w:szCs w:val="28"/>
        </w:rPr>
        <w:t>年</w:t>
      </w:r>
      <w:r>
        <w:rPr>
          <w:rFonts w:hint="eastAsia" w:ascii="仿宋" w:hAnsi="仿宋" w:eastAsia="仿宋" w:cs="仿宋"/>
          <w:color w:val="000000" w:themeColor="text1"/>
          <w:sz w:val="28"/>
          <w:szCs w:val="28"/>
          <w:lang w:val="en-US" w:eastAsia="zh-CN"/>
        </w:rPr>
        <w:t>1</w:t>
      </w:r>
      <w:r>
        <w:rPr>
          <w:rFonts w:ascii="仿宋" w:hAnsi="仿宋" w:eastAsia="仿宋" w:cs="仿宋"/>
          <w:color w:val="000000" w:themeColor="text1"/>
          <w:sz w:val="28"/>
          <w:szCs w:val="28"/>
        </w:rPr>
        <w:t>月</w:t>
      </w:r>
      <w:r>
        <w:rPr>
          <w:rFonts w:hint="eastAsia" w:ascii="仿宋" w:hAnsi="仿宋" w:eastAsia="仿宋" w:cs="仿宋"/>
          <w:color w:val="000000" w:themeColor="text1"/>
          <w:sz w:val="28"/>
          <w:szCs w:val="28"/>
          <w:lang w:val="en-US" w:eastAsia="zh-CN"/>
        </w:rPr>
        <w:t>7</w:t>
      </w:r>
      <w:r>
        <w:rPr>
          <w:rFonts w:ascii="仿宋" w:hAnsi="仿宋" w:eastAsia="仿宋" w:cs="仿宋"/>
          <w:color w:val="000000" w:themeColor="text1"/>
          <w:sz w:val="28"/>
          <w:szCs w:val="28"/>
        </w:rPr>
        <w:t>日</w:t>
      </w:r>
    </w:p>
    <w:p>
      <w:pPr>
        <w:rPr>
          <w:rFonts w:ascii="仿宋" w:hAnsi="仿宋" w:eastAsia="仿宋" w:cs="仿宋_GB2312"/>
          <w:color w:val="000000" w:themeColor="text1"/>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jc w:val="center"/>
        <w:rPr>
          <w:rFonts w:ascii="仿宋_GB2312" w:eastAsia="仿宋_GB2312"/>
          <w:b/>
          <w:sz w:val="28"/>
          <w:szCs w:val="28"/>
        </w:rPr>
      </w:pPr>
      <w:r>
        <w:rPr>
          <w:rFonts w:hint="eastAsia" w:ascii="仿宋_GB2312" w:eastAsia="仿宋_GB2312"/>
          <w:b/>
          <w:sz w:val="28"/>
          <w:szCs w:val="28"/>
        </w:rPr>
        <w:t>第二部分 项目内容</w:t>
      </w:r>
    </w:p>
    <w:p>
      <w:pPr>
        <w:spacing w:line="560" w:lineRule="exact"/>
        <w:jc w:val="left"/>
        <w:rPr>
          <w:rFonts w:ascii="仿宋_GB2312" w:eastAsia="仿宋_GB2312"/>
          <w:b/>
          <w:sz w:val="28"/>
          <w:szCs w:val="28"/>
        </w:rPr>
      </w:pPr>
      <w:r>
        <w:rPr>
          <w:rFonts w:hint="eastAsia" w:ascii="仿宋_GB2312" w:eastAsia="仿宋_GB2312"/>
          <w:b/>
          <w:sz w:val="28"/>
          <w:szCs w:val="28"/>
        </w:rPr>
        <w:t>一、实施范围</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广州净水公司本部及其所属分公司、西朗公司、从化公司、水质中心等14个单位。</w:t>
      </w:r>
    </w:p>
    <w:p>
      <w:pPr>
        <w:spacing w:line="560" w:lineRule="exact"/>
        <w:jc w:val="left"/>
        <w:rPr>
          <w:rFonts w:ascii="仿宋_GB2312" w:eastAsia="仿宋_GB2312"/>
          <w:b/>
          <w:sz w:val="28"/>
          <w:szCs w:val="28"/>
        </w:rPr>
      </w:pPr>
      <w:r>
        <w:rPr>
          <w:rFonts w:hint="eastAsia" w:ascii="仿宋_GB2312" w:eastAsia="仿宋_GB2312"/>
          <w:b/>
          <w:sz w:val="28"/>
          <w:szCs w:val="28"/>
        </w:rPr>
        <w:t>二、维保期限和维保频次</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为了统筹公司2022年消防维保工作统一开展，本项目合同服务截止时间统一为2021年12月31日。合同服务起始时间按各单位原消防维保服务合同期满和扩建厂区验收合格后的下一月开展。</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对设有自动消防设施或多个系统联动的消防设施单位实行每月一次维保，对无联动和无自动消防设施单位实行每季度一次维保。</w:t>
      </w:r>
    </w:p>
    <w:p>
      <w:pPr>
        <w:spacing w:line="560" w:lineRule="exact"/>
        <w:ind w:firstLine="560" w:firstLineChars="200"/>
        <w:rPr>
          <w:rFonts w:ascii="仿宋_GB2312" w:eastAsia="仿宋_GB2312"/>
          <w:sz w:val="28"/>
          <w:szCs w:val="28"/>
          <w:u w:val="single"/>
        </w:rPr>
      </w:pPr>
      <w:r>
        <w:rPr>
          <w:rFonts w:hint="eastAsia" w:ascii="仿宋_GB2312" w:eastAsia="仿宋_GB2312"/>
          <w:sz w:val="28"/>
          <w:szCs w:val="28"/>
          <w:u w:val="single"/>
        </w:rPr>
        <w:t>详见第六部分附件-营运单位消防设施维保需求汇总。</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新扩建厂区（沥滘三期、龙归三期、大沙地二期、石井净二期、西朗二期、江高分公司、健康城分公司、大观分公司）维保服务起始时间以实际验收合格时间为准。其余单位维保起始时间以实际签订合同为准。</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三、服务内容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（一）定期维保</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按各单位维保需求（现场的消防设施系统、维保频次）每月或每季度开展一次抽检维保，全年应对单位的消防设施完成一次全面检测维保，季度设备维保检测覆盖率应在25%以上，全年设备维保检测覆盖率为100%，</w:t>
      </w:r>
      <w:r>
        <w:rPr>
          <w:rFonts w:hint="eastAsia" w:ascii="仿宋_GB2312" w:eastAsia="仿宋_GB2312"/>
          <w:sz w:val="28"/>
          <w:szCs w:val="28"/>
          <w:u w:val="single"/>
        </w:rPr>
        <w:t>并出具电子版和纸质版的维保检测记录/报告</w:t>
      </w:r>
      <w:r>
        <w:rPr>
          <w:rFonts w:hint="eastAsia" w:ascii="仿宋_GB2312" w:eastAsia="仿宋_GB2312"/>
          <w:sz w:val="28"/>
          <w:szCs w:val="28"/>
        </w:rPr>
        <w:t>。</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（二）应急服务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若各单位发生突发火警、设备故障等情况，保证24小时均提供现场应急服务。</w:t>
      </w:r>
    </w:p>
    <w:p>
      <w:pPr>
        <w:spacing w:line="560" w:lineRule="exact"/>
        <w:rPr>
          <w:rFonts w:ascii="仿宋_GB2312" w:eastAsia="仿宋_GB2312"/>
          <w:b/>
          <w:sz w:val="28"/>
          <w:szCs w:val="28"/>
        </w:rPr>
      </w:pPr>
      <w:r>
        <w:rPr>
          <w:rFonts w:hint="eastAsia" w:ascii="仿宋_GB2312" w:eastAsia="仿宋_GB2312"/>
          <w:b/>
          <w:sz w:val="28"/>
          <w:szCs w:val="28"/>
        </w:rPr>
        <w:t>四、消防设施设备明细</w:t>
      </w:r>
    </w:p>
    <w:p>
      <w:pPr>
        <w:spacing w:line="560" w:lineRule="exact"/>
        <w:ind w:firstLine="560" w:firstLineChars="200"/>
        <w:rPr>
          <w:rFonts w:ascii="仿宋_GB2312" w:eastAsia="仿宋_GB2312"/>
          <w:sz w:val="28"/>
          <w:szCs w:val="28"/>
          <w:u w:val="single"/>
        </w:rPr>
      </w:pPr>
      <w:r>
        <w:rPr>
          <w:rFonts w:hint="eastAsia" w:ascii="仿宋_GB2312" w:eastAsia="仿宋_GB2312"/>
          <w:sz w:val="28"/>
          <w:szCs w:val="28"/>
          <w:u w:val="single"/>
        </w:rPr>
        <w:t>详见第六部分附件-消防设施设备明细。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设备数量以实际为准，误差在5%以内的，报价单位对所有消防设施开展维保工作。误差超5%，设备超出部分按补充协议开展维保工作。</w:t>
      </w:r>
    </w:p>
    <w:p>
      <w:pPr>
        <w:widowControl/>
        <w:jc w:val="left"/>
        <w:rPr>
          <w:sz w:val="28"/>
          <w:szCs w:val="28"/>
        </w:rPr>
      </w:pPr>
      <w:r>
        <w:rPr>
          <w:sz w:val="28"/>
          <w:szCs w:val="28"/>
        </w:rPr>
        <w:br w:type="page"/>
      </w:r>
    </w:p>
    <w:p>
      <w:pPr>
        <w:widowControl/>
        <w:jc w:val="left"/>
        <w:rPr>
          <w:rFonts w:ascii="仿宋_GB2312" w:eastAsia="仿宋_GB2312"/>
          <w:b/>
          <w:sz w:val="28"/>
          <w:szCs w:val="28"/>
        </w:rPr>
      </w:pPr>
      <w:r>
        <w:rPr>
          <w:rFonts w:hint="eastAsia" w:ascii="仿宋_GB2312" w:eastAsia="仿宋_GB2312"/>
          <w:b/>
          <w:sz w:val="28"/>
          <w:szCs w:val="28"/>
        </w:rPr>
        <w:t>五、消防设施维保检测要求</w:t>
      </w:r>
    </w:p>
    <w:p>
      <w:pPr>
        <w:spacing w:line="560" w:lineRule="exact"/>
        <w:ind w:firstLine="562" w:firstLineChars="200"/>
        <w:jc w:val="left"/>
        <w:rPr>
          <w:rFonts w:ascii="仿宋_GB2312" w:eastAsia="仿宋_GB2312"/>
          <w:b/>
          <w:sz w:val="28"/>
          <w:szCs w:val="28"/>
        </w:rPr>
      </w:pPr>
      <w:r>
        <w:rPr>
          <w:rFonts w:hint="eastAsia" w:ascii="仿宋_GB2312" w:eastAsia="仿宋_GB2312"/>
          <w:b/>
          <w:sz w:val="28"/>
          <w:szCs w:val="28"/>
        </w:rPr>
        <w:t>（一）总体要求</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按</w:t>
      </w:r>
      <w:r>
        <w:rPr>
          <w:rFonts w:hint="eastAsia" w:ascii="宋体" w:hAnsi="宋体" w:cs="宋体"/>
          <w:bCs/>
          <w:sz w:val="24"/>
        </w:rPr>
        <w:t>《</w:t>
      </w:r>
      <w:r>
        <w:rPr>
          <w:rFonts w:hint="eastAsia" w:ascii="仿宋_GB2312" w:eastAsia="仿宋_GB2312"/>
          <w:sz w:val="28"/>
          <w:szCs w:val="28"/>
        </w:rPr>
        <w:t>建筑消防设施维修保养规程》（DBJ/T 1620-2019）要求对各消防设施系统进行维护保养。</w:t>
      </w:r>
    </w:p>
    <w:p>
      <w:pPr>
        <w:spacing w:line="560" w:lineRule="exact"/>
        <w:ind w:firstLine="562" w:firstLineChars="200"/>
        <w:jc w:val="left"/>
        <w:rPr>
          <w:rFonts w:ascii="仿宋_GB2312" w:eastAsia="仿宋_GB2312"/>
          <w:b/>
          <w:sz w:val="28"/>
          <w:szCs w:val="28"/>
        </w:rPr>
      </w:pPr>
      <w:r>
        <w:rPr>
          <w:rFonts w:hint="eastAsia" w:ascii="仿宋_GB2312" w:eastAsia="仿宋_GB2312"/>
          <w:b/>
          <w:sz w:val="28"/>
          <w:szCs w:val="28"/>
        </w:rPr>
        <w:t>（二）具体要求</w:t>
      </w:r>
    </w:p>
    <w:p>
      <w:pPr>
        <w:pStyle w:val="4"/>
        <w:spacing w:before="0" w:line="560" w:lineRule="exact"/>
        <w:rPr>
          <w:rFonts w:ascii="仿宋_GB2312" w:eastAsia="仿宋_GB2312"/>
          <w:b/>
          <w:color w:val="auto"/>
          <w:sz w:val="28"/>
          <w:szCs w:val="28"/>
        </w:rPr>
      </w:pPr>
      <w:r>
        <w:rPr>
          <w:rFonts w:hint="eastAsia" w:ascii="仿宋_GB2312" w:eastAsia="仿宋_GB2312"/>
          <w:b/>
          <w:color w:val="auto"/>
          <w:sz w:val="28"/>
          <w:szCs w:val="28"/>
        </w:rPr>
        <w:t>1.火灾自动报警、消防联动系统</w:t>
      </w:r>
    </w:p>
    <w:p>
      <w:pPr>
        <w:widowControl/>
        <w:numPr>
          <w:ilvl w:val="0"/>
          <w:numId w:val="1"/>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 xml:space="preserve">测试烟感、温感、手报、消火栓按钮的报警功能；  </w:t>
      </w:r>
    </w:p>
    <w:p>
      <w:pPr>
        <w:widowControl/>
        <w:numPr>
          <w:ilvl w:val="0"/>
          <w:numId w:val="1"/>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检查火灾报警主机，测试系统自检、消音、复位、故障、报警功能，确保处于正常良好工作状态；</w:t>
      </w:r>
    </w:p>
    <w:p>
      <w:pPr>
        <w:widowControl/>
        <w:numPr>
          <w:ilvl w:val="0"/>
          <w:numId w:val="1"/>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检查报警主机所有回路状态是否正常，外控电源状态、电压是否正常；</w:t>
      </w:r>
    </w:p>
    <w:p>
      <w:pPr>
        <w:widowControl/>
        <w:numPr>
          <w:ilvl w:val="0"/>
          <w:numId w:val="1"/>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检查模块箱安装是否牢靠，模块箱外观是否完好，箱内是否整洁；</w:t>
      </w:r>
    </w:p>
    <w:p>
      <w:pPr>
        <w:widowControl/>
        <w:numPr>
          <w:ilvl w:val="0"/>
          <w:numId w:val="1"/>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外观检查烟感探测器、温感探测器、红外探测器、空气感温探测器，确保其周围无遮挡物；</w:t>
      </w:r>
    </w:p>
    <w:p>
      <w:pPr>
        <w:widowControl/>
        <w:numPr>
          <w:ilvl w:val="0"/>
          <w:numId w:val="1"/>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 xml:space="preserve">测试UPS电源的断电切换功能，使用备用电池组逆变供电8小时； </w:t>
      </w:r>
    </w:p>
    <w:p>
      <w:pPr>
        <w:widowControl/>
        <w:numPr>
          <w:ilvl w:val="0"/>
          <w:numId w:val="1"/>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测试报警主机的主、备电源互投功能，使用备用电池组供电8小时；</w:t>
      </w:r>
    </w:p>
    <w:p>
      <w:pPr>
        <w:widowControl/>
        <w:numPr>
          <w:ilvl w:val="0"/>
          <w:numId w:val="1"/>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火警抽查：通过对烟感吹烟或按下手报按钮进行抽样测试，此时探测器应动作并确认灯显示，报警主机有报相应火警，火警指示灯点亮，发出报警声音、相关的警铃鸣响，同时图文电脑应显示相对应报警平面位置；</w:t>
      </w:r>
    </w:p>
    <w:p>
      <w:pPr>
        <w:widowControl/>
        <w:numPr>
          <w:ilvl w:val="0"/>
          <w:numId w:val="1"/>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喷淋联动抽查：通过对自动喷淋末端放水抽样测试，此时相应区域的水流指示器、湿式报警阀组的压力开关应动作报警，水力警铃鸣响、报警主机有报相应火警，火警指示灯点亮，发出报警声音，同时图文电脑应显示相对应报警平面位置，喷淋主泵会启动，且消防中心有相应运行应答信号反馈；</w:t>
      </w:r>
    </w:p>
    <w:p>
      <w:pPr>
        <w:widowControl/>
        <w:numPr>
          <w:ilvl w:val="0"/>
          <w:numId w:val="1"/>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消火栓联动抽查：通过对消火栓按钮抽样测试，此时相应消火栓按钮报警，报警主机有报相应火警，火警指示灯点亮，发出报警声音，同时图文电脑应显示相对应报警平面位置，消火栓主泵会启动，且消防中心有相应运行应答信号反馈；</w:t>
      </w:r>
    </w:p>
    <w:p>
      <w:pPr>
        <w:widowControl/>
        <w:numPr>
          <w:ilvl w:val="0"/>
          <w:numId w:val="1"/>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检查报警控制器、联动控制柜的功能卡、信号板卡等电子元件是否有损坏，各连接槽和插接头是否牢固；</w:t>
      </w:r>
    </w:p>
    <w:p>
      <w:pPr>
        <w:widowControl/>
        <w:numPr>
          <w:ilvl w:val="0"/>
          <w:numId w:val="1"/>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检查烟感探测器、温感探测器及其它报警、监视设备地址、位置、属性描述是否准确；</w:t>
      </w:r>
    </w:p>
    <w:p>
      <w:pPr>
        <w:widowControl/>
        <w:numPr>
          <w:ilvl w:val="0"/>
          <w:numId w:val="1"/>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认真填写月检记录表，以备归档。</w:t>
      </w:r>
    </w:p>
    <w:p>
      <w:pPr>
        <w:pStyle w:val="4"/>
        <w:numPr>
          <w:ilvl w:val="4"/>
          <w:numId w:val="2"/>
        </w:numPr>
        <w:spacing w:before="0" w:line="560" w:lineRule="exact"/>
        <w:rPr>
          <w:rFonts w:ascii="仿宋_GB2312" w:eastAsia="仿宋_GB2312"/>
          <w:b/>
          <w:color w:val="auto"/>
          <w:sz w:val="28"/>
          <w:szCs w:val="28"/>
        </w:rPr>
      </w:pPr>
      <w:r>
        <w:rPr>
          <w:rFonts w:hint="eastAsia" w:ascii="仿宋_GB2312" w:eastAsia="仿宋_GB2312"/>
          <w:b/>
          <w:color w:val="auto"/>
          <w:sz w:val="28"/>
          <w:szCs w:val="28"/>
        </w:rPr>
        <w:t>2.自动喷淋灭火系统</w:t>
      </w:r>
    </w:p>
    <w:p>
      <w:pPr>
        <w:widowControl/>
        <w:numPr>
          <w:ilvl w:val="0"/>
          <w:numId w:val="3"/>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每月巡视系统的供水总控制阀、报警阀及其附属配件，确保系统处于无故障状态。每季度应检查一次水泵的电机、轴承等。</w:t>
      </w:r>
    </w:p>
    <w:p>
      <w:pPr>
        <w:widowControl/>
        <w:numPr>
          <w:ilvl w:val="0"/>
          <w:numId w:val="3"/>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检查水力警铃是否正常，报警阀启动是否灵活。</w:t>
      </w:r>
    </w:p>
    <w:p>
      <w:pPr>
        <w:widowControl/>
        <w:numPr>
          <w:ilvl w:val="0"/>
          <w:numId w:val="3"/>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打开试验警铃阀，报警阀阀瓣应自动开启，延时器延时5～90秒钟水力警铃发出报警信号。如果警铃不动作，应检查整个警铃管道，排除水垢及泥沙等污泥，使水畅通。</w:t>
      </w:r>
    </w:p>
    <w:p>
      <w:pPr>
        <w:widowControl/>
        <w:numPr>
          <w:ilvl w:val="0"/>
          <w:numId w:val="3"/>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检查喷头的外观，发现不合格应立即更换。</w:t>
      </w:r>
    </w:p>
    <w:p>
      <w:pPr>
        <w:widowControl/>
        <w:numPr>
          <w:ilvl w:val="0"/>
          <w:numId w:val="3"/>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检查系统控制阀，确保所有阀门处于开启状态。</w:t>
      </w:r>
    </w:p>
    <w:p>
      <w:pPr>
        <w:widowControl/>
        <w:numPr>
          <w:ilvl w:val="0"/>
          <w:numId w:val="3"/>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打开每个分区的末端放水，对系统进行综合试验，确保系统的灵敏度。</w:t>
      </w:r>
    </w:p>
    <w:p>
      <w:pPr>
        <w:widowControl/>
        <w:numPr>
          <w:ilvl w:val="0"/>
          <w:numId w:val="3"/>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检查阀门的开启性能和密封性能，如发现阀门开启不畅通或密封不严，应将供水闸阀关闭，打开放水阀将系统中水放掉，然后打开阀门盖检查，视情况掉换阀门密封器件，排除水垢污物。</w:t>
      </w:r>
    </w:p>
    <w:p>
      <w:pPr>
        <w:widowControl/>
        <w:numPr>
          <w:ilvl w:val="0"/>
          <w:numId w:val="3"/>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检查水压，压力表所显示的压力值在水流动的情况下不应明显下降，若发现明显下降，应检查闸阀是否堵塞，如压力下降明显但警铃不报警，应检查湿式报警阀是否生锈。</w:t>
      </w:r>
    </w:p>
    <w:p>
      <w:pPr>
        <w:widowControl/>
        <w:numPr>
          <w:ilvl w:val="0"/>
          <w:numId w:val="3"/>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检测水流指示器、压力开关等报警设备的报警情况，应能及时报警。</w:t>
      </w:r>
    </w:p>
    <w:p>
      <w:pPr>
        <w:widowControl/>
        <w:numPr>
          <w:ilvl w:val="0"/>
          <w:numId w:val="3"/>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检查系统中水压是否正常，确保系统无故障（无跑、冒、滴、漏水等现象）。</w:t>
      </w:r>
    </w:p>
    <w:p>
      <w:pPr>
        <w:widowControl/>
        <w:numPr>
          <w:ilvl w:val="0"/>
          <w:numId w:val="3"/>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进行末端放水试验，检查湿式报警阀、控制开关、水流指示器是否报警，消防中心是否及时收到报警信号且联动启动水泵。</w:t>
      </w:r>
    </w:p>
    <w:p>
      <w:pPr>
        <w:pStyle w:val="4"/>
        <w:numPr>
          <w:ilvl w:val="4"/>
          <w:numId w:val="2"/>
        </w:numPr>
        <w:spacing w:before="0" w:line="560" w:lineRule="exact"/>
        <w:rPr>
          <w:rFonts w:ascii="仿宋_GB2312" w:eastAsia="仿宋_GB2312"/>
          <w:b/>
          <w:color w:val="auto"/>
          <w:sz w:val="28"/>
          <w:szCs w:val="28"/>
        </w:rPr>
      </w:pPr>
      <w:r>
        <w:rPr>
          <w:rFonts w:hint="eastAsia" w:ascii="仿宋_GB2312" w:eastAsia="仿宋_GB2312"/>
          <w:b/>
          <w:color w:val="auto"/>
          <w:sz w:val="28"/>
          <w:szCs w:val="28"/>
        </w:rPr>
        <w:t>3.消火栓系统</w:t>
      </w:r>
    </w:p>
    <w:p>
      <w:pPr>
        <w:widowControl/>
        <w:numPr>
          <w:ilvl w:val="0"/>
          <w:numId w:val="4"/>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定期检查消火栓箱的把手、门锁、玻璃有无破损。</w:t>
      </w:r>
    </w:p>
    <w:p>
      <w:pPr>
        <w:widowControl/>
        <w:numPr>
          <w:ilvl w:val="0"/>
          <w:numId w:val="4"/>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检查消火栓箱内水带、水枪、接口、阀门是否完好齐全，箱内清洁无异物。</w:t>
      </w:r>
    </w:p>
    <w:p>
      <w:pPr>
        <w:widowControl/>
        <w:numPr>
          <w:ilvl w:val="0"/>
          <w:numId w:val="4"/>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检查设备的质量是否符合消防规范。</w:t>
      </w:r>
    </w:p>
    <w:p>
      <w:pPr>
        <w:widowControl/>
        <w:numPr>
          <w:ilvl w:val="0"/>
          <w:numId w:val="4"/>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检查一次控制阀是否有漏水等情况</w:t>
      </w:r>
    </w:p>
    <w:p>
      <w:pPr>
        <w:widowControl/>
        <w:numPr>
          <w:ilvl w:val="0"/>
          <w:numId w:val="4"/>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检查消火栓按钮和指示灯有无破损。</w:t>
      </w:r>
    </w:p>
    <w:p>
      <w:pPr>
        <w:widowControl/>
        <w:numPr>
          <w:ilvl w:val="0"/>
          <w:numId w:val="4"/>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检查消火栓管网压力。</w:t>
      </w:r>
    </w:p>
    <w:p>
      <w:pPr>
        <w:widowControl/>
        <w:numPr>
          <w:ilvl w:val="0"/>
          <w:numId w:val="4"/>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测试消火栓破玻，主机是否收到报警信号，是否启动消火栓水泵。</w:t>
      </w:r>
    </w:p>
    <w:p>
      <w:pPr>
        <w:widowControl/>
        <w:numPr>
          <w:ilvl w:val="0"/>
          <w:numId w:val="4"/>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检查水泵电机轴承、连接器水泵等设备的接地情况。</w:t>
      </w:r>
    </w:p>
    <w:p>
      <w:pPr>
        <w:widowControl/>
        <w:numPr>
          <w:ilvl w:val="0"/>
          <w:numId w:val="4"/>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检查水泵控制柜（箱）的接地情况。</w:t>
      </w:r>
    </w:p>
    <w:p>
      <w:pPr>
        <w:widowControl/>
        <w:numPr>
          <w:ilvl w:val="0"/>
          <w:numId w:val="4"/>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 xml:space="preserve"> 检测电机的绝缘阻值。</w:t>
      </w:r>
    </w:p>
    <w:p>
      <w:pPr>
        <w:widowControl/>
        <w:numPr>
          <w:ilvl w:val="0"/>
          <w:numId w:val="4"/>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 xml:space="preserve"> 进行消火栓系统的联动测试。</w:t>
      </w:r>
    </w:p>
    <w:p>
      <w:pPr>
        <w:widowControl/>
        <w:numPr>
          <w:ilvl w:val="0"/>
          <w:numId w:val="4"/>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 xml:space="preserve"> 清洁消火栓箱、水泵电机和水泵控制柜。</w:t>
      </w:r>
    </w:p>
    <w:p>
      <w:pPr>
        <w:widowControl/>
        <w:numPr>
          <w:ilvl w:val="0"/>
          <w:numId w:val="4"/>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 xml:space="preserve"> 贴上检验标签。</w:t>
      </w:r>
    </w:p>
    <w:p>
      <w:pPr>
        <w:widowControl/>
        <w:numPr>
          <w:ilvl w:val="0"/>
          <w:numId w:val="4"/>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 xml:space="preserve"> 对室外消火栓进行检查、保养。</w:t>
      </w:r>
    </w:p>
    <w:p>
      <w:pPr>
        <w:pStyle w:val="4"/>
        <w:numPr>
          <w:ilvl w:val="4"/>
          <w:numId w:val="2"/>
        </w:numPr>
        <w:spacing w:before="0" w:line="560" w:lineRule="exact"/>
        <w:rPr>
          <w:rFonts w:ascii="仿宋_GB2312" w:eastAsia="仿宋_GB2312"/>
          <w:b/>
          <w:color w:val="auto"/>
          <w:sz w:val="28"/>
          <w:szCs w:val="28"/>
        </w:rPr>
      </w:pPr>
      <w:r>
        <w:rPr>
          <w:rFonts w:hint="eastAsia" w:ascii="仿宋_GB2312" w:eastAsia="仿宋_GB2312"/>
          <w:b/>
          <w:color w:val="auto"/>
          <w:sz w:val="28"/>
          <w:szCs w:val="28"/>
        </w:rPr>
        <w:t>4.防火卷帘门系统</w:t>
      </w:r>
    </w:p>
    <w:p>
      <w:pPr>
        <w:widowControl/>
        <w:numPr>
          <w:ilvl w:val="0"/>
          <w:numId w:val="5"/>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巡查各卷帘门状态，手动开关有否破损，卷帘门下有否</w:t>
      </w:r>
    </w:p>
    <w:p>
      <w:pPr>
        <w:widowControl/>
        <w:numPr>
          <w:ilvl w:val="0"/>
          <w:numId w:val="5"/>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障碍物；卷帘门控制器工作状态是否正常；认真填写好检查记录表。</w:t>
      </w:r>
    </w:p>
    <w:p>
      <w:pPr>
        <w:widowControl/>
        <w:numPr>
          <w:ilvl w:val="0"/>
          <w:numId w:val="5"/>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现场手动升降卷帘一次，检查控制功能是否正常，报警主机是否能检测到卷帘的归底信号，卷帘的轨道、链片是否变形、整洁；</w:t>
      </w:r>
    </w:p>
    <w:p>
      <w:pPr>
        <w:widowControl/>
        <w:numPr>
          <w:ilvl w:val="0"/>
          <w:numId w:val="5"/>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手动测试卷帘的升降功能，检查防火卷帘驱动电机及链条传动机构状况，定期加注润滑油；</w:t>
      </w:r>
    </w:p>
    <w:p>
      <w:pPr>
        <w:widowControl/>
        <w:numPr>
          <w:ilvl w:val="0"/>
          <w:numId w:val="5"/>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对所有卷帘门进行全面检查，包括手动开关、电动开关、电动机构、传动机构、导轨清理等；</w:t>
      </w:r>
    </w:p>
    <w:p>
      <w:pPr>
        <w:widowControl/>
        <w:numPr>
          <w:ilvl w:val="0"/>
          <w:numId w:val="5"/>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模拟火灾报警试验，全面检验卷帘门系统联动功能和状态；</w:t>
      </w:r>
    </w:p>
    <w:p>
      <w:pPr>
        <w:widowControl/>
        <w:numPr>
          <w:ilvl w:val="0"/>
          <w:numId w:val="5"/>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认真填写好检查记录表。</w:t>
      </w:r>
    </w:p>
    <w:p>
      <w:pPr>
        <w:pStyle w:val="4"/>
        <w:numPr>
          <w:ilvl w:val="4"/>
          <w:numId w:val="2"/>
        </w:numPr>
        <w:spacing w:before="0" w:line="560" w:lineRule="exact"/>
        <w:rPr>
          <w:rFonts w:ascii="仿宋_GB2312" w:eastAsia="仿宋_GB2312"/>
          <w:b/>
          <w:color w:val="auto"/>
          <w:sz w:val="28"/>
          <w:szCs w:val="28"/>
        </w:rPr>
      </w:pPr>
      <w:r>
        <w:rPr>
          <w:rFonts w:hint="eastAsia" w:ascii="仿宋_GB2312" w:eastAsia="仿宋_GB2312"/>
          <w:b/>
          <w:color w:val="auto"/>
          <w:sz w:val="28"/>
          <w:szCs w:val="28"/>
        </w:rPr>
        <w:t>5.防排烟系统</w:t>
      </w:r>
    </w:p>
    <w:p>
      <w:pPr>
        <w:widowControl/>
        <w:numPr>
          <w:ilvl w:val="0"/>
          <w:numId w:val="6"/>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总体检查</w:t>
      </w:r>
    </w:p>
    <w:p>
      <w:pPr>
        <w:widowControl/>
        <w:numPr>
          <w:ilvl w:val="0"/>
          <w:numId w:val="7"/>
        </w:numPr>
        <w:adjustRightInd w:val="0"/>
        <w:snapToGrid w:val="0"/>
        <w:spacing w:line="560" w:lineRule="exact"/>
        <w:ind w:firstLine="6"/>
        <w:jc w:val="left"/>
        <w:rPr>
          <w:rFonts w:ascii="仿宋_GB2312" w:hAnsi="宋体" w:eastAsia="仿宋_GB2312"/>
          <w:sz w:val="28"/>
          <w:szCs w:val="28"/>
        </w:rPr>
      </w:pPr>
      <w:r>
        <w:rPr>
          <w:rFonts w:hint="eastAsia" w:ascii="仿宋_GB2312" w:hAnsi="宋体" w:eastAsia="仿宋_GB2312"/>
          <w:sz w:val="28"/>
          <w:szCs w:val="28"/>
        </w:rPr>
        <w:t>检查防排烟设备及其防火阀的功能，启动设备运转5分钟，观察有无异常现象。</w:t>
      </w:r>
    </w:p>
    <w:p>
      <w:pPr>
        <w:widowControl/>
        <w:numPr>
          <w:ilvl w:val="0"/>
          <w:numId w:val="7"/>
        </w:numPr>
        <w:adjustRightInd w:val="0"/>
        <w:snapToGrid w:val="0"/>
        <w:spacing w:line="560" w:lineRule="exact"/>
        <w:ind w:firstLine="6"/>
        <w:jc w:val="left"/>
        <w:rPr>
          <w:rFonts w:ascii="仿宋_GB2312" w:hAnsi="宋体" w:eastAsia="仿宋_GB2312"/>
          <w:sz w:val="28"/>
          <w:szCs w:val="28"/>
        </w:rPr>
      </w:pPr>
      <w:r>
        <w:rPr>
          <w:rFonts w:hint="eastAsia" w:ascii="仿宋_GB2312" w:hAnsi="宋体" w:eastAsia="仿宋_GB2312"/>
          <w:sz w:val="28"/>
          <w:szCs w:val="28"/>
        </w:rPr>
        <w:t>检查排烟口的开启状况及其操作控制功能。</w:t>
      </w:r>
    </w:p>
    <w:p>
      <w:pPr>
        <w:widowControl/>
        <w:numPr>
          <w:ilvl w:val="0"/>
          <w:numId w:val="7"/>
        </w:numPr>
        <w:adjustRightInd w:val="0"/>
        <w:snapToGrid w:val="0"/>
        <w:spacing w:line="560" w:lineRule="exact"/>
        <w:ind w:firstLine="6"/>
        <w:jc w:val="left"/>
        <w:rPr>
          <w:rFonts w:ascii="仿宋_GB2312" w:hAnsi="宋体" w:eastAsia="仿宋_GB2312"/>
          <w:sz w:val="28"/>
          <w:szCs w:val="28"/>
        </w:rPr>
      </w:pPr>
      <w:r>
        <w:rPr>
          <w:rFonts w:hint="eastAsia" w:ascii="仿宋_GB2312" w:hAnsi="宋体" w:eastAsia="仿宋_GB2312"/>
          <w:sz w:val="28"/>
          <w:szCs w:val="28"/>
        </w:rPr>
        <w:t>检查排烟、加压风机的联动控制及其反馈信号是否正常。</w:t>
      </w:r>
    </w:p>
    <w:p>
      <w:pPr>
        <w:widowControl/>
        <w:numPr>
          <w:ilvl w:val="0"/>
          <w:numId w:val="7"/>
        </w:numPr>
        <w:adjustRightInd w:val="0"/>
        <w:snapToGrid w:val="0"/>
        <w:spacing w:line="560" w:lineRule="exact"/>
        <w:ind w:firstLine="6"/>
        <w:jc w:val="left"/>
        <w:rPr>
          <w:rFonts w:ascii="仿宋_GB2312" w:hAnsi="宋体" w:eastAsia="仿宋_GB2312"/>
          <w:sz w:val="28"/>
          <w:szCs w:val="28"/>
        </w:rPr>
      </w:pPr>
      <w:r>
        <w:rPr>
          <w:rFonts w:hint="eastAsia" w:ascii="仿宋_GB2312" w:hAnsi="宋体" w:eastAsia="仿宋_GB2312"/>
          <w:sz w:val="28"/>
          <w:szCs w:val="28"/>
        </w:rPr>
        <w:t>检查各防火阀的阀门、叶片的位置是否正确，有无变形及动作。</w:t>
      </w:r>
    </w:p>
    <w:p>
      <w:pPr>
        <w:widowControl/>
        <w:numPr>
          <w:ilvl w:val="0"/>
          <w:numId w:val="7"/>
        </w:numPr>
        <w:adjustRightInd w:val="0"/>
        <w:snapToGrid w:val="0"/>
        <w:spacing w:line="560" w:lineRule="exact"/>
        <w:ind w:firstLine="6"/>
        <w:jc w:val="left"/>
        <w:rPr>
          <w:rFonts w:ascii="仿宋_GB2312" w:hAnsi="宋体" w:eastAsia="仿宋_GB2312"/>
          <w:sz w:val="28"/>
          <w:szCs w:val="28"/>
        </w:rPr>
      </w:pPr>
      <w:r>
        <w:rPr>
          <w:rFonts w:hint="eastAsia" w:ascii="仿宋_GB2312" w:hAnsi="宋体" w:eastAsia="仿宋_GB2312"/>
          <w:sz w:val="28"/>
          <w:szCs w:val="28"/>
        </w:rPr>
        <w:t>各新风机的防火阀保护功能是否正常。</w:t>
      </w:r>
    </w:p>
    <w:p>
      <w:pPr>
        <w:widowControl/>
        <w:numPr>
          <w:ilvl w:val="0"/>
          <w:numId w:val="7"/>
        </w:numPr>
        <w:adjustRightInd w:val="0"/>
        <w:snapToGrid w:val="0"/>
        <w:spacing w:line="560" w:lineRule="exact"/>
        <w:ind w:firstLine="6"/>
        <w:jc w:val="left"/>
        <w:rPr>
          <w:rFonts w:ascii="仿宋_GB2312" w:hAnsi="宋体" w:eastAsia="仿宋_GB2312"/>
          <w:sz w:val="28"/>
          <w:szCs w:val="28"/>
        </w:rPr>
      </w:pPr>
      <w:r>
        <w:rPr>
          <w:rFonts w:hint="eastAsia" w:ascii="仿宋_GB2312" w:hAnsi="宋体" w:eastAsia="仿宋_GB2312"/>
          <w:sz w:val="28"/>
          <w:szCs w:val="28"/>
        </w:rPr>
        <w:t>设备的接地情况。</w:t>
      </w:r>
    </w:p>
    <w:p>
      <w:pPr>
        <w:widowControl/>
        <w:numPr>
          <w:ilvl w:val="0"/>
          <w:numId w:val="7"/>
        </w:numPr>
        <w:adjustRightInd w:val="0"/>
        <w:snapToGrid w:val="0"/>
        <w:spacing w:line="560" w:lineRule="exact"/>
        <w:ind w:firstLine="6"/>
        <w:jc w:val="left"/>
        <w:rPr>
          <w:rFonts w:ascii="仿宋_GB2312" w:hAnsi="宋体" w:eastAsia="仿宋_GB2312"/>
          <w:sz w:val="28"/>
          <w:szCs w:val="28"/>
        </w:rPr>
      </w:pPr>
      <w:r>
        <w:rPr>
          <w:rFonts w:hint="eastAsia" w:ascii="仿宋_GB2312" w:hAnsi="宋体" w:eastAsia="仿宋_GB2312"/>
          <w:sz w:val="28"/>
          <w:szCs w:val="28"/>
        </w:rPr>
        <w:t>对风机的相关部件进行检查，更换损坏的元件及添加润滑油。</w:t>
      </w:r>
    </w:p>
    <w:p>
      <w:pPr>
        <w:widowControl/>
        <w:numPr>
          <w:ilvl w:val="0"/>
          <w:numId w:val="7"/>
        </w:numPr>
        <w:adjustRightInd w:val="0"/>
        <w:snapToGrid w:val="0"/>
        <w:spacing w:line="560" w:lineRule="exact"/>
        <w:ind w:firstLine="6"/>
        <w:jc w:val="left"/>
        <w:rPr>
          <w:rFonts w:ascii="仿宋_GB2312" w:hAnsi="宋体" w:eastAsia="仿宋_GB2312"/>
          <w:sz w:val="28"/>
          <w:szCs w:val="28"/>
        </w:rPr>
      </w:pPr>
      <w:r>
        <w:rPr>
          <w:rFonts w:hint="eastAsia" w:ascii="仿宋_GB2312" w:hAnsi="宋体" w:eastAsia="仿宋_GB2312"/>
          <w:sz w:val="28"/>
          <w:szCs w:val="28"/>
        </w:rPr>
        <w:t>检查轴承的轴心是否偏移，叶片是否变形。</w:t>
      </w:r>
    </w:p>
    <w:p>
      <w:pPr>
        <w:widowControl/>
        <w:numPr>
          <w:ilvl w:val="0"/>
          <w:numId w:val="7"/>
        </w:numPr>
        <w:adjustRightInd w:val="0"/>
        <w:snapToGrid w:val="0"/>
        <w:spacing w:after="160" w:line="560" w:lineRule="exact"/>
        <w:ind w:firstLine="6"/>
        <w:jc w:val="left"/>
        <w:rPr>
          <w:rFonts w:ascii="仿宋_GB2312" w:hAnsi="宋体" w:eastAsia="仿宋_GB2312"/>
          <w:sz w:val="28"/>
          <w:szCs w:val="28"/>
        </w:rPr>
      </w:pPr>
      <w:r>
        <w:rPr>
          <w:rFonts w:hint="eastAsia" w:ascii="仿宋_GB2312" w:hAnsi="宋体" w:eastAsia="仿宋_GB2312"/>
          <w:sz w:val="28"/>
          <w:szCs w:val="28"/>
        </w:rPr>
        <w:t>启动防排烟系统工作30分钟，观察电机是否正常，风量是否符合消防规范要求。</w:t>
      </w:r>
    </w:p>
    <w:p>
      <w:pPr>
        <w:widowControl/>
        <w:numPr>
          <w:ilvl w:val="0"/>
          <w:numId w:val="6"/>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送风系统</w:t>
      </w:r>
    </w:p>
    <w:p>
      <w:pPr>
        <w:widowControl/>
        <w:numPr>
          <w:ilvl w:val="0"/>
          <w:numId w:val="8"/>
        </w:numPr>
        <w:adjustRightInd w:val="0"/>
        <w:snapToGrid w:val="0"/>
        <w:spacing w:line="560" w:lineRule="exact"/>
        <w:ind w:left="850" w:hanging="425"/>
        <w:jc w:val="left"/>
        <w:rPr>
          <w:rFonts w:ascii="仿宋_GB2312" w:hAnsi="宋体" w:eastAsia="仿宋_GB2312"/>
          <w:sz w:val="28"/>
          <w:szCs w:val="28"/>
        </w:rPr>
      </w:pPr>
      <w:r>
        <w:rPr>
          <w:rFonts w:hint="eastAsia" w:ascii="仿宋_GB2312" w:hAnsi="宋体" w:eastAsia="仿宋_GB2312"/>
          <w:sz w:val="28"/>
          <w:szCs w:val="28"/>
        </w:rPr>
        <w:t xml:space="preserve"> 每月巡视检查各层消防通道及其消防电梯前室的加压风口是否灵活。</w:t>
      </w:r>
    </w:p>
    <w:p>
      <w:pPr>
        <w:widowControl/>
        <w:numPr>
          <w:ilvl w:val="0"/>
          <w:numId w:val="8"/>
        </w:numPr>
        <w:adjustRightInd w:val="0"/>
        <w:snapToGrid w:val="0"/>
        <w:spacing w:line="560" w:lineRule="exact"/>
        <w:ind w:left="850" w:hanging="425"/>
        <w:jc w:val="left"/>
        <w:rPr>
          <w:rFonts w:ascii="仿宋_GB2312" w:hAnsi="宋体" w:eastAsia="仿宋_GB2312"/>
          <w:sz w:val="28"/>
          <w:szCs w:val="28"/>
        </w:rPr>
      </w:pPr>
      <w:r>
        <w:rPr>
          <w:rFonts w:hint="eastAsia" w:ascii="仿宋_GB2312" w:hAnsi="宋体" w:eastAsia="仿宋_GB2312"/>
          <w:sz w:val="28"/>
          <w:szCs w:val="28"/>
        </w:rPr>
        <w:t xml:space="preserve"> 每月巡视检查各风机控制线路是否正常，可做就地及遥控启动试验，打扫机房及风机表面灰尘。</w:t>
      </w:r>
    </w:p>
    <w:p>
      <w:pPr>
        <w:widowControl/>
        <w:numPr>
          <w:ilvl w:val="0"/>
          <w:numId w:val="8"/>
        </w:numPr>
        <w:adjustRightInd w:val="0"/>
        <w:snapToGrid w:val="0"/>
        <w:spacing w:line="560" w:lineRule="exact"/>
        <w:ind w:left="850" w:hanging="425"/>
        <w:jc w:val="left"/>
        <w:rPr>
          <w:rFonts w:ascii="仿宋_GB2312" w:hAnsi="宋体" w:eastAsia="仿宋_GB2312"/>
          <w:sz w:val="28"/>
          <w:szCs w:val="28"/>
        </w:rPr>
      </w:pPr>
      <w:r>
        <w:rPr>
          <w:rFonts w:hint="eastAsia" w:ascii="仿宋_GB2312" w:hAnsi="宋体" w:eastAsia="仿宋_GB2312"/>
          <w:sz w:val="28"/>
          <w:szCs w:val="28"/>
        </w:rPr>
        <w:t xml:space="preserve"> 每月检查电气元件有无损坏松动，清理表面灰尘，添加润滑油。</w:t>
      </w:r>
    </w:p>
    <w:p>
      <w:pPr>
        <w:widowControl/>
        <w:numPr>
          <w:ilvl w:val="0"/>
          <w:numId w:val="6"/>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排烟系统</w:t>
      </w:r>
    </w:p>
    <w:p>
      <w:pPr>
        <w:widowControl/>
        <w:numPr>
          <w:ilvl w:val="0"/>
          <w:numId w:val="9"/>
        </w:numPr>
        <w:adjustRightInd w:val="0"/>
        <w:snapToGrid w:val="0"/>
        <w:spacing w:line="560" w:lineRule="exact"/>
        <w:ind w:left="850" w:hanging="425"/>
        <w:jc w:val="left"/>
        <w:rPr>
          <w:rFonts w:ascii="仿宋_GB2312" w:hAnsi="宋体" w:eastAsia="仿宋_GB2312"/>
          <w:sz w:val="28"/>
          <w:szCs w:val="28"/>
        </w:rPr>
      </w:pPr>
      <w:r>
        <w:rPr>
          <w:rFonts w:hint="eastAsia" w:ascii="仿宋_GB2312" w:hAnsi="宋体" w:eastAsia="仿宋_GB2312"/>
          <w:sz w:val="28"/>
          <w:szCs w:val="28"/>
        </w:rPr>
        <w:t>每月巡视检查各楼层的排烟阀、窗、电源是否正常，有无异常现象。</w:t>
      </w:r>
    </w:p>
    <w:p>
      <w:pPr>
        <w:widowControl/>
        <w:numPr>
          <w:ilvl w:val="0"/>
          <w:numId w:val="9"/>
        </w:numPr>
        <w:adjustRightInd w:val="0"/>
        <w:snapToGrid w:val="0"/>
        <w:spacing w:line="560" w:lineRule="exact"/>
        <w:ind w:left="850" w:hanging="425"/>
        <w:jc w:val="left"/>
        <w:rPr>
          <w:rFonts w:ascii="仿宋_GB2312" w:hAnsi="宋体" w:eastAsia="仿宋_GB2312"/>
          <w:sz w:val="28"/>
          <w:szCs w:val="28"/>
        </w:rPr>
      </w:pPr>
      <w:r>
        <w:rPr>
          <w:rFonts w:hint="eastAsia" w:ascii="仿宋_GB2312" w:hAnsi="宋体" w:eastAsia="仿宋_GB2312"/>
          <w:sz w:val="28"/>
          <w:szCs w:val="28"/>
        </w:rPr>
        <w:t>检查排烟风机的控制线路。</w:t>
      </w:r>
    </w:p>
    <w:p>
      <w:pPr>
        <w:widowControl/>
        <w:numPr>
          <w:ilvl w:val="0"/>
          <w:numId w:val="9"/>
        </w:numPr>
        <w:adjustRightInd w:val="0"/>
        <w:snapToGrid w:val="0"/>
        <w:spacing w:line="560" w:lineRule="exact"/>
        <w:ind w:left="850" w:hanging="425"/>
        <w:jc w:val="left"/>
        <w:rPr>
          <w:rFonts w:ascii="仿宋_GB2312" w:hAnsi="宋体" w:eastAsia="仿宋_GB2312"/>
          <w:sz w:val="28"/>
          <w:szCs w:val="28"/>
        </w:rPr>
      </w:pPr>
      <w:r>
        <w:rPr>
          <w:rFonts w:hint="eastAsia" w:ascii="仿宋_GB2312" w:hAnsi="宋体" w:eastAsia="仿宋_GB2312"/>
          <w:sz w:val="28"/>
          <w:szCs w:val="28"/>
        </w:rPr>
        <w:t>就地和远程启动风机。</w:t>
      </w:r>
    </w:p>
    <w:p>
      <w:pPr>
        <w:widowControl/>
        <w:numPr>
          <w:ilvl w:val="0"/>
          <w:numId w:val="9"/>
        </w:numPr>
        <w:adjustRightInd w:val="0"/>
        <w:snapToGrid w:val="0"/>
        <w:spacing w:line="560" w:lineRule="exact"/>
        <w:ind w:left="850" w:hanging="425"/>
        <w:jc w:val="left"/>
        <w:rPr>
          <w:rFonts w:ascii="仿宋_GB2312" w:hAnsi="宋体" w:eastAsia="仿宋_GB2312"/>
          <w:sz w:val="28"/>
          <w:szCs w:val="28"/>
        </w:rPr>
      </w:pPr>
      <w:r>
        <w:rPr>
          <w:rFonts w:hint="eastAsia" w:ascii="仿宋_GB2312" w:hAnsi="宋体" w:eastAsia="仿宋_GB2312"/>
          <w:sz w:val="28"/>
          <w:szCs w:val="28"/>
        </w:rPr>
        <w:t>打扫机房和风机表面的卫生。</w:t>
      </w:r>
    </w:p>
    <w:p>
      <w:pPr>
        <w:widowControl/>
        <w:numPr>
          <w:ilvl w:val="0"/>
          <w:numId w:val="9"/>
        </w:numPr>
        <w:adjustRightInd w:val="0"/>
        <w:snapToGrid w:val="0"/>
        <w:spacing w:line="560" w:lineRule="exact"/>
        <w:ind w:left="850" w:hanging="425"/>
        <w:jc w:val="left"/>
        <w:rPr>
          <w:rFonts w:ascii="仿宋_GB2312" w:hAnsi="宋体" w:eastAsia="仿宋_GB2312"/>
          <w:sz w:val="28"/>
          <w:szCs w:val="28"/>
        </w:rPr>
      </w:pPr>
      <w:r>
        <w:rPr>
          <w:rFonts w:hint="eastAsia" w:ascii="仿宋_GB2312" w:hAnsi="宋体" w:eastAsia="仿宋_GB2312"/>
          <w:sz w:val="28"/>
          <w:szCs w:val="28"/>
        </w:rPr>
        <w:t>每月检查电气元件有无损坏松动，清理表面灰尘，添加润滑油。</w:t>
      </w:r>
    </w:p>
    <w:p>
      <w:pPr>
        <w:widowControl/>
        <w:numPr>
          <w:ilvl w:val="0"/>
          <w:numId w:val="9"/>
        </w:numPr>
        <w:adjustRightInd w:val="0"/>
        <w:snapToGrid w:val="0"/>
        <w:spacing w:line="560" w:lineRule="exact"/>
        <w:ind w:left="850" w:hanging="425"/>
        <w:jc w:val="left"/>
        <w:rPr>
          <w:rFonts w:ascii="仿宋_GB2312" w:hAnsi="宋体" w:eastAsia="仿宋_GB2312"/>
          <w:sz w:val="28"/>
          <w:szCs w:val="28"/>
        </w:rPr>
      </w:pPr>
      <w:r>
        <w:rPr>
          <w:rFonts w:hint="eastAsia" w:ascii="仿宋_GB2312" w:hAnsi="宋体" w:eastAsia="仿宋_GB2312"/>
          <w:sz w:val="28"/>
          <w:szCs w:val="28"/>
        </w:rPr>
        <w:t>按照设计原理50％楼层实施自动控制试验。</w:t>
      </w:r>
    </w:p>
    <w:p>
      <w:pPr>
        <w:pStyle w:val="4"/>
        <w:numPr>
          <w:ilvl w:val="4"/>
          <w:numId w:val="2"/>
        </w:numPr>
        <w:spacing w:before="0" w:line="560" w:lineRule="exact"/>
        <w:rPr>
          <w:rFonts w:ascii="仿宋_GB2312" w:eastAsia="仿宋_GB2312"/>
          <w:b/>
          <w:color w:val="auto"/>
          <w:sz w:val="28"/>
          <w:szCs w:val="28"/>
        </w:rPr>
      </w:pPr>
      <w:r>
        <w:rPr>
          <w:rFonts w:hint="eastAsia" w:ascii="仿宋_GB2312" w:eastAsia="仿宋_GB2312"/>
          <w:b/>
          <w:color w:val="auto"/>
          <w:sz w:val="28"/>
          <w:szCs w:val="28"/>
        </w:rPr>
        <w:t>6.消防广播及消防电话</w:t>
      </w:r>
    </w:p>
    <w:p>
      <w:pPr>
        <w:widowControl/>
        <w:numPr>
          <w:ilvl w:val="0"/>
          <w:numId w:val="10"/>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检查系统联动电源是否正常；</w:t>
      </w:r>
    </w:p>
    <w:p>
      <w:pPr>
        <w:widowControl/>
        <w:numPr>
          <w:ilvl w:val="0"/>
          <w:numId w:val="10"/>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外观检查消防喇叭、消防电话是否完好无破损，安装是否牢靠；</w:t>
      </w:r>
    </w:p>
    <w:p>
      <w:pPr>
        <w:widowControl/>
        <w:numPr>
          <w:ilvl w:val="0"/>
          <w:numId w:val="10"/>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分区测试消防电话通讯是否正常，通话是否有杂音；</w:t>
      </w:r>
    </w:p>
    <w:p>
      <w:pPr>
        <w:widowControl/>
        <w:numPr>
          <w:ilvl w:val="0"/>
          <w:numId w:val="10"/>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外观检查消防广播机柜，确保机内外整洁；</w:t>
      </w:r>
    </w:p>
    <w:p>
      <w:pPr>
        <w:widowControl/>
        <w:numPr>
          <w:ilvl w:val="0"/>
          <w:numId w:val="10"/>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检查机柜内所有设备，确保接线完好、整洁；</w:t>
      </w:r>
    </w:p>
    <w:p>
      <w:pPr>
        <w:widowControl/>
        <w:numPr>
          <w:ilvl w:val="0"/>
          <w:numId w:val="10"/>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检查报警联动柜是否有故障报警，各指示灯是否完好，如有损坏及时更换；</w:t>
      </w:r>
    </w:p>
    <w:p>
      <w:pPr>
        <w:widowControl/>
        <w:numPr>
          <w:ilvl w:val="0"/>
          <w:numId w:val="10"/>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清洁联动柜，紧固所有接线端，更换锈蚀螺丝；</w:t>
      </w:r>
    </w:p>
    <w:p>
      <w:pPr>
        <w:widowControl/>
        <w:numPr>
          <w:ilvl w:val="0"/>
          <w:numId w:val="10"/>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进行相关设备的联动测试，各相关联动控制设备应正常联动；</w:t>
      </w:r>
    </w:p>
    <w:p>
      <w:pPr>
        <w:widowControl/>
        <w:numPr>
          <w:ilvl w:val="0"/>
          <w:numId w:val="10"/>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模拟火警发生，测试广播电子语音、外线输入、话筒、录音输出、监听、自动切换等功能是否正常，音量是否达到规范要求；</w:t>
      </w:r>
    </w:p>
    <w:p>
      <w:pPr>
        <w:widowControl/>
        <w:numPr>
          <w:ilvl w:val="0"/>
          <w:numId w:val="10"/>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模拟火警发生，检查背景广播与事故广播切换是否准确无误；</w:t>
      </w:r>
    </w:p>
    <w:p>
      <w:pPr>
        <w:widowControl/>
        <w:numPr>
          <w:ilvl w:val="0"/>
          <w:numId w:val="10"/>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检查接警报台软件运行是否稳定，报警地址显示是否正确，通话、语音功能是否正常；</w:t>
      </w:r>
    </w:p>
    <w:p>
      <w:pPr>
        <w:widowControl/>
        <w:numPr>
          <w:ilvl w:val="0"/>
          <w:numId w:val="10"/>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洁消防电话主机，模拟火警状态下通话测试，检查报警区域显</w:t>
      </w:r>
    </w:p>
    <w:p>
      <w:pPr>
        <w:widowControl/>
        <w:numPr>
          <w:ilvl w:val="0"/>
          <w:numId w:val="10"/>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示是否正确，通话质量是否达到要求；</w:t>
      </w:r>
    </w:p>
    <w:p>
      <w:pPr>
        <w:widowControl/>
        <w:numPr>
          <w:ilvl w:val="0"/>
          <w:numId w:val="10"/>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认真填写好检查记录表。</w:t>
      </w:r>
    </w:p>
    <w:p>
      <w:pPr>
        <w:pStyle w:val="4"/>
        <w:numPr>
          <w:ilvl w:val="4"/>
          <w:numId w:val="2"/>
        </w:numPr>
        <w:spacing w:before="0" w:line="560" w:lineRule="exact"/>
        <w:rPr>
          <w:rFonts w:ascii="仿宋_GB2312" w:eastAsia="仿宋_GB2312"/>
          <w:b/>
          <w:color w:val="auto"/>
          <w:sz w:val="28"/>
          <w:szCs w:val="28"/>
        </w:rPr>
      </w:pPr>
      <w:r>
        <w:rPr>
          <w:rFonts w:hint="eastAsia" w:ascii="仿宋_GB2312" w:eastAsia="仿宋_GB2312"/>
          <w:b/>
          <w:color w:val="auto"/>
          <w:sz w:val="28"/>
          <w:szCs w:val="28"/>
        </w:rPr>
        <w:t>7.应急照明及疏散指示系统</w:t>
      </w:r>
    </w:p>
    <w:p>
      <w:pPr>
        <w:widowControl/>
        <w:numPr>
          <w:ilvl w:val="0"/>
          <w:numId w:val="11"/>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外观检查安全出口、疏散通道、重要场所的应急照明或疏散指示标志是否处于正常完好状态；</w:t>
      </w:r>
    </w:p>
    <w:p>
      <w:pPr>
        <w:widowControl/>
        <w:numPr>
          <w:ilvl w:val="0"/>
          <w:numId w:val="11"/>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检查疏散指示灯安装是否牢靠，有无倾斜和脱线现象；</w:t>
      </w:r>
    </w:p>
    <w:p>
      <w:pPr>
        <w:widowControl/>
        <w:numPr>
          <w:ilvl w:val="0"/>
          <w:numId w:val="11"/>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检查疏散指示灯光源运行是否稳定，照度是否满足规范要求；</w:t>
      </w:r>
    </w:p>
    <w:p>
      <w:pPr>
        <w:widowControl/>
        <w:numPr>
          <w:ilvl w:val="0"/>
          <w:numId w:val="11"/>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检查紧急供电装置运行是否稳定，仪表指示是否正常；</w:t>
      </w:r>
    </w:p>
    <w:p>
      <w:pPr>
        <w:widowControl/>
        <w:numPr>
          <w:ilvl w:val="0"/>
          <w:numId w:val="11"/>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检查疏散指示逆变器主备电源自动投入功能是否正常，电池组电压是否正常；</w:t>
      </w:r>
    </w:p>
    <w:p>
      <w:pPr>
        <w:widowControl/>
        <w:numPr>
          <w:ilvl w:val="0"/>
          <w:numId w:val="11"/>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试验应急照明或疏散指示灯的工作照度和疏散照度是否正常，每月完成一次全样检查；</w:t>
      </w:r>
    </w:p>
    <w:p>
      <w:pPr>
        <w:widowControl/>
        <w:numPr>
          <w:ilvl w:val="0"/>
          <w:numId w:val="11"/>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认真填写好检查记录表。</w:t>
      </w:r>
    </w:p>
    <w:p>
      <w:pPr>
        <w:pStyle w:val="4"/>
        <w:numPr>
          <w:ilvl w:val="4"/>
          <w:numId w:val="2"/>
        </w:numPr>
        <w:spacing w:before="0" w:line="560" w:lineRule="exact"/>
        <w:rPr>
          <w:rFonts w:ascii="仿宋_GB2312" w:eastAsia="仿宋_GB2312"/>
          <w:b/>
          <w:color w:val="auto"/>
          <w:sz w:val="28"/>
          <w:szCs w:val="28"/>
        </w:rPr>
      </w:pPr>
      <w:r>
        <w:rPr>
          <w:rFonts w:hint="eastAsia" w:ascii="仿宋_GB2312" w:eastAsia="仿宋_GB2312"/>
          <w:b/>
          <w:color w:val="auto"/>
          <w:sz w:val="28"/>
          <w:szCs w:val="28"/>
        </w:rPr>
        <w:t>8.气体灭火系统</w:t>
      </w:r>
    </w:p>
    <w:p>
      <w:pPr>
        <w:widowControl/>
        <w:numPr>
          <w:ilvl w:val="0"/>
          <w:numId w:val="12"/>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检查记录系统气源阀处压力表显示的压力数值，压力值是否在正常范围内；</w:t>
      </w:r>
    </w:p>
    <w:p>
      <w:pPr>
        <w:widowControl/>
        <w:numPr>
          <w:ilvl w:val="0"/>
          <w:numId w:val="12"/>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外观检查系统设备组件，瓶头阀、选择阀、气源阀、安全阀、气动管网、连接接头、紧急启动/停止装置等设备是否有碰撞变形等损伤和锈蚀情况；</w:t>
      </w:r>
    </w:p>
    <w:p>
      <w:pPr>
        <w:widowControl/>
        <w:numPr>
          <w:ilvl w:val="0"/>
          <w:numId w:val="12"/>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检查设备及管道的支、吊架的固定有无松动；</w:t>
      </w:r>
    </w:p>
    <w:p>
      <w:pPr>
        <w:widowControl/>
        <w:numPr>
          <w:ilvl w:val="0"/>
          <w:numId w:val="12"/>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 xml:space="preserve">检查各气体灭火控制器外观、信号指示是否正常；  </w:t>
      </w:r>
    </w:p>
    <w:p>
      <w:pPr>
        <w:widowControl/>
        <w:numPr>
          <w:ilvl w:val="0"/>
          <w:numId w:val="12"/>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检查气体灭火控制器、声光报警器、警铃、放气指示牌、手动按钮等设备外观是否完好、整洁；</w:t>
      </w:r>
    </w:p>
    <w:p>
      <w:pPr>
        <w:widowControl/>
        <w:numPr>
          <w:ilvl w:val="0"/>
          <w:numId w:val="12"/>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对系统进行模拟报警、喷气试验，检查系统是否正常报警、喷气灭火，报警信号、放气信号是否正常，火灾报警主机是否能检测到气体灭火系统相应的报警、气体释放、故障等监测信号；</w:t>
      </w:r>
    </w:p>
    <w:p>
      <w:pPr>
        <w:widowControl/>
        <w:numPr>
          <w:ilvl w:val="0"/>
          <w:numId w:val="12"/>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在气体灭火系统模拟测试的联动过程中，仔细观察相应区域的送风、排风机能否停止，相应风阀动作状态是否正确；消防中心能否监测到相应风阀的动作状态；</w:t>
      </w:r>
    </w:p>
    <w:p>
      <w:pPr>
        <w:widowControl/>
        <w:numPr>
          <w:ilvl w:val="0"/>
          <w:numId w:val="12"/>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检查可燃物的种类、分布情况，防护区的开口情况，是否符合设计规定；</w:t>
      </w:r>
    </w:p>
    <w:p>
      <w:pPr>
        <w:widowControl/>
        <w:numPr>
          <w:ilvl w:val="0"/>
          <w:numId w:val="12"/>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检查储存装置间的设备、灭火剂输送管道和支、吊架的固定，应无松动；</w:t>
      </w:r>
    </w:p>
    <w:p>
      <w:pPr>
        <w:widowControl/>
        <w:numPr>
          <w:ilvl w:val="0"/>
          <w:numId w:val="12"/>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检查喷头有无堵塞现象；</w:t>
      </w:r>
    </w:p>
    <w:p>
      <w:pPr>
        <w:widowControl/>
        <w:numPr>
          <w:ilvl w:val="0"/>
          <w:numId w:val="12"/>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灭火剂输送管道有损伤与堵塞现象时，应进行严密性试验和吹扫；</w:t>
      </w:r>
    </w:p>
    <w:p>
      <w:pPr>
        <w:widowControl/>
        <w:numPr>
          <w:ilvl w:val="0"/>
          <w:numId w:val="12"/>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对所有储气瓶进行检查，如发现泄露，应重新冲装，重新签发系统合格许可证；</w:t>
      </w:r>
    </w:p>
    <w:p>
      <w:pPr>
        <w:widowControl/>
        <w:numPr>
          <w:ilvl w:val="0"/>
          <w:numId w:val="12"/>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认真填写好检查记录表。</w:t>
      </w:r>
    </w:p>
    <w:p>
      <w:pPr>
        <w:pStyle w:val="4"/>
        <w:numPr>
          <w:ilvl w:val="4"/>
          <w:numId w:val="2"/>
        </w:numPr>
        <w:spacing w:before="0" w:line="560" w:lineRule="exact"/>
        <w:rPr>
          <w:rFonts w:ascii="仿宋_GB2312" w:eastAsia="仿宋_GB2312"/>
          <w:b/>
          <w:color w:val="auto"/>
          <w:sz w:val="28"/>
          <w:szCs w:val="28"/>
        </w:rPr>
      </w:pPr>
      <w:r>
        <w:rPr>
          <w:rFonts w:hint="eastAsia" w:ascii="仿宋_GB2312" w:eastAsia="仿宋_GB2312"/>
          <w:b/>
          <w:color w:val="auto"/>
          <w:sz w:val="28"/>
          <w:szCs w:val="28"/>
        </w:rPr>
        <w:t>9.消防报警联动系统</w:t>
      </w:r>
    </w:p>
    <w:p>
      <w:pPr>
        <w:widowControl/>
        <w:numPr>
          <w:ilvl w:val="0"/>
          <w:numId w:val="13"/>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电梯迫降</w:t>
      </w:r>
    </w:p>
    <w:p>
      <w:pPr>
        <w:widowControl/>
        <w:numPr>
          <w:ilvl w:val="0"/>
          <w:numId w:val="14"/>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检查时按下迫降按钮，检查电梯迫降能否正常迫降到一楼。</w:t>
      </w:r>
    </w:p>
    <w:p>
      <w:pPr>
        <w:widowControl/>
        <w:numPr>
          <w:ilvl w:val="0"/>
          <w:numId w:val="14"/>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电梯门能否打开电梯桥箱内灯能否亮。</w:t>
      </w:r>
    </w:p>
    <w:p>
      <w:pPr>
        <w:widowControl/>
        <w:numPr>
          <w:ilvl w:val="0"/>
          <w:numId w:val="14"/>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三方对讲能否通话。不能进行修理。</w:t>
      </w:r>
    </w:p>
    <w:p>
      <w:pPr>
        <w:widowControl/>
        <w:numPr>
          <w:ilvl w:val="0"/>
          <w:numId w:val="14"/>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消防中心远程迫降电梯，检查其规定信号是否和主机一致。</w:t>
      </w:r>
    </w:p>
    <w:p>
      <w:pPr>
        <w:widowControl/>
        <w:numPr>
          <w:ilvl w:val="0"/>
          <w:numId w:val="13"/>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风机</w:t>
      </w:r>
    </w:p>
    <w:p>
      <w:pPr>
        <w:pStyle w:val="12"/>
        <w:adjustRightInd w:val="0"/>
        <w:snapToGrid w:val="0"/>
        <w:spacing w:after="0" w:line="560" w:lineRule="exact"/>
        <w:ind w:left="0" w:leftChars="0"/>
        <w:rPr>
          <w:rFonts w:ascii="仿宋_GB2312" w:hAnsi="宋体" w:eastAsia="仿宋_GB2312"/>
          <w:sz w:val="28"/>
          <w:szCs w:val="28"/>
        </w:rPr>
      </w:pPr>
      <w:r>
        <w:rPr>
          <w:rFonts w:hint="eastAsia" w:ascii="仿宋_GB2312" w:hAnsi="宋体" w:eastAsia="仿宋_GB2312"/>
          <w:sz w:val="28"/>
          <w:szCs w:val="28"/>
        </w:rPr>
        <w:t>排烟风机；正压送风机；分布于各个机房内。对风机实行季检、半年检。</w:t>
      </w:r>
    </w:p>
    <w:p>
      <w:pPr>
        <w:pStyle w:val="12"/>
        <w:adjustRightInd w:val="0"/>
        <w:snapToGrid w:val="0"/>
        <w:spacing w:after="0" w:line="560" w:lineRule="exact"/>
        <w:ind w:left="0" w:leftChars="0"/>
        <w:rPr>
          <w:rFonts w:ascii="仿宋_GB2312" w:hAnsi="宋体" w:eastAsia="仿宋_GB2312"/>
          <w:sz w:val="28"/>
          <w:szCs w:val="28"/>
        </w:rPr>
      </w:pPr>
      <w:r>
        <w:rPr>
          <w:rFonts w:hint="eastAsia" w:ascii="仿宋_GB2312" w:hAnsi="宋体" w:eastAsia="仿宋_GB2312"/>
          <w:sz w:val="28"/>
          <w:szCs w:val="28"/>
        </w:rPr>
        <w:t>季检项目包括：</w:t>
      </w:r>
    </w:p>
    <w:p>
      <w:pPr>
        <w:widowControl/>
        <w:numPr>
          <w:ilvl w:val="0"/>
          <w:numId w:val="15"/>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检查电机接地是否良好。</w:t>
      </w:r>
    </w:p>
    <w:p>
      <w:pPr>
        <w:widowControl/>
        <w:numPr>
          <w:ilvl w:val="0"/>
          <w:numId w:val="15"/>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检查风机全面坚固情况。</w:t>
      </w:r>
    </w:p>
    <w:p>
      <w:pPr>
        <w:widowControl/>
        <w:numPr>
          <w:ilvl w:val="0"/>
          <w:numId w:val="15"/>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检查主回路接触点。</w:t>
      </w:r>
    </w:p>
    <w:p>
      <w:pPr>
        <w:widowControl/>
        <w:numPr>
          <w:ilvl w:val="0"/>
          <w:numId w:val="15"/>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检查电机绝缘电阻值。</w:t>
      </w:r>
    </w:p>
    <w:p>
      <w:pPr>
        <w:widowControl/>
        <w:numPr>
          <w:ilvl w:val="0"/>
          <w:numId w:val="15"/>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为轴承加润滑油。</w:t>
      </w:r>
    </w:p>
    <w:p>
      <w:pPr>
        <w:widowControl/>
        <w:numPr>
          <w:ilvl w:val="0"/>
          <w:numId w:val="15"/>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检查电机端子箱内端子全面坚固情况。</w:t>
      </w:r>
    </w:p>
    <w:p>
      <w:pPr>
        <w:widowControl/>
        <w:numPr>
          <w:ilvl w:val="0"/>
          <w:numId w:val="15"/>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清洁电机、风滤器及机壳内部。</w:t>
      </w:r>
    </w:p>
    <w:p>
      <w:pPr>
        <w:pStyle w:val="12"/>
        <w:adjustRightInd w:val="0"/>
        <w:snapToGrid w:val="0"/>
        <w:spacing w:after="0" w:line="560" w:lineRule="exact"/>
        <w:ind w:left="0" w:leftChars="0" w:firstLine="565" w:firstLineChars="202"/>
        <w:rPr>
          <w:rFonts w:ascii="仿宋_GB2312" w:hAnsi="宋体" w:eastAsia="仿宋_GB2312"/>
          <w:sz w:val="28"/>
          <w:szCs w:val="28"/>
        </w:rPr>
      </w:pPr>
      <w:r>
        <w:rPr>
          <w:rFonts w:hint="eastAsia" w:ascii="仿宋_GB2312" w:hAnsi="宋体" w:eastAsia="仿宋_GB2312"/>
          <w:sz w:val="28"/>
          <w:szCs w:val="28"/>
        </w:rPr>
        <w:t>年检项目除季检项目外，增加风机运转半小时试验。在风机房检查：风机运转电流在运转中有无异常声响及震动；在消防控制室检查：反馈信号是否正常。风机与火灾报警系统的联动试验。</w:t>
      </w:r>
    </w:p>
    <w:p>
      <w:pPr>
        <w:widowControl/>
        <w:numPr>
          <w:ilvl w:val="0"/>
          <w:numId w:val="13"/>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消防水泵</w:t>
      </w:r>
    </w:p>
    <w:p>
      <w:pPr>
        <w:widowControl/>
        <w:numPr>
          <w:ilvl w:val="0"/>
          <w:numId w:val="16"/>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加轴承润滑油。</w:t>
      </w:r>
    </w:p>
    <w:p>
      <w:pPr>
        <w:widowControl/>
        <w:numPr>
          <w:ilvl w:val="0"/>
          <w:numId w:val="16"/>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检查盘车松紧。</w:t>
      </w:r>
    </w:p>
    <w:p>
      <w:pPr>
        <w:widowControl/>
        <w:numPr>
          <w:ilvl w:val="0"/>
          <w:numId w:val="16"/>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检查盘根。</w:t>
      </w:r>
    </w:p>
    <w:p>
      <w:pPr>
        <w:widowControl/>
        <w:numPr>
          <w:ilvl w:val="0"/>
          <w:numId w:val="16"/>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检查电机接地情况。</w:t>
      </w:r>
    </w:p>
    <w:p>
      <w:pPr>
        <w:widowControl/>
        <w:numPr>
          <w:ilvl w:val="0"/>
          <w:numId w:val="16"/>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电缆头紧固。</w:t>
      </w:r>
    </w:p>
    <w:p>
      <w:pPr>
        <w:widowControl/>
        <w:numPr>
          <w:ilvl w:val="0"/>
          <w:numId w:val="16"/>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检查电机接线端紧固情况。</w:t>
      </w:r>
    </w:p>
    <w:p>
      <w:pPr>
        <w:widowControl/>
        <w:numPr>
          <w:ilvl w:val="0"/>
          <w:numId w:val="16"/>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清洁电机外观，检查铭牌是否清晰。</w:t>
      </w:r>
    </w:p>
    <w:p>
      <w:pPr>
        <w:widowControl/>
        <w:numPr>
          <w:ilvl w:val="0"/>
          <w:numId w:val="16"/>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检查电路主接触点。</w:t>
      </w:r>
    </w:p>
    <w:p>
      <w:pPr>
        <w:widowControl/>
        <w:numPr>
          <w:ilvl w:val="0"/>
          <w:numId w:val="16"/>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检查接触器声响。</w:t>
      </w:r>
    </w:p>
    <w:p>
      <w:pPr>
        <w:widowControl/>
        <w:numPr>
          <w:ilvl w:val="0"/>
          <w:numId w:val="16"/>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泵体外观检查。</w:t>
      </w:r>
    </w:p>
    <w:p>
      <w:pPr>
        <w:widowControl/>
        <w:numPr>
          <w:ilvl w:val="0"/>
          <w:numId w:val="16"/>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检查阀门开闭是否灵活，有无常阻或漏水。</w:t>
      </w:r>
    </w:p>
    <w:p>
      <w:pPr>
        <w:widowControl/>
        <w:numPr>
          <w:ilvl w:val="0"/>
          <w:numId w:val="16"/>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检查阀门手柄是否完好及阀杆润滑情况。</w:t>
      </w:r>
    </w:p>
    <w:p>
      <w:pPr>
        <w:widowControl/>
        <w:numPr>
          <w:ilvl w:val="0"/>
          <w:numId w:val="16"/>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检查单向阀动作是否灵活，指示是否准确。</w:t>
      </w:r>
    </w:p>
    <w:p>
      <w:pPr>
        <w:widowControl/>
        <w:numPr>
          <w:ilvl w:val="0"/>
          <w:numId w:val="16"/>
        </w:numPr>
        <w:adjustRightInd w:val="0"/>
        <w:snapToGrid w:val="0"/>
        <w:spacing w:line="560" w:lineRule="exact"/>
        <w:ind w:firstLine="6"/>
        <w:jc w:val="left"/>
        <w:rPr>
          <w:rFonts w:ascii="仿宋_GB2312" w:eastAsia="仿宋_GB2312"/>
          <w:sz w:val="28"/>
          <w:szCs w:val="28"/>
        </w:rPr>
      </w:pPr>
      <w:r>
        <w:rPr>
          <w:rFonts w:hint="eastAsia" w:ascii="仿宋_GB2312" w:eastAsia="仿宋_GB2312"/>
          <w:sz w:val="28"/>
          <w:szCs w:val="28"/>
        </w:rPr>
        <w:t>检查电机绝缘电阻值。</w:t>
      </w:r>
    </w:p>
    <w:p>
      <w:pPr>
        <w:widowControl/>
        <w:numPr>
          <w:ilvl w:val="0"/>
          <w:numId w:val="13"/>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年检项目除季检项目外，增加消防泵启停试验。以手动和自动两种方式进行。</w:t>
      </w:r>
    </w:p>
    <w:p>
      <w:pPr>
        <w:widowControl/>
        <w:numPr>
          <w:ilvl w:val="0"/>
          <w:numId w:val="13"/>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手动启泵：启动消防中心联动控制台上启动按钮。</w:t>
      </w:r>
    </w:p>
    <w:p>
      <w:pPr>
        <w:widowControl/>
        <w:numPr>
          <w:ilvl w:val="0"/>
          <w:numId w:val="13"/>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消防栓泵自动启泵：启动对应的楼层的消火栓按钮。</w:t>
      </w:r>
    </w:p>
    <w:p>
      <w:pPr>
        <w:widowControl/>
        <w:numPr>
          <w:ilvl w:val="0"/>
          <w:numId w:val="13"/>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喷淋泵自动启泵：在对应楼层进行末端放水。</w:t>
      </w:r>
    </w:p>
    <w:p>
      <w:pPr>
        <w:widowControl/>
        <w:numPr>
          <w:ilvl w:val="0"/>
          <w:numId w:val="13"/>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在水泵房检查：水泵电机运转电流和在运转中有无异常声响及震动。</w:t>
      </w:r>
    </w:p>
    <w:p>
      <w:pPr>
        <w:widowControl/>
        <w:numPr>
          <w:ilvl w:val="0"/>
          <w:numId w:val="13"/>
        </w:numPr>
        <w:adjustRightInd w:val="0"/>
        <w:snapToGrid w:val="0"/>
        <w:spacing w:line="560" w:lineRule="exact"/>
        <w:jc w:val="left"/>
        <w:rPr>
          <w:rFonts w:ascii="仿宋_GB2312" w:hAnsi="宋体" w:eastAsia="仿宋_GB2312"/>
          <w:sz w:val="28"/>
          <w:szCs w:val="28"/>
        </w:rPr>
      </w:pPr>
      <w:r>
        <w:rPr>
          <w:rFonts w:hint="eastAsia" w:ascii="仿宋_GB2312" w:hAnsi="宋体" w:eastAsia="仿宋_GB2312"/>
          <w:sz w:val="28"/>
          <w:szCs w:val="28"/>
        </w:rPr>
        <w:t>在消防控制室检查：其信号反馈是否正常</w:t>
      </w:r>
    </w:p>
    <w:p>
      <w:pPr>
        <w:widowControl/>
        <w:adjustRightInd w:val="0"/>
        <w:snapToGrid w:val="0"/>
        <w:spacing w:line="560" w:lineRule="exact"/>
        <w:jc w:val="left"/>
        <w:rPr>
          <w:rFonts w:ascii="仿宋_GB2312" w:eastAsia="仿宋_GB2312" w:hAnsiTheme="majorHAnsi" w:cstheme="majorBidi"/>
          <w:b/>
          <w:kern w:val="0"/>
          <w:sz w:val="28"/>
          <w:szCs w:val="28"/>
        </w:rPr>
      </w:pPr>
      <w:r>
        <w:rPr>
          <w:rFonts w:hint="eastAsia" w:ascii="仿宋_GB2312" w:eastAsia="仿宋_GB2312" w:hAnsiTheme="majorHAnsi" w:cstheme="majorBidi"/>
          <w:b/>
          <w:kern w:val="0"/>
          <w:sz w:val="28"/>
          <w:szCs w:val="28"/>
        </w:rPr>
        <w:t>10.可燃气体报警系统</w:t>
      </w:r>
    </w:p>
    <w:p>
      <w:pPr>
        <w:pStyle w:val="26"/>
        <w:widowControl/>
        <w:numPr>
          <w:ilvl w:val="0"/>
          <w:numId w:val="17"/>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检查控制器指示灯、显示屏、音响器件，应完好有效。</w:t>
      </w:r>
    </w:p>
    <w:p>
      <w:pPr>
        <w:pStyle w:val="26"/>
        <w:widowControl/>
        <w:numPr>
          <w:ilvl w:val="0"/>
          <w:numId w:val="17"/>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检查控制器外部线路应无缺损，接线端子应无松脱，线标端子标识应清晰，外部接口接触良好。</w:t>
      </w:r>
    </w:p>
    <w:p>
      <w:pPr>
        <w:pStyle w:val="26"/>
        <w:widowControl/>
        <w:numPr>
          <w:ilvl w:val="0"/>
          <w:numId w:val="17"/>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采用清洁工具清洁控制器接线端子及柜（箱）内灰尘。</w:t>
      </w:r>
    </w:p>
    <w:p>
      <w:pPr>
        <w:pStyle w:val="26"/>
        <w:widowControl/>
        <w:numPr>
          <w:ilvl w:val="0"/>
          <w:numId w:val="17"/>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对于安装在空气潮湿场所内的控制器类设备，可在柜（箱）内放置干燥剂。</w:t>
      </w:r>
    </w:p>
    <w:p>
      <w:pPr>
        <w:pStyle w:val="26"/>
        <w:widowControl/>
        <w:numPr>
          <w:ilvl w:val="0"/>
          <w:numId w:val="17"/>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紧固控制器外部接线端子。</w:t>
      </w:r>
    </w:p>
    <w:p>
      <w:pPr>
        <w:pStyle w:val="26"/>
        <w:widowControl/>
        <w:numPr>
          <w:ilvl w:val="0"/>
          <w:numId w:val="17"/>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控制器输出电压值小于说明书规定值时，应更换回路板或调整线路。</w:t>
      </w:r>
    </w:p>
    <w:p>
      <w:pPr>
        <w:pStyle w:val="26"/>
        <w:widowControl/>
        <w:numPr>
          <w:ilvl w:val="0"/>
          <w:numId w:val="17"/>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每季度检查控制器各项功能是否正常。</w:t>
      </w:r>
    </w:p>
    <w:p>
      <w:pPr>
        <w:pStyle w:val="26"/>
        <w:widowControl/>
        <w:numPr>
          <w:ilvl w:val="0"/>
          <w:numId w:val="17"/>
        </w:numPr>
        <w:adjustRightInd w:val="0"/>
        <w:snapToGrid w:val="0"/>
        <w:spacing w:line="560" w:lineRule="exact"/>
        <w:ind w:firstLineChars="0"/>
        <w:jc w:val="left"/>
        <w:rPr>
          <w:rFonts w:ascii="仿宋_GB2312" w:eastAsia="仿宋_GB2312" w:hAnsiTheme="majorHAnsi" w:cstheme="majorBidi"/>
          <w:b/>
          <w:kern w:val="0"/>
          <w:sz w:val="28"/>
          <w:szCs w:val="28"/>
        </w:rPr>
      </w:pPr>
      <w:r>
        <w:rPr>
          <w:rFonts w:hint="eastAsia" w:ascii="仿宋_GB2312" w:hAnsi="宋体" w:eastAsia="仿宋_GB2312"/>
          <w:sz w:val="28"/>
          <w:szCs w:val="28"/>
        </w:rPr>
        <w:t>每季度用万用表测量控制器的各项输出电压，应满足产品使用说明书的要求。</w:t>
      </w:r>
    </w:p>
    <w:p>
      <w:pPr>
        <w:pStyle w:val="26"/>
        <w:widowControl/>
        <w:numPr>
          <w:ilvl w:val="0"/>
          <w:numId w:val="17"/>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检查探测器、模块类设备工作状态是否正常。</w:t>
      </w:r>
    </w:p>
    <w:p>
      <w:pPr>
        <w:pStyle w:val="26"/>
        <w:widowControl/>
        <w:numPr>
          <w:ilvl w:val="0"/>
          <w:numId w:val="17"/>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报警功能不符合要求时，应调整报警阈值或按照产品说明书要求更换气敏元件，然后将传感器报警阈值标定到探测器出厂设定值。</w:t>
      </w:r>
    </w:p>
    <w:p>
      <w:pPr>
        <w:pStyle w:val="26"/>
        <w:widowControl/>
        <w:numPr>
          <w:ilvl w:val="0"/>
          <w:numId w:val="17"/>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检查电池极柱和接线端子连接应牢固。</w:t>
      </w:r>
    </w:p>
    <w:p>
      <w:pPr>
        <w:pStyle w:val="26"/>
        <w:widowControl/>
        <w:numPr>
          <w:ilvl w:val="0"/>
          <w:numId w:val="17"/>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每季度对消防电源进行主备电切换测试，记录备电在标准负载下的持续工作时间，检查备用蓄电池电量状态是否正常。</w:t>
      </w:r>
    </w:p>
    <w:p>
      <w:pPr>
        <w:widowControl/>
        <w:adjustRightInd w:val="0"/>
        <w:snapToGrid w:val="0"/>
        <w:spacing w:line="560" w:lineRule="exact"/>
        <w:jc w:val="left"/>
        <w:rPr>
          <w:rFonts w:ascii="仿宋_GB2312" w:eastAsia="仿宋_GB2312" w:hAnsiTheme="majorHAnsi" w:cstheme="majorBidi"/>
          <w:b/>
          <w:kern w:val="0"/>
          <w:sz w:val="28"/>
          <w:szCs w:val="28"/>
        </w:rPr>
      </w:pPr>
      <w:r>
        <w:rPr>
          <w:rFonts w:hint="eastAsia" w:ascii="仿宋_GB2312" w:hAnsi="宋体" w:eastAsia="仿宋_GB2312" w:cstheme="majorBidi"/>
          <w:b/>
          <w:kern w:val="0"/>
          <w:sz w:val="28"/>
          <w:szCs w:val="28"/>
        </w:rPr>
        <w:t>1</w:t>
      </w:r>
      <w:r>
        <w:rPr>
          <w:rFonts w:hint="eastAsia" w:ascii="仿宋_GB2312" w:eastAsia="仿宋_GB2312" w:hAnsiTheme="majorHAnsi" w:cstheme="majorBidi"/>
          <w:b/>
          <w:kern w:val="0"/>
          <w:sz w:val="28"/>
          <w:szCs w:val="28"/>
        </w:rPr>
        <w:t>1.电气火灾监控系统</w:t>
      </w:r>
    </w:p>
    <w:p>
      <w:pPr>
        <w:pStyle w:val="26"/>
        <w:widowControl/>
        <w:numPr>
          <w:ilvl w:val="0"/>
          <w:numId w:val="18"/>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每月检查电气火灾监控器外观，声光报警器件、指示灯、显示器应正常；</w:t>
      </w:r>
    </w:p>
    <w:p>
      <w:pPr>
        <w:pStyle w:val="26"/>
        <w:widowControl/>
        <w:numPr>
          <w:ilvl w:val="0"/>
          <w:numId w:val="18"/>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每月检查故障信息及报警处理情况；</w:t>
      </w:r>
    </w:p>
    <w:p>
      <w:pPr>
        <w:pStyle w:val="26"/>
        <w:widowControl/>
        <w:numPr>
          <w:ilvl w:val="0"/>
          <w:numId w:val="18"/>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每月检查各开关、按键，应正常；</w:t>
      </w:r>
    </w:p>
    <w:p>
      <w:pPr>
        <w:pStyle w:val="26"/>
        <w:widowControl/>
        <w:numPr>
          <w:ilvl w:val="0"/>
          <w:numId w:val="18"/>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每季度检查显示器显示内容。</w:t>
      </w:r>
    </w:p>
    <w:p>
      <w:pPr>
        <w:pStyle w:val="26"/>
        <w:widowControl/>
        <w:numPr>
          <w:ilvl w:val="0"/>
          <w:numId w:val="18"/>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每季度紧固监控器接线部分；</w:t>
      </w:r>
    </w:p>
    <w:p>
      <w:pPr>
        <w:pStyle w:val="26"/>
        <w:widowControl/>
        <w:numPr>
          <w:ilvl w:val="0"/>
          <w:numId w:val="18"/>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每季度用专用清洁工具或软布清洁监控器。</w:t>
      </w:r>
    </w:p>
    <w:p>
      <w:pPr>
        <w:pStyle w:val="26"/>
        <w:widowControl/>
        <w:numPr>
          <w:ilvl w:val="0"/>
          <w:numId w:val="18"/>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每月检查电气火灾监控探测器外观，指示灯、音响、显示器应正常。</w:t>
      </w:r>
    </w:p>
    <w:p>
      <w:pPr>
        <w:widowControl/>
        <w:adjustRightInd w:val="0"/>
        <w:snapToGrid w:val="0"/>
        <w:spacing w:line="560" w:lineRule="exact"/>
        <w:jc w:val="left"/>
        <w:rPr>
          <w:rFonts w:ascii="仿宋_GB2312" w:eastAsia="仿宋_GB2312" w:hAnsiTheme="majorHAnsi" w:cstheme="majorBidi"/>
          <w:b/>
          <w:kern w:val="0"/>
          <w:sz w:val="28"/>
          <w:szCs w:val="28"/>
        </w:rPr>
      </w:pPr>
      <w:r>
        <w:rPr>
          <w:rFonts w:hint="eastAsia" w:ascii="仿宋_GB2312" w:eastAsia="仿宋_GB2312" w:hAnsiTheme="majorHAnsi" w:cstheme="majorBidi"/>
          <w:b/>
          <w:kern w:val="0"/>
          <w:sz w:val="28"/>
          <w:szCs w:val="28"/>
        </w:rPr>
        <w:t>12.消防电源监控系统</w:t>
      </w:r>
    </w:p>
    <w:p>
      <w:pPr>
        <w:pStyle w:val="26"/>
        <w:widowControl/>
        <w:numPr>
          <w:ilvl w:val="0"/>
          <w:numId w:val="19"/>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每季度检查监控器外观及柜体内部，应无损伤、变形、锈蚀；</w:t>
      </w:r>
    </w:p>
    <w:p>
      <w:pPr>
        <w:pStyle w:val="26"/>
        <w:widowControl/>
        <w:numPr>
          <w:ilvl w:val="0"/>
          <w:numId w:val="19"/>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每季度检查监控器各接线端子应连接牢固；</w:t>
      </w:r>
      <w:r>
        <w:rPr>
          <w:rFonts w:hint="eastAsia" w:ascii="仿宋_GB2312" w:hAnsi="宋体" w:eastAsia="仿宋_GB2312"/>
          <w:sz w:val="28"/>
          <w:szCs w:val="28"/>
        </w:rPr>
        <w:br w:type="textWrapping"/>
      </w:r>
      <w:r>
        <w:rPr>
          <w:rFonts w:hint="eastAsia" w:ascii="仿宋_GB2312" w:hAnsi="宋体" w:eastAsia="仿宋_GB2312"/>
          <w:sz w:val="28"/>
          <w:szCs w:val="28"/>
        </w:rPr>
        <w:t>每季度用万用表测量监控器总线回路最末端传感器供电电压，应符合说明书要求；</w:t>
      </w:r>
    </w:p>
    <w:p>
      <w:pPr>
        <w:pStyle w:val="26"/>
        <w:widowControl/>
        <w:numPr>
          <w:ilvl w:val="0"/>
          <w:numId w:val="19"/>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每年检查监控器电池。</w:t>
      </w:r>
    </w:p>
    <w:p>
      <w:pPr>
        <w:pStyle w:val="26"/>
        <w:widowControl/>
        <w:numPr>
          <w:ilvl w:val="0"/>
          <w:numId w:val="19"/>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用吸尘器，潮湿软布等清除柜体内外灰尘，用压缩空气、毛刷等清除柜体内线路板、接线端子处灰尘，空气潮湿场所可在柜体内放置干燥剂。</w:t>
      </w:r>
    </w:p>
    <w:p>
      <w:pPr>
        <w:pStyle w:val="26"/>
        <w:widowControl/>
        <w:numPr>
          <w:ilvl w:val="0"/>
          <w:numId w:val="19"/>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紧固松动的接线端子，更换锈蚀的螺钉、端子垫片等连接部件，去除锈蚀的导线端，搪锡后重新连接。监控器总线回路最末端传感器供电电压值小于说明书规定值时应更换回路板或调整线路。</w:t>
      </w:r>
    </w:p>
    <w:p>
      <w:pPr>
        <w:pStyle w:val="26"/>
        <w:widowControl/>
        <w:numPr>
          <w:ilvl w:val="0"/>
          <w:numId w:val="19"/>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电池应按照说明书要求保养。</w:t>
      </w:r>
    </w:p>
    <w:p>
      <w:pPr>
        <w:pStyle w:val="26"/>
        <w:widowControl/>
        <w:numPr>
          <w:ilvl w:val="0"/>
          <w:numId w:val="19"/>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每季度检查传感器外观，应无损伤、变形、锈蚀。</w:t>
      </w:r>
    </w:p>
    <w:p>
      <w:pPr>
        <w:pStyle w:val="26"/>
        <w:widowControl/>
        <w:numPr>
          <w:ilvl w:val="0"/>
          <w:numId w:val="19"/>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每季度检查传感器各接线端子应连接牢固。</w:t>
      </w:r>
    </w:p>
    <w:p>
      <w:pPr>
        <w:widowControl/>
        <w:adjustRightInd w:val="0"/>
        <w:snapToGrid w:val="0"/>
        <w:spacing w:line="560" w:lineRule="exact"/>
        <w:jc w:val="left"/>
        <w:rPr>
          <w:rFonts w:ascii="仿宋_GB2312" w:eastAsia="仿宋_GB2312" w:hAnsiTheme="majorHAnsi" w:cstheme="majorBidi"/>
          <w:b/>
          <w:kern w:val="0"/>
          <w:sz w:val="28"/>
          <w:szCs w:val="28"/>
        </w:rPr>
      </w:pPr>
      <w:r>
        <w:rPr>
          <w:rFonts w:hint="eastAsia" w:ascii="仿宋_GB2312" w:eastAsia="仿宋_GB2312" w:hAnsiTheme="majorHAnsi" w:cstheme="majorBidi"/>
          <w:b/>
          <w:kern w:val="0"/>
          <w:sz w:val="28"/>
          <w:szCs w:val="28"/>
        </w:rPr>
        <w:t>13.余压监控系统</w:t>
      </w:r>
    </w:p>
    <w:p>
      <w:pPr>
        <w:pStyle w:val="26"/>
        <w:widowControl/>
        <w:numPr>
          <w:ilvl w:val="0"/>
          <w:numId w:val="20"/>
        </w:numPr>
        <w:adjustRightInd w:val="0"/>
        <w:snapToGrid w:val="0"/>
        <w:spacing w:line="560" w:lineRule="exact"/>
        <w:ind w:firstLineChars="0"/>
        <w:jc w:val="left"/>
        <w:rPr>
          <w:rFonts w:ascii="仿宋_GB2312" w:eastAsia="仿宋_GB2312" w:hAnsiTheme="majorHAnsi" w:cstheme="majorBidi"/>
          <w:kern w:val="0"/>
          <w:sz w:val="28"/>
          <w:szCs w:val="28"/>
        </w:rPr>
      </w:pPr>
      <w:r>
        <w:rPr>
          <w:rFonts w:hint="eastAsia" w:ascii="仿宋_GB2312" w:eastAsia="仿宋_GB2312" w:hAnsiTheme="majorHAnsi" w:cstheme="majorBidi"/>
          <w:kern w:val="0"/>
          <w:sz w:val="28"/>
          <w:szCs w:val="28"/>
        </w:rPr>
        <w:t>每月检查报警、消音、故障、自动、启动、联动电源指示灯功能。</w:t>
      </w:r>
    </w:p>
    <w:p>
      <w:pPr>
        <w:pStyle w:val="26"/>
        <w:widowControl/>
        <w:numPr>
          <w:ilvl w:val="0"/>
          <w:numId w:val="20"/>
        </w:numPr>
        <w:adjustRightInd w:val="0"/>
        <w:snapToGrid w:val="0"/>
        <w:spacing w:line="560" w:lineRule="exact"/>
        <w:ind w:firstLineChars="0"/>
        <w:jc w:val="left"/>
        <w:rPr>
          <w:rFonts w:ascii="仿宋_GB2312" w:eastAsia="仿宋_GB2312" w:hAnsiTheme="majorHAnsi" w:cstheme="majorBidi"/>
          <w:kern w:val="0"/>
          <w:sz w:val="28"/>
          <w:szCs w:val="28"/>
        </w:rPr>
      </w:pPr>
      <w:r>
        <w:rPr>
          <w:rFonts w:hint="eastAsia" w:ascii="仿宋_GB2312" w:eastAsia="仿宋_GB2312" w:hAnsiTheme="majorHAnsi" w:cstheme="majorBidi"/>
          <w:kern w:val="0"/>
          <w:sz w:val="28"/>
          <w:szCs w:val="28"/>
        </w:rPr>
        <w:t>记录监控接入余压传感器余压值，状态及报警信息。</w:t>
      </w:r>
    </w:p>
    <w:p>
      <w:pPr>
        <w:pStyle w:val="26"/>
        <w:widowControl/>
        <w:numPr>
          <w:ilvl w:val="0"/>
          <w:numId w:val="20"/>
        </w:numPr>
        <w:adjustRightInd w:val="0"/>
        <w:snapToGrid w:val="0"/>
        <w:spacing w:line="560" w:lineRule="exact"/>
        <w:ind w:firstLineChars="0"/>
        <w:jc w:val="left"/>
        <w:rPr>
          <w:rFonts w:ascii="仿宋_GB2312" w:eastAsia="仿宋_GB2312" w:hAnsiTheme="majorHAnsi" w:cstheme="majorBidi"/>
          <w:kern w:val="0"/>
          <w:sz w:val="28"/>
          <w:szCs w:val="28"/>
        </w:rPr>
      </w:pPr>
      <w:r>
        <w:rPr>
          <w:rFonts w:hint="eastAsia" w:ascii="仿宋_GB2312" w:eastAsia="仿宋_GB2312" w:hAnsiTheme="majorHAnsi" w:cstheme="majorBidi"/>
          <w:kern w:val="0"/>
          <w:sz w:val="28"/>
          <w:szCs w:val="28"/>
        </w:rPr>
        <w:t>检查泄压阀、余压控制器、余压传感器的工作状态是否正常。</w:t>
      </w:r>
    </w:p>
    <w:p>
      <w:pPr>
        <w:widowControl/>
        <w:adjustRightInd w:val="0"/>
        <w:snapToGrid w:val="0"/>
        <w:spacing w:line="560" w:lineRule="exact"/>
        <w:jc w:val="left"/>
        <w:rPr>
          <w:rFonts w:ascii="仿宋_GB2312" w:eastAsia="仿宋_GB2312" w:hAnsiTheme="majorHAnsi" w:cstheme="majorBidi"/>
          <w:b/>
          <w:kern w:val="0"/>
          <w:sz w:val="28"/>
          <w:szCs w:val="28"/>
        </w:rPr>
      </w:pPr>
      <w:r>
        <w:rPr>
          <w:rFonts w:hint="eastAsia" w:ascii="仿宋_GB2312" w:eastAsia="仿宋_GB2312" w:hAnsiTheme="majorHAnsi" w:cstheme="majorBidi"/>
          <w:b/>
          <w:kern w:val="0"/>
          <w:sz w:val="28"/>
          <w:szCs w:val="28"/>
        </w:rPr>
        <w:t>14.大空间智能型主动喷水灭火系统</w:t>
      </w:r>
    </w:p>
    <w:p>
      <w:pPr>
        <w:pStyle w:val="26"/>
        <w:widowControl/>
        <w:numPr>
          <w:ilvl w:val="0"/>
          <w:numId w:val="21"/>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每月检查阀门，组件、配件外观应完好，启闭应正常。</w:t>
      </w:r>
    </w:p>
    <w:p>
      <w:pPr>
        <w:pStyle w:val="26"/>
        <w:widowControl/>
        <w:numPr>
          <w:ilvl w:val="0"/>
          <w:numId w:val="21"/>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每月检查固定消防炮的回转机构，操作应灵活。</w:t>
      </w:r>
    </w:p>
    <w:p>
      <w:pPr>
        <w:pStyle w:val="26"/>
        <w:widowControl/>
        <w:numPr>
          <w:ilvl w:val="0"/>
          <w:numId w:val="21"/>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每季度对自动消防炮控制柜进行操作试验，执行机构运转应平稳。</w:t>
      </w:r>
    </w:p>
    <w:p>
      <w:pPr>
        <w:pStyle w:val="26"/>
        <w:widowControl/>
        <w:numPr>
          <w:ilvl w:val="0"/>
          <w:numId w:val="21"/>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每月检查驱动氮气瓶的贮存压力，不应小于设计压力的90%。</w:t>
      </w:r>
      <w:r>
        <w:rPr>
          <w:rFonts w:hint="eastAsia" w:ascii="仿宋_GB2312" w:hAnsi="宋体" w:eastAsia="仿宋_GB2312"/>
          <w:sz w:val="28"/>
          <w:szCs w:val="28"/>
        </w:rPr>
        <w:br w:type="textWrapping"/>
      </w:r>
      <w:r>
        <w:rPr>
          <w:rFonts w:hint="eastAsia" w:ascii="仿宋_GB2312" w:hAnsi="宋体" w:eastAsia="仿宋_GB2312"/>
          <w:sz w:val="28"/>
          <w:szCs w:val="28"/>
        </w:rPr>
        <w:t>每月检查供水水源及水位指示装置、泡沫液罐内泡沫液的液位应正常。</w:t>
      </w:r>
    </w:p>
    <w:p>
      <w:pPr>
        <w:pStyle w:val="26"/>
        <w:widowControl/>
        <w:numPr>
          <w:ilvl w:val="0"/>
          <w:numId w:val="21"/>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最低气温低于5℃前，应检查保温、采暖或电伴热等措施。</w:t>
      </w:r>
    </w:p>
    <w:p>
      <w:pPr>
        <w:pStyle w:val="26"/>
        <w:widowControl/>
        <w:numPr>
          <w:ilvl w:val="0"/>
          <w:numId w:val="21"/>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每季度对与自动消防炮关联的火灾探测器、控制主机、自动消防炮控制装置和现场手动控制盘等探测及控制设备进行1次功能试验。</w:t>
      </w:r>
    </w:p>
    <w:p>
      <w:pPr>
        <w:pStyle w:val="26"/>
        <w:widowControl/>
        <w:numPr>
          <w:ilvl w:val="0"/>
          <w:numId w:val="21"/>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每季度检查并紧固固定消防炮的附属组件及其固定螺栓，不应有松动或锈蚀现象。</w:t>
      </w:r>
    </w:p>
    <w:p>
      <w:pPr>
        <w:pStyle w:val="26"/>
        <w:widowControl/>
        <w:numPr>
          <w:ilvl w:val="0"/>
          <w:numId w:val="21"/>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每季度检查固定消防炮电动阀，宜先关闭检修阀，再启闭电动阀，检查反馈信号，试验完毕开启检修阀，最后恢复准工作状态。</w:t>
      </w:r>
    </w:p>
    <w:p>
      <w:pPr>
        <w:pStyle w:val="26"/>
        <w:widowControl/>
        <w:numPr>
          <w:ilvl w:val="0"/>
          <w:numId w:val="21"/>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半年检查自动消防炮灭火系统，宜先关闭稳压设备，排除检修阀与自动消防炮之间管道的积水，再关闭检修阀，点燃试验火源，自动消防炮灭火系统应能发出火灾报警信号，自动消防炮开始扫描并准确瞄准火源，消防泵、电动阀动作正常，反馈信号显示正常，其它消防联动设备运行正常，反馈信号显示正常，试验检查完毕打开检修阀，使管道充满水，稳压设备正常工作。</w:t>
      </w:r>
    </w:p>
    <w:p>
      <w:pPr>
        <w:pStyle w:val="26"/>
        <w:widowControl/>
        <w:numPr>
          <w:ilvl w:val="0"/>
          <w:numId w:val="21"/>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每年对控制自动消防炮的火灾自动报警联动控制系统进行1次全面自动联动试验。</w:t>
      </w:r>
    </w:p>
    <w:p>
      <w:pPr>
        <w:pStyle w:val="26"/>
        <w:widowControl/>
        <w:numPr>
          <w:ilvl w:val="0"/>
          <w:numId w:val="21"/>
        </w:numPr>
        <w:adjustRightInd w:val="0"/>
        <w:snapToGrid w:val="0"/>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每年应对消防炮系统进行1 次喷水试验，干粉炮系统可用氮气进行模拟喷射试验，试验压力取设计压力，并对系统所有的设备、设施、管道及附件进行全面检查，结果应符合设计要求，试验完毕应对泡沫管道、干粉管道进行冲洗。</w:t>
      </w:r>
    </w:p>
    <w:p>
      <w:pPr>
        <w:widowControl/>
        <w:adjustRightInd w:val="0"/>
        <w:snapToGrid w:val="0"/>
        <w:spacing w:line="560" w:lineRule="exact"/>
        <w:ind w:left="420"/>
        <w:jc w:val="left"/>
        <w:rPr>
          <w:rFonts w:ascii="仿宋_GB2312" w:eastAsia="仿宋_GB2312" w:hAnsiTheme="majorHAnsi" w:cstheme="majorBidi"/>
          <w:b/>
          <w:kern w:val="0"/>
          <w:sz w:val="28"/>
          <w:szCs w:val="28"/>
        </w:rPr>
      </w:pPr>
      <w:r>
        <w:rPr>
          <w:rFonts w:hint="eastAsia" w:ascii="仿宋_GB2312" w:eastAsia="仿宋_GB2312" w:hAnsiTheme="majorHAnsi" w:cstheme="majorBidi"/>
          <w:b/>
          <w:kern w:val="0"/>
          <w:sz w:val="28"/>
          <w:szCs w:val="28"/>
        </w:rPr>
        <w:t>15.光纤感温火灾探测报警系统</w:t>
      </w:r>
    </w:p>
    <w:p>
      <w:pPr>
        <w:pStyle w:val="26"/>
        <w:widowControl/>
        <w:numPr>
          <w:ilvl w:val="0"/>
          <w:numId w:val="22"/>
        </w:numPr>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每月检查仪表和探测器是否在正常工作。</w:t>
      </w:r>
    </w:p>
    <w:p>
      <w:pPr>
        <w:pStyle w:val="26"/>
        <w:widowControl/>
        <w:numPr>
          <w:ilvl w:val="0"/>
          <w:numId w:val="22"/>
        </w:numPr>
        <w:spacing w:line="560" w:lineRule="exact"/>
        <w:ind w:firstLineChars="0"/>
        <w:jc w:val="left"/>
        <w:rPr>
          <w:rFonts w:ascii="仿宋_GB2312" w:hAnsi="宋体" w:eastAsia="仿宋_GB2312"/>
          <w:sz w:val="28"/>
          <w:szCs w:val="28"/>
        </w:rPr>
      </w:pPr>
      <w:r>
        <w:rPr>
          <w:rFonts w:hint="eastAsia" w:ascii="仿宋_GB2312" w:hAnsi="宋体" w:eastAsia="仿宋_GB2312"/>
          <w:sz w:val="28"/>
          <w:szCs w:val="28"/>
        </w:rPr>
        <w:t>每年应对光纤感温火灾探测报警系统做1次定温和差温报警试验。</w:t>
      </w:r>
    </w:p>
    <w:p>
      <w:pPr>
        <w:widowControl/>
        <w:jc w:val="left"/>
        <w:rPr>
          <w:rFonts w:ascii="仿宋_GB2312" w:hAnsi="宋体" w:eastAsia="仿宋_GB2312"/>
          <w:sz w:val="28"/>
          <w:szCs w:val="28"/>
        </w:rPr>
      </w:pPr>
      <w:r>
        <w:rPr>
          <w:rFonts w:ascii="仿宋_GB2312" w:hAnsi="宋体" w:eastAsia="仿宋_GB2312"/>
          <w:sz w:val="28"/>
          <w:szCs w:val="28"/>
        </w:rPr>
        <w:br w:type="page"/>
      </w:r>
    </w:p>
    <w:p>
      <w:pPr>
        <w:widowControl/>
        <w:ind w:firstLine="562" w:firstLineChars="200"/>
        <w:jc w:val="left"/>
        <w:rPr>
          <w:rFonts w:ascii="仿宋_GB2312" w:hAnsi="宋体" w:eastAsia="仿宋_GB2312"/>
          <w:b/>
          <w:sz w:val="28"/>
          <w:szCs w:val="28"/>
        </w:rPr>
      </w:pPr>
      <w:r>
        <w:rPr>
          <w:rFonts w:hint="eastAsia" w:ascii="仿宋_GB2312" w:hAnsi="宋体" w:eastAsia="仿宋_GB2312"/>
          <w:b/>
          <w:sz w:val="28"/>
          <w:szCs w:val="28"/>
        </w:rPr>
        <w:t>六、商务要求</w:t>
      </w:r>
    </w:p>
    <w:p>
      <w:pPr>
        <w:widowControl/>
        <w:spacing w:line="560" w:lineRule="exact"/>
        <w:ind w:firstLine="560" w:firstLineChars="200"/>
        <w:jc w:val="left"/>
        <w:rPr>
          <w:rFonts w:ascii="仿宋_GB2312" w:hAnsi="宋体" w:eastAsia="仿宋_GB2312"/>
          <w:sz w:val="28"/>
          <w:szCs w:val="28"/>
          <w:u w:val="single"/>
        </w:rPr>
      </w:pPr>
      <w:r>
        <w:rPr>
          <w:rFonts w:hint="eastAsia" w:ascii="仿宋_GB2312" w:hAnsi="宋体" w:eastAsia="仿宋_GB2312"/>
          <w:sz w:val="28"/>
          <w:szCs w:val="28"/>
          <w:u w:val="single"/>
        </w:rPr>
        <w:t>（一）报价单位应对各单位的消防设施做好维护保养计划方案。（</w:t>
      </w:r>
      <w:r>
        <w:rPr>
          <w:rFonts w:hint="eastAsia" w:ascii="仿宋_GB2312" w:hAnsi="宋体" w:eastAsia="仿宋_GB2312"/>
          <w:sz w:val="28"/>
          <w:szCs w:val="28"/>
          <w:u w:val="single"/>
          <w:lang w:val="en-US" w:eastAsia="zh-CN"/>
        </w:rPr>
        <w:t>递交响应文件时</w:t>
      </w:r>
      <w:r>
        <w:rPr>
          <w:rFonts w:hint="eastAsia" w:ascii="仿宋_GB2312" w:hAnsi="宋体" w:eastAsia="仿宋_GB2312"/>
          <w:sz w:val="28"/>
          <w:szCs w:val="28"/>
          <w:u w:val="single"/>
        </w:rPr>
        <w:t>需提供计划方案，并加盖公章）</w:t>
      </w:r>
    </w:p>
    <w:p>
      <w:pPr>
        <w:widowControl/>
        <w:spacing w:line="560" w:lineRule="exact"/>
        <w:ind w:firstLine="560" w:firstLineChars="200"/>
        <w:jc w:val="left"/>
        <w:rPr>
          <w:rFonts w:ascii="仿宋_GB2312" w:hAnsi="宋体" w:eastAsia="仿宋_GB2312"/>
          <w:sz w:val="28"/>
          <w:szCs w:val="28"/>
          <w:u w:val="single"/>
        </w:rPr>
      </w:pPr>
      <w:r>
        <w:rPr>
          <w:rFonts w:hint="eastAsia" w:ascii="仿宋_GB2312" w:hAnsi="宋体" w:eastAsia="仿宋_GB2312"/>
          <w:sz w:val="28"/>
          <w:szCs w:val="28"/>
          <w:u w:val="single"/>
        </w:rPr>
        <w:t>（二）</w:t>
      </w:r>
      <w:r>
        <w:rPr>
          <w:rFonts w:hint="eastAsia" w:ascii="仿宋_GB2312" w:hAnsi="仿宋_GB2312" w:eastAsia="仿宋_GB2312" w:cs="仿宋_GB2312"/>
          <w:sz w:val="28"/>
          <w:szCs w:val="28"/>
          <w:u w:val="single"/>
        </w:rPr>
        <w:t>报价单位应聘有至少2名一级注册消防工程师。（</w:t>
      </w:r>
      <w:r>
        <w:rPr>
          <w:rFonts w:hint="eastAsia" w:ascii="仿宋_GB2312" w:hAnsi="宋体" w:eastAsia="仿宋_GB2312"/>
          <w:sz w:val="28"/>
          <w:szCs w:val="28"/>
          <w:u w:val="single"/>
          <w:lang w:val="en-US" w:eastAsia="zh-CN"/>
        </w:rPr>
        <w:t>递交响应文件时</w:t>
      </w:r>
      <w:r>
        <w:rPr>
          <w:rFonts w:hint="eastAsia" w:ascii="仿宋_GB2312" w:hAnsi="仿宋_GB2312" w:eastAsia="仿宋_GB2312" w:cs="仿宋_GB2312"/>
          <w:sz w:val="28"/>
          <w:szCs w:val="28"/>
          <w:u w:val="single"/>
        </w:rPr>
        <w:t>需提供资格证复印件和在该单位工作3个月以上社保证明）</w:t>
      </w:r>
    </w:p>
    <w:p>
      <w:pPr>
        <w:spacing w:line="560" w:lineRule="exact"/>
        <w:ind w:firstLine="560" w:firstLineChars="200"/>
        <w:rPr>
          <w:rFonts w:ascii="仿宋_GB2312" w:eastAsia="仿宋_GB2312"/>
          <w:sz w:val="28"/>
          <w:szCs w:val="28"/>
          <w:u w:val="single"/>
        </w:rPr>
      </w:pPr>
      <w:r>
        <w:rPr>
          <w:rFonts w:hint="eastAsia" w:ascii="仿宋_GB2312" w:hAnsi="宋体" w:eastAsia="仿宋_GB2312"/>
          <w:sz w:val="28"/>
          <w:szCs w:val="28"/>
          <w:u w:val="single"/>
        </w:rPr>
        <w:t>（三）在项目服务期间，报价单位不得更换项目负责人，</w:t>
      </w:r>
      <w:r>
        <w:rPr>
          <w:rFonts w:hint="eastAsia" w:ascii="仿宋_GB2312" w:eastAsia="仿宋_GB2312"/>
          <w:sz w:val="28"/>
          <w:szCs w:val="28"/>
          <w:u w:val="single"/>
        </w:rPr>
        <w:t>若我单位发生突发火警、设备故障等情况，应保证24小时均提供现场应急服务。（</w:t>
      </w:r>
      <w:r>
        <w:rPr>
          <w:rFonts w:hint="eastAsia" w:ascii="仿宋_GB2312" w:hAnsi="宋体" w:eastAsia="仿宋_GB2312"/>
          <w:sz w:val="28"/>
          <w:szCs w:val="28"/>
          <w:u w:val="single"/>
          <w:lang w:val="en-US" w:eastAsia="zh-CN"/>
        </w:rPr>
        <w:t>递交响应文件时</w:t>
      </w:r>
      <w:r>
        <w:rPr>
          <w:rFonts w:hint="eastAsia" w:ascii="仿宋_GB2312" w:eastAsia="仿宋_GB2312"/>
          <w:sz w:val="28"/>
          <w:szCs w:val="28"/>
          <w:u w:val="single"/>
        </w:rPr>
        <w:t>出具承诺函，加盖公章）</w:t>
      </w:r>
    </w:p>
    <w:p>
      <w:pPr>
        <w:widowControl/>
        <w:spacing w:line="560" w:lineRule="exact"/>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（四）报价单位应安排至少2名持有消防设施检测维修保养方向消防设施操作员资格证或消防构筑物消防员资格证（其中至少有1名持有中级以上资格证）的技术人员对甲方消防系统进行巡检、维护和保养。（</w:t>
      </w:r>
      <w:r>
        <w:rPr>
          <w:rFonts w:hint="eastAsia" w:ascii="仿宋_GB2312" w:hAnsi="宋体" w:eastAsia="仿宋_GB2312"/>
          <w:sz w:val="28"/>
          <w:szCs w:val="28"/>
          <w:u w:val="single"/>
          <w:lang w:val="en-US" w:eastAsia="zh-CN"/>
        </w:rPr>
        <w:t>递交响应文件时</w:t>
      </w:r>
      <w:r>
        <w:rPr>
          <w:rFonts w:hint="eastAsia" w:ascii="仿宋_GB2312" w:hAnsi="仿宋_GB2312" w:eastAsia="仿宋_GB2312" w:cs="仿宋_GB2312"/>
          <w:sz w:val="28"/>
          <w:szCs w:val="28"/>
          <w:u w:val="single"/>
        </w:rPr>
        <w:t>需提供资格证复印件）</w:t>
      </w:r>
    </w:p>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7"/>
        <w:adjustRightInd w:val="0"/>
        <w:snapToGrid w:val="0"/>
        <w:spacing w:line="300" w:lineRule="auto"/>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lang w:val="zh-CN"/>
        </w:rPr>
        <w:t>第三部分</w:t>
      </w:r>
      <w:r>
        <w:rPr>
          <w:rFonts w:ascii="仿宋" w:hAnsi="仿宋" w:eastAsia="仿宋" w:cs="仿宋_GB2312"/>
          <w:b/>
          <w:color w:val="000000" w:themeColor="text1"/>
          <w:sz w:val="28"/>
          <w:szCs w:val="28"/>
        </w:rPr>
        <w:t xml:space="preserve"> 报价须知</w:t>
      </w:r>
    </w:p>
    <w:p>
      <w:pPr>
        <w:pStyle w:val="7"/>
        <w:adjustRightInd w:val="0"/>
        <w:snapToGrid w:val="0"/>
        <w:spacing w:line="300" w:lineRule="auto"/>
        <w:rPr>
          <w:rFonts w:ascii="仿宋" w:hAnsi="仿宋" w:eastAsia="仿宋" w:cs="仿宋_GB2312"/>
          <w:b/>
          <w:color w:val="000000" w:themeColor="text1"/>
          <w:sz w:val="28"/>
          <w:szCs w:val="28"/>
        </w:rPr>
      </w:pPr>
    </w:p>
    <w:p>
      <w:pPr>
        <w:pStyle w:val="7"/>
        <w:adjustRightInd w:val="0"/>
        <w:snapToGrid w:val="0"/>
        <w:spacing w:line="300" w:lineRule="auto"/>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一、概念释义</w:t>
      </w:r>
    </w:p>
    <w:p>
      <w:pPr>
        <w:pStyle w:val="7"/>
        <w:adjustRightInd w:val="0"/>
        <w:snapToGrid w:val="0"/>
        <w:spacing w:line="300" w:lineRule="auto"/>
        <w:ind w:left="560" w:hanging="560" w:hangingChars="20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1.“询价人”是指：</w:t>
      </w:r>
      <w:r>
        <w:rPr>
          <w:rFonts w:hint="eastAsia" w:ascii="仿宋" w:hAnsi="仿宋" w:eastAsia="仿宋" w:cs="仿宋_GB2312"/>
          <w:color w:val="000000" w:themeColor="text1"/>
          <w:sz w:val="28"/>
          <w:szCs w:val="28"/>
          <w:u w:val="single"/>
        </w:rPr>
        <w:t>广州市净水有限公司</w:t>
      </w:r>
      <w:r>
        <w:rPr>
          <w:rFonts w:hint="eastAsia" w:ascii="仿宋" w:hAnsi="仿宋" w:eastAsia="仿宋" w:cs="仿宋_GB2312"/>
          <w:color w:val="000000" w:themeColor="text1"/>
          <w:sz w:val="28"/>
          <w:szCs w:val="28"/>
        </w:rPr>
        <w:t>。</w:t>
      </w:r>
    </w:p>
    <w:p>
      <w:pPr>
        <w:pStyle w:val="7"/>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rPr>
      </w:pPr>
      <w:r>
        <w:rPr>
          <w:rFonts w:ascii="仿宋" w:hAnsi="仿宋" w:eastAsia="仿宋" w:cs="仿宋_GB2312"/>
          <w:color w:val="000000" w:themeColor="text1"/>
          <w:sz w:val="28"/>
          <w:szCs w:val="28"/>
        </w:rPr>
        <w:t>2.合格的报价单位:</w:t>
      </w:r>
      <w:r>
        <w:rPr>
          <w:rFonts w:hint="eastAsia" w:ascii="仿宋" w:hAnsi="仿宋" w:eastAsia="仿宋" w:cs="仿宋_GB2312"/>
          <w:color w:val="000000" w:themeColor="text1"/>
          <w:kern w:val="0"/>
          <w:sz w:val="28"/>
          <w:szCs w:val="28"/>
        </w:rPr>
        <w:t>符合询价文件规定资格</w:t>
      </w:r>
      <w:r>
        <w:rPr>
          <w:rFonts w:hint="eastAsia" w:ascii="仿宋" w:hAnsi="仿宋" w:eastAsia="仿宋" w:cs="仿宋_GB2312"/>
          <w:color w:val="000000" w:themeColor="text1"/>
          <w:sz w:val="28"/>
          <w:szCs w:val="28"/>
          <w:lang w:val="zh-CN"/>
        </w:rPr>
        <w:t>要求</w:t>
      </w:r>
      <w:r>
        <w:rPr>
          <w:rFonts w:hint="eastAsia" w:ascii="仿宋" w:hAnsi="仿宋" w:eastAsia="仿宋" w:cs="仿宋_GB2312"/>
          <w:color w:val="000000" w:themeColor="text1"/>
          <w:kern w:val="0"/>
          <w:sz w:val="28"/>
          <w:szCs w:val="28"/>
        </w:rPr>
        <w:t>的报价单位。</w:t>
      </w:r>
    </w:p>
    <w:p>
      <w:pPr>
        <w:pStyle w:val="7"/>
        <w:adjustRightInd w:val="0"/>
        <w:snapToGrid w:val="0"/>
        <w:spacing w:line="300" w:lineRule="auto"/>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3.“承包人”是指经法定程序确认并授以合同的报价单位。</w:t>
      </w:r>
    </w:p>
    <w:p>
      <w:pPr>
        <w:pStyle w:val="7"/>
        <w:adjustRightInd w:val="0"/>
        <w:snapToGrid w:val="0"/>
        <w:spacing w:line="300" w:lineRule="auto"/>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4. </w:t>
      </w:r>
      <w:r>
        <w:rPr>
          <w:rFonts w:hint="eastAsia" w:ascii="仿宋" w:hAnsi="仿宋" w:eastAsia="仿宋" w:cs="仿宋_GB2312"/>
          <w:color w:val="000000" w:themeColor="text1"/>
          <w:sz w:val="28"/>
          <w:szCs w:val="28"/>
        </w:rPr>
        <w:t>合格的工程：满足国家相关法律、法规、规章等规定，并符合本项目相关质量要求、安全文明施工要求的工程。</w:t>
      </w:r>
    </w:p>
    <w:p>
      <w:pPr>
        <w:pStyle w:val="7"/>
        <w:adjustRightInd w:val="0"/>
        <w:snapToGrid w:val="0"/>
        <w:spacing w:line="300" w:lineRule="auto"/>
        <w:ind w:left="420" w:hanging="420"/>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二、询价文件</w:t>
      </w:r>
    </w:p>
    <w:p>
      <w:pPr>
        <w:pStyle w:val="7"/>
        <w:adjustRightInd w:val="0"/>
        <w:snapToGrid w:val="0"/>
        <w:spacing w:line="300" w:lineRule="auto"/>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5．适用范围:本询价文件适用于本报价邀请中所述项目的询价。</w:t>
      </w:r>
    </w:p>
    <w:p>
      <w:pPr>
        <w:pStyle w:val="7"/>
        <w:adjustRightInd w:val="0"/>
        <w:snapToGrid w:val="0"/>
        <w:spacing w:line="300" w:lineRule="auto"/>
        <w:ind w:left="420" w:hanging="42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6. </w:t>
      </w:r>
      <w:r>
        <w:rPr>
          <w:rFonts w:hint="eastAsia" w:ascii="仿宋" w:hAnsi="仿宋" w:eastAsia="仿宋" w:cs="仿宋_GB2312"/>
          <w:color w:val="000000" w:themeColor="text1"/>
          <w:sz w:val="28"/>
          <w:szCs w:val="28"/>
        </w:rPr>
        <w:t>询价文件的构成</w:t>
      </w:r>
    </w:p>
    <w:p>
      <w:pPr>
        <w:pStyle w:val="7"/>
        <w:adjustRightInd w:val="0"/>
        <w:snapToGrid w:val="0"/>
        <w:spacing w:line="300" w:lineRule="auto"/>
        <w:ind w:left="420" w:hanging="42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6.1询价文件包括但不限于下列文件:</w:t>
      </w:r>
    </w:p>
    <w:p>
      <w:pPr>
        <w:pStyle w:val="7"/>
        <w:adjustRightInd w:val="0"/>
        <w:snapToGrid w:val="0"/>
        <w:spacing w:line="300" w:lineRule="auto"/>
        <w:ind w:firstLine="36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1）报价邀请函</w:t>
      </w:r>
    </w:p>
    <w:p>
      <w:pPr>
        <w:pStyle w:val="7"/>
        <w:adjustRightInd w:val="0"/>
        <w:snapToGrid w:val="0"/>
        <w:spacing w:line="300" w:lineRule="auto"/>
        <w:ind w:firstLine="36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2) </w:t>
      </w:r>
      <w:r>
        <w:rPr>
          <w:rFonts w:hint="eastAsia" w:ascii="仿宋" w:hAnsi="仿宋" w:eastAsia="仿宋" w:cs="仿宋_GB2312"/>
          <w:color w:val="000000" w:themeColor="text1"/>
          <w:sz w:val="28"/>
          <w:szCs w:val="28"/>
        </w:rPr>
        <w:t>项目内容</w:t>
      </w:r>
    </w:p>
    <w:p>
      <w:pPr>
        <w:pStyle w:val="7"/>
        <w:adjustRightInd w:val="0"/>
        <w:snapToGrid w:val="0"/>
        <w:spacing w:line="300" w:lineRule="auto"/>
        <w:ind w:firstLine="36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3) </w:t>
      </w:r>
      <w:r>
        <w:rPr>
          <w:rFonts w:hint="eastAsia" w:ascii="仿宋" w:hAnsi="仿宋" w:eastAsia="仿宋" w:cs="仿宋_GB2312"/>
          <w:color w:val="000000" w:themeColor="text1"/>
          <w:sz w:val="28"/>
          <w:szCs w:val="28"/>
        </w:rPr>
        <w:t>报价单位须知</w:t>
      </w:r>
    </w:p>
    <w:p>
      <w:pPr>
        <w:pStyle w:val="7"/>
        <w:adjustRightInd w:val="0"/>
        <w:snapToGrid w:val="0"/>
        <w:spacing w:line="300" w:lineRule="auto"/>
        <w:ind w:firstLine="36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4) </w:t>
      </w:r>
      <w:r>
        <w:rPr>
          <w:rFonts w:hint="eastAsia" w:ascii="仿宋" w:hAnsi="仿宋" w:eastAsia="仿宋" w:cs="仿宋_GB2312"/>
          <w:color w:val="000000" w:themeColor="text1"/>
          <w:sz w:val="28"/>
          <w:szCs w:val="28"/>
        </w:rPr>
        <w:t>合同书格式</w:t>
      </w:r>
    </w:p>
    <w:p>
      <w:pPr>
        <w:pStyle w:val="7"/>
        <w:adjustRightInd w:val="0"/>
        <w:snapToGrid w:val="0"/>
        <w:spacing w:line="300" w:lineRule="auto"/>
        <w:ind w:firstLine="36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5) </w:t>
      </w:r>
      <w:r>
        <w:rPr>
          <w:rFonts w:hint="eastAsia" w:ascii="仿宋" w:hAnsi="仿宋" w:eastAsia="仿宋" w:cs="仿宋_GB2312"/>
          <w:color w:val="000000" w:themeColor="text1"/>
          <w:sz w:val="28"/>
          <w:szCs w:val="28"/>
        </w:rPr>
        <w:t>询价响应文件格式</w:t>
      </w:r>
    </w:p>
    <w:p>
      <w:pPr>
        <w:pStyle w:val="7"/>
        <w:adjustRightInd w:val="0"/>
        <w:snapToGrid w:val="0"/>
        <w:spacing w:line="300" w:lineRule="auto"/>
        <w:ind w:firstLine="36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6) </w:t>
      </w:r>
      <w:r>
        <w:rPr>
          <w:rFonts w:hint="eastAsia" w:ascii="仿宋" w:hAnsi="仿宋" w:eastAsia="仿宋" w:cs="仿宋_GB2312"/>
          <w:color w:val="000000" w:themeColor="text1"/>
          <w:sz w:val="28"/>
          <w:szCs w:val="28"/>
        </w:rPr>
        <w:t>在询价过程中由询价人发出的修正和补充文件等</w:t>
      </w:r>
    </w:p>
    <w:p>
      <w:pPr>
        <w:pStyle w:val="7"/>
        <w:adjustRightInd w:val="0"/>
        <w:snapToGrid w:val="0"/>
        <w:spacing w:line="300" w:lineRule="auto"/>
        <w:ind w:left="420" w:hanging="42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7"/>
        <w:adjustRightInd w:val="0"/>
        <w:snapToGrid w:val="0"/>
        <w:spacing w:line="300" w:lineRule="auto"/>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7. </w:t>
      </w:r>
      <w:r>
        <w:rPr>
          <w:rFonts w:hint="eastAsia" w:ascii="仿宋" w:hAnsi="仿宋" w:eastAsia="仿宋" w:cs="仿宋_GB2312"/>
          <w:color w:val="000000" w:themeColor="text1"/>
          <w:sz w:val="28"/>
          <w:szCs w:val="28"/>
        </w:rPr>
        <w:t>询价文件的澄清或修改</w:t>
      </w:r>
    </w:p>
    <w:p>
      <w:pPr>
        <w:pStyle w:val="7"/>
        <w:adjustRightInd w:val="0"/>
        <w:snapToGrid w:val="0"/>
        <w:spacing w:line="300" w:lineRule="auto"/>
        <w:ind w:left="420" w:hanging="42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7"/>
        <w:adjustRightInd w:val="0"/>
        <w:snapToGrid w:val="0"/>
        <w:spacing w:line="300" w:lineRule="auto"/>
        <w:ind w:left="420" w:hanging="42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7"/>
        <w:adjustRightInd w:val="0"/>
        <w:snapToGrid w:val="0"/>
        <w:spacing w:line="300" w:lineRule="auto"/>
        <w:ind w:left="420" w:hanging="42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７</w:t>
      </w:r>
      <w:r>
        <w:rPr>
          <w:rFonts w:ascii="仿宋" w:hAnsi="仿宋" w:eastAsia="仿宋" w:cs="仿宋_GB2312"/>
          <w:color w:val="000000" w:themeColor="text1"/>
          <w:sz w:val="28"/>
          <w:szCs w:val="28"/>
        </w:rPr>
        <w:t>.3询价文件的修改将以书面形式通知所有购买询价文件的报价单位，并对其具有约束力。报价单位在收到上述通知后，应立即向询价人回函确认。</w:t>
      </w:r>
    </w:p>
    <w:p>
      <w:pPr>
        <w:pStyle w:val="7"/>
        <w:adjustRightInd w:val="0"/>
        <w:snapToGrid w:val="0"/>
        <w:spacing w:line="300" w:lineRule="auto"/>
        <w:ind w:left="420" w:hanging="42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7.4询价人可以视询价具体情况，延长递交询价响应文件截止时间，并将变更时间书面通知所有询价文件收受人。</w:t>
      </w:r>
    </w:p>
    <w:p>
      <w:pPr>
        <w:pStyle w:val="7"/>
        <w:adjustRightInd w:val="0"/>
        <w:snapToGrid w:val="0"/>
        <w:spacing w:line="300" w:lineRule="auto"/>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三、询价响应文件的编制和数量</w:t>
      </w:r>
    </w:p>
    <w:p>
      <w:pPr>
        <w:pStyle w:val="7"/>
        <w:adjustRightInd w:val="0"/>
        <w:snapToGrid w:val="0"/>
        <w:spacing w:line="300" w:lineRule="auto"/>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8．询价响应费用</w:t>
      </w:r>
    </w:p>
    <w:p>
      <w:pPr>
        <w:pStyle w:val="7"/>
        <w:adjustRightInd w:val="0"/>
        <w:snapToGrid w:val="0"/>
        <w:spacing w:line="300" w:lineRule="auto"/>
        <w:ind w:left="420" w:hanging="42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8.1 </w:t>
      </w:r>
      <w:r>
        <w:rPr>
          <w:rFonts w:hint="eastAsia" w:ascii="仿宋" w:hAnsi="仿宋" w:eastAsia="仿宋" w:cs="仿宋_GB2312"/>
          <w:color w:val="000000" w:themeColor="text1"/>
          <w:sz w:val="28"/>
          <w:szCs w:val="28"/>
        </w:rPr>
        <w:t>报价单位应承担所有与准备和参加询价响应有关的费用。不论询价的结果如何，询价人均无义务和责任承担这些费用。</w:t>
      </w:r>
    </w:p>
    <w:p>
      <w:pPr>
        <w:pStyle w:val="7"/>
        <w:adjustRightInd w:val="0"/>
        <w:snapToGrid w:val="0"/>
        <w:spacing w:line="300" w:lineRule="auto"/>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9．报价的语言及计量</w:t>
      </w:r>
    </w:p>
    <w:p>
      <w:pPr>
        <w:pStyle w:val="7"/>
        <w:adjustRightInd w:val="0"/>
        <w:snapToGrid w:val="0"/>
        <w:spacing w:line="300" w:lineRule="auto"/>
        <w:ind w:left="360" w:hanging="36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7"/>
        <w:adjustRightInd w:val="0"/>
        <w:snapToGrid w:val="0"/>
        <w:spacing w:line="300" w:lineRule="auto"/>
        <w:ind w:left="360" w:hanging="36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9.2除非询价文件中另有规定，报价单位在询价响应文件中及其与询价人的所有往来文件中的计量单位均应采用中华人民共和国法定计量单位。</w:t>
      </w:r>
    </w:p>
    <w:p>
      <w:pPr>
        <w:pStyle w:val="7"/>
        <w:adjustRightInd w:val="0"/>
        <w:snapToGrid w:val="0"/>
        <w:spacing w:line="300" w:lineRule="auto"/>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10．询价响应文件的构成</w:t>
      </w:r>
    </w:p>
    <w:p>
      <w:pPr>
        <w:pStyle w:val="7"/>
        <w:adjustRightInd w:val="0"/>
        <w:snapToGrid w:val="0"/>
        <w:spacing w:line="300" w:lineRule="auto"/>
        <w:ind w:left="420" w:hanging="420" w:hangingChars="15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10.1报价单位编制的询价响应文件应包括但不少于本询价文件第五部分《询价响应文件格式》的所有内容。</w:t>
      </w:r>
    </w:p>
    <w:p>
      <w:pPr>
        <w:pStyle w:val="7"/>
        <w:adjustRightInd w:val="0"/>
        <w:snapToGrid w:val="0"/>
        <w:spacing w:line="300" w:lineRule="auto"/>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11. </w:t>
      </w:r>
      <w:r>
        <w:rPr>
          <w:rFonts w:hint="eastAsia" w:ascii="仿宋" w:hAnsi="仿宋" w:eastAsia="仿宋" w:cs="仿宋_GB2312"/>
          <w:color w:val="000000" w:themeColor="text1"/>
          <w:sz w:val="28"/>
          <w:szCs w:val="28"/>
        </w:rPr>
        <w:t>询价响应文件编制</w:t>
      </w:r>
    </w:p>
    <w:p>
      <w:pPr>
        <w:spacing w:line="300" w:lineRule="auto"/>
        <w:ind w:left="630" w:hanging="630" w:hangingChars="225"/>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11.1报价单位应按响应文件格式编制询价响应文件。</w:t>
      </w:r>
    </w:p>
    <w:p>
      <w:pPr>
        <w:pStyle w:val="7"/>
        <w:adjustRightInd w:val="0"/>
        <w:snapToGrid w:val="0"/>
        <w:spacing w:line="300" w:lineRule="auto"/>
        <w:ind w:left="420" w:hanging="42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7"/>
        <w:adjustRightInd w:val="0"/>
        <w:snapToGrid w:val="0"/>
        <w:spacing w:line="300" w:lineRule="auto"/>
        <w:ind w:left="420" w:hanging="42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11.3如果因为报价单位询价响应文件填报的内容不详，或没有提供询价文件中所要求的全部资料及数据，由此造成的后果，其责任由报价单位承担。</w:t>
      </w:r>
    </w:p>
    <w:p>
      <w:pPr>
        <w:pStyle w:val="7"/>
        <w:adjustRightInd w:val="0"/>
        <w:snapToGrid w:val="0"/>
        <w:spacing w:line="300" w:lineRule="auto"/>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12. </w:t>
      </w:r>
      <w:r>
        <w:rPr>
          <w:rFonts w:hint="eastAsia" w:ascii="仿宋" w:hAnsi="仿宋" w:eastAsia="仿宋" w:cs="仿宋_GB2312"/>
          <w:color w:val="000000" w:themeColor="text1"/>
          <w:sz w:val="28"/>
          <w:szCs w:val="28"/>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7"/>
        <w:adjustRightInd w:val="0"/>
        <w:snapToGrid w:val="0"/>
        <w:spacing w:line="300" w:lineRule="auto"/>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12.3任何有选择性报价的报价，将被视为无效报价。</w:t>
      </w:r>
    </w:p>
    <w:p>
      <w:pPr>
        <w:pStyle w:val="7"/>
        <w:adjustRightInd w:val="0"/>
        <w:snapToGrid w:val="0"/>
        <w:spacing w:line="300" w:lineRule="auto"/>
        <w:ind w:left="562" w:leftChars="1" w:hanging="560" w:hangingChars="200"/>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 xml:space="preserve">13. </w:t>
      </w:r>
      <w:r>
        <w:rPr>
          <w:rFonts w:hint="eastAsia" w:ascii="仿宋" w:hAnsi="仿宋" w:eastAsia="仿宋" w:cs="仿宋_GB2312"/>
          <w:color w:val="000000" w:themeColor="text1"/>
          <w:kern w:val="0"/>
          <w:sz w:val="28"/>
          <w:szCs w:val="28"/>
        </w:rPr>
        <w:t>联合体报价</w:t>
      </w:r>
    </w:p>
    <w:p>
      <w:pPr>
        <w:pStyle w:val="7"/>
        <w:adjustRightInd w:val="0"/>
        <w:snapToGrid w:val="0"/>
        <w:spacing w:line="300" w:lineRule="auto"/>
        <w:ind w:left="562" w:leftChars="1" w:hanging="560" w:hangingChars="200"/>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13.1本项</w:t>
      </w:r>
      <w:r>
        <w:rPr>
          <w:rFonts w:hint="eastAsia" w:ascii="仿宋" w:hAnsi="仿宋" w:eastAsia="仿宋" w:cs="仿宋_GB2312"/>
          <w:color w:val="000000" w:themeColor="text1"/>
          <w:kern w:val="0"/>
          <w:sz w:val="28"/>
          <w:szCs w:val="28"/>
        </w:rPr>
        <w:t>目</w:t>
      </w:r>
      <w:r>
        <w:rPr>
          <w:rFonts w:ascii="仿宋" w:hAnsi="仿宋" w:eastAsia="仿宋" w:cs="仿宋_GB2312"/>
          <w:color w:val="000000" w:themeColor="text1"/>
          <w:kern w:val="0"/>
          <w:sz w:val="28"/>
          <w:szCs w:val="28"/>
        </w:rPr>
        <w:t>接受联合体参加报价，</w:t>
      </w:r>
      <w:r>
        <w:rPr>
          <w:rFonts w:hint="eastAsia" w:ascii="仿宋" w:hAnsi="仿宋" w:eastAsia="仿宋" w:cs="仿宋_GB2312"/>
          <w:color w:val="000000" w:themeColor="text1"/>
          <w:sz w:val="28"/>
          <w:szCs w:val="28"/>
        </w:rPr>
        <w:t>报价邀请</w:t>
      </w:r>
      <w:r>
        <w:rPr>
          <w:rFonts w:hint="eastAsia" w:ascii="仿宋" w:hAnsi="仿宋" w:eastAsia="仿宋" w:cs="仿宋_GB2312"/>
          <w:color w:val="000000" w:themeColor="text1"/>
          <w:kern w:val="0"/>
          <w:sz w:val="28"/>
          <w:szCs w:val="28"/>
        </w:rPr>
        <w:t>函另有约定除外。</w:t>
      </w:r>
    </w:p>
    <w:p>
      <w:pPr>
        <w:pStyle w:val="7"/>
        <w:adjustRightInd w:val="0"/>
        <w:snapToGrid w:val="0"/>
        <w:spacing w:line="300" w:lineRule="auto"/>
        <w:ind w:left="562" w:leftChars="1" w:hanging="560" w:hangingChars="200"/>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13.2联合体应当符合询价人根据询价项目提出的报价单位资格条件，还应当符合招投标法第三十一条关于联合体的规定。联合体各方之间应当签订共同报价协议，明确约定联合体各方承担的工作和相应的责任，并将共同报价协议连同询价响应文件一并提交询价人。联合体各方签订共同报价协议后，不得再以自己的名义单独在同一项目中报价，也不得组成新的联合体参加同一项目的报价。</w:t>
      </w:r>
    </w:p>
    <w:p>
      <w:pPr>
        <w:pStyle w:val="7"/>
        <w:adjustRightInd w:val="0"/>
        <w:snapToGrid w:val="0"/>
        <w:spacing w:line="300" w:lineRule="auto"/>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14. </w:t>
      </w:r>
      <w:r>
        <w:rPr>
          <w:rFonts w:hint="eastAsia" w:ascii="仿宋" w:hAnsi="仿宋" w:eastAsia="仿宋" w:cs="仿宋_GB2312"/>
          <w:color w:val="000000" w:themeColor="text1"/>
          <w:sz w:val="28"/>
          <w:szCs w:val="28"/>
        </w:rPr>
        <w:t>报价单位资格证明文件</w:t>
      </w:r>
    </w:p>
    <w:p>
      <w:pPr>
        <w:pStyle w:val="7"/>
        <w:adjustRightInd w:val="0"/>
        <w:snapToGrid w:val="0"/>
        <w:spacing w:line="300" w:lineRule="auto"/>
        <w:ind w:left="420" w:hanging="42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7"/>
        <w:adjustRightInd w:val="0"/>
        <w:snapToGrid w:val="0"/>
        <w:spacing w:line="300" w:lineRule="auto"/>
        <w:ind w:left="420" w:hanging="42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14.2资格证明文件必须真实有效，复印件必须加盖单位印章。</w:t>
      </w:r>
    </w:p>
    <w:p>
      <w:pPr>
        <w:pStyle w:val="7"/>
        <w:adjustRightInd w:val="0"/>
        <w:snapToGrid w:val="0"/>
        <w:spacing w:line="300" w:lineRule="auto"/>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15. </w:t>
      </w:r>
      <w:r>
        <w:rPr>
          <w:rFonts w:hint="eastAsia" w:ascii="仿宋" w:hAnsi="仿宋" w:eastAsia="仿宋" w:cs="仿宋_GB2312"/>
          <w:color w:val="000000" w:themeColor="text1"/>
          <w:sz w:val="28"/>
          <w:szCs w:val="28"/>
        </w:rPr>
        <w:t>报价有效期</w:t>
      </w:r>
    </w:p>
    <w:p>
      <w:pPr>
        <w:adjustRightInd w:val="0"/>
        <w:snapToGrid w:val="0"/>
        <w:spacing w:line="300" w:lineRule="auto"/>
        <w:ind w:left="420" w:hanging="42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15.1询价响应文件应在</w:t>
      </w:r>
      <w:r>
        <w:rPr>
          <w:rFonts w:hint="eastAsia" w:ascii="仿宋" w:hAnsi="仿宋" w:eastAsia="仿宋" w:cs="仿宋_GB2312"/>
          <w:color w:val="000000" w:themeColor="text1"/>
          <w:sz w:val="28"/>
          <w:szCs w:val="28"/>
        </w:rPr>
        <w:t>拆封</w:t>
      </w:r>
      <w:r>
        <w:rPr>
          <w:rFonts w:ascii="仿宋" w:hAnsi="仿宋" w:eastAsia="仿宋" w:cs="仿宋_GB2312"/>
          <w:color w:val="000000" w:themeColor="text1"/>
          <w:sz w:val="28"/>
          <w:szCs w:val="28"/>
        </w:rPr>
        <w:t>之日起</w:t>
      </w:r>
      <w:r>
        <w:rPr>
          <w:rFonts w:ascii="仿宋" w:hAnsi="仿宋" w:eastAsia="仿宋" w:cs="仿宋_GB2312"/>
          <w:color w:val="000000" w:themeColor="text1"/>
          <w:sz w:val="28"/>
          <w:szCs w:val="28"/>
          <w:u w:val="single"/>
        </w:rPr>
        <w:t>90</w:t>
      </w:r>
      <w:r>
        <w:rPr>
          <w:rFonts w:hint="eastAsia" w:ascii="仿宋" w:hAnsi="仿宋" w:eastAsia="仿宋" w:cs="仿宋_GB2312"/>
          <w:color w:val="000000" w:themeColor="text1"/>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16. </w:t>
      </w:r>
      <w:r>
        <w:rPr>
          <w:rFonts w:hint="eastAsia" w:ascii="仿宋" w:hAnsi="仿宋" w:eastAsia="仿宋" w:cs="仿宋_GB2312"/>
          <w:color w:val="000000" w:themeColor="text1"/>
          <w:sz w:val="28"/>
          <w:szCs w:val="28"/>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 xml:space="preserve">16.1 </w:t>
      </w:r>
      <w:r>
        <w:rPr>
          <w:rFonts w:hint="eastAsia" w:ascii="仿宋" w:hAnsi="仿宋" w:eastAsia="仿宋" w:cs="仿宋_GB2312"/>
          <w:color w:val="000000" w:themeColor="text1"/>
          <w:kern w:val="0"/>
          <w:sz w:val="28"/>
          <w:szCs w:val="28"/>
        </w:rPr>
        <w:t>报价单位应编制询价响应文件一式</w:t>
      </w:r>
      <w:r>
        <w:rPr>
          <w:rFonts w:ascii="仿宋" w:hAnsi="仿宋" w:eastAsia="仿宋" w:cs="仿宋_GB2312"/>
          <w:color w:val="000000" w:themeColor="text1"/>
          <w:kern w:val="0"/>
          <w:sz w:val="28"/>
          <w:szCs w:val="28"/>
          <w:u w:val="single"/>
        </w:rPr>
        <w:t>2</w:t>
      </w:r>
      <w:r>
        <w:rPr>
          <w:rFonts w:hint="eastAsia" w:ascii="仿宋" w:hAnsi="仿宋" w:eastAsia="仿宋" w:cs="仿宋_GB2312"/>
          <w:color w:val="000000" w:themeColor="text1"/>
          <w:kern w:val="0"/>
          <w:sz w:val="28"/>
          <w:szCs w:val="28"/>
        </w:rPr>
        <w:t>份，其中正本一份和副本</w:t>
      </w:r>
      <w:r>
        <w:rPr>
          <w:rFonts w:hint="eastAsia" w:ascii="仿宋" w:hAnsi="仿宋" w:eastAsia="仿宋" w:cs="仿宋_GB2312"/>
          <w:color w:val="000000" w:themeColor="text1"/>
          <w:kern w:val="0"/>
          <w:sz w:val="28"/>
          <w:szCs w:val="28"/>
          <w:u w:val="single"/>
        </w:rPr>
        <w:t>一</w:t>
      </w:r>
      <w:r>
        <w:rPr>
          <w:rFonts w:hint="eastAsia" w:ascii="仿宋" w:hAnsi="仿宋" w:eastAsia="仿宋" w:cs="仿宋_GB2312"/>
          <w:color w:val="000000" w:themeColor="text1"/>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 xml:space="preserve">16.2 </w:t>
      </w:r>
      <w:r>
        <w:rPr>
          <w:rFonts w:hint="eastAsia" w:ascii="仿宋" w:hAnsi="仿宋" w:eastAsia="仿宋" w:cs="仿宋_GB2312"/>
          <w:color w:val="000000" w:themeColor="text1"/>
          <w:kern w:val="0"/>
          <w:sz w:val="28"/>
          <w:szCs w:val="28"/>
        </w:rPr>
        <w:t>询价响应文件的正本需打印或用不褪色墨水书写，并由法定代表人或经其正式授权的代表签字或加盖私章。授权代表须出具书面授权证明，其《法定代表人授权书》应附在询价响应文件中。</w:t>
      </w:r>
    </w:p>
    <w:p>
      <w:pPr>
        <w:pStyle w:val="7"/>
        <w:adjustRightInd w:val="0"/>
        <w:snapToGrid w:val="0"/>
        <w:spacing w:line="300" w:lineRule="auto"/>
        <w:ind w:left="630"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 xml:space="preserve">16.3 </w:t>
      </w:r>
      <w:r>
        <w:rPr>
          <w:rFonts w:hint="eastAsia" w:ascii="仿宋" w:hAnsi="仿宋" w:eastAsia="仿宋" w:cs="仿宋_GB2312"/>
          <w:color w:val="000000" w:themeColor="text1"/>
          <w:kern w:val="0"/>
          <w:sz w:val="28"/>
          <w:szCs w:val="28"/>
        </w:rPr>
        <w:t>询价响应文件中的任何重要的插字、涂改和增删，必须由法定代表人或经其正式授权的代表在旁边签字或盖私章才有效。</w:t>
      </w:r>
    </w:p>
    <w:p>
      <w:pPr>
        <w:pStyle w:val="7"/>
        <w:adjustRightInd w:val="0"/>
        <w:snapToGrid w:val="0"/>
        <w:spacing w:line="300" w:lineRule="auto"/>
        <w:ind w:left="630"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 xml:space="preserve">17. </w:t>
      </w:r>
      <w:r>
        <w:rPr>
          <w:rFonts w:hint="eastAsia" w:ascii="仿宋" w:hAnsi="仿宋" w:eastAsia="仿宋" w:cs="仿宋_GB2312"/>
          <w:color w:val="000000" w:themeColor="text1"/>
          <w:kern w:val="0"/>
          <w:sz w:val="28"/>
          <w:szCs w:val="28"/>
        </w:rPr>
        <w:t>询价响应文件的密封和标记</w:t>
      </w:r>
    </w:p>
    <w:p>
      <w:pPr>
        <w:pStyle w:val="7"/>
        <w:adjustRightInd w:val="0"/>
        <w:snapToGrid w:val="0"/>
        <w:spacing w:line="300" w:lineRule="auto"/>
        <w:ind w:left="630"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17.1报价单位应将询价响应文件正本和副本用单独的信封密封，注明“正本”或“副本”字样。</w:t>
      </w:r>
    </w:p>
    <w:p>
      <w:pPr>
        <w:pStyle w:val="7"/>
        <w:adjustRightInd w:val="0"/>
        <w:snapToGrid w:val="0"/>
        <w:spacing w:line="300" w:lineRule="auto"/>
        <w:ind w:left="630"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17.2每一密封信封均应：</w:t>
      </w:r>
    </w:p>
    <w:p>
      <w:pPr>
        <w:pStyle w:val="7"/>
        <w:adjustRightInd w:val="0"/>
        <w:snapToGrid w:val="0"/>
        <w:spacing w:line="300" w:lineRule="auto"/>
        <w:ind w:left="1439" w:leftChars="343" w:hanging="719" w:hangingChars="257"/>
        <w:rPr>
          <w:rFonts w:ascii="仿宋" w:hAnsi="仿宋" w:eastAsia="仿宋" w:cs="仿宋_GB2312"/>
          <w:color w:val="000000" w:themeColor="text1"/>
          <w:kern w:val="0"/>
          <w:sz w:val="28"/>
          <w:szCs w:val="28"/>
        </w:rPr>
      </w:pPr>
      <w:r>
        <w:rPr>
          <w:rFonts w:hint="eastAsia" w:ascii="仿宋" w:hAnsi="仿宋" w:eastAsia="仿宋" w:cs="仿宋_GB2312"/>
          <w:color w:val="000000" w:themeColor="text1"/>
          <w:kern w:val="0"/>
          <w:sz w:val="28"/>
          <w:szCs w:val="28"/>
        </w:rPr>
        <w:t>（</w:t>
      </w:r>
      <w:r>
        <w:rPr>
          <w:rFonts w:ascii="仿宋" w:hAnsi="仿宋" w:eastAsia="仿宋" w:cs="仿宋_GB2312"/>
          <w:color w:val="000000" w:themeColor="text1"/>
          <w:kern w:val="0"/>
          <w:sz w:val="28"/>
          <w:szCs w:val="28"/>
        </w:rPr>
        <w:t>1）标明项目编号、项目名称，并注明“正本”或“副本”字样；</w:t>
      </w:r>
    </w:p>
    <w:p>
      <w:pPr>
        <w:pStyle w:val="7"/>
        <w:adjustRightInd w:val="0"/>
        <w:snapToGrid w:val="0"/>
        <w:spacing w:line="300" w:lineRule="auto"/>
        <w:ind w:left="1439" w:leftChars="343" w:hanging="719" w:hangingChars="257"/>
        <w:rPr>
          <w:rFonts w:ascii="仿宋" w:hAnsi="仿宋" w:eastAsia="仿宋" w:cs="仿宋_GB2312"/>
          <w:color w:val="000000" w:themeColor="text1"/>
          <w:kern w:val="0"/>
          <w:sz w:val="28"/>
          <w:szCs w:val="28"/>
        </w:rPr>
      </w:pPr>
      <w:r>
        <w:rPr>
          <w:rFonts w:hint="eastAsia" w:ascii="仿宋" w:hAnsi="仿宋" w:eastAsia="仿宋" w:cs="仿宋_GB2312"/>
          <w:color w:val="000000" w:themeColor="text1"/>
          <w:kern w:val="0"/>
          <w:sz w:val="28"/>
          <w:szCs w:val="28"/>
        </w:rPr>
        <w:t>（</w:t>
      </w:r>
      <w:r>
        <w:rPr>
          <w:rFonts w:ascii="仿宋" w:hAnsi="仿宋" w:eastAsia="仿宋" w:cs="仿宋_GB2312"/>
          <w:color w:val="000000" w:themeColor="text1"/>
          <w:kern w:val="0"/>
          <w:sz w:val="28"/>
          <w:szCs w:val="28"/>
        </w:rPr>
        <w:t>2）注明“于（递交询价响应文件截止时间）之前不准启封”的字样。</w:t>
      </w:r>
    </w:p>
    <w:p>
      <w:pPr>
        <w:pStyle w:val="7"/>
        <w:adjustRightInd w:val="0"/>
        <w:snapToGrid w:val="0"/>
        <w:spacing w:line="300" w:lineRule="auto"/>
        <w:ind w:left="630"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17.3如果信封未按本须知第17.1条和第17.2条要求密封的，询价人对误投或过早启封概不负责。</w:t>
      </w:r>
    </w:p>
    <w:p>
      <w:pPr>
        <w:pStyle w:val="7"/>
        <w:adjustRightInd w:val="0"/>
        <w:snapToGrid w:val="0"/>
        <w:spacing w:line="300" w:lineRule="auto"/>
        <w:ind w:left="630"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18. </w:t>
      </w:r>
      <w:r>
        <w:rPr>
          <w:rFonts w:hint="eastAsia" w:ascii="仿宋" w:hAnsi="仿宋" w:eastAsia="仿宋" w:cs="仿宋_GB2312"/>
          <w:color w:val="000000" w:themeColor="text1"/>
          <w:sz w:val="28"/>
          <w:szCs w:val="28"/>
        </w:rPr>
        <w:t>询价响应文件递交截止时间</w:t>
      </w:r>
    </w:p>
    <w:p>
      <w:pPr>
        <w:pStyle w:val="7"/>
        <w:adjustRightInd w:val="0"/>
        <w:snapToGrid w:val="0"/>
        <w:spacing w:line="300" w:lineRule="auto"/>
        <w:ind w:left="630"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18.1询价人在《报价邀请函》中规定的地点和递交询价响应文件截止时间之前接收询价响应文件，超过截止时点后的询价响应文件将被拒绝。</w:t>
      </w:r>
    </w:p>
    <w:p>
      <w:pPr>
        <w:pStyle w:val="7"/>
        <w:adjustRightInd w:val="0"/>
        <w:snapToGrid w:val="0"/>
        <w:spacing w:line="300" w:lineRule="auto"/>
        <w:ind w:left="630"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7"/>
        <w:adjustRightInd w:val="0"/>
        <w:snapToGrid w:val="0"/>
        <w:spacing w:line="300" w:lineRule="auto"/>
        <w:ind w:right="32"/>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19. </w:t>
      </w:r>
      <w:r>
        <w:rPr>
          <w:rFonts w:hint="eastAsia" w:ascii="仿宋" w:hAnsi="仿宋" w:eastAsia="仿宋" w:cs="仿宋_GB2312"/>
          <w:color w:val="000000" w:themeColor="text1"/>
          <w:sz w:val="28"/>
          <w:szCs w:val="28"/>
        </w:rPr>
        <w:t>询价响应文件的修改和撤回</w:t>
      </w:r>
    </w:p>
    <w:p>
      <w:pPr>
        <w:pStyle w:val="7"/>
        <w:adjustRightInd w:val="0"/>
        <w:snapToGrid w:val="0"/>
        <w:spacing w:line="300" w:lineRule="auto"/>
        <w:ind w:left="630"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 xml:space="preserve">19.2 </w:t>
      </w:r>
      <w:r>
        <w:rPr>
          <w:rFonts w:hint="eastAsia" w:ascii="仿宋" w:hAnsi="仿宋" w:eastAsia="仿宋" w:cs="仿宋_GB2312"/>
          <w:color w:val="000000" w:themeColor="text1"/>
          <w:kern w:val="0"/>
          <w:sz w:val="28"/>
          <w:szCs w:val="28"/>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rPr>
        <w:t>（询价人）</w:t>
      </w:r>
      <w:r>
        <w:rPr>
          <w:rFonts w:hint="eastAsia" w:ascii="仿宋" w:hAnsi="仿宋" w:eastAsia="仿宋" w:cs="仿宋_GB2312"/>
          <w:color w:val="000000" w:themeColor="text1"/>
          <w:kern w:val="0"/>
          <w:sz w:val="28"/>
          <w:szCs w:val="28"/>
        </w:rPr>
        <w:t>。从询价响应文件递交截止时间至报价单位承诺的报价有效期内，报价单位不得撤回其报价。</w:t>
      </w:r>
    </w:p>
    <w:p>
      <w:pPr>
        <w:pStyle w:val="7"/>
        <w:adjustRightInd w:val="0"/>
        <w:snapToGrid w:val="0"/>
        <w:spacing w:line="300" w:lineRule="auto"/>
        <w:ind w:left="420" w:right="32" w:hanging="42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19.3 </w:t>
      </w:r>
      <w:r>
        <w:rPr>
          <w:rFonts w:hint="eastAsia" w:ascii="仿宋" w:hAnsi="仿宋" w:eastAsia="仿宋" w:cs="仿宋_GB2312"/>
          <w:color w:val="000000" w:themeColor="text1"/>
          <w:sz w:val="28"/>
          <w:szCs w:val="28"/>
        </w:rPr>
        <w:t>报价单位所提交的询价响应文件在询价结束后，无论成交与否都不退还。</w:t>
      </w:r>
    </w:p>
    <w:p>
      <w:pPr>
        <w:pStyle w:val="7"/>
        <w:adjustRightInd w:val="0"/>
        <w:snapToGrid w:val="0"/>
        <w:spacing w:line="300" w:lineRule="auto"/>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五、评审</w:t>
      </w:r>
    </w:p>
    <w:p>
      <w:pPr>
        <w:pStyle w:val="7"/>
        <w:adjustRightInd w:val="0"/>
        <w:snapToGrid w:val="0"/>
        <w:spacing w:line="300" w:lineRule="auto"/>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20. </w:t>
      </w:r>
      <w:r>
        <w:rPr>
          <w:rFonts w:hint="eastAsia" w:ascii="仿宋" w:hAnsi="仿宋" w:eastAsia="仿宋" w:cs="仿宋_GB2312"/>
          <w:color w:val="000000" w:themeColor="text1"/>
          <w:sz w:val="28"/>
          <w:szCs w:val="28"/>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sz w:val="28"/>
          <w:szCs w:val="28"/>
        </w:rPr>
        <w:t xml:space="preserve">20.1 </w:t>
      </w:r>
      <w:r>
        <w:rPr>
          <w:rFonts w:hint="eastAsia" w:ascii="仿宋" w:hAnsi="仿宋" w:eastAsia="仿宋" w:cs="仿宋_GB2312"/>
          <w:color w:val="000000" w:themeColor="text1"/>
          <w:kern w:val="0"/>
          <w:sz w:val="28"/>
          <w:szCs w:val="28"/>
        </w:rPr>
        <w:t>评审由</w:t>
      </w:r>
      <w:r>
        <w:rPr>
          <w:rFonts w:hint="eastAsia" w:ascii="仿宋" w:hAnsi="仿宋" w:eastAsia="仿宋" w:cs="仿宋_GB2312"/>
          <w:color w:val="000000" w:themeColor="text1"/>
          <w:sz w:val="28"/>
          <w:szCs w:val="28"/>
          <w:u w:val="single"/>
        </w:rPr>
        <w:t>询价人</w:t>
      </w:r>
      <w:r>
        <w:rPr>
          <w:rFonts w:hint="eastAsia" w:ascii="仿宋" w:hAnsi="仿宋" w:eastAsia="仿宋" w:cs="仿宋_GB2312"/>
          <w:color w:val="000000" w:themeColor="text1"/>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21.1参加询价的报价单位</w:t>
      </w:r>
      <w:r>
        <w:rPr>
          <w:rFonts w:hint="eastAsia" w:ascii="仿宋" w:hAnsi="仿宋" w:eastAsia="仿宋" w:cs="仿宋_GB2312"/>
          <w:color w:val="000000" w:themeColor="text1"/>
          <w:kern w:val="0"/>
          <w:sz w:val="28"/>
          <w:szCs w:val="28"/>
        </w:rPr>
        <w:t>经自行报名</w:t>
      </w:r>
      <w:r>
        <w:rPr>
          <w:rFonts w:ascii="仿宋" w:hAnsi="仿宋" w:eastAsia="仿宋" w:cs="仿宋_GB2312"/>
          <w:color w:val="000000" w:themeColor="text1"/>
          <w:kern w:val="0"/>
          <w:sz w:val="28"/>
          <w:szCs w:val="28"/>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 xml:space="preserve">21.3 </w:t>
      </w:r>
      <w:r>
        <w:rPr>
          <w:rFonts w:hint="eastAsia" w:ascii="仿宋" w:hAnsi="仿宋" w:eastAsia="仿宋" w:cs="仿宋_GB2312"/>
          <w:color w:val="000000" w:themeColor="text1"/>
          <w:kern w:val="0"/>
          <w:sz w:val="28"/>
          <w:szCs w:val="28"/>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color w:val="000000" w:themeColor="text1"/>
          <w:kern w:val="0"/>
          <w:sz w:val="28"/>
          <w:szCs w:val="28"/>
        </w:rPr>
      </w:pPr>
      <w:r>
        <w:rPr>
          <w:rFonts w:ascii="仿宋" w:hAnsi="仿宋" w:eastAsia="仿宋" w:cs="仿宋_GB2312"/>
          <w:color w:val="000000" w:themeColor="text1"/>
          <w:kern w:val="0"/>
          <w:sz w:val="28"/>
          <w:szCs w:val="28"/>
        </w:rPr>
        <w:t xml:space="preserve">21.4 </w:t>
      </w:r>
      <w:r>
        <w:rPr>
          <w:rFonts w:hint="eastAsia" w:ascii="仿宋" w:hAnsi="仿宋" w:eastAsia="仿宋" w:cs="仿宋_GB2312"/>
          <w:bCs/>
          <w:color w:val="000000" w:themeColor="text1"/>
          <w:kern w:val="0"/>
          <w:sz w:val="28"/>
          <w:szCs w:val="28"/>
        </w:rPr>
        <w:t>询价小组进行综合评议。对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22.1询价小组将详细分析、核对每一份报价表，看其是否有计算上或累加上的算术误差，并加以修正。修正误差的原则如下：</w:t>
      </w:r>
    </w:p>
    <w:p>
      <w:pPr>
        <w:numPr>
          <w:ilvl w:val="1"/>
          <w:numId w:val="23"/>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大写金额与小写金额不一致的，以大写金额为准；</w:t>
      </w:r>
    </w:p>
    <w:p>
      <w:pPr>
        <w:numPr>
          <w:ilvl w:val="1"/>
          <w:numId w:val="23"/>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22.3超过最高限价的报价将被拒绝。</w:t>
      </w:r>
    </w:p>
    <w:p>
      <w:pPr>
        <w:spacing w:line="360" w:lineRule="auto"/>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rPr>
      </w:pPr>
      <w:r>
        <w:rPr>
          <w:rFonts w:ascii="仿宋" w:hAnsi="仿宋" w:eastAsia="仿宋" w:cs="仿宋_GB2312"/>
          <w:color w:val="000000" w:themeColor="text1"/>
          <w:sz w:val="28"/>
          <w:szCs w:val="28"/>
        </w:rPr>
        <w:t>23.2承包人确定后，询价人</w:t>
      </w:r>
      <w:r>
        <w:rPr>
          <w:rFonts w:hint="eastAsia" w:ascii="仿宋" w:hAnsi="仿宋" w:eastAsia="仿宋" w:cs="仿宋_GB2312"/>
          <w:color w:val="000000" w:themeColor="text1"/>
          <w:kern w:val="0"/>
          <w:sz w:val="28"/>
          <w:szCs w:val="28"/>
        </w:rPr>
        <w:t>向承包人发出《发包通知书》，</w:t>
      </w:r>
      <w:r>
        <w:rPr>
          <w:rFonts w:hint="eastAsia" w:ascii="仿宋" w:hAnsi="仿宋" w:eastAsia="仿宋" w:cs="仿宋_GB2312"/>
          <w:color w:val="000000" w:themeColor="text1"/>
          <w:sz w:val="28"/>
          <w:szCs w:val="28"/>
        </w:rPr>
        <w:t>对承包人和询价人具有同等法律效力</w:t>
      </w:r>
      <w:r>
        <w:rPr>
          <w:rFonts w:hint="eastAsia" w:ascii="仿宋" w:hAnsi="仿宋" w:eastAsia="仿宋" w:cs="仿宋_GB2312"/>
          <w:color w:val="000000" w:themeColor="text1"/>
          <w:kern w:val="0"/>
          <w:sz w:val="28"/>
          <w:szCs w:val="28"/>
        </w:rPr>
        <w:t>。</w:t>
      </w:r>
    </w:p>
    <w:p>
      <w:pPr>
        <w:pStyle w:val="7"/>
        <w:adjustRightInd w:val="0"/>
        <w:snapToGrid w:val="0"/>
        <w:spacing w:line="300" w:lineRule="auto"/>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 xml:space="preserve">24. </w:t>
      </w:r>
      <w:r>
        <w:rPr>
          <w:rFonts w:hint="eastAsia" w:ascii="仿宋" w:hAnsi="仿宋" w:eastAsia="仿宋" w:cs="仿宋_GB2312"/>
          <w:color w:val="000000" w:themeColor="text1"/>
          <w:kern w:val="0"/>
          <w:sz w:val="28"/>
          <w:szCs w:val="28"/>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rPr>
      </w:pPr>
      <w:r>
        <w:rPr>
          <w:rFonts w:ascii="仿宋" w:hAnsi="仿宋" w:eastAsia="仿宋" w:cs="仿宋_GB2312"/>
          <w:color w:val="000000" w:themeColor="text1"/>
          <w:kern w:val="0"/>
          <w:sz w:val="28"/>
          <w:szCs w:val="28"/>
        </w:rPr>
        <w:t xml:space="preserve">24.1 </w:t>
      </w:r>
      <w:r>
        <w:rPr>
          <w:rFonts w:hint="eastAsia" w:ascii="仿宋" w:hAnsi="仿宋" w:eastAsia="仿宋" w:cs="仿宋_GB2312"/>
          <w:color w:val="000000" w:themeColor="text1"/>
          <w:kern w:val="0"/>
          <w:sz w:val="28"/>
          <w:szCs w:val="28"/>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 xml:space="preserve">25. </w:t>
      </w:r>
      <w:r>
        <w:rPr>
          <w:rFonts w:hint="eastAsia" w:ascii="仿宋" w:hAnsi="仿宋" w:eastAsia="仿宋" w:cs="仿宋_GB2312"/>
          <w:color w:val="000000" w:themeColor="text1"/>
          <w:kern w:val="0"/>
          <w:sz w:val="28"/>
          <w:szCs w:val="28"/>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rPr>
        <w:t>招标办</w:t>
      </w:r>
      <w:r>
        <w:rPr>
          <w:rFonts w:ascii="仿宋" w:hAnsi="仿宋" w:eastAsia="仿宋" w:cs="仿宋_GB2312"/>
          <w:color w:val="000000" w:themeColor="text1"/>
          <w:kern w:val="0"/>
          <w:sz w:val="28"/>
          <w:szCs w:val="28"/>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rPr>
        <w:t>招标办</w:t>
      </w:r>
      <w:r>
        <w:rPr>
          <w:rFonts w:ascii="仿宋" w:hAnsi="仿宋" w:eastAsia="仿宋" w:cs="仿宋_GB2312"/>
          <w:color w:val="000000" w:themeColor="text1"/>
          <w:kern w:val="0"/>
          <w:sz w:val="28"/>
          <w:szCs w:val="28"/>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rPr>
      </w:pPr>
      <w:r>
        <w:rPr>
          <w:rFonts w:ascii="仿宋" w:hAnsi="仿宋" w:eastAsia="仿宋" w:cs="仿宋_GB2312"/>
          <w:color w:val="000000" w:themeColor="text1"/>
          <w:kern w:val="0"/>
          <w:sz w:val="28"/>
          <w:szCs w:val="28"/>
        </w:rPr>
        <w:t xml:space="preserve">25.2 </w:t>
      </w:r>
      <w:r>
        <w:rPr>
          <w:rFonts w:hint="eastAsia" w:ascii="仿宋" w:hAnsi="仿宋" w:eastAsia="仿宋" w:cs="仿宋_GB2312"/>
          <w:color w:val="000000" w:themeColor="text1"/>
          <w:kern w:val="0"/>
          <w:sz w:val="28"/>
          <w:szCs w:val="28"/>
        </w:rPr>
        <w:t>承包人因不可抗力或者自身原因不能履行承包合同的，询价人</w:t>
      </w:r>
      <w:r>
        <w:rPr>
          <w:rFonts w:hint="eastAsia" w:ascii="仿宋" w:hAnsi="仿宋" w:eastAsia="仿宋" w:cs="仿宋_GB2312"/>
          <w:color w:val="000000" w:themeColor="text1"/>
          <w:sz w:val="28"/>
          <w:szCs w:val="28"/>
        </w:rPr>
        <w:t>可以与排位在承包人之后第一位的成交候选报价单位签订承包</w:t>
      </w:r>
      <w:r>
        <w:rPr>
          <w:rFonts w:hint="eastAsia" w:ascii="仿宋" w:hAnsi="仿宋" w:eastAsia="仿宋" w:cs="仿宋_GB2312"/>
          <w:color w:val="000000" w:themeColor="text1"/>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rPr>
      </w:pPr>
      <w:r>
        <w:rPr>
          <w:rFonts w:hint="eastAsia" w:ascii="仿宋" w:hAnsi="仿宋" w:eastAsia="仿宋" w:cs="仿宋_GB2312"/>
          <w:b/>
          <w:color w:val="000000" w:themeColor="text1"/>
          <w:kern w:val="0"/>
          <w:sz w:val="28"/>
          <w:szCs w:val="28"/>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26. </w:t>
      </w:r>
      <w:r>
        <w:rPr>
          <w:rFonts w:hint="eastAsia" w:ascii="仿宋" w:hAnsi="仿宋" w:eastAsia="仿宋" w:cs="仿宋_GB2312"/>
          <w:color w:val="000000" w:themeColor="text1"/>
          <w:sz w:val="28"/>
          <w:szCs w:val="28"/>
        </w:rPr>
        <w:t>如果报价单位认为询价文件或询价过程或询价结果使其权益受到损害的，可向询价人提出书面质疑。询价人应在规定时间内给与答复。</w:t>
      </w:r>
    </w:p>
    <w:p>
      <w:pPr>
        <w:widowControl/>
        <w:jc w:val="left"/>
        <w:rPr>
          <w:sz w:val="28"/>
          <w:szCs w:val="28"/>
        </w:rPr>
      </w:pPr>
      <w:r>
        <w:rPr>
          <w:sz w:val="28"/>
          <w:szCs w:val="28"/>
        </w:rPr>
        <w:br w:type="page"/>
      </w:r>
    </w:p>
    <w:p>
      <w:pPr>
        <w:pStyle w:val="2"/>
      </w:pPr>
      <w:bookmarkStart w:id="0" w:name="_Toc247085739"/>
      <w:bookmarkStart w:id="1" w:name="_Toc144974548"/>
      <w:bookmarkStart w:id="2" w:name="_Toc152042358"/>
      <w:bookmarkStart w:id="3" w:name="_Toc152045581"/>
      <w:bookmarkStart w:id="4" w:name="_Toc371433002"/>
      <w:bookmarkStart w:id="5" w:name="_Toc179632599"/>
      <w:r>
        <w:rPr>
          <w:rFonts w:hint="eastAsia"/>
        </w:rPr>
        <w:t>附件一报价记录表</w:t>
      </w:r>
      <w:bookmarkEnd w:id="0"/>
      <w:bookmarkEnd w:id="1"/>
      <w:bookmarkEnd w:id="2"/>
      <w:bookmarkEnd w:id="3"/>
      <w:bookmarkEnd w:id="4"/>
      <w:bookmarkEnd w:id="5"/>
    </w:p>
    <w:p>
      <w:pPr>
        <w:spacing w:line="400" w:lineRule="exact"/>
        <w:jc w:val="center"/>
        <w:rPr>
          <w:rFonts w:ascii="仿宋" w:hAnsi="仿宋" w:eastAsia="仿宋" w:cs="仿宋_GB2312"/>
          <w:bCs/>
          <w:color w:val="000000"/>
          <w:sz w:val="28"/>
          <w:szCs w:val="28"/>
          <w:u w:val="single"/>
        </w:rPr>
      </w:pPr>
      <w:r>
        <w:rPr>
          <w:rFonts w:hint="eastAsia" w:ascii="仿宋" w:hAnsi="仿宋" w:eastAsia="仿宋" w:cs="仿宋_GB2312"/>
          <w:bCs/>
          <w:color w:val="000000"/>
          <w:sz w:val="28"/>
          <w:szCs w:val="28"/>
          <w:u w:val="single"/>
        </w:rPr>
        <w:t>广州市净水有限公司2021年消防设施维保项目</w:t>
      </w:r>
    </w:p>
    <w:p>
      <w:pPr>
        <w:spacing w:line="4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报价记录表</w:t>
      </w:r>
    </w:p>
    <w:p>
      <w:pPr>
        <w:spacing w:line="500" w:lineRule="exact"/>
        <w:jc w:val="center"/>
        <w:rPr>
          <w:rFonts w:ascii="仿宋" w:hAnsi="仿宋" w:eastAsia="仿宋" w:cs="仿宋_GB2312"/>
          <w:color w:val="000000"/>
        </w:rPr>
      </w:pPr>
      <w:r>
        <w:rPr>
          <w:rFonts w:hint="eastAsia" w:ascii="仿宋" w:hAnsi="仿宋" w:eastAsia="仿宋" w:cs="仿宋_GB2312"/>
          <w:color w:val="000000"/>
          <w:szCs w:val="21"/>
        </w:rPr>
        <w:t>报价文件开启时间：年月日时分</w:t>
      </w:r>
    </w:p>
    <w:tbl>
      <w:tblPr>
        <w:tblStyle w:val="14"/>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经办人：               记录人：          </w:t>
      </w:r>
    </w:p>
    <w:p>
      <w:pPr>
        <w:widowControl/>
        <w:jc w:val="left"/>
        <w:rPr>
          <w:sz w:val="28"/>
          <w:szCs w:val="28"/>
        </w:rPr>
      </w:pPr>
      <w:r>
        <w:rPr>
          <w:sz w:val="28"/>
          <w:szCs w:val="28"/>
        </w:rPr>
        <w:br w:type="page"/>
      </w:r>
    </w:p>
    <w:p>
      <w:pPr>
        <w:spacing w:line="440" w:lineRule="exact"/>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rPr>
        <w:t>项目名称:广州市净水有限公司2021年消防设施维保项目</w:t>
      </w:r>
    </w:p>
    <w:tbl>
      <w:tblPr>
        <w:tblStyle w:val="14"/>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响应询价文件第二部分项目内容的技术、商务要求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复印件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4"/>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rPr>
          <w:rFonts w:ascii="仿宋" w:hAnsi="仿宋" w:eastAsia="仿宋" w:cs="仿宋_GB2312"/>
          <w:color w:val="000000" w:themeColor="text1"/>
          <w:sz w:val="28"/>
          <w:szCs w:val="28"/>
        </w:rPr>
      </w:pPr>
      <w:r>
        <w:rPr>
          <w:rFonts w:hint="eastAsia" w:ascii="仿宋" w:hAnsi="仿宋" w:eastAsia="仿宋" w:cs="仿宋_GB2312"/>
          <w:b/>
          <w:bCs/>
          <w:color w:val="000000" w:themeColor="text1"/>
          <w:sz w:val="32"/>
          <w:szCs w:val="32"/>
        </w:rPr>
        <w:t>附件三</w:t>
      </w:r>
    </w:p>
    <w:p>
      <w:pPr>
        <w:tabs>
          <w:tab w:val="left" w:pos="5740"/>
        </w:tabs>
        <w:autoSpaceDE w:val="0"/>
        <w:autoSpaceDN w:val="0"/>
        <w:adjustRightInd w:val="0"/>
        <w:jc w:val="center"/>
        <w:rPr>
          <w:rFonts w:ascii="仿宋" w:hAnsi="仿宋" w:eastAsia="仿宋"/>
          <w:b/>
          <w:color w:val="000000" w:themeColor="text1"/>
          <w:sz w:val="44"/>
          <w:szCs w:val="44"/>
        </w:rPr>
      </w:pPr>
      <w:r>
        <w:rPr>
          <w:rFonts w:hint="eastAsia" w:ascii="仿宋" w:hAnsi="仿宋" w:eastAsia="仿宋" w:cs="宋体"/>
          <w:b/>
          <w:bCs/>
          <w:color w:val="000000" w:themeColor="text1"/>
          <w:kern w:val="0"/>
          <w:sz w:val="44"/>
          <w:szCs w:val="44"/>
        </w:rPr>
        <w:t>广州市净水有限公司非公开招标</w:t>
      </w:r>
      <w:r>
        <w:rPr>
          <w:rFonts w:hint="eastAsia" w:ascii="仿宋" w:hAnsi="仿宋" w:eastAsia="仿宋"/>
          <w:b/>
          <w:color w:val="000000" w:themeColor="text1"/>
          <w:sz w:val="44"/>
          <w:szCs w:val="44"/>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rPr>
      </w:pPr>
      <w:r>
        <w:rPr>
          <w:rFonts w:hint="eastAsia" w:ascii="仿宋" w:hAnsi="仿宋" w:eastAsia="仿宋" w:cs="宋体"/>
          <w:b/>
          <w:bCs/>
          <w:color w:val="000000" w:themeColor="text1"/>
          <w:kern w:val="0"/>
          <w:sz w:val="44"/>
          <w:szCs w:val="44"/>
        </w:rPr>
        <w:t>发包通知书</w:t>
      </w:r>
    </w:p>
    <w:p>
      <w:pPr>
        <w:autoSpaceDE w:val="0"/>
        <w:autoSpaceDN w:val="0"/>
        <w:adjustRightInd w:val="0"/>
        <w:spacing w:after="400"/>
        <w:jc w:val="center"/>
        <w:rPr>
          <w:rFonts w:ascii="仿宋" w:hAnsi="仿宋" w:eastAsia="仿宋" w:cs="STSong-Light"/>
          <w:color w:val="000000" w:themeColor="text1"/>
          <w:kern w:val="0"/>
          <w:sz w:val="32"/>
          <w:szCs w:val="32"/>
        </w:rPr>
      </w:pPr>
    </w:p>
    <w:p>
      <w:pPr>
        <w:autoSpaceDE w:val="0"/>
        <w:autoSpaceDN w:val="0"/>
        <w:adjustRightInd w:val="0"/>
        <w:spacing w:after="300"/>
        <w:jc w:val="center"/>
        <w:rPr>
          <w:rFonts w:ascii="仿宋" w:hAnsi="仿宋" w:eastAsia="仿宋" w:cs="STSong-Light"/>
          <w:b/>
          <w:color w:val="000000" w:themeColor="text1"/>
          <w:kern w:val="0"/>
          <w:sz w:val="32"/>
          <w:szCs w:val="32"/>
        </w:rPr>
      </w:pPr>
      <w:r>
        <w:rPr>
          <w:rFonts w:ascii="仿宋" w:hAnsi="仿宋" w:eastAsia="仿宋" w:cs="STSong-Light"/>
          <w:b/>
          <w:color w:val="000000" w:themeColor="text1"/>
          <w:kern w:val="0"/>
          <w:sz w:val="32"/>
          <w:szCs w:val="32"/>
        </w:rPr>
        <w:t>（询价文件号）</w:t>
      </w:r>
    </w:p>
    <w:p>
      <w:pPr>
        <w:autoSpaceDE w:val="0"/>
        <w:autoSpaceDN w:val="0"/>
        <w:adjustRightInd w:val="0"/>
        <w:spacing w:after="300"/>
        <w:jc w:val="left"/>
        <w:rPr>
          <w:rFonts w:ascii="仿宋" w:hAnsi="仿宋" w:eastAsia="仿宋" w:cs="STSong-Light"/>
          <w:color w:val="000000" w:themeColor="text1"/>
          <w:kern w:val="0"/>
          <w:sz w:val="32"/>
          <w:szCs w:val="32"/>
        </w:rPr>
      </w:pPr>
      <w:r>
        <w:rPr>
          <w:rFonts w:hint="eastAsia" w:ascii="仿宋" w:hAnsi="仿宋" w:eastAsia="仿宋" w:cs="STSong-Light"/>
          <w:color w:val="000000" w:themeColor="text1"/>
          <w:kern w:val="0"/>
          <w:sz w:val="32"/>
          <w:szCs w:val="32"/>
        </w:rPr>
        <w:t>承包单位</w:t>
      </w:r>
      <w:r>
        <w:rPr>
          <w:rFonts w:ascii="仿宋" w:hAnsi="仿宋" w:eastAsia="仿宋" w:cs="STSong-Light"/>
          <w:color w:val="000000" w:themeColor="text1"/>
          <w:kern w:val="0"/>
          <w:sz w:val="32"/>
          <w:szCs w:val="32"/>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rPr>
      </w:pPr>
      <w:r>
        <w:rPr>
          <w:rFonts w:ascii="仿宋" w:hAnsi="仿宋" w:eastAsia="仿宋" w:cs="STSong-Light"/>
          <w:color w:val="000000" w:themeColor="text1"/>
          <w:kern w:val="0"/>
          <w:sz w:val="32"/>
          <w:szCs w:val="32"/>
        </w:rPr>
        <w:t xml:space="preserve">    经询价小组评审推荐，确定你单位为</w:t>
      </w:r>
      <w:r>
        <w:rPr>
          <w:rFonts w:hint="eastAsia" w:ascii="仿宋" w:hAnsi="仿宋" w:eastAsia="仿宋" w:cs="仿宋_GB2312"/>
          <w:color w:val="000000" w:themeColor="text1"/>
          <w:sz w:val="28"/>
          <w:szCs w:val="28"/>
        </w:rPr>
        <w:t>石</w:t>
      </w:r>
      <w:r>
        <w:rPr>
          <w:rFonts w:hint="eastAsia" w:ascii="仿宋" w:hAnsi="仿宋" w:eastAsia="仿宋" w:cs="STSong-Light"/>
          <w:color w:val="000000" w:themeColor="text1"/>
          <w:kern w:val="0"/>
          <w:sz w:val="32"/>
          <w:szCs w:val="32"/>
        </w:rPr>
        <w:t>井净水分公司智慧园区系统采购项目的承包单位，承包内容为询价文件所规定的发包内容，报价为人民币×拾×万×仟×佰元（￥元）。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rPr>
      </w:pPr>
      <w:r>
        <w:rPr>
          <w:rFonts w:hint="eastAsia" w:ascii="仿宋" w:hAnsi="仿宋" w:eastAsia="仿宋" w:cs="STSong-Light"/>
          <w:color w:val="000000" w:themeColor="text1"/>
          <w:kern w:val="0"/>
          <w:sz w:val="32"/>
          <w:szCs w:val="32"/>
        </w:rPr>
        <w:t>其中：</w:t>
      </w:r>
    </w:p>
    <w:p>
      <w:pPr>
        <w:autoSpaceDE w:val="0"/>
        <w:autoSpaceDN w:val="0"/>
        <w:adjustRightInd w:val="0"/>
        <w:spacing w:after="500"/>
        <w:jc w:val="left"/>
        <w:rPr>
          <w:rFonts w:ascii="仿宋" w:hAnsi="仿宋" w:eastAsia="仿宋" w:cs="STSong-Light"/>
          <w:color w:val="000000" w:themeColor="text1"/>
          <w:kern w:val="0"/>
          <w:sz w:val="32"/>
          <w:szCs w:val="32"/>
        </w:rPr>
      </w:pPr>
      <w:r>
        <w:rPr>
          <w:rFonts w:ascii="仿宋" w:hAnsi="仿宋" w:eastAsia="仿宋" w:cs="STSong-Light"/>
          <w:color w:val="000000" w:themeColor="text1"/>
          <w:kern w:val="0"/>
          <w:sz w:val="32"/>
          <w:szCs w:val="32"/>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rPr>
      </w:pPr>
      <w:r>
        <w:rPr>
          <w:rFonts w:hint="eastAsia" w:ascii="仿宋" w:hAnsi="仿宋" w:eastAsia="仿宋" w:cs="STSong-Light"/>
          <w:color w:val="000000" w:themeColor="text1"/>
          <w:kern w:val="0"/>
          <w:sz w:val="32"/>
          <w:szCs w:val="32"/>
        </w:rPr>
        <w:t>发包单位（盖章）：</w:t>
      </w:r>
    </w:p>
    <w:p>
      <w:pPr>
        <w:autoSpaceDE w:val="0"/>
        <w:autoSpaceDN w:val="0"/>
        <w:adjustRightInd w:val="0"/>
        <w:spacing w:after="200"/>
        <w:jc w:val="left"/>
        <w:rPr>
          <w:rFonts w:ascii="仿宋" w:hAnsi="仿宋" w:eastAsia="仿宋" w:cs="STSong-Light"/>
          <w:color w:val="000000" w:themeColor="text1"/>
          <w:kern w:val="0"/>
          <w:sz w:val="32"/>
          <w:szCs w:val="32"/>
        </w:rPr>
      </w:pPr>
      <w:r>
        <w:rPr>
          <w:rFonts w:ascii="仿宋" w:hAnsi="仿宋" w:eastAsia="仿宋" w:cs="STSong-Light"/>
          <w:color w:val="000000" w:themeColor="text1"/>
          <w:kern w:val="0"/>
          <w:sz w:val="32"/>
          <w:szCs w:val="32"/>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3"/>
      </w:pPr>
      <w:r>
        <w:rPr>
          <w:rFonts w:hint="eastAsia"/>
        </w:rPr>
        <w:t>第四部分 合同书格式</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400" w:lineRule="atLeast"/>
        <w:jc w:val="center"/>
        <w:rPr>
          <w:rFonts w:ascii="宋体" w:hAnsi="宋体"/>
          <w:b/>
          <w:sz w:val="48"/>
          <w:szCs w:val="48"/>
        </w:rPr>
      </w:pPr>
      <w:r>
        <w:rPr>
          <w:rFonts w:hint="eastAsia" w:ascii="宋体" w:hAnsi="宋体"/>
          <w:b/>
          <w:sz w:val="48"/>
          <w:szCs w:val="48"/>
        </w:rPr>
        <w:t>广州市净水有限公司</w:t>
      </w:r>
    </w:p>
    <w:p>
      <w:pPr>
        <w:spacing w:line="400" w:lineRule="atLeast"/>
        <w:jc w:val="center"/>
        <w:rPr>
          <w:rFonts w:ascii="宋体" w:hAnsi="宋体"/>
          <w:b/>
          <w:sz w:val="48"/>
          <w:szCs w:val="48"/>
        </w:rPr>
      </w:pPr>
      <w:r>
        <w:rPr>
          <w:rFonts w:hint="eastAsia" w:ascii="宋体" w:hAnsi="宋体"/>
          <w:b/>
          <w:sz w:val="48"/>
          <w:szCs w:val="48"/>
        </w:rPr>
        <w:t>消防设施维保服务合同</w:t>
      </w:r>
    </w:p>
    <w:p>
      <w:pPr>
        <w:spacing w:after="160" w:line="480" w:lineRule="auto"/>
        <w:jc w:val="center"/>
        <w:rPr>
          <w:rFonts w:ascii="宋体" w:hAnsi="宋体" w:cs="宋体"/>
          <w:sz w:val="30"/>
          <w:szCs w:val="30"/>
        </w:rPr>
      </w:pPr>
    </w:p>
    <w:p>
      <w:pPr>
        <w:spacing w:after="160" w:line="480" w:lineRule="auto"/>
        <w:jc w:val="center"/>
        <w:rPr>
          <w:rFonts w:ascii="宋体" w:hAnsi="宋体" w:cs="宋体"/>
          <w:sz w:val="30"/>
          <w:szCs w:val="30"/>
        </w:rPr>
      </w:pPr>
    </w:p>
    <w:p>
      <w:pPr>
        <w:spacing w:after="160" w:line="480" w:lineRule="auto"/>
        <w:rPr>
          <w:rFonts w:ascii="宋体" w:hAnsi="宋体" w:cs="宋体"/>
          <w:b/>
          <w:bCs/>
          <w:sz w:val="30"/>
          <w:szCs w:val="30"/>
        </w:rPr>
      </w:pPr>
      <w:r>
        <w:rPr>
          <w:rFonts w:hint="eastAsia" w:ascii="宋体" w:hAnsi="宋体" w:cs="宋体"/>
          <w:b/>
          <w:bCs/>
          <w:sz w:val="30"/>
          <w:szCs w:val="30"/>
        </w:rPr>
        <w:t>项目名称：2021年广州市净水公司消防设施维保项目</w:t>
      </w:r>
    </w:p>
    <w:p>
      <w:pPr>
        <w:spacing w:after="160" w:line="480" w:lineRule="auto"/>
        <w:rPr>
          <w:rFonts w:ascii="宋体" w:hAnsi="宋体" w:cs="宋体"/>
          <w:b/>
          <w:bCs/>
          <w:sz w:val="30"/>
        </w:rPr>
      </w:pPr>
    </w:p>
    <w:p>
      <w:pPr>
        <w:spacing w:after="160"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spacing w:after="160" w:line="480" w:lineRule="auto"/>
        <w:rPr>
          <w:rFonts w:ascii="宋体" w:hAnsi="宋体" w:cs="宋体"/>
          <w:b/>
          <w:bCs/>
          <w:sz w:val="30"/>
        </w:rPr>
      </w:pPr>
    </w:p>
    <w:p>
      <w:pPr>
        <w:spacing w:after="160" w:line="480" w:lineRule="auto"/>
        <w:rPr>
          <w:rFonts w:ascii="宋体" w:hAnsi="宋体" w:cs="宋体"/>
          <w:b/>
          <w:bCs/>
          <w:sz w:val="30"/>
        </w:rPr>
      </w:pPr>
      <w:r>
        <w:rPr>
          <w:rFonts w:hint="eastAsia" w:ascii="宋体" w:hAnsi="宋体" w:cs="宋体"/>
          <w:b/>
          <w:bCs/>
          <w:sz w:val="30"/>
        </w:rPr>
        <w:t>甲方：广州市净水有限公司</w:t>
      </w:r>
    </w:p>
    <w:p>
      <w:pPr>
        <w:spacing w:after="160" w:line="480" w:lineRule="auto"/>
        <w:rPr>
          <w:rFonts w:ascii="宋体" w:hAnsi="宋体" w:cs="宋体"/>
          <w:b/>
          <w:bCs/>
          <w:sz w:val="30"/>
        </w:rPr>
      </w:pPr>
      <w:r>
        <w:rPr>
          <w:rFonts w:hint="eastAsia" w:ascii="宋体" w:hAnsi="宋体" w:cs="宋体"/>
          <w:b/>
          <w:bCs/>
          <w:sz w:val="30"/>
        </w:rPr>
        <w:t>乙方：</w:t>
      </w:r>
    </w:p>
    <w:p>
      <w:pPr>
        <w:spacing w:after="160" w:line="480" w:lineRule="auto"/>
        <w:ind w:firstLine="2409" w:firstLineChars="800"/>
        <w:rPr>
          <w:rFonts w:ascii="宋体" w:hAnsi="宋体" w:cs="宋体"/>
          <w:b/>
          <w:bCs/>
          <w:sz w:val="30"/>
        </w:rPr>
      </w:pPr>
    </w:p>
    <w:p>
      <w:pPr>
        <w:spacing w:after="160" w:line="480" w:lineRule="auto"/>
        <w:rPr>
          <w:rFonts w:ascii="宋体" w:hAnsi="宋体" w:cs="宋体"/>
          <w:b/>
          <w:bCs/>
          <w:sz w:val="30"/>
        </w:rPr>
      </w:pPr>
      <w:r>
        <w:rPr>
          <w:rFonts w:hint="eastAsia" w:ascii="宋体" w:hAnsi="宋体" w:cs="宋体"/>
          <w:b/>
          <w:bCs/>
          <w:sz w:val="30"/>
        </w:rPr>
        <w:t>签订日期：    年  月  日</w:t>
      </w:r>
    </w:p>
    <w:p>
      <w:pPr>
        <w:spacing w:after="160" w:line="480" w:lineRule="auto"/>
        <w:rPr>
          <w:rFonts w:ascii="宋体" w:hAnsi="宋体" w:cs="宋体"/>
          <w:b/>
          <w:bCs/>
          <w:sz w:val="30"/>
        </w:rPr>
      </w:pPr>
      <w:r>
        <w:rPr>
          <w:rFonts w:hint="eastAsia" w:ascii="宋体" w:hAnsi="宋体" w:cs="宋体"/>
          <w:b/>
          <w:bCs/>
          <w:sz w:val="30"/>
        </w:rPr>
        <w:t>签约地点：广州市</w:t>
      </w:r>
    </w:p>
    <w:p>
      <w:pPr>
        <w:widowControl/>
        <w:jc w:val="left"/>
        <w:rPr>
          <w:b/>
          <w:sz w:val="28"/>
          <w:szCs w:val="28"/>
        </w:rPr>
      </w:pPr>
      <w:r>
        <w:rPr>
          <w:b/>
          <w:sz w:val="28"/>
          <w:szCs w:val="28"/>
        </w:rPr>
        <w:br w:type="page"/>
      </w:r>
    </w:p>
    <w:p>
      <w:pPr>
        <w:spacing w:line="384" w:lineRule="auto"/>
        <w:ind w:firstLine="482"/>
        <w:rPr>
          <w:rFonts w:ascii="宋体" w:hAnsi="宋体" w:cs="宋体"/>
          <w:bCs/>
          <w:sz w:val="24"/>
        </w:rPr>
      </w:pPr>
      <w:r>
        <w:rPr>
          <w:rFonts w:hint="eastAsia" w:ascii="宋体" w:hAnsi="宋体" w:cs="宋体"/>
          <w:bCs/>
          <w:sz w:val="24"/>
        </w:rPr>
        <w:t>根据《中华人民共和国合同法》、《中华人民共和国消防法》和《广东省消防条例》等规定，</w:t>
      </w:r>
      <w:r>
        <w:rPr>
          <w:rFonts w:hint="eastAsia" w:ascii="宋体" w:hAnsi="宋体" w:cs="宋体"/>
          <w:bCs/>
          <w:sz w:val="24"/>
          <w:u w:val="single"/>
        </w:rPr>
        <w:t>广州市净水有限公司</w:t>
      </w:r>
      <w:r>
        <w:rPr>
          <w:rFonts w:hint="eastAsia" w:ascii="宋体" w:hAnsi="宋体" w:cs="宋体"/>
          <w:bCs/>
          <w:sz w:val="24"/>
        </w:rPr>
        <w:t xml:space="preserve"> （以下简称“甲方”）与（以下简称“乙方”）就2021年消防设施维保项目承接工作事宜，遵循平等、自愿、公平和诚实信用的原则，双方协商一致，订立本合同。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第二条服务内容</w:t>
      </w:r>
    </w:p>
    <w:p>
      <w:pPr>
        <w:spacing w:line="384" w:lineRule="auto"/>
        <w:ind w:firstLine="480"/>
        <w:rPr>
          <w:rFonts w:ascii="宋体" w:hAnsi="宋体" w:cs="宋体"/>
          <w:bCs/>
          <w:sz w:val="24"/>
        </w:rPr>
      </w:pPr>
      <w:r>
        <w:rPr>
          <w:rFonts w:hint="eastAsia" w:ascii="宋体" w:hAnsi="宋体" w:cs="宋体"/>
          <w:bCs/>
          <w:sz w:val="24"/>
        </w:rPr>
        <w:t>2.1乙方应按照国家颁布的消防规范、法规和《建筑消防设施维修保养规程》（DBJ/T 1620-2019）要求，做好定期维护保养工作，使甲方消防设施系统长期处于正常工作状态。</w:t>
      </w:r>
    </w:p>
    <w:p>
      <w:pPr>
        <w:spacing w:line="384" w:lineRule="auto"/>
        <w:ind w:firstLine="480"/>
        <w:rPr>
          <w:rFonts w:ascii="宋体" w:hAnsi="宋体" w:cs="宋体"/>
          <w:bCs/>
          <w:sz w:val="24"/>
        </w:rPr>
      </w:pPr>
      <w:r>
        <w:rPr>
          <w:rFonts w:hint="eastAsia" w:ascii="宋体" w:hAnsi="宋体" w:cs="宋体"/>
          <w:bCs/>
          <w:sz w:val="24"/>
        </w:rPr>
        <w:t>2.2乙方应安排至少2名持有消防设施检测维修保养方向消防设施操作员资格证或消防构筑物消防员资格证（其中至少有1名持有中级以上资格证）的技术人员对甲方消防系统进行巡检、维护和保养。</w:t>
      </w:r>
    </w:p>
    <w:p>
      <w:pPr>
        <w:spacing w:line="384" w:lineRule="auto"/>
        <w:ind w:firstLine="480"/>
        <w:rPr>
          <w:rFonts w:ascii="宋体" w:hAnsi="宋体" w:cs="宋体"/>
          <w:bCs/>
          <w:sz w:val="24"/>
        </w:rPr>
      </w:pPr>
      <w:r>
        <w:rPr>
          <w:rFonts w:hint="eastAsia" w:ascii="宋体" w:hAnsi="宋体" w:cs="宋体"/>
          <w:bCs/>
          <w:sz w:val="24"/>
        </w:rPr>
        <w:t>2.4乙方应按维保需求列表每月/每季度实施消防设施维护保养工作，每月对主要消防设备进行检查保养，其他消防设备按每季度25%以上的覆盖率开展维保工作，并在维护保养工作结束后2个工作日内向甲方提供维护保养检测记录。</w:t>
      </w:r>
    </w:p>
    <w:p>
      <w:pPr>
        <w:spacing w:line="384" w:lineRule="auto"/>
        <w:ind w:firstLine="480"/>
        <w:rPr>
          <w:rFonts w:ascii="宋体" w:hAnsi="宋体" w:cs="宋体"/>
          <w:bCs/>
          <w:sz w:val="24"/>
        </w:rPr>
      </w:pPr>
      <w:r>
        <w:rPr>
          <w:rFonts w:hint="eastAsia" w:ascii="宋体" w:hAnsi="宋体" w:cs="宋体"/>
          <w:bCs/>
          <w:sz w:val="24"/>
        </w:rPr>
        <w:t>2.5乙方每年对承担维修保养的建筑消防设施至少进行一次全面检查测试，设备检测维护保养覆盖率应为100%，并在维护保养工作结束后2个工作日内向甲方提供年检报告。</w:t>
      </w:r>
    </w:p>
    <w:p>
      <w:pPr>
        <w:spacing w:line="384" w:lineRule="auto"/>
        <w:ind w:firstLine="480"/>
        <w:rPr>
          <w:rFonts w:ascii="宋体" w:hAnsi="宋体" w:cs="宋体"/>
          <w:bCs/>
          <w:sz w:val="24"/>
        </w:rPr>
      </w:pPr>
      <w:r>
        <w:rPr>
          <w:rFonts w:hint="eastAsia" w:ascii="宋体" w:hAnsi="宋体" w:cs="宋体"/>
          <w:bCs/>
          <w:sz w:val="24"/>
        </w:rPr>
        <w:t>2.6系统如发生老化或部件损坏，不能满足安全工作和系统运行的要求,乙方应及时向甲方提出意见。</w:t>
      </w:r>
    </w:p>
    <w:p>
      <w:pPr>
        <w:spacing w:line="384" w:lineRule="auto"/>
        <w:ind w:firstLine="480"/>
        <w:rPr>
          <w:rFonts w:ascii="宋体" w:hAnsi="宋体" w:cs="宋体"/>
          <w:bCs/>
          <w:sz w:val="24"/>
        </w:rPr>
      </w:pPr>
      <w:r>
        <w:rPr>
          <w:rFonts w:hint="eastAsia" w:ascii="宋体" w:hAnsi="宋体" w:cs="宋体"/>
          <w:bCs/>
          <w:sz w:val="24"/>
        </w:rPr>
        <w:t>2.7乙方在检查、巡检中发现建筑消防设施存在问题，或接到甲方通知要求维修的，能够当场修复的应当立即修复解决；没有条件立即修复解决，乙方应当在24小时内组织维修，尽快排除故障。</w:t>
      </w:r>
    </w:p>
    <w:p>
      <w:pPr>
        <w:spacing w:line="384" w:lineRule="auto"/>
        <w:ind w:firstLine="480"/>
        <w:rPr>
          <w:rFonts w:ascii="宋体" w:hAnsi="宋体" w:cs="宋体"/>
          <w:bCs/>
          <w:sz w:val="24"/>
        </w:rPr>
      </w:pPr>
      <w:r>
        <w:rPr>
          <w:rFonts w:hint="eastAsia" w:ascii="宋体" w:hAnsi="宋体" w:cs="宋体"/>
          <w:bCs/>
          <w:sz w:val="24"/>
        </w:rPr>
        <w:t>2.6由乙方承担更换价格在100元以内的存在故障的消防零部件；超过100元的，由乙方向甲方提出建议，经甲方确定同意后再予购买，费用由甲方承担，或由甲方自行采购;乙方负责设备材料的更换和系统调试,更换部件应经甲方批准并做相应记录。</w:t>
      </w:r>
    </w:p>
    <w:p>
      <w:pPr>
        <w:spacing w:line="560" w:lineRule="exact"/>
        <w:ind w:firstLine="480" w:firstLineChars="200"/>
        <w:rPr>
          <w:rFonts w:ascii="仿宋_GB2312" w:eastAsia="仿宋_GB2312"/>
          <w:sz w:val="28"/>
          <w:szCs w:val="28"/>
        </w:rPr>
      </w:pPr>
      <w:r>
        <w:rPr>
          <w:rFonts w:hint="eastAsia" w:ascii="宋体" w:hAnsi="宋体" w:cs="宋体"/>
          <w:bCs/>
          <w:sz w:val="24"/>
        </w:rPr>
        <w:t>2.7甲方发生突发火警、设备故障等情况，乙方提供24小时现场应急服务。</w:t>
      </w:r>
    </w:p>
    <w:p>
      <w:pPr>
        <w:spacing w:line="384" w:lineRule="auto"/>
        <w:ind w:firstLine="482" w:firstLineChars="200"/>
        <w:rPr>
          <w:rFonts w:ascii="宋体" w:hAnsi="宋体" w:cs="宋体"/>
          <w:b/>
          <w:bCs/>
          <w:sz w:val="24"/>
        </w:rPr>
      </w:pPr>
    </w:p>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adjustRightInd w:val="0"/>
        <w:snapToGrid w:val="0"/>
        <w:spacing w:after="160" w:line="460" w:lineRule="exact"/>
        <w:ind w:firstLine="420" w:firstLineChars="200"/>
        <w:rPr>
          <w:rFonts w:ascii="宋体" w:hAnsi="宋体" w:cs="宋体"/>
          <w:sz w:val="24"/>
        </w:rPr>
      </w:pPr>
      <w:r>
        <w:rPr>
          <w:rFonts w:hint="eastAsia" w:ascii="宋体" w:hAnsi="宋体" w:cs="宋体"/>
          <w:szCs w:val="21"/>
        </w:rPr>
        <w:sym w:font="Wingdings 2" w:char="F052"/>
      </w:r>
      <w:r>
        <w:rPr>
          <w:rFonts w:hint="eastAsia" w:ascii="宋体" w:hAnsi="宋体" w:cs="宋体"/>
          <w:sz w:val="24"/>
        </w:rPr>
        <w:t>综合单价包干，按固定单次维保价格计算，以实际开展维保次数结算，合同履行期间国家税率调整的，不含税价不变，税价合计相应调整，以开具发票时间为准。</w:t>
      </w:r>
    </w:p>
    <w:p>
      <w:pPr>
        <w:widowControl/>
        <w:ind w:firstLine="420" w:firstLineChars="200"/>
        <w:jc w:val="left"/>
        <w:rPr>
          <w:rFonts w:ascii="宋体" w:hAnsi="宋体" w:cs="宋体"/>
          <w:sz w:val="24"/>
        </w:rPr>
      </w:pPr>
      <w:r>
        <w:rPr>
          <w:rFonts w:hint="eastAsia" w:ascii="宋体" w:hAnsi="宋体" w:cs="宋体"/>
          <w:szCs w:val="21"/>
        </w:rPr>
        <w:t>□</w:t>
      </w:r>
      <w:r>
        <w:rPr>
          <w:rFonts w:hint="eastAsia" w:ascii="宋体" w:hAnsi="宋体" w:cs="宋体"/>
          <w:sz w:val="24"/>
        </w:rPr>
        <w:t>总价包干</w:t>
      </w:r>
    </w:p>
    <w:p>
      <w:pPr>
        <w:spacing w:line="384" w:lineRule="auto"/>
        <w:ind w:firstLine="482" w:firstLineChars="200"/>
        <w:rPr>
          <w:rFonts w:ascii="宋体" w:hAnsi="宋体" w:cs="宋体"/>
          <w:b/>
          <w:bCs/>
          <w:sz w:val="24"/>
        </w:rPr>
      </w:pPr>
    </w:p>
    <w:p>
      <w:pPr>
        <w:spacing w:line="384" w:lineRule="auto"/>
        <w:ind w:firstLine="482" w:firstLineChars="200"/>
        <w:rPr>
          <w:rFonts w:ascii="宋体" w:hAnsi="宋体" w:cs="宋体"/>
          <w:b/>
          <w:bCs/>
          <w:sz w:val="24"/>
        </w:rPr>
      </w:pPr>
      <w:r>
        <w:rPr>
          <w:rFonts w:hint="eastAsia" w:ascii="宋体" w:hAnsi="宋体" w:cs="宋体"/>
          <w:b/>
          <w:bCs/>
          <w:sz w:val="24"/>
        </w:rPr>
        <w:t>第四条 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合同价款按以下执行。</w:t>
      </w:r>
    </w:p>
    <w:p>
      <w:pPr>
        <w:spacing w:line="384" w:lineRule="auto"/>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人民币元</w:t>
      </w:r>
      <w:r>
        <w:rPr>
          <w:rFonts w:hint="eastAsia" w:ascii="宋体" w:hAnsi="宋体" w:cs="宋体"/>
          <w:sz w:val="24"/>
        </w:rPr>
        <w:t>（大写</w:t>
      </w:r>
      <w:r>
        <w:rPr>
          <w:rFonts w:ascii="宋体" w:hAnsi="宋体" w:cs="宋体"/>
          <w:sz w:val="24"/>
        </w:rPr>
        <w:t>:</w:t>
      </w:r>
      <w:r>
        <w:rPr>
          <w:rFonts w:hint="eastAsia" w:ascii="宋体" w:hAnsi="宋体" w:cs="宋体"/>
          <w:sz w:val="24"/>
        </w:rPr>
        <w:t>）。若合同结算价超合同暂定总价，双方另行签订补充协议。</w:t>
      </w:r>
    </w:p>
    <w:tbl>
      <w:tblPr>
        <w:tblStyle w:val="15"/>
        <w:tblW w:w="888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93"/>
        <w:gridCol w:w="708"/>
        <w:gridCol w:w="1299"/>
        <w:gridCol w:w="1236"/>
        <w:gridCol w:w="1236"/>
        <w:gridCol w:w="1236"/>
        <w:gridCol w:w="1236"/>
        <w:gridCol w:w="12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序号</w:t>
            </w:r>
          </w:p>
        </w:tc>
        <w:tc>
          <w:tcPr>
            <w:tcW w:w="2007" w:type="dxa"/>
            <w:gridSpan w:val="2"/>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单位名称</w:t>
            </w:r>
          </w:p>
          <w:p>
            <w:pPr>
              <w:widowControl/>
              <w:jc w:val="center"/>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（维保范围）</w:t>
            </w:r>
          </w:p>
        </w:tc>
        <w:tc>
          <w:tcPr>
            <w:tcW w:w="1236" w:type="dxa"/>
            <w:vAlign w:val="center"/>
          </w:tcPr>
          <w:p>
            <w:pPr>
              <w:spacing w:line="384" w:lineRule="auto"/>
              <w:jc w:val="center"/>
              <w:rPr>
                <w:rFonts w:ascii="宋体" w:hAnsi="宋体" w:cs="宋体"/>
                <w:b/>
                <w:sz w:val="24"/>
                <w:szCs w:val="24"/>
              </w:rPr>
            </w:pPr>
            <w:r>
              <w:rPr>
                <w:rFonts w:hint="eastAsia" w:ascii="宋体" w:hAnsi="宋体" w:cs="宋体"/>
                <w:b/>
                <w:sz w:val="24"/>
                <w:szCs w:val="24"/>
              </w:rPr>
              <w:t>单次维保费用</w:t>
            </w:r>
          </w:p>
          <w:p>
            <w:pPr>
              <w:spacing w:line="384" w:lineRule="auto"/>
              <w:jc w:val="center"/>
              <w:rPr>
                <w:rFonts w:ascii="宋体" w:hAnsi="宋体" w:cs="宋体"/>
                <w:b/>
                <w:sz w:val="24"/>
                <w:szCs w:val="24"/>
              </w:rPr>
            </w:pPr>
            <w:r>
              <w:rPr>
                <w:rFonts w:hint="eastAsia" w:ascii="宋体" w:hAnsi="宋体" w:cs="宋体"/>
                <w:b/>
                <w:sz w:val="24"/>
                <w:szCs w:val="24"/>
              </w:rPr>
              <w:t>不含税（万元）</w:t>
            </w:r>
          </w:p>
        </w:tc>
        <w:tc>
          <w:tcPr>
            <w:tcW w:w="1236" w:type="dxa"/>
            <w:vAlign w:val="center"/>
          </w:tcPr>
          <w:p>
            <w:pPr>
              <w:spacing w:line="384" w:lineRule="auto"/>
              <w:jc w:val="center"/>
              <w:rPr>
                <w:rFonts w:ascii="宋体" w:hAnsi="宋体" w:cs="宋体"/>
                <w:b/>
                <w:sz w:val="24"/>
                <w:szCs w:val="24"/>
              </w:rPr>
            </w:pPr>
            <w:r>
              <w:rPr>
                <w:rFonts w:hint="eastAsia" w:ascii="宋体" w:hAnsi="宋体" w:cs="宋体"/>
                <w:b/>
                <w:sz w:val="24"/>
                <w:szCs w:val="24"/>
              </w:rPr>
              <w:t>单次维保费用</w:t>
            </w:r>
          </w:p>
          <w:p>
            <w:pPr>
              <w:spacing w:line="384" w:lineRule="auto"/>
              <w:jc w:val="center"/>
              <w:rPr>
                <w:rFonts w:ascii="宋体" w:hAnsi="宋体" w:cs="宋体"/>
                <w:b/>
                <w:sz w:val="24"/>
                <w:szCs w:val="24"/>
              </w:rPr>
            </w:pPr>
            <w:r>
              <w:rPr>
                <w:rFonts w:hint="eastAsia" w:ascii="宋体" w:hAnsi="宋体" w:cs="宋体"/>
                <w:b/>
                <w:sz w:val="24"/>
                <w:szCs w:val="24"/>
              </w:rPr>
              <w:t>含税（万元）</w:t>
            </w:r>
          </w:p>
        </w:tc>
        <w:tc>
          <w:tcPr>
            <w:tcW w:w="1236" w:type="dxa"/>
            <w:vAlign w:val="center"/>
          </w:tcPr>
          <w:p>
            <w:pPr>
              <w:spacing w:line="384" w:lineRule="auto"/>
              <w:jc w:val="center"/>
              <w:rPr>
                <w:rFonts w:ascii="宋体" w:hAnsi="宋体" w:cs="宋体"/>
                <w:b/>
                <w:sz w:val="24"/>
                <w:szCs w:val="24"/>
              </w:rPr>
            </w:pPr>
            <w:r>
              <w:rPr>
                <w:rFonts w:hint="eastAsia" w:ascii="宋体" w:hAnsi="宋体" w:cs="宋体"/>
                <w:b/>
                <w:sz w:val="24"/>
                <w:szCs w:val="24"/>
              </w:rPr>
              <w:t>暂定维保次数</w:t>
            </w:r>
          </w:p>
        </w:tc>
        <w:tc>
          <w:tcPr>
            <w:tcW w:w="1236" w:type="dxa"/>
            <w:vAlign w:val="center"/>
          </w:tcPr>
          <w:p>
            <w:pPr>
              <w:spacing w:line="384" w:lineRule="auto"/>
              <w:jc w:val="center"/>
              <w:rPr>
                <w:rFonts w:ascii="宋体" w:hAnsi="宋体" w:cs="宋体"/>
                <w:b/>
                <w:sz w:val="24"/>
                <w:szCs w:val="24"/>
              </w:rPr>
            </w:pPr>
            <w:r>
              <w:rPr>
                <w:rFonts w:hint="eastAsia" w:ascii="宋体" w:hAnsi="宋体" w:cs="宋体"/>
                <w:b/>
                <w:sz w:val="24"/>
                <w:szCs w:val="24"/>
              </w:rPr>
              <w:t>暂定总价</w:t>
            </w:r>
          </w:p>
          <w:p>
            <w:pPr>
              <w:spacing w:line="384" w:lineRule="auto"/>
              <w:jc w:val="center"/>
              <w:rPr>
                <w:rFonts w:ascii="宋体" w:hAnsi="宋体" w:cs="宋体"/>
                <w:b/>
                <w:sz w:val="24"/>
                <w:szCs w:val="24"/>
              </w:rPr>
            </w:pPr>
            <w:r>
              <w:rPr>
                <w:rFonts w:hint="eastAsia" w:ascii="宋体" w:hAnsi="宋体" w:cs="宋体"/>
                <w:b/>
                <w:sz w:val="24"/>
                <w:szCs w:val="24"/>
              </w:rPr>
              <w:t>不含税（万元）</w:t>
            </w:r>
          </w:p>
        </w:tc>
        <w:tc>
          <w:tcPr>
            <w:tcW w:w="1236" w:type="dxa"/>
            <w:vAlign w:val="center"/>
          </w:tcPr>
          <w:p>
            <w:pPr>
              <w:spacing w:line="384" w:lineRule="auto"/>
              <w:jc w:val="center"/>
              <w:rPr>
                <w:rFonts w:ascii="宋体" w:hAnsi="宋体" w:cs="宋体"/>
                <w:b/>
                <w:sz w:val="24"/>
                <w:szCs w:val="24"/>
              </w:rPr>
            </w:pPr>
            <w:r>
              <w:rPr>
                <w:rFonts w:hint="eastAsia" w:ascii="宋体" w:hAnsi="宋体" w:cs="宋体"/>
                <w:b/>
                <w:sz w:val="24"/>
                <w:szCs w:val="24"/>
              </w:rPr>
              <w:t>暂定总价</w:t>
            </w:r>
          </w:p>
          <w:p>
            <w:pPr>
              <w:spacing w:line="384" w:lineRule="auto"/>
              <w:jc w:val="center"/>
              <w:rPr>
                <w:rFonts w:ascii="宋体" w:hAnsi="宋体" w:cs="宋体"/>
                <w:b/>
                <w:sz w:val="24"/>
                <w:szCs w:val="24"/>
              </w:rPr>
            </w:pPr>
            <w:r>
              <w:rPr>
                <w:rFonts w:hint="eastAsia" w:ascii="宋体" w:hAnsi="宋体" w:cs="宋体"/>
                <w:b/>
                <w:sz w:val="24"/>
                <w:szCs w:val="24"/>
              </w:rPr>
              <w:t>含税（万元）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公司本部</w:t>
            </w:r>
          </w:p>
        </w:tc>
        <w:tc>
          <w:tcPr>
            <w:tcW w:w="1236" w:type="dxa"/>
            <w:vAlign w:val="center"/>
          </w:tcPr>
          <w:p>
            <w:pPr>
              <w:spacing w:line="384" w:lineRule="auto"/>
              <w:jc w:val="center"/>
              <w:rPr>
                <w:rFonts w:ascii="宋体" w:hAnsi="宋体" w:cs="宋体"/>
                <w:sz w:val="24"/>
                <w:szCs w:val="24"/>
              </w:rPr>
            </w:pPr>
          </w:p>
        </w:tc>
        <w:tc>
          <w:tcPr>
            <w:tcW w:w="1236" w:type="dxa"/>
            <w:vAlign w:val="center"/>
          </w:tcPr>
          <w:p>
            <w:pPr>
              <w:spacing w:line="384" w:lineRule="auto"/>
              <w:jc w:val="center"/>
              <w:rPr>
                <w:rFonts w:ascii="宋体" w:hAnsi="宋体" w:cs="宋体"/>
                <w:sz w:val="24"/>
                <w:szCs w:val="24"/>
              </w:rPr>
            </w:pPr>
          </w:p>
        </w:tc>
        <w:tc>
          <w:tcPr>
            <w:tcW w:w="1236" w:type="dxa"/>
            <w:vAlign w:val="center"/>
          </w:tcPr>
          <w:p>
            <w:pPr>
              <w:spacing w:line="384" w:lineRule="auto"/>
              <w:jc w:val="center"/>
              <w:rPr>
                <w:rFonts w:ascii="宋体" w:hAnsi="宋体" w:cs="宋体"/>
                <w:sz w:val="24"/>
                <w:szCs w:val="24"/>
              </w:rPr>
            </w:pPr>
            <w:r>
              <w:rPr>
                <w:rFonts w:hint="eastAsia" w:ascii="宋体" w:hAnsi="宋体" w:cs="宋体"/>
                <w:sz w:val="24"/>
                <w:szCs w:val="24"/>
              </w:rPr>
              <w:t>12</w:t>
            </w:r>
          </w:p>
        </w:tc>
        <w:tc>
          <w:tcPr>
            <w:tcW w:w="1236" w:type="dxa"/>
            <w:vAlign w:val="center"/>
          </w:tcPr>
          <w:p>
            <w:pPr>
              <w:spacing w:line="384" w:lineRule="auto"/>
              <w:jc w:val="center"/>
              <w:rPr>
                <w:rFonts w:ascii="宋体" w:hAnsi="宋体" w:cs="宋体"/>
                <w:sz w:val="24"/>
                <w:szCs w:val="24"/>
              </w:rPr>
            </w:pPr>
          </w:p>
        </w:tc>
        <w:tc>
          <w:tcPr>
            <w:tcW w:w="1236" w:type="dxa"/>
            <w:vAlign w:val="center"/>
          </w:tcPr>
          <w:p>
            <w:pPr>
              <w:spacing w:line="384" w:lineRule="auto"/>
              <w:jc w:val="center"/>
              <w:rPr>
                <w:rFonts w:ascii="宋体" w:hAnsi="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大坦沙</w:t>
            </w:r>
          </w:p>
        </w:tc>
        <w:tc>
          <w:tcPr>
            <w:tcW w:w="1236" w:type="dxa"/>
          </w:tcPr>
          <w:p>
            <w:pPr>
              <w:spacing w:line="384" w:lineRule="auto"/>
              <w:rPr>
                <w:rFonts w:ascii="宋体" w:hAnsi="宋体" w:cs="宋体"/>
                <w:sz w:val="24"/>
                <w:szCs w:val="24"/>
              </w:rPr>
            </w:pPr>
          </w:p>
        </w:tc>
        <w:tc>
          <w:tcPr>
            <w:tcW w:w="1236" w:type="dxa"/>
          </w:tcPr>
          <w:p>
            <w:pPr>
              <w:spacing w:line="384" w:lineRule="auto"/>
              <w:rPr>
                <w:rFonts w:ascii="宋体" w:hAnsi="宋体" w:cs="宋体"/>
                <w:sz w:val="24"/>
                <w:szCs w:val="24"/>
              </w:rPr>
            </w:pPr>
          </w:p>
        </w:tc>
        <w:tc>
          <w:tcPr>
            <w:tcW w:w="1236" w:type="dxa"/>
            <w:vAlign w:val="bottom"/>
          </w:tcPr>
          <w:p>
            <w:pPr>
              <w:spacing w:line="384" w:lineRule="auto"/>
              <w:jc w:val="center"/>
              <w:rPr>
                <w:rFonts w:ascii="宋体" w:hAnsi="宋体" w:cs="宋体"/>
                <w:sz w:val="24"/>
                <w:szCs w:val="24"/>
              </w:rPr>
            </w:pPr>
            <w:r>
              <w:rPr>
                <w:rFonts w:hint="eastAsia" w:ascii="宋体" w:hAnsi="宋体" w:cs="宋体"/>
                <w:sz w:val="24"/>
                <w:szCs w:val="24"/>
              </w:rPr>
              <w:t>4</w:t>
            </w:r>
          </w:p>
        </w:tc>
        <w:tc>
          <w:tcPr>
            <w:tcW w:w="1236" w:type="dxa"/>
          </w:tcPr>
          <w:p>
            <w:pPr>
              <w:spacing w:line="384" w:lineRule="auto"/>
              <w:rPr>
                <w:rFonts w:ascii="宋体" w:hAnsi="宋体" w:cs="宋体"/>
                <w:sz w:val="24"/>
                <w:szCs w:val="24"/>
              </w:rPr>
            </w:pPr>
          </w:p>
        </w:tc>
        <w:tc>
          <w:tcPr>
            <w:tcW w:w="1236" w:type="dxa"/>
          </w:tcPr>
          <w:p>
            <w:pPr>
              <w:spacing w:line="384" w:lineRule="auto"/>
              <w:rPr>
                <w:rFonts w:ascii="宋体" w:hAnsi="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猎德</w:t>
            </w:r>
          </w:p>
        </w:tc>
        <w:tc>
          <w:tcPr>
            <w:tcW w:w="1236" w:type="dxa"/>
          </w:tcPr>
          <w:p>
            <w:pPr>
              <w:spacing w:line="384" w:lineRule="auto"/>
              <w:rPr>
                <w:rFonts w:ascii="宋体" w:hAnsi="宋体" w:cs="宋体"/>
                <w:sz w:val="24"/>
                <w:szCs w:val="24"/>
              </w:rPr>
            </w:pPr>
          </w:p>
        </w:tc>
        <w:tc>
          <w:tcPr>
            <w:tcW w:w="1236" w:type="dxa"/>
          </w:tcPr>
          <w:p>
            <w:pPr>
              <w:spacing w:line="384" w:lineRule="auto"/>
              <w:rPr>
                <w:rFonts w:ascii="宋体" w:hAnsi="宋体" w:cs="宋体"/>
                <w:sz w:val="24"/>
                <w:szCs w:val="24"/>
              </w:rPr>
            </w:pPr>
          </w:p>
        </w:tc>
        <w:tc>
          <w:tcPr>
            <w:tcW w:w="1236" w:type="dxa"/>
            <w:vAlign w:val="bottom"/>
          </w:tcPr>
          <w:p>
            <w:pPr>
              <w:spacing w:line="384" w:lineRule="auto"/>
              <w:jc w:val="center"/>
              <w:rPr>
                <w:rFonts w:ascii="宋体" w:hAnsi="宋体" w:cs="宋体"/>
                <w:sz w:val="24"/>
                <w:szCs w:val="24"/>
              </w:rPr>
            </w:pPr>
            <w:r>
              <w:rPr>
                <w:rFonts w:hint="eastAsia" w:ascii="宋体" w:hAnsi="宋体" w:cs="宋体"/>
                <w:sz w:val="24"/>
                <w:szCs w:val="24"/>
              </w:rPr>
              <w:t>12</w:t>
            </w:r>
          </w:p>
        </w:tc>
        <w:tc>
          <w:tcPr>
            <w:tcW w:w="1236" w:type="dxa"/>
          </w:tcPr>
          <w:p>
            <w:pPr>
              <w:spacing w:line="384" w:lineRule="auto"/>
              <w:rPr>
                <w:rFonts w:ascii="宋体" w:hAnsi="宋体" w:cs="宋体"/>
                <w:sz w:val="24"/>
                <w:szCs w:val="24"/>
              </w:rPr>
            </w:pPr>
          </w:p>
        </w:tc>
        <w:tc>
          <w:tcPr>
            <w:tcW w:w="1236" w:type="dxa"/>
          </w:tcPr>
          <w:p>
            <w:pPr>
              <w:spacing w:line="384" w:lineRule="auto"/>
              <w:rPr>
                <w:rFonts w:ascii="宋体" w:hAnsi="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708" w:type="dxa"/>
            <w:vMerge w:val="restart"/>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沥滘</w:t>
            </w:r>
          </w:p>
        </w:tc>
        <w:tc>
          <w:tcPr>
            <w:tcW w:w="1299"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一二期</w:t>
            </w:r>
          </w:p>
        </w:tc>
        <w:tc>
          <w:tcPr>
            <w:tcW w:w="1236" w:type="dxa"/>
          </w:tcPr>
          <w:p>
            <w:pPr>
              <w:spacing w:line="384" w:lineRule="auto"/>
              <w:rPr>
                <w:rFonts w:ascii="宋体" w:hAnsi="宋体" w:cs="宋体"/>
                <w:sz w:val="24"/>
                <w:szCs w:val="24"/>
              </w:rPr>
            </w:pPr>
          </w:p>
        </w:tc>
        <w:tc>
          <w:tcPr>
            <w:tcW w:w="1236" w:type="dxa"/>
          </w:tcPr>
          <w:p>
            <w:pPr>
              <w:spacing w:line="384" w:lineRule="auto"/>
              <w:rPr>
                <w:rFonts w:ascii="宋体" w:hAnsi="宋体" w:cs="宋体"/>
                <w:sz w:val="24"/>
                <w:szCs w:val="24"/>
              </w:rPr>
            </w:pPr>
          </w:p>
        </w:tc>
        <w:tc>
          <w:tcPr>
            <w:tcW w:w="1236" w:type="dxa"/>
            <w:vAlign w:val="bottom"/>
          </w:tcPr>
          <w:p>
            <w:pPr>
              <w:spacing w:line="384" w:lineRule="auto"/>
              <w:jc w:val="center"/>
              <w:rPr>
                <w:rFonts w:ascii="宋体" w:hAnsi="宋体" w:cs="宋体"/>
                <w:sz w:val="24"/>
                <w:szCs w:val="24"/>
              </w:rPr>
            </w:pPr>
            <w:r>
              <w:rPr>
                <w:rFonts w:hint="eastAsia" w:ascii="宋体" w:hAnsi="宋体" w:cs="宋体"/>
                <w:sz w:val="24"/>
                <w:szCs w:val="24"/>
              </w:rPr>
              <w:t>12</w:t>
            </w:r>
          </w:p>
        </w:tc>
        <w:tc>
          <w:tcPr>
            <w:tcW w:w="1236" w:type="dxa"/>
          </w:tcPr>
          <w:p>
            <w:pPr>
              <w:spacing w:line="384" w:lineRule="auto"/>
              <w:rPr>
                <w:rFonts w:ascii="宋体" w:hAnsi="宋体" w:cs="宋体"/>
                <w:sz w:val="24"/>
                <w:szCs w:val="24"/>
              </w:rPr>
            </w:pPr>
          </w:p>
        </w:tc>
        <w:tc>
          <w:tcPr>
            <w:tcW w:w="1236" w:type="dxa"/>
          </w:tcPr>
          <w:p>
            <w:pPr>
              <w:spacing w:line="384" w:lineRule="auto"/>
              <w:rPr>
                <w:rFonts w:ascii="宋体" w:hAnsi="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708" w:type="dxa"/>
            <w:vMerge w:val="continue"/>
          </w:tcPr>
          <w:p>
            <w:pPr>
              <w:widowControl/>
              <w:jc w:val="center"/>
              <w:rPr>
                <w:rFonts w:ascii="宋体" w:hAnsi="宋体" w:eastAsia="宋体" w:cs="宋体"/>
                <w:color w:val="000000"/>
                <w:kern w:val="0"/>
                <w:sz w:val="24"/>
                <w:szCs w:val="24"/>
              </w:rPr>
            </w:pPr>
          </w:p>
        </w:tc>
        <w:tc>
          <w:tcPr>
            <w:tcW w:w="1299"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三期</w:t>
            </w:r>
          </w:p>
        </w:tc>
        <w:tc>
          <w:tcPr>
            <w:tcW w:w="1236" w:type="dxa"/>
          </w:tcPr>
          <w:p>
            <w:pPr>
              <w:spacing w:line="384" w:lineRule="auto"/>
              <w:rPr>
                <w:rFonts w:ascii="宋体" w:hAnsi="宋体" w:cs="宋体"/>
                <w:sz w:val="24"/>
                <w:szCs w:val="24"/>
              </w:rPr>
            </w:pPr>
          </w:p>
        </w:tc>
        <w:tc>
          <w:tcPr>
            <w:tcW w:w="1236" w:type="dxa"/>
          </w:tcPr>
          <w:p>
            <w:pPr>
              <w:spacing w:line="384" w:lineRule="auto"/>
              <w:rPr>
                <w:rFonts w:ascii="宋体" w:hAnsi="宋体" w:cs="宋体"/>
                <w:sz w:val="24"/>
                <w:szCs w:val="24"/>
              </w:rPr>
            </w:pPr>
          </w:p>
        </w:tc>
        <w:tc>
          <w:tcPr>
            <w:tcW w:w="1236" w:type="dxa"/>
            <w:vAlign w:val="bottom"/>
          </w:tcPr>
          <w:p>
            <w:pPr>
              <w:spacing w:line="384" w:lineRule="auto"/>
              <w:jc w:val="center"/>
              <w:rPr>
                <w:rFonts w:ascii="宋体" w:hAnsi="宋体" w:cs="宋体"/>
                <w:sz w:val="24"/>
                <w:szCs w:val="24"/>
              </w:rPr>
            </w:pPr>
            <w:r>
              <w:rPr>
                <w:rFonts w:hint="eastAsia" w:ascii="宋体" w:hAnsi="宋体" w:cs="宋体"/>
                <w:sz w:val="24"/>
                <w:szCs w:val="24"/>
              </w:rPr>
              <w:t>8</w:t>
            </w:r>
          </w:p>
        </w:tc>
        <w:tc>
          <w:tcPr>
            <w:tcW w:w="1236" w:type="dxa"/>
          </w:tcPr>
          <w:p>
            <w:pPr>
              <w:spacing w:line="384" w:lineRule="auto"/>
              <w:rPr>
                <w:rFonts w:ascii="宋体" w:hAnsi="宋体" w:cs="宋体"/>
                <w:sz w:val="24"/>
                <w:szCs w:val="24"/>
              </w:rPr>
            </w:pPr>
          </w:p>
        </w:tc>
        <w:tc>
          <w:tcPr>
            <w:tcW w:w="1236" w:type="dxa"/>
          </w:tcPr>
          <w:p>
            <w:pPr>
              <w:spacing w:line="384" w:lineRule="auto"/>
              <w:rPr>
                <w:rFonts w:ascii="宋体" w:hAnsi="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708" w:type="dxa"/>
            <w:vMerge w:val="restart"/>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龙归</w:t>
            </w:r>
          </w:p>
        </w:tc>
        <w:tc>
          <w:tcPr>
            <w:tcW w:w="1299"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一二期</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1</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708" w:type="dxa"/>
            <w:vMerge w:val="continue"/>
          </w:tcPr>
          <w:p>
            <w:pPr>
              <w:widowControl/>
              <w:jc w:val="center"/>
              <w:rPr>
                <w:rFonts w:ascii="宋体" w:hAnsi="宋体" w:eastAsia="宋体" w:cs="宋体"/>
                <w:color w:val="000000"/>
                <w:kern w:val="0"/>
                <w:sz w:val="24"/>
                <w:szCs w:val="24"/>
              </w:rPr>
            </w:pPr>
          </w:p>
        </w:tc>
        <w:tc>
          <w:tcPr>
            <w:tcW w:w="1299"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三期</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12</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竹料</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8</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石井</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4</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708" w:type="dxa"/>
            <w:vMerge w:val="restart"/>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石井净</w:t>
            </w:r>
          </w:p>
        </w:tc>
        <w:tc>
          <w:tcPr>
            <w:tcW w:w="1299"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一期</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12</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708" w:type="dxa"/>
            <w:vMerge w:val="continue"/>
          </w:tcPr>
          <w:p>
            <w:pPr>
              <w:widowControl/>
              <w:jc w:val="center"/>
              <w:rPr>
                <w:rFonts w:ascii="宋体" w:hAnsi="宋体" w:eastAsia="宋体" w:cs="宋体"/>
                <w:color w:val="000000"/>
                <w:kern w:val="0"/>
                <w:sz w:val="24"/>
                <w:szCs w:val="24"/>
              </w:rPr>
            </w:pPr>
          </w:p>
        </w:tc>
        <w:tc>
          <w:tcPr>
            <w:tcW w:w="1299"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二期</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6</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京溪</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12</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708" w:type="dxa"/>
            <w:vMerge w:val="restart"/>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大沙地</w:t>
            </w:r>
          </w:p>
        </w:tc>
        <w:tc>
          <w:tcPr>
            <w:tcW w:w="1299"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一期</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12</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708" w:type="dxa"/>
            <w:vMerge w:val="continue"/>
          </w:tcPr>
          <w:p>
            <w:pPr>
              <w:widowControl/>
              <w:jc w:val="center"/>
              <w:rPr>
                <w:rFonts w:ascii="宋体" w:hAnsi="宋体" w:eastAsia="宋体" w:cs="宋体"/>
                <w:color w:val="000000"/>
                <w:kern w:val="0"/>
                <w:sz w:val="24"/>
                <w:szCs w:val="24"/>
              </w:rPr>
            </w:pPr>
          </w:p>
        </w:tc>
        <w:tc>
          <w:tcPr>
            <w:tcW w:w="1299"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二期</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11</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江高</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12</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3"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健康城</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6</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大观</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6</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从化</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6</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西朗二期</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12</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水质中心</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2</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jc w:val="center"/>
        </w:trPr>
        <w:tc>
          <w:tcPr>
            <w:tcW w:w="6408" w:type="dxa"/>
            <w:gridSpan w:val="6"/>
          </w:tcPr>
          <w:p>
            <w:pPr>
              <w:spacing w:line="384" w:lineRule="auto"/>
              <w:jc w:val="center"/>
              <w:rPr>
                <w:rFonts w:ascii="宋体" w:hAnsi="宋体" w:cs="宋体"/>
                <w:sz w:val="24"/>
              </w:rPr>
            </w:pPr>
            <w:r>
              <w:rPr>
                <w:rFonts w:hint="eastAsia" w:ascii="宋体" w:hAnsi="宋体" w:eastAsia="宋体" w:cs="宋体"/>
                <w:color w:val="000000"/>
                <w:kern w:val="0"/>
                <w:sz w:val="24"/>
                <w:szCs w:val="24"/>
              </w:rPr>
              <w:t>总计</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bl>
    <w:p>
      <w:pPr>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2" w:firstLineChars="200"/>
        <w:rPr>
          <w:rFonts w:ascii="宋体" w:hAnsi="宋体" w:cs="宋体"/>
          <w:b/>
          <w:bCs/>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 支付方式</w:t>
      </w:r>
    </w:p>
    <w:p>
      <w:pPr>
        <w:spacing w:after="160" w:line="460" w:lineRule="exact"/>
        <w:ind w:firstLine="480" w:firstLineChars="200"/>
        <w:rPr>
          <w:rFonts w:ascii="宋体" w:hAnsi="宋体" w:cs="宋体"/>
          <w:sz w:val="24"/>
        </w:rPr>
      </w:pPr>
      <w:r>
        <w:rPr>
          <w:rFonts w:hint="eastAsia" w:ascii="宋体" w:hAnsi="宋体" w:cs="宋体"/>
          <w:sz w:val="24"/>
        </w:rPr>
        <w:t>5.1支付方式：由净水公司所属各分公司、西朗公司、从化公司、水质中心等自行支付。</w:t>
      </w:r>
    </w:p>
    <w:p>
      <w:pPr>
        <w:spacing w:after="160" w:line="460" w:lineRule="exact"/>
        <w:ind w:firstLine="480" w:firstLineChars="200"/>
        <w:rPr>
          <w:rFonts w:ascii="宋体" w:hAnsi="宋体" w:cs="宋体"/>
          <w:sz w:val="24"/>
          <w:u w:val="single"/>
        </w:rPr>
      </w:pPr>
      <w:r>
        <w:rPr>
          <w:rFonts w:hint="eastAsia" w:ascii="宋体" w:hAnsi="宋体" w:cs="宋体"/>
          <w:sz w:val="24"/>
        </w:rPr>
        <w:t>5.1.1按季度付款。本合同生效后，乙方向甲方提供该季度内所有检测维保记录/报告和等额</w:t>
      </w:r>
      <w:r>
        <w:rPr>
          <w:rFonts w:hint="eastAsia" w:ascii="宋体" w:hAnsi="宋体" w:cs="宋体"/>
          <w:bCs/>
          <w:sz w:val="24"/>
        </w:rPr>
        <w:t xml:space="preserve">增值税专用发票，经甲方确认无误后10个工作日内支付本季度实际开展维保服务的费用。 </w:t>
      </w:r>
    </w:p>
    <w:p>
      <w:pPr>
        <w:spacing w:after="160" w:line="460" w:lineRule="exact"/>
        <w:ind w:firstLine="480" w:firstLineChars="200"/>
        <w:rPr>
          <w:rFonts w:ascii="宋体" w:hAnsi="宋体" w:cs="宋体"/>
          <w:sz w:val="24"/>
        </w:rPr>
      </w:pPr>
      <w:r>
        <w:rPr>
          <w:rFonts w:ascii="宋体" w:hAnsi="宋体" w:cs="宋体"/>
          <w:sz w:val="24"/>
        </w:rPr>
        <w:t>5.</w:t>
      </w:r>
      <w:r>
        <w:rPr>
          <w:rFonts w:hint="eastAsia" w:ascii="宋体" w:hAnsi="宋体" w:cs="宋体"/>
          <w:sz w:val="24"/>
        </w:rPr>
        <w:t>2乙方收款账户：；</w:t>
      </w:r>
    </w:p>
    <w:p>
      <w:pPr>
        <w:spacing w:after="160" w:line="460" w:lineRule="exact"/>
        <w:ind w:firstLine="960" w:firstLineChars="400"/>
        <w:rPr>
          <w:rFonts w:ascii="宋体" w:hAnsi="宋体" w:cs="宋体"/>
          <w:sz w:val="24"/>
        </w:rPr>
      </w:pPr>
      <w:r>
        <w:rPr>
          <w:rFonts w:hint="eastAsia" w:ascii="宋体" w:hAnsi="宋体" w:cs="宋体"/>
          <w:sz w:val="24"/>
        </w:rPr>
        <w:t>收款账号：；</w:t>
      </w:r>
    </w:p>
    <w:p>
      <w:pPr>
        <w:spacing w:after="160" w:line="460" w:lineRule="exact"/>
        <w:ind w:firstLine="960" w:firstLineChars="400"/>
        <w:rPr>
          <w:rFonts w:ascii="宋体" w:hAnsi="宋体" w:cs="宋体"/>
          <w:sz w:val="24"/>
        </w:rPr>
      </w:pPr>
      <w:r>
        <w:rPr>
          <w:rFonts w:hint="eastAsia" w:ascii="宋体" w:hAnsi="宋体" w:cs="宋体"/>
          <w:sz w:val="24"/>
        </w:rPr>
        <w:t>开户行：；</w:t>
      </w:r>
    </w:p>
    <w:p>
      <w:pPr>
        <w:spacing w:after="160" w:line="460" w:lineRule="exact"/>
        <w:ind w:firstLine="480" w:firstLineChars="200"/>
        <w:rPr>
          <w:rFonts w:ascii="宋体" w:hAnsi="宋体" w:cs="宋体"/>
          <w:sz w:val="24"/>
        </w:rPr>
      </w:pPr>
      <w:r>
        <w:rPr>
          <w:rFonts w:hint="eastAsia" w:ascii="宋体" w:hAnsi="宋体" w:cs="宋体"/>
          <w:sz w:val="24"/>
        </w:rPr>
        <w:t>乙方在收款前需向甲方提交等额增值税专用发票，增值税专用发票信息：</w:t>
      </w:r>
    </w:p>
    <w:p>
      <w:pPr>
        <w:spacing w:after="160" w:line="460" w:lineRule="exact"/>
        <w:ind w:firstLine="480" w:firstLineChars="200"/>
        <w:rPr>
          <w:rFonts w:ascii="宋体" w:hAnsi="宋体" w:cs="宋体"/>
          <w:sz w:val="24"/>
        </w:rPr>
      </w:pPr>
      <w:r>
        <w:rPr>
          <w:rFonts w:hint="eastAsia" w:ascii="宋体" w:hAnsi="宋体" w:cs="宋体"/>
          <w:sz w:val="24"/>
        </w:rPr>
        <w:t>名称：广州市净水有限公司</w:t>
      </w:r>
    </w:p>
    <w:p>
      <w:pPr>
        <w:spacing w:after="160" w:line="460" w:lineRule="exact"/>
        <w:ind w:firstLine="480" w:firstLineChars="200"/>
        <w:rPr>
          <w:rFonts w:ascii="宋体" w:hAnsi="宋体" w:cs="宋体"/>
          <w:sz w:val="24"/>
        </w:rPr>
      </w:pPr>
      <w:r>
        <w:rPr>
          <w:rFonts w:hint="eastAsia" w:ascii="宋体" w:hAnsi="宋体" w:cs="宋体"/>
          <w:sz w:val="24"/>
        </w:rPr>
        <w:t>税号：；</w:t>
      </w:r>
    </w:p>
    <w:p>
      <w:pPr>
        <w:spacing w:after="160" w:line="460" w:lineRule="exact"/>
        <w:ind w:firstLine="480" w:firstLineChars="200"/>
        <w:rPr>
          <w:rFonts w:ascii="宋体" w:hAnsi="宋体" w:cs="宋体"/>
          <w:sz w:val="24"/>
        </w:rPr>
      </w:pPr>
      <w:r>
        <w:rPr>
          <w:rFonts w:hint="eastAsia" w:ascii="宋体" w:hAnsi="宋体" w:cs="宋体"/>
          <w:sz w:val="24"/>
        </w:rPr>
        <w:t>地址：；</w:t>
      </w:r>
    </w:p>
    <w:p>
      <w:pPr>
        <w:spacing w:after="160" w:line="460" w:lineRule="exact"/>
        <w:ind w:firstLine="720" w:firstLineChars="300"/>
        <w:outlineLvl w:val="1"/>
        <w:rPr>
          <w:rFonts w:ascii="宋体" w:hAnsi="宋体" w:cs="宋体"/>
          <w:sz w:val="24"/>
        </w:rPr>
      </w:pPr>
      <w:r>
        <w:rPr>
          <w:rFonts w:ascii="宋体" w:hAnsi="宋体" w:cs="宋体"/>
          <w:sz w:val="24"/>
        </w:rPr>
        <w:t>5.</w:t>
      </w:r>
      <w:r>
        <w:rPr>
          <w:rFonts w:hint="eastAsia" w:ascii="宋体" w:hAnsi="宋体" w:cs="宋体"/>
          <w:sz w:val="24"/>
        </w:rPr>
        <w:t>3付款方式：</w:t>
      </w:r>
      <w:r>
        <w:rPr>
          <w:rFonts w:ascii="宋体" w:hAnsi="宋体" w:cs="宋体"/>
          <w:sz w:val="24"/>
        </w:rPr>
        <w:sym w:font="Wingdings" w:char="00FE"/>
      </w:r>
      <w:r>
        <w:rPr>
          <w:rFonts w:hint="eastAsia" w:ascii="宋体" w:hAnsi="宋体" w:cs="宋体"/>
          <w:sz w:val="24"/>
        </w:rPr>
        <w:t>网银支付；</w:t>
      </w:r>
      <w:r>
        <w:rPr>
          <w:rFonts w:ascii="宋体" w:hAnsi="宋体" w:cs="宋体"/>
          <w:sz w:val="24"/>
        </w:rPr>
        <w:sym w:font="Wingdings" w:char="00A8"/>
      </w:r>
      <w:r>
        <w:rPr>
          <w:rFonts w:hint="eastAsia" w:ascii="宋体" w:hAnsi="宋体" w:cs="宋体"/>
          <w:sz w:val="24"/>
        </w:rPr>
        <w:t>支票；</w:t>
      </w:r>
      <w:r>
        <w:rPr>
          <w:rFonts w:ascii="宋体" w:hAnsi="宋体" w:cs="宋体"/>
          <w:sz w:val="24"/>
        </w:rPr>
        <w:sym w:font="Wingdings" w:char="00A8"/>
      </w:r>
      <w:r>
        <w:rPr>
          <w:rFonts w:hint="eastAsia" w:ascii="宋体" w:hAnsi="宋体" w:cs="宋体"/>
          <w:sz w:val="24"/>
        </w:rPr>
        <w:t>其他：/</w:t>
      </w:r>
    </w:p>
    <w:p>
      <w:pPr>
        <w:adjustRightInd w:val="0"/>
        <w:snapToGrid w:val="0"/>
        <w:spacing w:after="160" w:line="460" w:lineRule="exact"/>
        <w:ind w:firstLine="482" w:firstLineChars="200"/>
        <w:rPr>
          <w:rFonts w:ascii="宋体" w:hAnsi="宋体" w:cs="宋体"/>
          <w:b/>
          <w:bCs/>
          <w:sz w:val="24"/>
        </w:rPr>
      </w:pPr>
      <w:r>
        <w:rPr>
          <w:rFonts w:hint="eastAsia" w:ascii="宋体" w:hAnsi="宋体" w:cs="宋体"/>
          <w:b/>
          <w:bCs/>
          <w:sz w:val="24"/>
        </w:rPr>
        <w:t>第六条 实施条件</w:t>
      </w:r>
    </w:p>
    <w:p>
      <w:pPr>
        <w:spacing w:after="160" w:line="384" w:lineRule="auto"/>
        <w:ind w:firstLine="480" w:firstLineChars="200"/>
        <w:jc w:val="left"/>
        <w:rPr>
          <w:rFonts w:ascii="宋体" w:hAnsi="宋体" w:cs="宋体"/>
          <w:bCs/>
          <w:sz w:val="24"/>
        </w:rPr>
      </w:pPr>
      <w:r>
        <w:rPr>
          <w:rFonts w:hint="eastAsia" w:ascii="宋体" w:hAnsi="宋体" w:cs="宋体"/>
          <w:bCs/>
          <w:sz w:val="24"/>
        </w:rPr>
        <w:t>6.1部分项目（沥滘三期、龙归三期、大沙地二期、石井净二期、西朗二期、江高分公司、健康城分公司、大观分公司）的维保服务起始时间按实际验收合格时间的下一个月开展（具体以甲方书面通知为准），其他项目维保起始时间以实际签订合同时间为准。</w:t>
      </w:r>
    </w:p>
    <w:p>
      <w:pPr>
        <w:spacing w:after="160" w:line="384" w:lineRule="auto"/>
        <w:ind w:firstLine="480" w:firstLineChars="200"/>
        <w:jc w:val="left"/>
        <w:rPr>
          <w:rFonts w:ascii="宋体" w:hAnsi="宋体" w:cs="宋体"/>
          <w:bCs/>
          <w:sz w:val="24"/>
        </w:rPr>
      </w:pPr>
      <w:r>
        <w:rPr>
          <w:rFonts w:hint="eastAsia" w:ascii="宋体" w:hAnsi="宋体" w:cs="宋体"/>
          <w:bCs/>
          <w:sz w:val="24"/>
        </w:rPr>
        <w:t>6.2部分项目（沥滘三期、龙归三期、大沙地二期、石井净二期、西朗二期、江高分公司、健康城分公司、大观分公司）的消防设施在本项目服务期内均处于厂家质保期中，如设备发生老化损坏，由厂家负责维修处理。</w:t>
      </w:r>
    </w:p>
    <w:p>
      <w:pPr>
        <w:spacing w:after="160" w:line="384" w:lineRule="auto"/>
        <w:ind w:firstLine="480" w:firstLineChars="200"/>
        <w:jc w:val="left"/>
        <w:rPr>
          <w:rFonts w:ascii="宋体" w:hAnsi="宋体" w:cs="宋体"/>
          <w:bCs/>
          <w:sz w:val="24"/>
        </w:rPr>
      </w:pPr>
      <w:r>
        <w:rPr>
          <w:rFonts w:hint="eastAsia" w:ascii="宋体" w:hAnsi="宋体" w:cs="宋体"/>
          <w:bCs/>
          <w:sz w:val="24"/>
        </w:rPr>
        <w:t>6.3 乙方应根据甲方提供的消防设备明细开展检测维保工作，因施工、改造等其他原因造成消防设备数量误差在5%以内的，乙方应对所有消防设施开展维保工作，误差超5%，设备数量超出部分按补充协议开展维保工作。</w:t>
      </w:r>
    </w:p>
    <w:p>
      <w:pPr>
        <w:adjustRightInd w:val="0"/>
        <w:snapToGrid w:val="0"/>
        <w:spacing w:after="160" w:line="460" w:lineRule="exact"/>
        <w:ind w:firstLine="482" w:firstLineChars="200"/>
        <w:rPr>
          <w:rFonts w:ascii="宋体" w:hAnsi="宋体" w:cs="宋体"/>
          <w:sz w:val="24"/>
        </w:rPr>
      </w:pPr>
      <w:r>
        <w:rPr>
          <w:rFonts w:hint="eastAsia" w:ascii="宋体" w:hAnsi="宋体" w:cs="宋体"/>
          <w:b/>
          <w:bCs/>
          <w:sz w:val="24"/>
        </w:rPr>
        <w:t>第七条 违约责任</w:t>
      </w:r>
    </w:p>
    <w:p>
      <w:pPr>
        <w:adjustRightInd w:val="0"/>
        <w:snapToGrid w:val="0"/>
        <w:spacing w:after="160" w:line="460" w:lineRule="exact"/>
        <w:ind w:firstLine="480" w:firstLineChars="200"/>
        <w:rPr>
          <w:rFonts w:ascii="宋体" w:hAnsi="宋体" w:cs="宋体"/>
          <w:sz w:val="24"/>
        </w:rPr>
      </w:pPr>
      <w:r>
        <w:rPr>
          <w:rFonts w:hint="eastAsia" w:ascii="宋体" w:hAnsi="宋体" w:cs="宋体"/>
          <w:sz w:val="24"/>
        </w:rPr>
        <w:t>7</w:t>
      </w:r>
      <w:r>
        <w:rPr>
          <w:rFonts w:ascii="宋体" w:hAnsi="宋体" w:cs="宋体"/>
          <w:sz w:val="24"/>
        </w:rPr>
        <w:t>.1</w:t>
      </w:r>
      <w:r>
        <w:rPr>
          <w:rFonts w:hint="eastAsia" w:ascii="宋体" w:hAnsi="宋体" w:cs="宋体"/>
          <w:sz w:val="24"/>
        </w:rPr>
        <w:t>单方面取消合同：任意一方未经对方同意单方面取消合同，应按</w:t>
      </w:r>
      <w:r>
        <w:rPr>
          <w:rFonts w:hint="eastAsia" w:ascii="宋体" w:hAnsi="宋体" w:cs="宋体"/>
          <w:sz w:val="24"/>
          <w:u w:val="single"/>
        </w:rPr>
        <w:t>合同暂定总价的</w:t>
      </w:r>
      <w:r>
        <w:rPr>
          <w:rFonts w:ascii="宋体" w:hAnsi="宋体" w:cs="宋体"/>
          <w:sz w:val="24"/>
          <w:u w:val="single"/>
        </w:rPr>
        <w:t>30%</w:t>
      </w:r>
      <w:r>
        <w:rPr>
          <w:rFonts w:hint="eastAsia" w:ascii="宋体" w:hAnsi="宋体" w:cs="宋体"/>
          <w:sz w:val="24"/>
        </w:rPr>
        <w:t>向对方赔偿。</w:t>
      </w:r>
    </w:p>
    <w:p>
      <w:pPr>
        <w:widowControl/>
        <w:tabs>
          <w:tab w:val="left" w:pos="851"/>
        </w:tabs>
        <w:adjustRightInd w:val="0"/>
        <w:snapToGrid w:val="0"/>
        <w:spacing w:line="384" w:lineRule="auto"/>
        <w:ind w:firstLine="480" w:firstLineChars="200"/>
        <w:jc w:val="left"/>
        <w:rPr>
          <w:rFonts w:ascii="宋体" w:hAnsi="宋体" w:cs="宋体"/>
          <w:bCs/>
          <w:sz w:val="24"/>
        </w:rPr>
      </w:pPr>
      <w:r>
        <w:rPr>
          <w:rFonts w:hint="eastAsia" w:ascii="宋体" w:hAnsi="宋体" w:cs="宋体"/>
          <w:bCs/>
          <w:sz w:val="24"/>
        </w:rPr>
        <w:t>7.2 如乙方不能按时按量完成维护工作，则甲方有权要求乙方补足所缺工作量，乙方还应按所缺工作量与维护费的比例支付违约金。</w:t>
      </w:r>
    </w:p>
    <w:p>
      <w:pPr>
        <w:widowControl/>
        <w:tabs>
          <w:tab w:val="left" w:pos="851"/>
        </w:tabs>
        <w:adjustRightInd w:val="0"/>
        <w:snapToGrid w:val="0"/>
        <w:spacing w:line="384" w:lineRule="auto"/>
        <w:ind w:firstLine="480" w:firstLineChars="200"/>
        <w:jc w:val="left"/>
        <w:rPr>
          <w:rFonts w:ascii="宋体" w:hAnsi="宋体" w:cs="宋体"/>
          <w:bCs/>
          <w:sz w:val="24"/>
        </w:rPr>
      </w:pPr>
      <w:r>
        <w:rPr>
          <w:rFonts w:hint="eastAsia" w:ascii="宋体" w:hAnsi="宋体" w:cs="宋体"/>
          <w:bCs/>
          <w:sz w:val="24"/>
        </w:rPr>
        <w:t>7.3乙方未完成维护保养义务所承担的责任应包括保养项目所涉及消防设施、系统失灵和不能正常使用所造成的全部损失。</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第八条 不可抗力</w:t>
      </w:r>
    </w:p>
    <w:p>
      <w:pPr>
        <w:numPr>
          <w:ilvl w:val="255"/>
          <w:numId w:val="0"/>
        </w:numPr>
        <w:adjustRightInd w:val="0"/>
        <w:snapToGrid w:val="0"/>
        <w:spacing w:after="160" w:line="460" w:lineRule="exact"/>
        <w:ind w:firstLine="480" w:firstLineChars="200"/>
        <w:rPr>
          <w:rFonts w:ascii="宋体" w:hAnsi="宋体" w:cs="宋体"/>
          <w:sz w:val="24"/>
        </w:rPr>
      </w:pPr>
      <w:r>
        <w:rPr>
          <w:rFonts w:hint="eastAsia" w:ascii="宋体" w:hAnsi="宋体" w:cs="宋体"/>
          <w:sz w:val="24"/>
        </w:rPr>
        <w:t>8</w:t>
      </w:r>
      <w:r>
        <w:rPr>
          <w:rFonts w:ascii="宋体" w:hAnsi="宋体" w:cs="宋体"/>
          <w:sz w:val="24"/>
        </w:rPr>
        <w:t xml:space="preserve">.1 </w:t>
      </w:r>
      <w:r>
        <w:rPr>
          <w:rFonts w:hint="eastAsia" w:ascii="宋体" w:hAnsi="宋体" w:cs="宋体"/>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after="160"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1）地震、火山爆发、滑坡、暴雨（橙色预警及以上）、台风（黄色预警及以上）、海啸、龙卷风、大面积流行病(如：非典型性肺炎等)或瘟疫；</w:t>
      </w:r>
    </w:p>
    <w:p>
      <w:pPr>
        <w:adjustRightInd w:val="0"/>
        <w:snapToGrid w:val="0"/>
        <w:spacing w:after="160"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2）战争行为、入侵、武装冲突或外敌行为、封锁、暴乱、恐怖行为或军事演习；</w:t>
      </w:r>
    </w:p>
    <w:p>
      <w:pPr>
        <w:adjustRightInd w:val="0"/>
        <w:snapToGrid w:val="0"/>
        <w:spacing w:after="160" w:line="460" w:lineRule="exact"/>
        <w:ind w:firstLine="480" w:firstLineChars="200"/>
        <w:rPr>
          <w:rFonts w:ascii="宋体" w:hAnsi="宋体" w:cs="宋体"/>
          <w:sz w:val="24"/>
        </w:rPr>
      </w:pPr>
      <w:r>
        <w:rPr>
          <w:rFonts w:hint="eastAsia" w:ascii="宋体" w:hAnsi="宋体" w:cs="宋体"/>
          <w:sz w:val="24"/>
        </w:rPr>
        <w:t>8</w:t>
      </w:r>
      <w:r>
        <w:rPr>
          <w:rFonts w:ascii="宋体" w:hAnsi="宋体" w:cs="宋体"/>
          <w:sz w:val="24"/>
        </w:rPr>
        <w:t xml:space="preserve">.2 </w:t>
      </w:r>
      <w:r>
        <w:rPr>
          <w:rFonts w:hint="eastAsia" w:ascii="宋体" w:hAnsi="宋体" w:cs="宋体"/>
          <w:sz w:val="24"/>
        </w:rPr>
        <w:t>声称受到不可抗力影响的一方，应在发生不可抗力或知道发生不可抗力之后</w:t>
      </w:r>
      <w:r>
        <w:rPr>
          <w:rFonts w:ascii="宋体" w:hAnsi="宋体" w:cs="宋体"/>
          <w:sz w:val="24"/>
        </w:rPr>
        <w:t>5日内书面通知另一方，详细描述不可抗力的发生情况和对该方履行在本合同项下义务的影响，同时附上此种不可抗力事件及其持续时间的有效证明文件。</w:t>
      </w:r>
    </w:p>
    <w:p>
      <w:pPr>
        <w:adjustRightInd w:val="0"/>
        <w:snapToGrid w:val="0"/>
        <w:spacing w:after="160" w:line="460" w:lineRule="exact"/>
        <w:ind w:firstLine="480" w:firstLineChars="200"/>
        <w:rPr>
          <w:rFonts w:ascii="宋体" w:hAnsi="宋体" w:cs="宋体"/>
          <w:sz w:val="24"/>
        </w:rPr>
      </w:pPr>
      <w:r>
        <w:rPr>
          <w:rFonts w:hint="eastAsia" w:ascii="宋体" w:hAnsi="宋体" w:cs="宋体"/>
          <w:sz w:val="24"/>
        </w:rPr>
        <w:t>8</w:t>
      </w:r>
      <w:r>
        <w:rPr>
          <w:rFonts w:ascii="宋体" w:hAnsi="宋体" w:cs="宋体"/>
          <w:sz w:val="24"/>
        </w:rPr>
        <w:t xml:space="preserve">.3 </w:t>
      </w:r>
      <w:r>
        <w:rPr>
          <w:rFonts w:hint="eastAsia" w:ascii="宋体" w:hAnsi="宋体" w:cs="宋体"/>
          <w:sz w:val="24"/>
        </w:rPr>
        <w:t>因不可抗力导致合同无法履行的时间自该不可抗力发生日起连续超过玖拾</w:t>
      </w:r>
      <w:r>
        <w:rPr>
          <w:rFonts w:ascii="宋体" w:hAnsi="宋体" w:cs="宋体"/>
          <w:sz w:val="24"/>
        </w:rPr>
        <w:t>(90)天，双方应协商决定继续履行本合同的条件或者变更本合同。如果自不可抗力发生后壹佰捌拾(180)天之内双方不能达成一致意见，任何一方有权解除本合同。</w:t>
      </w:r>
    </w:p>
    <w:p>
      <w:pPr>
        <w:adjustRightInd w:val="0"/>
        <w:snapToGrid w:val="0"/>
        <w:spacing w:after="160" w:line="460" w:lineRule="exact"/>
        <w:ind w:firstLine="480" w:firstLineChars="200"/>
        <w:rPr>
          <w:rFonts w:ascii="宋体" w:hAnsi="宋体" w:cs="宋体"/>
          <w:sz w:val="24"/>
        </w:rPr>
      </w:pPr>
      <w:r>
        <w:rPr>
          <w:rFonts w:hint="eastAsia" w:ascii="宋体" w:hAnsi="宋体" w:cs="宋体"/>
          <w:sz w:val="24"/>
        </w:rPr>
        <w:t>8</w:t>
      </w:r>
      <w:r>
        <w:rPr>
          <w:rFonts w:ascii="宋体" w:hAnsi="宋体" w:cs="宋体"/>
          <w:sz w:val="24"/>
        </w:rPr>
        <w:t xml:space="preserve">.4 </w:t>
      </w:r>
      <w:r>
        <w:rPr>
          <w:rFonts w:hint="eastAsia" w:ascii="宋体" w:hAnsi="宋体" w:cs="宋体"/>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after="160" w:line="460" w:lineRule="exact"/>
        <w:ind w:firstLine="482" w:firstLineChars="200"/>
        <w:rPr>
          <w:rFonts w:ascii="宋体" w:hAnsi="宋体" w:cs="宋体"/>
          <w:bCs/>
          <w:sz w:val="24"/>
        </w:rPr>
      </w:pPr>
      <w:r>
        <w:rPr>
          <w:rFonts w:hint="eastAsia" w:ascii="宋体" w:hAnsi="宋体" w:cs="宋体"/>
          <w:b/>
          <w:bCs/>
          <w:sz w:val="24"/>
        </w:rPr>
        <w:t>第九条 争议解决</w:t>
      </w:r>
    </w:p>
    <w:p>
      <w:pPr>
        <w:spacing w:after="160" w:line="460" w:lineRule="exact"/>
        <w:ind w:firstLine="720" w:firstLineChars="300"/>
        <w:rPr>
          <w:rFonts w:ascii="宋体" w:hAnsi="宋体" w:cs="宋体"/>
          <w:sz w:val="24"/>
        </w:rPr>
      </w:pPr>
      <w:r>
        <w:rPr>
          <w:rFonts w:hint="eastAsia" w:ascii="宋体" w:hAnsi="宋体" w:cs="宋体"/>
          <w:bCs/>
          <w:sz w:val="24"/>
        </w:rPr>
        <w:t>9</w:t>
      </w:r>
      <w:r>
        <w:rPr>
          <w:rFonts w:ascii="宋体" w:hAnsi="宋体" w:cs="宋体"/>
          <w:bCs/>
          <w:sz w:val="24"/>
        </w:rPr>
        <w:t>.1</w:t>
      </w:r>
      <w:r>
        <w:rPr>
          <w:rFonts w:hint="eastAsia" w:ascii="宋体" w:hAnsi="宋体" w:cs="宋体"/>
          <w:bCs/>
          <w:sz w:val="24"/>
        </w:rPr>
        <w:t>因本合同引起的或与本合同有关的任何争议，甲乙双方应友好协商解决，如协商不成，任何一方可依法向甲方所在地</w:t>
      </w:r>
      <w:r>
        <w:rPr>
          <w:rFonts w:hint="eastAsia" w:ascii="宋体" w:hAnsi="宋体" w:cs="宋体"/>
          <w:bCs/>
          <w:sz w:val="24"/>
          <w:u w:val="single"/>
        </w:rPr>
        <w:t>人民法院</w:t>
      </w:r>
      <w:r>
        <w:rPr>
          <w:rFonts w:hint="eastAsia" w:ascii="宋体" w:hAnsi="宋体" w:cs="宋体"/>
          <w:bCs/>
          <w:sz w:val="24"/>
        </w:rPr>
        <w:t>提起诉讼</w:t>
      </w:r>
      <w:r>
        <w:rPr>
          <w:rFonts w:hint="eastAsia" w:ascii="宋体" w:hAnsi="宋体" w:cs="宋体"/>
          <w:sz w:val="24"/>
        </w:rPr>
        <w:t>。</w:t>
      </w:r>
    </w:p>
    <w:p>
      <w:pPr>
        <w:spacing w:after="160" w:line="460" w:lineRule="exact"/>
        <w:ind w:firstLine="720" w:firstLineChars="300"/>
        <w:rPr>
          <w:rFonts w:ascii="宋体" w:hAnsi="宋体" w:cs="宋体"/>
          <w:sz w:val="24"/>
        </w:rPr>
      </w:pPr>
      <w:r>
        <w:rPr>
          <w:rFonts w:hint="eastAsia" w:ascii="宋体" w:hAnsi="宋体" w:cs="宋体"/>
          <w:sz w:val="24"/>
        </w:rPr>
        <w:t>9</w:t>
      </w:r>
      <w:r>
        <w:rPr>
          <w:rFonts w:ascii="宋体" w:hAnsi="宋体" w:cs="宋体"/>
          <w:sz w:val="24"/>
        </w:rPr>
        <w:t>.2</w:t>
      </w:r>
      <w:r>
        <w:rPr>
          <w:rFonts w:hint="eastAsia" w:ascii="宋体" w:hAnsi="宋体" w:cs="宋体"/>
          <w:sz w:val="24"/>
        </w:rPr>
        <w:t>在甲方同意的情况下，除有争端之外的合同其它部分在争端解决前应继续执行。</w:t>
      </w:r>
    </w:p>
    <w:p>
      <w:pPr>
        <w:numPr>
          <w:ilvl w:val="255"/>
          <w:numId w:val="0"/>
        </w:numPr>
        <w:spacing w:after="160" w:line="460" w:lineRule="exact"/>
        <w:ind w:firstLine="482" w:firstLineChars="200"/>
        <w:rPr>
          <w:rFonts w:ascii="宋体" w:hAnsi="宋体" w:cs="宋体"/>
          <w:sz w:val="24"/>
        </w:rPr>
      </w:pPr>
      <w:r>
        <w:rPr>
          <w:rFonts w:hint="eastAsia" w:ascii="宋体" w:hAnsi="宋体" w:cs="宋体"/>
          <w:b/>
          <w:bCs/>
          <w:sz w:val="24"/>
        </w:rPr>
        <w:t>第十条 其他</w:t>
      </w:r>
    </w:p>
    <w:p>
      <w:pPr>
        <w:spacing w:after="160" w:line="460" w:lineRule="exact"/>
        <w:ind w:firstLine="638" w:firstLineChars="266"/>
        <w:rPr>
          <w:rFonts w:ascii="宋体" w:hAnsi="宋体" w:cs="宋体"/>
          <w:b/>
          <w:sz w:val="24"/>
        </w:rPr>
      </w:pPr>
      <w:r>
        <w:rPr>
          <w:rFonts w:hint="eastAsia" w:ascii="宋体" w:hAnsi="宋体" w:cs="宋体"/>
          <w:sz w:val="24"/>
        </w:rPr>
        <w:t>10</w:t>
      </w:r>
      <w:r>
        <w:rPr>
          <w:rFonts w:ascii="宋体" w:hAnsi="宋体" w:cs="宋体"/>
          <w:sz w:val="24"/>
        </w:rPr>
        <w:t>.1</w:t>
      </w:r>
      <w:r>
        <w:rPr>
          <w:rFonts w:hint="eastAsia" w:ascii="宋体" w:hAnsi="宋体" w:cs="宋体"/>
          <w:sz w:val="24"/>
        </w:rPr>
        <w:t>本协议未尽事宜，可由甲乙双方另行签订补充协议。补充协议与本合同具有同等法律效力。</w:t>
      </w:r>
    </w:p>
    <w:p>
      <w:pPr>
        <w:spacing w:after="160" w:line="460" w:lineRule="exact"/>
        <w:ind w:firstLine="638" w:firstLineChars="266"/>
        <w:rPr>
          <w:rFonts w:ascii="宋体" w:hAnsi="宋体" w:cs="宋体"/>
          <w:sz w:val="24"/>
        </w:rPr>
      </w:pPr>
      <w:r>
        <w:rPr>
          <w:rFonts w:hint="eastAsia" w:ascii="宋体" w:hAnsi="宋体" w:cs="宋体"/>
          <w:sz w:val="24"/>
        </w:rPr>
        <w:t>10</w:t>
      </w:r>
      <w:r>
        <w:rPr>
          <w:rFonts w:ascii="宋体" w:hAnsi="宋体" w:cs="宋体"/>
          <w:sz w:val="24"/>
        </w:rPr>
        <w:t>.2</w:t>
      </w:r>
      <w:r>
        <w:rPr>
          <w:rFonts w:hint="eastAsia" w:ascii="宋体" w:hAnsi="宋体" w:cs="宋体"/>
          <w:sz w:val="24"/>
        </w:rPr>
        <w:t>本合同自甲乙双方法定代表人或授权代理人签字并加盖公章之日起生效。</w:t>
      </w:r>
    </w:p>
    <w:p>
      <w:pPr>
        <w:spacing w:after="160" w:line="460" w:lineRule="exact"/>
        <w:ind w:firstLine="638" w:firstLineChars="266"/>
        <w:rPr>
          <w:rFonts w:ascii="宋体" w:hAnsi="宋体" w:cs="宋体"/>
          <w:sz w:val="24"/>
        </w:rPr>
      </w:pPr>
      <w:r>
        <w:rPr>
          <w:rFonts w:hint="eastAsia" w:ascii="宋体" w:hAnsi="宋体" w:cs="宋体"/>
          <w:sz w:val="24"/>
        </w:rPr>
        <w:t>10</w:t>
      </w:r>
      <w:r>
        <w:rPr>
          <w:rFonts w:ascii="宋体" w:hAnsi="宋体" w:cs="宋体"/>
          <w:sz w:val="24"/>
        </w:rPr>
        <w:t>.3</w:t>
      </w:r>
      <w:r>
        <w:rPr>
          <w:rFonts w:hint="eastAsia" w:ascii="宋体" w:hAnsi="宋体" w:cs="宋体"/>
          <w:sz w:val="24"/>
        </w:rPr>
        <w:t>本合同中涉及子公司从化和西朗的消防设施维保服务，由从化公司、西朗公司自行与乙方签订合同。</w:t>
      </w:r>
    </w:p>
    <w:p>
      <w:pPr>
        <w:spacing w:after="160" w:line="460" w:lineRule="exact"/>
        <w:ind w:firstLine="638" w:firstLineChars="266"/>
        <w:rPr>
          <w:rFonts w:ascii="宋体" w:hAnsi="宋体" w:cs="宋体"/>
          <w:sz w:val="24"/>
        </w:rPr>
      </w:pPr>
      <w:r>
        <w:rPr>
          <w:rFonts w:hint="eastAsia" w:ascii="宋体" w:hAnsi="宋体" w:cs="宋体"/>
          <w:sz w:val="24"/>
        </w:rPr>
        <w:t>10.4本合同一式份，甲方执份，乙方执份。均具有同等法律效力。</w:t>
      </w:r>
    </w:p>
    <w:p>
      <w:pPr>
        <w:spacing w:after="160" w:line="460" w:lineRule="exact"/>
        <w:ind w:firstLine="480"/>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spacing w:after="160" w:line="460" w:lineRule="exact"/>
        <w:rPr>
          <w:rFonts w:ascii="宋体" w:hAnsi="宋体" w:cs="宋体"/>
          <w:sz w:val="24"/>
        </w:rPr>
      </w:pPr>
      <w:r>
        <w:rPr>
          <w:rFonts w:ascii="宋体" w:hAnsi="宋体" w:cs="宋体"/>
          <w:sz w:val="24"/>
        </w:rPr>
        <w:t xml:space="preserve">          2</w:t>
      </w:r>
      <w:r>
        <w:rPr>
          <w:rFonts w:hint="eastAsia" w:ascii="宋体" w:hAnsi="宋体" w:cs="宋体"/>
          <w:sz w:val="24"/>
        </w:rPr>
        <w:t>.廉洁协议</w:t>
      </w:r>
    </w:p>
    <w:p>
      <w:pPr>
        <w:spacing w:after="160" w:line="460" w:lineRule="exact"/>
        <w:ind w:firstLine="1200" w:firstLineChars="500"/>
        <w:rPr>
          <w:rFonts w:ascii="宋体" w:hAnsi="宋体" w:cs="宋体"/>
          <w:kern w:val="0"/>
          <w:sz w:val="24"/>
          <w:lang w:val="zh-CN"/>
        </w:rPr>
      </w:pPr>
      <w:r>
        <w:rPr>
          <w:rFonts w:hint="eastAsia" w:ascii="宋体" w:hAnsi="宋体" w:cs="宋体"/>
          <w:kern w:val="0"/>
          <w:sz w:val="24"/>
          <w:lang w:val="zh-CN"/>
        </w:rPr>
        <w:t>3.安全管理协议书</w:t>
      </w:r>
    </w:p>
    <w:p>
      <w:pPr>
        <w:spacing w:after="160" w:line="460" w:lineRule="exact"/>
        <w:ind w:firstLine="1200" w:firstLineChars="500"/>
        <w:rPr>
          <w:rFonts w:ascii="宋体" w:hAnsi="宋体" w:cs="宋体"/>
          <w:kern w:val="0"/>
          <w:sz w:val="24"/>
        </w:rPr>
      </w:pPr>
      <w:r>
        <w:rPr>
          <w:rFonts w:hint="eastAsia" w:ascii="宋体" w:hAnsi="宋体" w:cs="宋体"/>
          <w:kern w:val="0"/>
          <w:sz w:val="24"/>
        </w:rPr>
        <w:t>4、消防设施维保需求汇总表</w:t>
      </w:r>
    </w:p>
    <w:p>
      <w:pPr>
        <w:spacing w:after="160" w:line="460" w:lineRule="exact"/>
        <w:ind w:firstLine="1200" w:firstLineChars="500"/>
        <w:rPr>
          <w:rFonts w:ascii="宋体" w:hAnsi="宋体" w:cs="宋体"/>
          <w:kern w:val="0"/>
          <w:sz w:val="24"/>
        </w:rPr>
      </w:pPr>
      <w:r>
        <w:rPr>
          <w:rFonts w:hint="eastAsia" w:ascii="宋体" w:hAnsi="宋体" w:cs="宋体"/>
          <w:kern w:val="0"/>
          <w:sz w:val="24"/>
        </w:rPr>
        <w:t>5、消防设施明细汇总表</w:t>
      </w:r>
    </w:p>
    <w:tbl>
      <w:tblPr>
        <w:tblStyle w:val="14"/>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b/>
                <w:sz w:val="24"/>
              </w:rPr>
              <w:t>甲方</w:t>
            </w:r>
            <w:r>
              <w:rPr>
                <w:rFonts w:hint="eastAsia" w:ascii="宋体" w:hAnsi="宋体" w:cs="宋体"/>
                <w:sz w:val="24"/>
              </w:rPr>
              <w:t>：广州市净水有限公司（盖章）</w:t>
            </w:r>
          </w:p>
          <w:p>
            <w:pPr>
              <w:adjustRightInd w:val="0"/>
              <w:snapToGrid w:val="0"/>
              <w:spacing w:line="460" w:lineRule="exact"/>
              <w:rPr>
                <w:rFonts w:ascii="宋体" w:hAnsi="宋体" w:cs="宋体"/>
                <w:sz w:val="24"/>
              </w:rPr>
            </w:pP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b/>
                <w:sz w:val="24"/>
              </w:rPr>
              <w:t>乙方</w:t>
            </w:r>
            <w:r>
              <w:rPr>
                <w:rFonts w:hint="eastAsia" w:ascii="宋体" w:hAnsi="宋体" w:cs="宋体"/>
                <w:sz w:val="24"/>
              </w:rPr>
              <w:t>：（盖章）</w:t>
            </w:r>
          </w:p>
          <w:p>
            <w:pPr>
              <w:adjustRightInd w:val="0"/>
              <w:snapToGrid w:val="0"/>
              <w:spacing w:line="460" w:lineRule="exact"/>
              <w:ind w:firstLine="240" w:firstLineChar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签订日期：    年     月    日</w:t>
            </w:r>
          </w:p>
        </w:tc>
        <w:tc>
          <w:tcPr>
            <w:tcW w:w="4696" w:type="dxa"/>
            <w:tcBorders>
              <w:top w:val="nil"/>
              <w:left w:val="nil"/>
              <w:bottom w:val="nil"/>
              <w:right w:val="nil"/>
            </w:tcBorders>
            <w:vAlign w:val="center"/>
          </w:tcPr>
          <w:p>
            <w:pPr>
              <w:adjustRightInd w:val="0"/>
              <w:snapToGrid w:val="0"/>
              <w:spacing w:line="460" w:lineRule="exact"/>
              <w:ind w:left="4181" w:hanging="4180" w:hangingChars="1742"/>
              <w:rPr>
                <w:rFonts w:ascii="宋体" w:hAnsi="宋体" w:cs="宋体"/>
                <w:sz w:val="24"/>
              </w:rPr>
            </w:pPr>
            <w:r>
              <w:rPr>
                <w:rFonts w:hint="eastAsia" w:ascii="宋体" w:hAnsi="宋体" w:cs="宋体"/>
                <w:sz w:val="24"/>
              </w:rPr>
              <w:t>签订日期：   年    月    日</w:t>
            </w:r>
          </w:p>
        </w:tc>
      </w:tr>
    </w:tbl>
    <w:p>
      <w:pPr>
        <w:adjustRightInd w:val="0"/>
        <w:snapToGrid w:val="0"/>
        <w:spacing w:after="160" w:line="360" w:lineRule="auto"/>
        <w:jc w:val="center"/>
        <w:rPr>
          <w:rFonts w:ascii="宋体" w:hAnsi="宋体"/>
          <w:b/>
          <w:color w:val="000000" w:themeColor="text1"/>
          <w:sz w:val="32"/>
          <w:szCs w:val="32"/>
        </w:rPr>
      </w:pPr>
    </w:p>
    <w:p>
      <w:pPr>
        <w:widowControl/>
        <w:jc w:val="left"/>
        <w:rPr>
          <w:rFonts w:ascii="宋体" w:hAnsi="宋体"/>
          <w:b/>
          <w:color w:val="000000" w:themeColor="text1"/>
          <w:sz w:val="32"/>
          <w:szCs w:val="32"/>
        </w:rPr>
      </w:pPr>
      <w:r>
        <w:rPr>
          <w:rFonts w:ascii="宋体" w:hAnsi="宋体"/>
          <w:b/>
          <w:color w:val="000000" w:themeColor="text1"/>
          <w:sz w:val="32"/>
          <w:szCs w:val="32"/>
        </w:rPr>
        <w:br w:type="page"/>
      </w:r>
    </w:p>
    <w:p>
      <w:pPr>
        <w:adjustRightInd w:val="0"/>
        <w:snapToGrid w:val="0"/>
        <w:spacing w:after="160" w:line="360" w:lineRule="auto"/>
        <w:rPr>
          <w:rFonts w:ascii="宋体" w:hAnsi="宋体"/>
          <w:b/>
          <w:color w:val="000000" w:themeColor="text1"/>
          <w:sz w:val="32"/>
          <w:szCs w:val="32"/>
        </w:rPr>
      </w:pPr>
      <w:r>
        <w:rPr>
          <w:rFonts w:hint="eastAsia" w:ascii="宋体" w:hAnsi="宋体"/>
          <w:b/>
          <w:color w:val="000000" w:themeColor="text1"/>
          <w:sz w:val="32"/>
          <w:szCs w:val="32"/>
        </w:rPr>
        <w:t>附件2</w:t>
      </w:r>
    </w:p>
    <w:p>
      <w:pPr>
        <w:adjustRightInd w:val="0"/>
        <w:snapToGrid w:val="0"/>
        <w:spacing w:after="160" w:line="360" w:lineRule="auto"/>
        <w:jc w:val="center"/>
        <w:rPr>
          <w:rFonts w:ascii="宋体" w:hAnsi="宋体"/>
          <w:b/>
          <w:color w:val="000000" w:themeColor="text1"/>
          <w:sz w:val="32"/>
          <w:szCs w:val="32"/>
        </w:rPr>
      </w:pPr>
      <w:r>
        <w:rPr>
          <w:rFonts w:hint="eastAsia" w:ascii="宋体" w:hAnsi="宋体"/>
          <w:b/>
          <w:color w:val="000000" w:themeColor="text1"/>
          <w:sz w:val="32"/>
          <w:szCs w:val="32"/>
        </w:rPr>
        <w:t>廉洁协议</w:t>
      </w:r>
    </w:p>
    <w:p>
      <w:pPr>
        <w:adjustRightInd w:val="0"/>
        <w:snapToGrid w:val="0"/>
        <w:spacing w:after="160" w:line="360" w:lineRule="auto"/>
        <w:ind w:firstLine="480" w:firstLineChars="200"/>
        <w:rPr>
          <w:rFonts w:ascii="宋体" w:hAnsi="宋体"/>
          <w:color w:val="000000" w:themeColor="text1"/>
          <w:sz w:val="24"/>
        </w:rPr>
      </w:pPr>
      <w:r>
        <w:rPr>
          <w:rFonts w:hint="eastAsia" w:ascii="宋体" w:hAnsi="宋体"/>
          <w:color w:val="000000" w:themeColor="text1"/>
          <w:sz w:val="24"/>
        </w:rPr>
        <w:t>为促进双方诚信经营、廉洁从业，防范商业贿赂，保护国家、集体和当事人的合法权益，根据国家有关法律法规和广东省、广州市廉政建设的规定，</w:t>
      </w:r>
      <w:r>
        <w:rPr>
          <w:rFonts w:ascii="宋体" w:hAnsi="宋体"/>
          <w:color w:val="000000" w:themeColor="text1"/>
          <w:sz w:val="24"/>
        </w:rPr>
        <w:t>广州市净水有限公司(以下称甲方)与(以下称乙方)，特此订立本协议共同遵照执行。</w:t>
      </w:r>
    </w:p>
    <w:p>
      <w:pPr>
        <w:adjustRightInd w:val="0"/>
        <w:snapToGrid w:val="0"/>
        <w:spacing w:after="160" w:line="360" w:lineRule="auto"/>
        <w:ind w:firstLine="480" w:firstLineChars="200"/>
        <w:rPr>
          <w:rFonts w:ascii="宋体" w:hAnsi="宋体"/>
          <w:color w:val="000000" w:themeColor="text1"/>
          <w:sz w:val="24"/>
        </w:rPr>
      </w:pPr>
      <w:r>
        <w:rPr>
          <w:rFonts w:hint="eastAsia" w:ascii="宋体" w:hAnsi="宋体"/>
          <w:color w:val="000000" w:themeColor="text1"/>
          <w:sz w:val="24"/>
        </w:rPr>
        <w:t>第一条甲乙双方的权利和义务</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（一）甲乙双方严格遵守国家关于市场准入、项目招标投标、市场经营活动等有关法律、法规相关政策及廉政建设的各项规定。</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（二）严格执行合同，自觉履行合同约定的相关义务。</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（三）在业务活动中坚持公开、公正、诚信、透明的原则，不得损害国家、集体利益。</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（四）建立健全廉政制度，开展廉政教育，公布举报电话，监督并认真查处违法违纪行为</w:t>
      </w:r>
    </w:p>
    <w:p>
      <w:pPr>
        <w:adjustRightInd w:val="0"/>
        <w:snapToGrid w:val="0"/>
        <w:spacing w:after="160" w:line="360" w:lineRule="auto"/>
        <w:ind w:left="0" w:leftChars="-67" w:hanging="141" w:hangingChars="59"/>
        <w:rPr>
          <w:rFonts w:ascii="宋体" w:hAnsi="宋体"/>
          <w:color w:val="000000" w:themeColor="text1"/>
          <w:sz w:val="24"/>
        </w:rPr>
      </w:pPr>
      <w:r>
        <w:rPr>
          <w:rFonts w:hint="eastAsia" w:ascii="宋体" w:hAnsi="宋体"/>
          <w:color w:val="000000" w:themeColor="text1"/>
          <w:sz w:val="24"/>
        </w:rPr>
        <w:t>（五）发现对方在业务活动中有违反廉政规定的行为，应及时提醒对方纠正。情节严重的，应向其上级有关部门举报，建议给予处理，并有权要求告知处理结果。</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第二条甲方的义务</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（一）甲方及其工作人员不得索要或接受乙方的礼金、有价证券和贵重物品，不得在乙方报销任何应由甲方或个人支付的费用等。</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（三）甲方及其工作人员不得要求或者接受乙方为其住房装修、婚丧嫁娶活动、配偶子女工作安排以及出国出境、旅游等提供方便等。</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（四）甲方工作人员不得在乙方或与乙方有股权关联的企业兼职，不得向乙方介绍家属或者亲友从事与甲方业务有关的经济活动。</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（五）甲方工作人员不得以明显低于市场的价格向乙方购买房屋、汽车等物品；不得</w:t>
      </w:r>
      <w:r>
        <w:rPr>
          <w:rFonts w:ascii="宋体" w:hAnsi="宋体"/>
          <w:color w:val="000000" w:themeColor="text1"/>
          <w:sz w:val="24"/>
        </w:rPr>
        <w:t>以明显高于市场的价格向</w:t>
      </w:r>
      <w:r>
        <w:rPr>
          <w:rFonts w:hint="eastAsia" w:ascii="宋体" w:hAnsi="宋体"/>
          <w:color w:val="000000" w:themeColor="text1"/>
          <w:sz w:val="24"/>
        </w:rPr>
        <w:t>乙方</w:t>
      </w:r>
      <w:r>
        <w:rPr>
          <w:rFonts w:ascii="宋体" w:hAnsi="宋体"/>
          <w:color w:val="000000" w:themeColor="text1"/>
          <w:sz w:val="24"/>
        </w:rPr>
        <w:t>出售房屋、汽车等物品；</w:t>
      </w:r>
      <w:r>
        <w:rPr>
          <w:rFonts w:hint="eastAsia" w:ascii="宋体" w:hAnsi="宋体"/>
          <w:color w:val="000000" w:themeColor="text1"/>
          <w:sz w:val="24"/>
        </w:rPr>
        <w:t>不得使用乙方提供的与工作无关的房屋、汽车等物品；不得以其他交易形式非法收受请托人财物。</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（六）甲方工作人员不得利用职务之便收受乙方以回扣、手续费、加班费、咨询费、劳务费、协调费、辛苦费等各种名义给予或赠送的钱物。</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（七）甲方工作人员不得接受乙方给予或赠送的干股或红利。</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第三条乙方的义务</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（一）乙方不得以任何理由向甲方及其工作人员行贿或馈赠礼金、有价证券、贵重礼品。</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（二</w:t>
      </w:r>
      <w:r>
        <w:rPr>
          <w:rFonts w:ascii="宋体" w:hAnsi="宋体"/>
          <w:color w:val="000000" w:themeColor="text1"/>
          <w:sz w:val="24"/>
        </w:rPr>
        <w:t>)乙方不得以任何名义为甲方及其工作人员报销应由甲方单位或个人支付的任何费用。</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（三）乙方不得以任何理由安排甲方工作人员参加可能影响相关业务公开、公正、公平性的宴请及娱乐活动。</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（四）乙方不得为甲方单位和个人购置或提供通讯工具和高档办公用品等物品，也不得为甲方提供与工作无关的房屋、汽车等。</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（五）乙方不得擅自与甲方工作人员就合同中的质量、数量、价格、工程量、验收等条款进行私下商谈或者达成默契。</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（六）乙方不得以回扣、手续费、加班费、咨询费、劳务费、协调费、辛苦费等各种名义向甲方工作人员给予或赠送钱物。</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（七）乙方不得向甲方工作人员提供干股或红利。</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第四条违约责任</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一）甲方及其工作人员违反本协议第一、二条。甲方按管理权限，对相关责任人依据有关规定给予党纪、政纪处分或组织处理；涉嫌犯罪的，移交司法机关追究刑事责任；给乙方单位造成经济损失的，应予以赔偿。</w:t>
      </w:r>
    </w:p>
    <w:p>
      <w:pPr>
        <w:adjustRightInd w:val="0"/>
        <w:snapToGrid w:val="0"/>
        <w:spacing w:after="160" w:line="360" w:lineRule="auto"/>
        <w:ind w:firstLine="480" w:firstLineChars="200"/>
        <w:rPr>
          <w:rFonts w:ascii="宋体" w:hAnsi="宋体"/>
          <w:color w:val="000000" w:themeColor="text1"/>
          <w:sz w:val="24"/>
        </w:rPr>
      </w:pPr>
      <w:r>
        <w:rPr>
          <w:rFonts w:hint="eastAsia" w:ascii="宋体" w:hAnsi="宋体"/>
          <w:color w:val="000000" w:themeColor="text1"/>
          <w:sz w:val="24"/>
        </w:rPr>
        <w:t>甲方举报投诉联系部门：广州市净水有限公司</w:t>
      </w:r>
      <w:r>
        <w:rPr>
          <w:rFonts w:ascii="宋体" w:hAnsi="宋体"/>
          <w:color w:val="000000" w:themeColor="text1"/>
          <w:sz w:val="24"/>
        </w:rPr>
        <w:t>纪检</w:t>
      </w:r>
      <w:r>
        <w:rPr>
          <w:rFonts w:hint="eastAsia" w:ascii="宋体" w:hAnsi="宋体"/>
          <w:color w:val="000000" w:themeColor="text1"/>
          <w:sz w:val="24"/>
        </w:rPr>
        <w:t>监察室，联系电话：</w:t>
      </w:r>
      <w:r>
        <w:rPr>
          <w:rFonts w:ascii="宋体" w:hAnsi="宋体"/>
          <w:color w:val="000000" w:themeColor="text1"/>
          <w:sz w:val="24"/>
        </w:rPr>
        <w:t xml:space="preserve">  020-38890265 </w:t>
      </w:r>
      <w:r>
        <w:rPr>
          <w:rFonts w:hint="eastAsia" w:ascii="宋体" w:hAnsi="宋体"/>
          <w:color w:val="000000" w:themeColor="text1"/>
          <w:sz w:val="24"/>
        </w:rPr>
        <w:t>。</w:t>
      </w:r>
    </w:p>
    <w:p>
      <w:pPr>
        <w:adjustRightInd w:val="0"/>
        <w:snapToGrid w:val="0"/>
        <w:spacing w:after="160" w:line="360" w:lineRule="auto"/>
        <w:rPr>
          <w:rFonts w:ascii="宋体" w:hAnsi="宋体"/>
          <w:color w:val="000000" w:themeColor="text1"/>
          <w:sz w:val="24"/>
        </w:rPr>
      </w:pPr>
      <w:r>
        <w:rPr>
          <w:rFonts w:hint="eastAsia" w:ascii="宋体" w:hAnsi="宋体"/>
          <w:color w:val="000000" w:themeColor="text1"/>
          <w:sz w:val="24"/>
        </w:rPr>
        <w:t>（二）乙方及其工作人员违反本协议第一、三条。根据具体情节和造成的后果，甲方有权对乙方采取以下一种或多种处理办法：</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1、扣除乙方</w:t>
      </w:r>
      <w:r>
        <w:rPr>
          <w:rFonts w:hint="eastAsia" w:ascii="宋体" w:hAnsi="宋体"/>
          <w:color w:val="000000" w:themeColor="text1"/>
          <w:sz w:val="24"/>
        </w:rPr>
        <w:t>全部</w:t>
      </w:r>
      <w:r>
        <w:rPr>
          <w:rFonts w:ascii="宋体" w:hAnsi="宋体"/>
          <w:color w:val="000000" w:themeColor="text1"/>
          <w:sz w:val="24"/>
        </w:rPr>
        <w:t>履约保证金；</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2、</w:t>
      </w:r>
      <w:r>
        <w:rPr>
          <w:rFonts w:hint="eastAsia" w:ascii="宋体" w:hAnsi="宋体"/>
          <w:color w:val="000000" w:themeColor="text1"/>
          <w:sz w:val="24"/>
        </w:rPr>
        <w:t>解除主合同</w:t>
      </w:r>
      <w:r>
        <w:rPr>
          <w:rFonts w:ascii="宋体" w:hAnsi="宋体"/>
          <w:color w:val="000000" w:themeColor="text1"/>
          <w:sz w:val="24"/>
        </w:rPr>
        <w:t>；</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3、追究乙方合同其他违约责任；</w:t>
      </w:r>
    </w:p>
    <w:p>
      <w:pPr>
        <w:adjustRightInd w:val="0"/>
        <w:snapToGrid w:val="0"/>
        <w:spacing w:after="160" w:line="360" w:lineRule="auto"/>
        <w:ind w:firstLine="480" w:firstLineChars="200"/>
        <w:rPr>
          <w:rFonts w:ascii="宋体" w:hAnsi="宋体"/>
          <w:color w:val="000000" w:themeColor="text1"/>
          <w:sz w:val="24"/>
        </w:rPr>
      </w:pPr>
      <w:r>
        <w:rPr>
          <w:rFonts w:hint="eastAsia" w:ascii="宋体" w:hAnsi="宋体"/>
          <w:color w:val="000000" w:themeColor="text1"/>
          <w:sz w:val="24"/>
        </w:rPr>
        <w:t>乙方无条件接受甲方处理意见并承担给甲方造成的损失，全额返还用不正当手段获取的非法所得，并承担相应的法律责任。</w:t>
      </w:r>
    </w:p>
    <w:p>
      <w:pPr>
        <w:adjustRightInd w:val="0"/>
        <w:snapToGrid w:val="0"/>
        <w:spacing w:after="160" w:line="360" w:lineRule="auto"/>
        <w:ind w:firstLine="480" w:firstLineChars="200"/>
        <w:rPr>
          <w:rFonts w:ascii="宋体" w:hAnsi="宋体"/>
          <w:color w:val="000000" w:themeColor="text1"/>
          <w:sz w:val="24"/>
        </w:rPr>
      </w:pPr>
      <w:r>
        <w:rPr>
          <w:rFonts w:hint="eastAsia" w:ascii="宋体" w:hAnsi="宋体"/>
          <w:color w:val="000000" w:themeColor="text1"/>
          <w:sz w:val="24"/>
        </w:rPr>
        <w:t>第五条本协议由双方或双方上级单位负责监督。可由甲方或甲方上级单位的纪检监察部门约请乙方或乙方上级单位的纪检监察室对本协议履行情况进行检查。</w:t>
      </w:r>
    </w:p>
    <w:p>
      <w:pPr>
        <w:adjustRightInd w:val="0"/>
        <w:snapToGrid w:val="0"/>
        <w:spacing w:after="160" w:line="360" w:lineRule="auto"/>
        <w:ind w:firstLine="480" w:firstLineChars="200"/>
        <w:rPr>
          <w:rFonts w:ascii="宋体" w:hAnsi="宋体"/>
          <w:color w:val="000000" w:themeColor="text1"/>
          <w:sz w:val="24"/>
        </w:rPr>
      </w:pPr>
      <w:r>
        <w:rPr>
          <w:rFonts w:hint="eastAsia" w:ascii="宋体" w:hAnsi="宋体"/>
          <w:color w:val="000000" w:themeColor="text1"/>
          <w:sz w:val="24"/>
        </w:rPr>
        <w:t>第六条</w:t>
      </w:r>
      <w:r>
        <w:rPr>
          <w:rFonts w:ascii="宋体" w:hAnsi="宋体"/>
          <w:color w:val="000000" w:themeColor="text1"/>
          <w:sz w:val="24"/>
        </w:rPr>
        <w:t>本协议作为</w:t>
      </w:r>
      <w:r>
        <w:rPr>
          <w:rFonts w:hint="eastAsia" w:ascii="宋体" w:hAnsi="宋体"/>
          <w:color w:val="000000" w:themeColor="text1"/>
          <w:sz w:val="24"/>
        </w:rPr>
        <w:t>（合同名称）</w:t>
      </w:r>
      <w:r>
        <w:rPr>
          <w:rFonts w:ascii="宋体" w:hAnsi="宋体"/>
          <w:color w:val="000000" w:themeColor="text1"/>
          <w:sz w:val="24"/>
        </w:rPr>
        <w:t>+（合同编号）</w:t>
      </w:r>
      <w:r>
        <w:rPr>
          <w:rFonts w:hint="eastAsia" w:ascii="宋体" w:hAnsi="宋体"/>
          <w:color w:val="000000" w:themeColor="text1"/>
          <w:sz w:val="24"/>
        </w:rPr>
        <w:t>合同的附件，并具有同等的法律效力，本协议自双方签字盖章之日起生效，与主合同同时终止。</w:t>
      </w:r>
    </w:p>
    <w:p>
      <w:pPr>
        <w:adjustRightInd w:val="0"/>
        <w:snapToGrid w:val="0"/>
        <w:spacing w:after="160" w:line="360" w:lineRule="auto"/>
        <w:ind w:firstLine="480" w:firstLineChars="200"/>
        <w:rPr>
          <w:rFonts w:ascii="宋体" w:hAnsi="宋体"/>
          <w:color w:val="000000" w:themeColor="text1"/>
          <w:sz w:val="24"/>
        </w:rPr>
      </w:pPr>
      <w:r>
        <w:rPr>
          <w:rFonts w:hint="eastAsia" w:ascii="宋体" w:hAnsi="宋体"/>
          <w:color w:val="000000" w:themeColor="text1"/>
          <w:sz w:val="24"/>
        </w:rPr>
        <w:t>第七条</w:t>
      </w:r>
      <w:r>
        <w:rPr>
          <w:rFonts w:ascii="宋体" w:hAnsi="宋体"/>
          <w:color w:val="000000" w:themeColor="text1"/>
          <w:sz w:val="24"/>
        </w:rPr>
        <w:t>本协议一式捌份，甲方伍份，乙方三份。</w:t>
      </w:r>
    </w:p>
    <w:p>
      <w:pPr>
        <w:adjustRightInd w:val="0"/>
        <w:snapToGrid w:val="0"/>
        <w:spacing w:after="160" w:line="360" w:lineRule="auto"/>
        <w:ind w:firstLine="480" w:firstLineChars="200"/>
        <w:rPr>
          <w:rFonts w:ascii="宋体" w:hAnsi="宋体"/>
          <w:color w:val="000000" w:themeColor="text1"/>
          <w:sz w:val="24"/>
        </w:rPr>
      </w:pP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br w:type="textWrapping"/>
      </w:r>
      <w:r>
        <w:rPr>
          <w:rFonts w:hint="eastAsia" w:ascii="宋体" w:hAnsi="宋体"/>
          <w:color w:val="000000" w:themeColor="text1"/>
          <w:sz w:val="24"/>
        </w:rPr>
        <w:t>甲方（盖章）：                                 乙方（盖章）：</w:t>
      </w:r>
    </w:p>
    <w:p>
      <w:pPr>
        <w:tabs>
          <w:tab w:val="left" w:pos="5100"/>
        </w:tabs>
        <w:adjustRightInd w:val="0"/>
        <w:snapToGrid w:val="0"/>
        <w:spacing w:line="440" w:lineRule="exact"/>
        <w:ind w:left="7200" w:firstLine="480" w:firstLineChars="200"/>
        <w:rPr>
          <w:rFonts w:ascii="宋体" w:hAnsi="宋体"/>
          <w:color w:val="000000" w:themeColor="text1"/>
          <w:sz w:val="24"/>
        </w:rPr>
      </w:pPr>
    </w:p>
    <w:p>
      <w:pPr>
        <w:adjustRightInd w:val="0"/>
        <w:snapToGrid w:val="0"/>
        <w:spacing w:line="440" w:lineRule="exact"/>
        <w:rPr>
          <w:rFonts w:ascii="宋体" w:hAnsi="宋体"/>
          <w:color w:val="000000" w:themeColor="text1"/>
          <w:sz w:val="24"/>
        </w:rPr>
      </w:pPr>
      <w:r>
        <w:rPr>
          <w:rFonts w:hint="eastAsia" w:ascii="宋体" w:hAnsi="宋体"/>
          <w:color w:val="000000" w:themeColor="text1"/>
          <w:sz w:val="24"/>
        </w:rPr>
        <w:t>签约代表：                                     签约代表：</w:t>
      </w:r>
    </w:p>
    <w:p>
      <w:pPr>
        <w:adjustRightInd w:val="0"/>
        <w:snapToGrid w:val="0"/>
        <w:spacing w:line="440" w:lineRule="exact"/>
        <w:ind w:firstLine="480" w:firstLineChars="200"/>
        <w:rPr>
          <w:rFonts w:ascii="宋体" w:hAnsi="宋体"/>
          <w:color w:val="000000" w:themeColor="text1"/>
          <w:sz w:val="24"/>
        </w:rPr>
      </w:pPr>
    </w:p>
    <w:p>
      <w:pPr>
        <w:adjustRightInd w:val="0"/>
        <w:snapToGrid w:val="0"/>
        <w:spacing w:line="440" w:lineRule="exact"/>
        <w:ind w:firstLine="480" w:firstLineChars="200"/>
        <w:rPr>
          <w:rFonts w:ascii="宋体" w:hAnsi="宋体"/>
          <w:color w:val="000000" w:themeColor="text1"/>
          <w:sz w:val="24"/>
        </w:rPr>
      </w:pPr>
    </w:p>
    <w:p>
      <w:pPr>
        <w:spacing w:line="400" w:lineRule="exact"/>
        <w:rPr>
          <w:rFonts w:ascii="仿宋" w:hAnsi="仿宋" w:eastAsia="仿宋"/>
          <w:color w:val="000000" w:themeColor="text1"/>
          <w:sz w:val="24"/>
        </w:rPr>
      </w:pPr>
      <w:r>
        <w:rPr>
          <w:rFonts w:hint="eastAsia" w:ascii="宋体" w:hAnsi="宋体"/>
          <w:color w:val="000000" w:themeColor="text1"/>
          <w:sz w:val="24"/>
        </w:rPr>
        <w:t>签字日期</w:t>
      </w:r>
      <w:r>
        <w:rPr>
          <w:rFonts w:ascii="宋体" w:hAnsi="宋体"/>
          <w:color w:val="000000" w:themeColor="text1"/>
          <w:sz w:val="24"/>
        </w:rPr>
        <w:t>:    年月日</w:t>
      </w:r>
      <w:r>
        <w:rPr>
          <w:rFonts w:ascii="宋体" w:hAnsi="宋体"/>
          <w:color w:val="000000" w:themeColor="text1"/>
          <w:sz w:val="24"/>
        </w:rPr>
        <w:tab/>
      </w:r>
      <w:r>
        <w:rPr>
          <w:rFonts w:hint="eastAsia" w:ascii="宋体" w:hAnsi="宋体"/>
          <w:color w:val="000000" w:themeColor="text1"/>
          <w:sz w:val="24"/>
        </w:rPr>
        <w:t xml:space="preserve">                      签字日期：  年  月   日</w:t>
      </w:r>
    </w:p>
    <w:p>
      <w:pPr>
        <w:widowControl/>
        <w:rPr>
          <w:rFonts w:ascii="Cambria" w:hAnsi="Cambria"/>
          <w:b/>
          <w:bCs/>
          <w:sz w:val="32"/>
          <w:szCs w:val="32"/>
        </w:rPr>
      </w:pPr>
      <w:r>
        <w:rPr>
          <w:rFonts w:ascii="Cambria" w:hAnsi="Cambria"/>
          <w:b/>
          <w:bCs/>
          <w:sz w:val="32"/>
          <w:szCs w:val="32"/>
        </w:rPr>
        <w:br w:type="page"/>
      </w:r>
    </w:p>
    <w:p>
      <w:pPr>
        <w:spacing w:line="560" w:lineRule="exact"/>
        <w:rPr>
          <w:rFonts w:ascii="宋体"/>
          <w:b/>
          <w:color w:val="000000" w:themeColor="text1"/>
          <w:sz w:val="24"/>
        </w:rPr>
      </w:pPr>
      <w:r>
        <w:rPr>
          <w:rFonts w:hint="eastAsia"/>
          <w:b/>
          <w:bCs/>
          <w:color w:val="000000" w:themeColor="text1"/>
          <w:sz w:val="32"/>
          <w:szCs w:val="32"/>
        </w:rPr>
        <w:t>附件3</w:t>
      </w:r>
    </w:p>
    <w:p>
      <w:pPr>
        <w:adjustRightInd w:val="0"/>
        <w:snapToGrid w:val="0"/>
        <w:spacing w:after="160" w:line="360" w:lineRule="auto"/>
        <w:ind w:firstLine="643" w:firstLineChars="200"/>
        <w:jc w:val="center"/>
        <w:rPr>
          <w:rFonts w:ascii="宋体" w:hAnsi="宋体"/>
          <w:b/>
          <w:color w:val="000000" w:themeColor="text1"/>
          <w:sz w:val="32"/>
          <w:szCs w:val="32"/>
        </w:rPr>
      </w:pPr>
      <w:r>
        <w:rPr>
          <w:rFonts w:hint="eastAsia" w:ascii="宋体" w:hAnsi="宋体"/>
          <w:b/>
          <w:color w:val="000000" w:themeColor="text1"/>
          <w:sz w:val="32"/>
          <w:szCs w:val="32"/>
        </w:rPr>
        <w:t>安全管理协议书</w:t>
      </w:r>
    </w:p>
    <w:p>
      <w:pPr>
        <w:adjustRightInd w:val="0"/>
        <w:snapToGrid w:val="0"/>
        <w:spacing w:after="160" w:line="360" w:lineRule="auto"/>
        <w:ind w:firstLine="480" w:firstLineChars="200"/>
        <w:rPr>
          <w:rFonts w:ascii="宋体" w:hAnsi="宋体"/>
          <w:color w:val="000000" w:themeColor="text1"/>
          <w:sz w:val="24"/>
        </w:rPr>
      </w:pPr>
      <w:r>
        <w:rPr>
          <w:rFonts w:hint="eastAsia" w:ascii="宋体" w:hAnsi="宋体"/>
          <w:color w:val="000000" w:themeColor="text1"/>
          <w:sz w:val="24"/>
        </w:rPr>
        <w:t>发包人：广州市净水有限公司</w:t>
      </w:r>
    </w:p>
    <w:p>
      <w:pPr>
        <w:adjustRightInd w:val="0"/>
        <w:snapToGrid w:val="0"/>
        <w:spacing w:after="160" w:line="360" w:lineRule="auto"/>
        <w:ind w:firstLine="480" w:firstLineChars="200"/>
        <w:rPr>
          <w:rFonts w:ascii="宋体" w:hAnsi="宋体"/>
          <w:bCs/>
          <w:sz w:val="24"/>
        </w:rPr>
      </w:pPr>
      <w:r>
        <w:rPr>
          <w:rFonts w:hint="eastAsia" w:ascii="宋体" w:hAnsi="宋体"/>
          <w:color w:val="000000" w:themeColor="text1"/>
          <w:sz w:val="24"/>
        </w:rPr>
        <w:t>承包人</w:t>
      </w:r>
      <w:r>
        <w:rPr>
          <w:rFonts w:ascii="宋体" w:hAnsi="宋体"/>
          <w:color w:val="000000" w:themeColor="text1"/>
          <w:sz w:val="24"/>
        </w:rPr>
        <w:t xml:space="preserve">: </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根据</w:t>
      </w:r>
      <w:r>
        <w:rPr>
          <w:rFonts w:hint="eastAsia" w:ascii="宋体" w:hAnsi="宋体"/>
          <w:color w:val="000000" w:themeColor="text1"/>
          <w:sz w:val="24"/>
        </w:rPr>
        <w:t>《中华人民共和国</w:t>
      </w:r>
      <w:r>
        <w:rPr>
          <w:rFonts w:ascii="宋体" w:hAnsi="宋体"/>
          <w:color w:val="000000" w:themeColor="text1"/>
          <w:sz w:val="24"/>
        </w:rPr>
        <w:t>安全生产法》</w:t>
      </w:r>
      <w:r>
        <w:rPr>
          <w:rFonts w:hint="eastAsia" w:ascii="宋体" w:hAnsi="宋体"/>
          <w:color w:val="000000" w:themeColor="text1"/>
          <w:sz w:val="24"/>
        </w:rPr>
        <w:t>、《中华人民共和国建筑法》、《建设工程安全生产管理条例》、《生产安全事故报告和调查处理条例》和</w:t>
      </w:r>
      <w:r>
        <w:rPr>
          <w:rFonts w:ascii="宋体" w:hAnsi="宋体"/>
          <w:color w:val="000000" w:themeColor="text1"/>
          <w:sz w:val="24"/>
        </w:rPr>
        <w:t>《</w:t>
      </w:r>
      <w:r>
        <w:rPr>
          <w:rFonts w:hint="eastAsia" w:ascii="宋体" w:hAnsi="宋体"/>
          <w:color w:val="000000" w:themeColor="text1"/>
          <w:sz w:val="24"/>
        </w:rPr>
        <w:t>广州市安全生产管理规定（试行）》</w:t>
      </w:r>
      <w:r>
        <w:rPr>
          <w:rFonts w:ascii="宋体" w:hAnsi="宋体"/>
          <w:color w:val="000000" w:themeColor="text1"/>
          <w:sz w:val="24"/>
        </w:rPr>
        <w:t xml:space="preserve">等一系列有关安全生产的法律法规, </w:t>
      </w:r>
      <w:r>
        <w:rPr>
          <w:rFonts w:hint="eastAsia" w:ascii="宋体" w:hAnsi="宋体"/>
          <w:color w:val="000000" w:themeColor="text1"/>
          <w:sz w:val="24"/>
        </w:rPr>
        <w:t>经</w:t>
      </w:r>
      <w:r>
        <w:rPr>
          <w:rFonts w:ascii="宋体" w:hAnsi="宋体"/>
          <w:color w:val="000000" w:themeColor="text1"/>
          <w:sz w:val="24"/>
        </w:rPr>
        <w:t>双方协商，签订本</w:t>
      </w:r>
      <w:r>
        <w:rPr>
          <w:rFonts w:hint="eastAsia" w:ascii="宋体" w:hAnsi="宋体"/>
          <w:color w:val="000000" w:themeColor="text1"/>
          <w:sz w:val="24"/>
        </w:rPr>
        <w:t>协议书</w:t>
      </w:r>
      <w:r>
        <w:rPr>
          <w:rFonts w:ascii="宋体" w:hAnsi="宋体"/>
          <w:color w:val="000000" w:themeColor="text1"/>
          <w:sz w:val="24"/>
        </w:rPr>
        <w:t>，以明确各自的安全生产责任并共同遵守</w:t>
      </w:r>
      <w:r>
        <w:rPr>
          <w:rFonts w:hint="eastAsia" w:ascii="宋体" w:hAnsi="宋体"/>
          <w:color w:val="000000" w:themeColor="text1"/>
          <w:sz w:val="24"/>
        </w:rPr>
        <w:t>。</w:t>
      </w:r>
    </w:p>
    <w:p>
      <w:pPr>
        <w:adjustRightInd w:val="0"/>
        <w:snapToGrid w:val="0"/>
        <w:spacing w:after="160" w:line="360" w:lineRule="auto"/>
        <w:ind w:firstLine="480" w:firstLineChars="200"/>
        <w:rPr>
          <w:rFonts w:ascii="宋体" w:hAnsi="宋体"/>
          <w:color w:val="000000" w:themeColor="text1"/>
          <w:sz w:val="24"/>
        </w:rPr>
      </w:pPr>
      <w:r>
        <w:rPr>
          <w:rFonts w:hint="eastAsia" w:ascii="宋体" w:hAnsi="宋体"/>
          <w:color w:val="000000" w:themeColor="text1"/>
          <w:sz w:val="24"/>
        </w:rPr>
        <w:t>本协议与主协议的关系</w:t>
      </w:r>
    </w:p>
    <w:p>
      <w:pPr>
        <w:adjustRightInd w:val="0"/>
        <w:snapToGrid w:val="0"/>
        <w:spacing w:after="160" w:line="360" w:lineRule="auto"/>
        <w:ind w:firstLine="480" w:firstLineChars="200"/>
        <w:rPr>
          <w:rFonts w:ascii="宋体" w:hAnsi="宋体"/>
          <w:color w:val="000000" w:themeColor="text1"/>
          <w:sz w:val="24"/>
        </w:rPr>
      </w:pPr>
      <w:r>
        <w:rPr>
          <w:rFonts w:hint="eastAsia" w:ascii="宋体" w:hAnsi="宋体"/>
          <w:color w:val="000000" w:themeColor="text1"/>
          <w:sz w:val="24"/>
        </w:rPr>
        <w:t>本协议作为的组成部分，与主合同具有同等法律</w:t>
      </w:r>
    </w:p>
    <w:p>
      <w:pPr>
        <w:adjustRightInd w:val="0"/>
        <w:snapToGrid w:val="0"/>
        <w:spacing w:after="160" w:line="360" w:lineRule="auto"/>
        <w:ind w:firstLine="480" w:firstLineChars="200"/>
        <w:rPr>
          <w:rFonts w:ascii="宋体" w:hAnsi="宋体"/>
          <w:color w:val="000000" w:themeColor="text1"/>
          <w:sz w:val="24"/>
        </w:rPr>
      </w:pPr>
      <w:r>
        <w:rPr>
          <w:rFonts w:hint="eastAsia" w:ascii="宋体" w:hAnsi="宋体"/>
          <w:color w:val="000000" w:themeColor="text1"/>
          <w:sz w:val="24"/>
        </w:rPr>
        <w:t>二、甲乙双方的责任、权利和义务</w:t>
      </w:r>
    </w:p>
    <w:p>
      <w:pPr>
        <w:adjustRightInd w:val="0"/>
        <w:snapToGrid w:val="0"/>
        <w:spacing w:after="160" w:line="360" w:lineRule="auto"/>
        <w:ind w:firstLine="480" w:firstLineChars="200"/>
        <w:rPr>
          <w:rFonts w:ascii="宋体" w:hAnsi="宋体"/>
          <w:color w:val="000000" w:themeColor="text1"/>
          <w:sz w:val="24"/>
        </w:rPr>
      </w:pPr>
      <w:r>
        <w:rPr>
          <w:rFonts w:hint="eastAsia" w:ascii="宋体" w:hAnsi="宋体"/>
          <w:color w:val="000000" w:themeColor="text1"/>
          <w:sz w:val="24"/>
        </w:rPr>
        <w:t>（一）发包人的责任、权利和义务</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1.</w:t>
      </w:r>
      <w:r>
        <w:rPr>
          <w:rFonts w:hint="eastAsia" w:ascii="宋体" w:hAnsi="宋体"/>
          <w:color w:val="000000" w:themeColor="text1"/>
          <w:sz w:val="24"/>
        </w:rPr>
        <w:t>贯彻落实国家、地方及发包人有关</w:t>
      </w:r>
      <w:r>
        <w:rPr>
          <w:rFonts w:ascii="宋体" w:hAnsi="宋体"/>
          <w:color w:val="000000" w:themeColor="text1"/>
          <w:sz w:val="24"/>
        </w:rPr>
        <w:t>安全</w:t>
      </w:r>
      <w:r>
        <w:rPr>
          <w:rFonts w:hint="eastAsia" w:ascii="宋体" w:hAnsi="宋体"/>
          <w:color w:val="000000" w:themeColor="text1"/>
          <w:sz w:val="24"/>
        </w:rPr>
        <w:t>管理的法律法规和规章制度，对承包人承包作业的</w:t>
      </w:r>
      <w:r>
        <w:rPr>
          <w:rFonts w:ascii="宋体" w:hAnsi="宋体"/>
          <w:color w:val="000000" w:themeColor="text1"/>
          <w:sz w:val="24"/>
        </w:rPr>
        <w:t>安全</w:t>
      </w:r>
      <w:r>
        <w:rPr>
          <w:rFonts w:hint="eastAsia" w:ascii="宋体" w:hAnsi="宋体"/>
          <w:color w:val="000000" w:themeColor="text1"/>
          <w:sz w:val="24"/>
        </w:rPr>
        <w:t>管理工作进行监督管理。</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2.</w:t>
      </w:r>
      <w:r>
        <w:rPr>
          <w:rFonts w:hint="eastAsia" w:ascii="宋体" w:hAnsi="宋体"/>
          <w:color w:val="000000" w:themeColor="text1"/>
          <w:sz w:val="24"/>
        </w:rPr>
        <w:t>审查承包人</w:t>
      </w:r>
      <w:r>
        <w:rPr>
          <w:rFonts w:ascii="宋体" w:hAnsi="宋体"/>
          <w:color w:val="000000" w:themeColor="text1"/>
          <w:sz w:val="24"/>
        </w:rPr>
        <w:t>安全</w:t>
      </w:r>
      <w:r>
        <w:rPr>
          <w:rFonts w:hint="eastAsia" w:ascii="宋体" w:hAnsi="宋体"/>
          <w:color w:val="000000" w:themeColor="text1"/>
          <w:sz w:val="24"/>
        </w:rPr>
        <w:t>资质，确保承包人具备与承包内容资质相一致的外协条件。</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3.</w:t>
      </w:r>
      <w:r>
        <w:rPr>
          <w:rFonts w:hint="eastAsia" w:ascii="宋体" w:hAnsi="宋体"/>
          <w:color w:val="000000" w:themeColor="text1"/>
          <w:sz w:val="24"/>
        </w:rPr>
        <w:t>要求承包人建立健全承包作业的各项</w:t>
      </w:r>
      <w:r>
        <w:rPr>
          <w:rFonts w:ascii="宋体" w:hAnsi="宋体"/>
          <w:color w:val="000000" w:themeColor="text1"/>
          <w:sz w:val="24"/>
        </w:rPr>
        <w:t>安全</w:t>
      </w:r>
      <w:r>
        <w:rPr>
          <w:rFonts w:hint="eastAsia" w:ascii="宋体" w:hAnsi="宋体"/>
          <w:color w:val="000000" w:themeColor="text1"/>
          <w:sz w:val="24"/>
        </w:rPr>
        <w:t>管理制度及标准，监督承包人制定相应的安全生产方案并严格落实。</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4.</w:t>
      </w:r>
      <w:r>
        <w:rPr>
          <w:rFonts w:hint="eastAsia" w:ascii="宋体" w:hAnsi="宋体"/>
          <w:color w:val="000000" w:themeColor="text1"/>
          <w:sz w:val="24"/>
        </w:rPr>
        <w:t>对承包人技术服务过程的</w:t>
      </w:r>
      <w:r>
        <w:rPr>
          <w:rFonts w:ascii="宋体" w:hAnsi="宋体"/>
          <w:color w:val="000000" w:themeColor="text1"/>
          <w:sz w:val="24"/>
        </w:rPr>
        <w:t>安全</w:t>
      </w:r>
      <w:r>
        <w:rPr>
          <w:rFonts w:hint="eastAsia" w:ascii="宋体" w:hAnsi="宋体"/>
          <w:color w:val="000000" w:themeColor="text1"/>
          <w:sz w:val="24"/>
        </w:rPr>
        <w:t>管理进行监督检查；及时纠正承包人生产作业人员违章指挥、违章作业、违反劳动纪律等行为，并按照发包人的</w:t>
      </w:r>
      <w:r>
        <w:rPr>
          <w:rFonts w:ascii="宋体" w:hAnsi="宋体"/>
          <w:color w:val="000000" w:themeColor="text1"/>
          <w:sz w:val="24"/>
        </w:rPr>
        <w:t>安全</w:t>
      </w:r>
      <w:r>
        <w:rPr>
          <w:rFonts w:hint="eastAsia" w:ascii="宋体" w:hAnsi="宋体"/>
          <w:color w:val="000000" w:themeColor="text1"/>
          <w:sz w:val="24"/>
        </w:rPr>
        <w:t>管理制度对承包人进行经济处罚；对承包人生产区域内的事故隐患，开具隐患通知单，责令限期整改。</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5.</w:t>
      </w:r>
      <w:r>
        <w:rPr>
          <w:rFonts w:hint="eastAsia" w:ascii="宋体" w:hAnsi="宋体"/>
          <w:color w:val="000000" w:themeColor="text1"/>
          <w:sz w:val="24"/>
        </w:rPr>
        <w:t>对承包人人员的</w:t>
      </w:r>
      <w:r>
        <w:rPr>
          <w:rFonts w:ascii="宋体" w:hAnsi="宋体"/>
          <w:color w:val="000000" w:themeColor="text1"/>
          <w:sz w:val="24"/>
        </w:rPr>
        <w:t>安全</w:t>
      </w:r>
      <w:r>
        <w:rPr>
          <w:rFonts w:hint="eastAsia" w:ascii="宋体" w:hAnsi="宋体"/>
          <w:color w:val="000000" w:themeColor="text1"/>
          <w:sz w:val="24"/>
        </w:rPr>
        <w:t>培训、劳动保护用品的配发和使用以及危险告知工作提出指导意见，监督落实情况，并对承包人管理人员及主要作业人员进行</w:t>
      </w:r>
      <w:r>
        <w:rPr>
          <w:rFonts w:ascii="宋体" w:hAnsi="宋体"/>
          <w:color w:val="000000" w:themeColor="text1"/>
          <w:sz w:val="24"/>
        </w:rPr>
        <w:t>安全</w:t>
      </w:r>
      <w:r>
        <w:rPr>
          <w:rFonts w:hint="eastAsia" w:ascii="宋体" w:hAnsi="宋体"/>
          <w:color w:val="000000" w:themeColor="text1"/>
          <w:sz w:val="24"/>
        </w:rPr>
        <w:t>教育培训，告知承包人发包人的</w:t>
      </w:r>
      <w:r>
        <w:rPr>
          <w:rFonts w:ascii="宋体" w:hAnsi="宋体"/>
          <w:color w:val="000000" w:themeColor="text1"/>
          <w:sz w:val="24"/>
        </w:rPr>
        <w:t>安全</w:t>
      </w:r>
      <w:r>
        <w:rPr>
          <w:rFonts w:hint="eastAsia" w:ascii="宋体" w:hAnsi="宋体"/>
          <w:color w:val="000000" w:themeColor="text1"/>
          <w:sz w:val="24"/>
        </w:rPr>
        <w:t>管理制度，对承包人提出的安全生产请求积极提供帮助。</w:t>
      </w:r>
    </w:p>
    <w:p>
      <w:pPr>
        <w:adjustRightInd w:val="0"/>
        <w:snapToGrid w:val="0"/>
        <w:spacing w:after="160" w:line="360" w:lineRule="auto"/>
        <w:ind w:firstLine="480" w:firstLineChars="200"/>
        <w:rPr>
          <w:rFonts w:ascii="宋体" w:hAnsi="宋体"/>
          <w:color w:val="000000" w:themeColor="text1"/>
          <w:sz w:val="24"/>
        </w:rPr>
      </w:pPr>
      <w:r>
        <w:rPr>
          <w:rFonts w:hint="eastAsia" w:ascii="宋体" w:hAnsi="宋体"/>
          <w:color w:val="000000" w:themeColor="text1"/>
          <w:sz w:val="24"/>
        </w:rPr>
        <w:t>（二）承包人的责任、权利和义务</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1.</w:t>
      </w:r>
      <w:r>
        <w:rPr>
          <w:rFonts w:hint="eastAsia" w:ascii="宋体" w:hAnsi="宋体"/>
          <w:color w:val="000000" w:themeColor="text1"/>
          <w:sz w:val="24"/>
        </w:rPr>
        <w:t>对技术服务范围内的</w:t>
      </w:r>
      <w:r>
        <w:rPr>
          <w:rFonts w:ascii="宋体" w:hAnsi="宋体"/>
          <w:color w:val="000000" w:themeColor="text1"/>
          <w:sz w:val="24"/>
        </w:rPr>
        <w:t>安全</w:t>
      </w:r>
      <w:r>
        <w:rPr>
          <w:rFonts w:hint="eastAsia" w:ascii="宋体" w:hAnsi="宋体"/>
          <w:color w:val="000000" w:themeColor="text1"/>
          <w:sz w:val="24"/>
        </w:rPr>
        <w:t>管理工作负主体责任。贯彻落实国家有关</w:t>
      </w:r>
      <w:r>
        <w:rPr>
          <w:rFonts w:ascii="宋体" w:hAnsi="宋体"/>
          <w:color w:val="000000" w:themeColor="text1"/>
          <w:sz w:val="24"/>
        </w:rPr>
        <w:t>安全</w:t>
      </w:r>
      <w:r>
        <w:rPr>
          <w:rFonts w:hint="eastAsia" w:ascii="宋体" w:hAnsi="宋体"/>
          <w:color w:val="000000" w:themeColor="text1"/>
          <w:sz w:val="24"/>
        </w:rPr>
        <w:t>管理的法律法规和管理规定，遵守发包人的各项管理制度，建立健全安全生产责任制及各项</w:t>
      </w:r>
      <w:r>
        <w:rPr>
          <w:rFonts w:ascii="宋体" w:hAnsi="宋体"/>
          <w:color w:val="000000" w:themeColor="text1"/>
          <w:sz w:val="24"/>
        </w:rPr>
        <w:t>安全</w:t>
      </w:r>
      <w:r>
        <w:rPr>
          <w:rFonts w:hint="eastAsia" w:ascii="宋体" w:hAnsi="宋体"/>
          <w:color w:val="000000" w:themeColor="text1"/>
          <w:sz w:val="24"/>
        </w:rPr>
        <w:t>管理制度，并严格贯彻落实。</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2.</w:t>
      </w:r>
      <w:r>
        <w:rPr>
          <w:rFonts w:hint="eastAsia" w:ascii="宋体" w:hAnsi="宋体"/>
          <w:color w:val="000000" w:themeColor="text1"/>
          <w:sz w:val="24"/>
        </w:rPr>
        <w:t>严格按照资质范围进行作业，不得进行超资质范围的技术服务作业，不得将所承担的承包项目再次转包。</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3.</w:t>
      </w:r>
      <w:r>
        <w:rPr>
          <w:rFonts w:hint="eastAsia" w:ascii="宋体" w:hAnsi="宋体"/>
          <w:color w:val="000000" w:themeColor="text1"/>
          <w:sz w:val="24"/>
        </w:rPr>
        <w:t>承包人特种作业人员必须持有效证件上岗；新录用人员不得单独操作，须经相关安全、技能培训合格，取得特种作业资格证后方可单独操作。</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4.</w:t>
      </w:r>
      <w:r>
        <w:rPr>
          <w:rFonts w:hint="eastAsia" w:ascii="宋体" w:hAnsi="宋体"/>
          <w:color w:val="000000" w:themeColor="text1"/>
          <w:sz w:val="24"/>
        </w:rPr>
        <w:t>接受发包人对</w:t>
      </w:r>
      <w:r>
        <w:rPr>
          <w:rFonts w:ascii="宋体" w:hAnsi="宋体"/>
          <w:color w:val="000000" w:themeColor="text1"/>
          <w:sz w:val="24"/>
        </w:rPr>
        <w:t>安全</w:t>
      </w:r>
      <w:r>
        <w:rPr>
          <w:rFonts w:hint="eastAsia" w:ascii="宋体" w:hAnsi="宋体"/>
          <w:color w:val="000000" w:themeColor="text1"/>
          <w:sz w:val="24"/>
        </w:rPr>
        <w:t>管理工作的监督检查，服从发包人管理，对发包人口头提出或书面签发提出的隐患整改通知单应按照规定要求进行处理。</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5.</w:t>
      </w:r>
      <w:r>
        <w:rPr>
          <w:rFonts w:hint="eastAsia" w:ascii="宋体" w:hAnsi="宋体"/>
          <w:color w:val="000000" w:themeColor="text1"/>
          <w:sz w:val="24"/>
        </w:rPr>
        <w:t>对自行携带和使用的设备负有</w:t>
      </w:r>
      <w:r>
        <w:rPr>
          <w:rFonts w:ascii="宋体" w:hAnsi="宋体"/>
          <w:color w:val="000000" w:themeColor="text1"/>
          <w:sz w:val="24"/>
        </w:rPr>
        <w:t>安全</w:t>
      </w:r>
      <w:r>
        <w:rPr>
          <w:rFonts w:hint="eastAsia" w:ascii="宋体" w:hAnsi="宋体"/>
          <w:color w:val="000000" w:themeColor="text1"/>
          <w:sz w:val="24"/>
        </w:rPr>
        <w:t>管理和维护保养的全部责任，并符合相关标准。使（租）用大型机械设备时，应在使用前向发包人备案。</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6.</w:t>
      </w:r>
      <w:r>
        <w:rPr>
          <w:rFonts w:hint="eastAsia" w:ascii="宋体" w:hAnsi="宋体"/>
          <w:color w:val="000000" w:themeColor="text1"/>
          <w:sz w:val="24"/>
        </w:rPr>
        <w:t>承包人必须统一组织、严格管理，不得随意换人、加人和顶替，若需换人、加人必须向发包人提出申请，并履行书面手续。</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7.</w:t>
      </w:r>
      <w:r>
        <w:rPr>
          <w:rFonts w:hint="eastAsia" w:ascii="宋体" w:hAnsi="宋体"/>
          <w:color w:val="000000" w:themeColor="text1"/>
          <w:sz w:val="24"/>
        </w:rPr>
        <w:t>在有毒有害、化学危险品、粉尘、噪音、高温环境、有限空间中作业施工必须按照发包人相应管理规定执行。</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8.</w:t>
      </w:r>
      <w:r>
        <w:rPr>
          <w:rFonts w:hint="eastAsia" w:ascii="宋体" w:hAnsi="宋体"/>
          <w:color w:val="000000" w:themeColor="text1"/>
          <w:sz w:val="24"/>
        </w:rPr>
        <w:t>承包人必须组织人员进行内部安全教育，并参加我公司安全交底，确认知悉并签订安全承诺书后方可进入现场作业。</w:t>
      </w:r>
    </w:p>
    <w:p>
      <w:pPr>
        <w:adjustRightInd w:val="0"/>
        <w:snapToGrid w:val="0"/>
        <w:spacing w:after="160" w:line="360" w:lineRule="auto"/>
        <w:ind w:firstLine="480" w:firstLineChars="200"/>
        <w:rPr>
          <w:rFonts w:ascii="宋体" w:hAnsi="宋体"/>
          <w:color w:val="000000" w:themeColor="text1"/>
          <w:sz w:val="24"/>
        </w:rPr>
      </w:pPr>
      <w:r>
        <w:rPr>
          <w:rFonts w:hint="eastAsia" w:ascii="宋体" w:hAnsi="宋体"/>
          <w:color w:val="000000" w:themeColor="text1"/>
          <w:sz w:val="24"/>
        </w:rPr>
        <w:t>三、协议内容</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1.</w:t>
      </w:r>
      <w:r>
        <w:rPr>
          <w:rFonts w:hint="eastAsia" w:ascii="宋体" w:hAnsi="宋体"/>
          <w:color w:val="000000" w:themeColor="text1"/>
          <w:sz w:val="24"/>
        </w:rPr>
        <w:t>甲乙双方均具有独立法人资格，按照责任权利对等的原则，承包人对承包的技术服务工作实行自主管理，负主体责任，发包人对承包人承包的工作实施监督管理。</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2.</w:t>
      </w:r>
      <w:r>
        <w:rPr>
          <w:rFonts w:hint="eastAsia" w:ascii="宋体" w:hAnsi="宋体"/>
          <w:color w:val="000000" w:themeColor="text1"/>
          <w:sz w:val="24"/>
        </w:rPr>
        <w:t>承包人必须向发包人提供</w:t>
      </w:r>
      <w:r>
        <w:rPr>
          <w:rFonts w:ascii="宋体" w:hAnsi="宋体"/>
          <w:color w:val="000000" w:themeColor="text1"/>
          <w:sz w:val="24"/>
        </w:rPr>
        <w:t>安全</w:t>
      </w:r>
      <w:r>
        <w:rPr>
          <w:rFonts w:hint="eastAsia" w:ascii="宋体" w:hAnsi="宋体"/>
          <w:color w:val="000000" w:themeColor="text1"/>
          <w:sz w:val="24"/>
        </w:rPr>
        <w:t>资质以待审查，审查合格后方可办理进厂手续。</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3.</w:t>
      </w:r>
      <w:r>
        <w:rPr>
          <w:rFonts w:hint="eastAsia" w:ascii="宋体" w:hAnsi="宋体"/>
          <w:color w:val="000000" w:themeColor="text1"/>
          <w:sz w:val="24"/>
        </w:rPr>
        <w:t>承包人应根据岗位需要以及作业人员数量按</w:t>
      </w:r>
      <w:r>
        <w:rPr>
          <w:rFonts w:ascii="宋体" w:hAnsi="宋体"/>
          <w:color w:val="000000" w:themeColor="text1"/>
          <w:sz w:val="24"/>
        </w:rPr>
        <w:t>50:1</w:t>
      </w:r>
      <w:r>
        <w:rPr>
          <w:rFonts w:hint="eastAsia" w:ascii="宋体" w:hAnsi="宋体"/>
          <w:color w:val="000000" w:themeColor="text1"/>
          <w:sz w:val="24"/>
        </w:rPr>
        <w:t>的比例配备相应的专（兼）职</w:t>
      </w:r>
      <w:r>
        <w:rPr>
          <w:rFonts w:ascii="宋体" w:hAnsi="宋体"/>
          <w:color w:val="000000" w:themeColor="text1"/>
          <w:sz w:val="24"/>
        </w:rPr>
        <w:t>安全</w:t>
      </w:r>
      <w:r>
        <w:rPr>
          <w:rFonts w:hint="eastAsia" w:ascii="宋体" w:hAnsi="宋体"/>
          <w:color w:val="000000" w:themeColor="text1"/>
          <w:sz w:val="24"/>
        </w:rPr>
        <w:t>管理人员（不足</w:t>
      </w:r>
      <w:r>
        <w:rPr>
          <w:rFonts w:ascii="宋体" w:hAnsi="宋体"/>
          <w:color w:val="000000" w:themeColor="text1"/>
          <w:sz w:val="24"/>
        </w:rPr>
        <w:t>50</w:t>
      </w:r>
      <w:r>
        <w:rPr>
          <w:rFonts w:hint="eastAsia" w:ascii="宋体" w:hAnsi="宋体"/>
          <w:color w:val="000000" w:themeColor="text1"/>
          <w:sz w:val="24"/>
        </w:rPr>
        <w:t>人时，至少配备</w:t>
      </w:r>
      <w:r>
        <w:rPr>
          <w:rFonts w:ascii="宋体" w:hAnsi="宋体"/>
          <w:color w:val="000000" w:themeColor="text1"/>
          <w:sz w:val="24"/>
        </w:rPr>
        <w:t>1</w:t>
      </w:r>
      <w:r>
        <w:rPr>
          <w:rFonts w:hint="eastAsia" w:ascii="宋体" w:hAnsi="宋体"/>
          <w:color w:val="000000" w:themeColor="text1"/>
          <w:sz w:val="24"/>
        </w:rPr>
        <w:t>名），进行现场</w:t>
      </w:r>
      <w:r>
        <w:rPr>
          <w:rFonts w:ascii="宋体" w:hAnsi="宋体"/>
          <w:color w:val="000000" w:themeColor="text1"/>
          <w:sz w:val="24"/>
        </w:rPr>
        <w:t>安全</w:t>
      </w:r>
      <w:r>
        <w:rPr>
          <w:rFonts w:hint="eastAsia" w:ascii="宋体" w:hAnsi="宋体"/>
          <w:color w:val="000000" w:themeColor="text1"/>
          <w:sz w:val="24"/>
        </w:rPr>
        <w:t>管理以及生产作业过程中的协调、联系。</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4.</w:t>
      </w:r>
      <w:r>
        <w:rPr>
          <w:rFonts w:hint="eastAsia" w:ascii="宋体" w:hAnsi="宋体"/>
          <w:color w:val="000000" w:themeColor="text1"/>
          <w:sz w:val="24"/>
        </w:rPr>
        <w:t>承包人必须严格按照国家相关规定雇佣作业人员，同时满足发包人用工条件。</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5.</w:t>
      </w:r>
      <w:r>
        <w:rPr>
          <w:rFonts w:hint="eastAsia" w:ascii="宋体" w:hAnsi="宋体"/>
          <w:color w:val="000000" w:themeColor="text1"/>
          <w:sz w:val="24"/>
        </w:rPr>
        <w:t>承包人应遵照国家相关法律标准对作业人员进行必要的</w:t>
      </w:r>
      <w:r>
        <w:rPr>
          <w:rFonts w:ascii="宋体" w:hAnsi="宋体"/>
          <w:color w:val="000000" w:themeColor="text1"/>
          <w:sz w:val="24"/>
        </w:rPr>
        <w:t>安全</w:t>
      </w:r>
      <w:r>
        <w:rPr>
          <w:rFonts w:hint="eastAsia" w:ascii="宋体" w:hAnsi="宋体"/>
          <w:color w:val="000000" w:themeColor="text1"/>
          <w:sz w:val="24"/>
        </w:rPr>
        <w:t>教育培训，使其知识和能力与岗位要求相匹配，并满足发包人相关要求。</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6.</w:t>
      </w:r>
      <w:r>
        <w:rPr>
          <w:rFonts w:hint="eastAsia" w:ascii="宋体" w:hAnsi="宋体"/>
          <w:color w:val="000000" w:themeColor="text1"/>
          <w:sz w:val="24"/>
        </w:rPr>
        <w:t>承包人每次作业前必须做好安全交底工作，现场负责人要定期对现场进行检查，消除隐患。</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7.</w:t>
      </w:r>
      <w:r>
        <w:rPr>
          <w:rFonts w:hint="eastAsia" w:ascii="宋体" w:hAnsi="宋体"/>
          <w:color w:val="000000" w:themeColor="text1"/>
          <w:sz w:val="24"/>
        </w:rPr>
        <w:t>发包人提供的设备、设施、器材、工具等，承包人负责全面管理，由于承包人人员的检查、维护、操作、保管等原因造成的非正常损坏，承担经济责任。</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8.</w:t>
      </w:r>
      <w:r>
        <w:rPr>
          <w:rFonts w:hint="eastAsia" w:ascii="宋体" w:hAnsi="宋体"/>
          <w:color w:val="000000" w:themeColor="text1"/>
          <w:sz w:val="24"/>
        </w:rPr>
        <w:t>承包人必须为其从业人员配备劳动防护用品并确保正确使用。</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9.</w:t>
      </w:r>
      <w:r>
        <w:rPr>
          <w:rFonts w:hint="eastAsia" w:ascii="宋体" w:hAnsi="宋体"/>
          <w:color w:val="000000" w:themeColor="text1"/>
          <w:sz w:val="24"/>
        </w:rPr>
        <w:t>承包人作业人员应在技术服务工作区域内活动，不得进入发包人或第三方生产作业现场，同时对技术服务工作区域安全文明生产管理工作负责。</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10.</w:t>
      </w:r>
      <w:r>
        <w:rPr>
          <w:rFonts w:hint="eastAsia" w:ascii="宋体" w:hAnsi="宋体"/>
          <w:color w:val="000000" w:themeColor="text1"/>
          <w:sz w:val="24"/>
        </w:rPr>
        <w:t>发包人有权随时对承包人进行</w:t>
      </w:r>
      <w:r>
        <w:rPr>
          <w:rFonts w:ascii="宋体" w:hAnsi="宋体"/>
          <w:color w:val="000000" w:themeColor="text1"/>
          <w:sz w:val="24"/>
        </w:rPr>
        <w:t>安全</w:t>
      </w:r>
      <w:r>
        <w:rPr>
          <w:rFonts w:hint="eastAsia" w:ascii="宋体" w:hAnsi="宋体"/>
          <w:color w:val="000000" w:themeColor="text1"/>
          <w:sz w:val="24"/>
        </w:rPr>
        <w:t>工作检查，制止违章作业，对违反发包人</w:t>
      </w:r>
      <w:r>
        <w:rPr>
          <w:rFonts w:ascii="宋体" w:hAnsi="宋体"/>
          <w:color w:val="000000" w:themeColor="text1"/>
          <w:sz w:val="24"/>
        </w:rPr>
        <w:t>安全</w:t>
      </w:r>
      <w:r>
        <w:rPr>
          <w:rFonts w:hint="eastAsia" w:ascii="宋体" w:hAnsi="宋体"/>
          <w:color w:val="000000" w:themeColor="text1"/>
          <w:sz w:val="24"/>
        </w:rPr>
        <w:t>规定的行为有权对承包人进行经济处罚，或根据具体情况责令承包人停工整顿。</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11.</w:t>
      </w:r>
      <w:r>
        <w:rPr>
          <w:rFonts w:hint="eastAsia" w:ascii="宋体" w:hAnsi="宋体"/>
          <w:color w:val="000000" w:themeColor="text1"/>
          <w:sz w:val="24"/>
        </w:rPr>
        <w:t>发生紧急情况时，承包人必须服从发包人统一调度指挥。</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12.</w:t>
      </w:r>
      <w:r>
        <w:rPr>
          <w:rFonts w:hint="eastAsia" w:ascii="宋体" w:hAnsi="宋体"/>
          <w:color w:val="000000" w:themeColor="text1"/>
          <w:sz w:val="24"/>
        </w:rPr>
        <w:t>承包人应严格履行</w:t>
      </w:r>
      <w:r>
        <w:rPr>
          <w:rFonts w:ascii="宋体" w:hAnsi="宋体"/>
          <w:color w:val="000000" w:themeColor="text1"/>
          <w:sz w:val="24"/>
        </w:rPr>
        <w:t>安全</w:t>
      </w:r>
      <w:r>
        <w:rPr>
          <w:rFonts w:hint="eastAsia" w:ascii="宋体" w:hAnsi="宋体"/>
          <w:color w:val="000000" w:themeColor="text1"/>
          <w:sz w:val="24"/>
        </w:rPr>
        <w:t>管理协议，遵守发包人各项管理规定，服从管理，否则视为违约，违约金参照发包人管理制度相关标准执行。</w:t>
      </w:r>
    </w:p>
    <w:p>
      <w:pPr>
        <w:adjustRightInd w:val="0"/>
        <w:snapToGrid w:val="0"/>
        <w:spacing w:after="160" w:line="360" w:lineRule="auto"/>
        <w:ind w:firstLine="480" w:firstLineChars="200"/>
        <w:rPr>
          <w:rFonts w:ascii="宋体" w:hAnsi="宋体"/>
          <w:color w:val="000000" w:themeColor="text1"/>
          <w:sz w:val="24"/>
        </w:rPr>
      </w:pPr>
      <w:r>
        <w:rPr>
          <w:rFonts w:hint="eastAsia" w:ascii="宋体" w:hAnsi="宋体"/>
          <w:color w:val="000000" w:themeColor="text1"/>
          <w:sz w:val="24"/>
        </w:rPr>
        <w:t>四、事故责任</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1.</w:t>
      </w:r>
      <w:r>
        <w:rPr>
          <w:rFonts w:hint="eastAsia" w:ascii="宋体" w:hAnsi="宋体"/>
          <w:color w:val="000000" w:themeColor="text1"/>
          <w:sz w:val="24"/>
        </w:rPr>
        <w:t>在承包人承包范围内，由于承包人责任发生生产安全事故时，造成的发包人、承包人或者第三方人身伤害事故，承包人负全部责任。</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2.</w:t>
      </w:r>
      <w:r>
        <w:rPr>
          <w:rFonts w:hint="eastAsia" w:ascii="宋体" w:hAnsi="宋体"/>
          <w:color w:val="000000" w:themeColor="text1"/>
          <w:sz w:val="24"/>
        </w:rPr>
        <w:t>承包人人员在发包人非承包区域遭受意外伤害的，承包人负全部责任。</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3.</w:t>
      </w:r>
      <w:r>
        <w:rPr>
          <w:rFonts w:hint="eastAsia" w:ascii="宋体" w:hAnsi="宋体"/>
          <w:color w:val="000000" w:themeColor="text1"/>
          <w:sz w:val="24"/>
        </w:rPr>
        <w:t>承包人人员违规进入发包人或第三方承包区域，造成事故的，承包人负全部事故责任；承包人人员遭受人身伤害的，承包人负全部责任。</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4.</w:t>
      </w:r>
      <w:r>
        <w:rPr>
          <w:rFonts w:hint="eastAsia" w:ascii="宋体" w:hAnsi="宋体"/>
          <w:color w:val="000000" w:themeColor="text1"/>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5.</w:t>
      </w:r>
      <w:r>
        <w:rPr>
          <w:rFonts w:hint="eastAsia" w:ascii="宋体" w:hAnsi="宋体"/>
          <w:color w:val="000000" w:themeColor="text1"/>
          <w:sz w:val="24"/>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6.</w:t>
      </w:r>
      <w:r>
        <w:rPr>
          <w:rFonts w:hint="eastAsia" w:ascii="宋体" w:hAnsi="宋体"/>
          <w:color w:val="000000" w:themeColor="text1"/>
          <w:sz w:val="24"/>
        </w:rPr>
        <w:t>承包人各类人员在发包人生产区域内发生人身伤害事故和其他事故，由承包人负责调查、处理和统计上报，并报发包人安全监督部门备案。</w:t>
      </w:r>
    </w:p>
    <w:p>
      <w:pPr>
        <w:adjustRightInd w:val="0"/>
        <w:snapToGrid w:val="0"/>
        <w:spacing w:after="160" w:line="360" w:lineRule="auto"/>
        <w:ind w:firstLine="480" w:firstLineChars="200"/>
        <w:rPr>
          <w:rFonts w:ascii="宋体" w:hAnsi="宋体"/>
          <w:color w:val="000000" w:themeColor="text1"/>
          <w:sz w:val="24"/>
        </w:rPr>
      </w:pPr>
    </w:p>
    <w:p>
      <w:pPr>
        <w:adjustRightInd w:val="0"/>
        <w:snapToGrid w:val="0"/>
        <w:spacing w:after="160" w:line="360" w:lineRule="auto"/>
        <w:ind w:firstLine="480" w:firstLineChars="200"/>
        <w:rPr>
          <w:rFonts w:ascii="宋体" w:hAnsi="宋体"/>
          <w:color w:val="000000" w:themeColor="text1"/>
          <w:sz w:val="24"/>
        </w:rPr>
      </w:pPr>
      <w:r>
        <w:rPr>
          <w:rFonts w:hint="eastAsia" w:ascii="宋体" w:hAnsi="宋体"/>
          <w:color w:val="000000" w:themeColor="text1"/>
          <w:sz w:val="24"/>
        </w:rPr>
        <w:t>五、补充条款：</w:t>
      </w:r>
      <w:r>
        <w:rPr>
          <w:rFonts w:ascii="宋体" w:hAnsi="宋体"/>
          <w:color w:val="000000" w:themeColor="text1"/>
          <w:sz w:val="24"/>
        </w:rPr>
        <w:t xml:space="preserve">         /       </w:t>
      </w:r>
      <w:r>
        <w:rPr>
          <w:rFonts w:hint="eastAsia" w:ascii="宋体" w:hAnsi="宋体"/>
          <w:color w:val="000000" w:themeColor="text1"/>
          <w:sz w:val="24"/>
        </w:rPr>
        <w:t>。</w:t>
      </w:r>
    </w:p>
    <w:p>
      <w:pPr>
        <w:adjustRightInd w:val="0"/>
        <w:snapToGrid w:val="0"/>
        <w:spacing w:after="160" w:line="360" w:lineRule="auto"/>
        <w:ind w:firstLine="480" w:firstLineChars="200"/>
        <w:rPr>
          <w:rFonts w:ascii="宋体" w:hAnsi="宋体"/>
          <w:color w:val="000000" w:themeColor="text1"/>
          <w:sz w:val="24"/>
        </w:rPr>
      </w:pPr>
      <w:r>
        <w:rPr>
          <w:rFonts w:hint="eastAsia" w:ascii="宋体" w:hAnsi="宋体"/>
          <w:color w:val="000000" w:themeColor="text1"/>
          <w:sz w:val="24"/>
        </w:rPr>
        <w:t>六、附则</w:t>
      </w:r>
    </w:p>
    <w:p>
      <w:pPr>
        <w:adjustRightInd w:val="0"/>
        <w:snapToGrid w:val="0"/>
        <w:spacing w:after="160" w:line="360" w:lineRule="auto"/>
        <w:ind w:firstLine="480" w:firstLineChars="200"/>
        <w:rPr>
          <w:rFonts w:ascii="宋体" w:hAnsi="宋体"/>
          <w:color w:val="000000" w:themeColor="text1"/>
          <w:sz w:val="24"/>
        </w:rPr>
      </w:pPr>
      <w:r>
        <w:rPr>
          <w:rFonts w:hint="eastAsia" w:ascii="宋体" w:hAnsi="宋体"/>
          <w:color w:val="000000" w:themeColor="text1"/>
          <w:sz w:val="24"/>
        </w:rPr>
        <w:t>本协议与合同同时签订、同时终止，具有相同的法律效力。合同由甲乙双方签字、盖章生效，甲乙双方各壹份。</w:t>
      </w:r>
    </w:p>
    <w:p>
      <w:pPr>
        <w:adjustRightInd w:val="0"/>
        <w:snapToGrid w:val="0"/>
        <w:spacing w:after="160" w:line="360" w:lineRule="auto"/>
        <w:ind w:firstLine="480" w:firstLineChars="200"/>
        <w:rPr>
          <w:rFonts w:ascii="宋体" w:hAnsi="宋体"/>
          <w:color w:val="000000" w:themeColor="text1"/>
          <w:sz w:val="24"/>
        </w:rPr>
      </w:pPr>
    </w:p>
    <w:p>
      <w:pPr>
        <w:adjustRightInd w:val="0"/>
        <w:snapToGrid w:val="0"/>
        <w:spacing w:after="160" w:line="360" w:lineRule="auto"/>
        <w:ind w:firstLine="480" w:firstLineChars="200"/>
        <w:rPr>
          <w:rFonts w:ascii="宋体" w:hAnsi="宋体"/>
          <w:color w:val="000000" w:themeColor="text1"/>
          <w:sz w:val="24"/>
        </w:rPr>
      </w:pPr>
    </w:p>
    <w:p>
      <w:pPr>
        <w:adjustRightInd w:val="0"/>
        <w:snapToGrid w:val="0"/>
        <w:spacing w:after="160" w:line="360" w:lineRule="auto"/>
        <w:ind w:firstLine="480" w:firstLineChars="200"/>
        <w:rPr>
          <w:rFonts w:ascii="宋体" w:hAnsi="宋体"/>
          <w:color w:val="000000" w:themeColor="text1"/>
          <w:sz w:val="24"/>
        </w:rPr>
      </w:pPr>
      <w:r>
        <w:rPr>
          <w:rFonts w:ascii="宋体" w:hAnsi="宋体"/>
          <w:color w:val="000000" w:themeColor="text1"/>
          <w:sz w:val="24"/>
        </w:rPr>
        <w:t xml:space="preserve">   发包人代表（章）：                          承包人代表（章）：　　　　　　　　　</w:t>
      </w:r>
    </w:p>
    <w:p>
      <w:pPr>
        <w:pStyle w:val="3"/>
        <w:spacing w:line="360" w:lineRule="auto"/>
        <w:ind w:firstLine="834" w:firstLineChars="346"/>
        <w:rPr>
          <w:rFonts w:ascii="宋体" w:hAnsi="宋体"/>
          <w:color w:val="000000" w:themeColor="text1"/>
          <w:sz w:val="24"/>
        </w:rPr>
      </w:pPr>
      <w:r>
        <w:rPr>
          <w:rFonts w:ascii="宋体" w:hAnsi="宋体"/>
          <w:color w:val="000000" w:themeColor="text1"/>
          <w:sz w:val="24"/>
        </w:rPr>
        <w:t>年　月　日　　　　　</w:t>
      </w:r>
      <w:r>
        <w:rPr>
          <w:rFonts w:hint="eastAsia" w:ascii="宋体" w:hAnsi="宋体"/>
          <w:color w:val="000000" w:themeColor="text1"/>
          <w:sz w:val="24"/>
        </w:rPr>
        <w:t xml:space="preserve">                         </w:t>
      </w:r>
      <w:r>
        <w:rPr>
          <w:rFonts w:ascii="宋体" w:hAnsi="宋体"/>
          <w:color w:val="000000" w:themeColor="text1"/>
          <w:sz w:val="24"/>
        </w:rPr>
        <w:t>年月　日</w:t>
      </w:r>
    </w:p>
    <w:p>
      <w:pPr>
        <w:spacing w:line="384" w:lineRule="auto"/>
        <w:ind w:firstLine="480"/>
        <w:rPr>
          <w:rFonts w:ascii="宋体" w:hAnsi="宋体" w:cs="宋体"/>
          <w:bCs/>
          <w:sz w:val="24"/>
        </w:rPr>
      </w:pPr>
      <w:r>
        <w:rPr>
          <w:rFonts w:ascii="宋体" w:hAnsi="宋体" w:cs="宋体"/>
          <w:bCs/>
          <w:sz w:val="24"/>
        </w:rPr>
        <w:br w:type="page"/>
      </w:r>
    </w:p>
    <w:p>
      <w:pPr>
        <w:snapToGrid w:val="0"/>
        <w:spacing w:line="560" w:lineRule="exact"/>
        <w:rPr>
          <w:rFonts w:ascii="宋体" w:hAnsi="宋体" w:cs="宋体"/>
          <w:b/>
          <w:bCs/>
          <w:sz w:val="32"/>
          <w:szCs w:val="32"/>
        </w:rPr>
      </w:pPr>
      <w:r>
        <w:rPr>
          <w:rFonts w:hint="eastAsia" w:ascii="宋体" w:hAnsi="宋体" w:cs="宋体"/>
          <w:b/>
          <w:bCs/>
          <w:sz w:val="32"/>
          <w:szCs w:val="32"/>
        </w:rPr>
        <w:t>附件4</w:t>
      </w:r>
    </w:p>
    <w:p>
      <w:pPr>
        <w:snapToGrid w:val="0"/>
        <w:spacing w:line="560" w:lineRule="exact"/>
        <w:jc w:val="center"/>
        <w:rPr>
          <w:rFonts w:hint="eastAsia" w:ascii="宋体" w:hAnsi="宋体" w:cs="宋体"/>
          <w:b/>
          <w:bCs/>
          <w:sz w:val="32"/>
          <w:szCs w:val="32"/>
        </w:rPr>
      </w:pPr>
      <w:r>
        <w:rPr>
          <w:rFonts w:hint="eastAsia" w:ascii="宋体" w:hAnsi="宋体" w:cs="宋体"/>
          <w:b/>
          <w:bCs/>
          <w:sz w:val="32"/>
          <w:szCs w:val="32"/>
        </w:rPr>
        <w:t>消防设施维保需求汇总表</w:t>
      </w:r>
    </w:p>
    <w:p>
      <w:pPr>
        <w:widowControl/>
        <w:jc w:val="center"/>
        <w:rPr>
          <w:rFonts w:ascii="仿宋" w:hAnsi="仿宋" w:eastAsia="仿宋" w:cs="仿宋_GB2312"/>
          <w:b/>
          <w:bCs/>
          <w:color w:val="000000" w:themeColor="text1"/>
          <w:sz w:val="32"/>
          <w:szCs w:val="32"/>
        </w:rPr>
      </w:pPr>
      <w:r>
        <w:rPr>
          <w:rFonts w:hint="eastAsia" w:ascii="仿宋" w:hAnsi="仿宋" w:eastAsia="仿宋" w:cs="仿宋_GB2312"/>
          <w:b/>
          <w:bCs/>
          <w:color w:val="000000" w:themeColor="text1"/>
          <w:sz w:val="32"/>
          <w:szCs w:val="32"/>
        </w:rPr>
        <w:t>（详见第六部分附件）</w:t>
      </w:r>
    </w:p>
    <w:p>
      <w:pPr>
        <w:snapToGrid w:val="0"/>
        <w:spacing w:line="560" w:lineRule="exact"/>
        <w:jc w:val="center"/>
        <w:rPr>
          <w:rFonts w:hint="eastAsia" w:ascii="宋体" w:hAnsi="宋体" w:cs="宋体"/>
          <w:b/>
          <w:bCs/>
          <w:sz w:val="32"/>
          <w:szCs w:val="32"/>
        </w:rPr>
      </w:pPr>
    </w:p>
    <w:p>
      <w:pPr>
        <w:widowControl/>
        <w:jc w:val="left"/>
        <w:rPr>
          <w:rFonts w:hint="eastAsia"/>
          <w:sz w:val="24"/>
          <w:szCs w:val="24"/>
        </w:rPr>
      </w:pPr>
      <w:r>
        <w:rPr>
          <w:rFonts w:hint="eastAsia"/>
          <w:sz w:val="24"/>
          <w:szCs w:val="24"/>
        </w:rPr>
        <w:t>备注：新扩建厂区（沥滘三期、龙归三期、大沙地二期、石井净二期、西朗二期、江高分公司、健康城分公司、大观分公司）维保服务起始时间以实际验收合格时间为准。其余单位维保起始时间以实际签订合同时间为准。</w:t>
      </w:r>
    </w:p>
    <w:p>
      <w:pPr>
        <w:widowControl/>
        <w:jc w:val="left"/>
        <w:rPr>
          <w:rFonts w:ascii="宋体" w:hAnsi="宋体" w:cs="宋体"/>
          <w:bCs/>
          <w:sz w:val="24"/>
        </w:rPr>
      </w:pPr>
    </w:p>
    <w:p>
      <w:pPr>
        <w:widowControl/>
        <w:jc w:val="left"/>
        <w:rPr>
          <w:rFonts w:ascii="仿宋" w:hAnsi="仿宋" w:eastAsia="仿宋" w:cs="仿宋_GB2312"/>
          <w:color w:val="000000" w:themeColor="text1"/>
        </w:rPr>
      </w:pPr>
      <w:r>
        <w:rPr>
          <w:rFonts w:ascii="仿宋" w:hAnsi="仿宋" w:eastAsia="仿宋" w:cs="仿宋_GB2312"/>
          <w:color w:val="000000" w:themeColor="text1"/>
        </w:rPr>
        <w:br w:type="page"/>
      </w:r>
    </w:p>
    <w:p>
      <w:pPr>
        <w:widowControl/>
        <w:jc w:val="left"/>
        <w:rPr>
          <w:rFonts w:ascii="仿宋" w:hAnsi="仿宋" w:eastAsia="仿宋" w:cs="仿宋_GB2312"/>
          <w:b/>
          <w:bCs/>
          <w:color w:val="000000" w:themeColor="text1"/>
          <w:sz w:val="32"/>
          <w:szCs w:val="32"/>
        </w:rPr>
      </w:pPr>
      <w:r>
        <w:rPr>
          <w:rFonts w:hint="eastAsia" w:ascii="仿宋" w:hAnsi="仿宋" w:eastAsia="仿宋" w:cs="仿宋_GB2312"/>
          <w:b/>
          <w:bCs/>
          <w:color w:val="000000" w:themeColor="text1"/>
          <w:sz w:val="32"/>
          <w:szCs w:val="32"/>
        </w:rPr>
        <w:t>附件5</w:t>
      </w:r>
    </w:p>
    <w:p>
      <w:pPr>
        <w:widowControl/>
        <w:jc w:val="center"/>
        <w:rPr>
          <w:rFonts w:ascii="仿宋" w:hAnsi="仿宋" w:eastAsia="仿宋" w:cs="仿宋_GB2312"/>
          <w:b/>
          <w:bCs/>
          <w:color w:val="000000" w:themeColor="text1"/>
          <w:sz w:val="32"/>
          <w:szCs w:val="32"/>
        </w:rPr>
      </w:pPr>
      <w:r>
        <w:rPr>
          <w:rFonts w:hint="eastAsia" w:ascii="仿宋" w:hAnsi="仿宋" w:eastAsia="仿宋" w:cs="仿宋_GB2312"/>
          <w:b/>
          <w:bCs/>
          <w:color w:val="000000" w:themeColor="text1"/>
          <w:sz w:val="32"/>
          <w:szCs w:val="32"/>
        </w:rPr>
        <w:t>消防设施明细汇总表</w:t>
      </w:r>
    </w:p>
    <w:p>
      <w:pPr>
        <w:widowControl/>
        <w:jc w:val="center"/>
        <w:rPr>
          <w:rFonts w:hint="eastAsia" w:ascii="仿宋" w:hAnsi="仿宋" w:eastAsia="仿宋" w:cs="仿宋_GB2312"/>
          <w:b/>
          <w:bCs/>
          <w:color w:val="000000" w:themeColor="text1"/>
          <w:sz w:val="32"/>
          <w:szCs w:val="32"/>
        </w:rPr>
      </w:pPr>
      <w:r>
        <w:rPr>
          <w:rFonts w:hint="eastAsia" w:ascii="仿宋" w:hAnsi="仿宋" w:eastAsia="仿宋" w:cs="仿宋_GB2312"/>
          <w:b/>
          <w:bCs/>
          <w:color w:val="000000" w:themeColor="text1"/>
          <w:sz w:val="32"/>
          <w:szCs w:val="32"/>
        </w:rPr>
        <w:t>（详见第六部分附件）</w:t>
      </w:r>
    </w:p>
    <w:p>
      <w:pPr>
        <w:widowControl/>
        <w:jc w:val="center"/>
        <w:rPr>
          <w:rFonts w:hint="eastAsia" w:ascii="仿宋" w:hAnsi="仿宋" w:eastAsia="仿宋" w:cs="仿宋_GB2312"/>
          <w:b/>
          <w:bCs/>
          <w:color w:val="000000" w:themeColor="text1"/>
          <w:sz w:val="32"/>
          <w:szCs w:val="32"/>
        </w:rPr>
      </w:pPr>
    </w:p>
    <w:p>
      <w:pPr>
        <w:widowControl/>
        <w:jc w:val="left"/>
        <w:rPr>
          <w:sz w:val="24"/>
          <w:szCs w:val="24"/>
        </w:rPr>
      </w:pPr>
      <w:r>
        <w:rPr>
          <w:rFonts w:hint="eastAsia"/>
          <w:sz w:val="24"/>
          <w:szCs w:val="24"/>
        </w:rPr>
        <w:t>备注：设备数量以实际为准，误差在5%以内的，乙方对所有消防设施开展维保工作，误差超5%，设备超出部分乙方按补充协议开展维保工作。</w:t>
      </w:r>
    </w:p>
    <w:p>
      <w:pPr>
        <w:widowControl/>
        <w:jc w:val="left"/>
        <w:rPr>
          <w:sz w:val="24"/>
          <w:szCs w:val="24"/>
        </w:rPr>
      </w:pPr>
      <w:r>
        <w:rPr>
          <w:sz w:val="24"/>
          <w:szCs w:val="24"/>
        </w:rPr>
        <w:br w:type="page"/>
      </w:r>
    </w:p>
    <w:p>
      <w:pPr>
        <w:widowControl/>
        <w:jc w:val="left"/>
        <w:rPr>
          <w:sz w:val="24"/>
          <w:szCs w:val="24"/>
        </w:rPr>
      </w:pPr>
    </w:p>
    <w:p>
      <w:pPr>
        <w:pStyle w:val="3"/>
        <w:spacing w:line="360" w:lineRule="auto"/>
        <w:ind w:firstLine="560"/>
        <w:jc w:val="center"/>
        <w:rPr>
          <w:rFonts w:ascii="仿宋" w:hAnsi="仿宋" w:eastAsia="仿宋" w:cs="仿宋_GB2312"/>
          <w:color w:val="000000" w:themeColor="text1"/>
        </w:rPr>
      </w:pPr>
      <w:r>
        <w:rPr>
          <w:rFonts w:hint="eastAsia" w:ascii="仿宋" w:hAnsi="仿宋" w:eastAsia="仿宋" w:cs="仿宋_GB2312"/>
          <w:color w:val="000000" w:themeColor="text1"/>
        </w:rPr>
        <w:t>第五部分　响应文件格式</w:t>
      </w:r>
    </w:p>
    <w:p>
      <w:pPr>
        <w:pStyle w:val="7"/>
        <w:tabs>
          <w:tab w:val="left" w:pos="1260"/>
        </w:tabs>
        <w:jc w:val="center"/>
        <w:rPr>
          <w:rFonts w:ascii="仿宋" w:hAnsi="仿宋" w:eastAsia="仿宋" w:cs="仿宋_GB2312"/>
          <w:b/>
          <w:color w:val="000000" w:themeColor="text1"/>
          <w:kern w:val="0"/>
          <w:sz w:val="24"/>
          <w:szCs w:val="24"/>
        </w:rPr>
      </w:pPr>
    </w:p>
    <w:p>
      <w:pPr>
        <w:pStyle w:val="7"/>
        <w:tabs>
          <w:tab w:val="left" w:pos="1260"/>
        </w:tabs>
        <w:jc w:val="center"/>
        <w:rPr>
          <w:rFonts w:ascii="仿宋" w:hAnsi="仿宋" w:eastAsia="仿宋" w:cs="仿宋_GB2312"/>
          <w:b/>
          <w:color w:val="000000" w:themeColor="text1"/>
          <w:kern w:val="0"/>
          <w:sz w:val="24"/>
          <w:szCs w:val="24"/>
        </w:rPr>
      </w:pPr>
    </w:p>
    <w:p>
      <w:pPr>
        <w:pStyle w:val="7"/>
        <w:tabs>
          <w:tab w:val="left" w:pos="1260"/>
        </w:tabs>
        <w:jc w:val="center"/>
        <w:rPr>
          <w:rFonts w:ascii="仿宋" w:hAnsi="仿宋" w:eastAsia="仿宋" w:cs="仿宋_GB2312"/>
          <w:b/>
          <w:color w:val="000000" w:themeColor="text1"/>
          <w:kern w:val="0"/>
          <w:sz w:val="24"/>
          <w:szCs w:val="24"/>
        </w:rPr>
      </w:pPr>
    </w:p>
    <w:p>
      <w:pPr>
        <w:pStyle w:val="7"/>
        <w:tabs>
          <w:tab w:val="left" w:pos="1260"/>
        </w:tabs>
        <w:jc w:val="center"/>
        <w:rPr>
          <w:rFonts w:ascii="仿宋" w:hAnsi="仿宋" w:eastAsia="仿宋" w:cs="仿宋_GB2312"/>
          <w:b/>
          <w:color w:val="000000" w:themeColor="text1"/>
          <w:kern w:val="0"/>
          <w:sz w:val="24"/>
          <w:szCs w:val="24"/>
        </w:rPr>
      </w:pPr>
    </w:p>
    <w:p>
      <w:pPr>
        <w:pStyle w:val="7"/>
        <w:tabs>
          <w:tab w:val="left" w:pos="1260"/>
        </w:tabs>
        <w:jc w:val="center"/>
        <w:rPr>
          <w:rFonts w:ascii="仿宋" w:hAnsi="仿宋" w:eastAsia="仿宋" w:cs="仿宋_GB2312"/>
          <w:b/>
          <w:bCs/>
          <w:color w:val="000000" w:themeColor="text1"/>
          <w:sz w:val="28"/>
          <w:szCs w:val="28"/>
        </w:rPr>
      </w:pPr>
      <w:r>
        <w:rPr>
          <w:rFonts w:hint="eastAsia" w:ascii="仿宋" w:hAnsi="仿宋" w:eastAsia="仿宋" w:cs="仿宋_GB2312"/>
          <w:b/>
          <w:bCs/>
          <w:color w:val="000000" w:themeColor="text1"/>
          <w:sz w:val="28"/>
          <w:szCs w:val="28"/>
        </w:rPr>
        <w:t>广州市净水有限公司</w:t>
      </w:r>
    </w:p>
    <w:p>
      <w:pPr>
        <w:pStyle w:val="7"/>
        <w:tabs>
          <w:tab w:val="left" w:pos="1260"/>
        </w:tabs>
        <w:jc w:val="center"/>
        <w:rPr>
          <w:rFonts w:ascii="仿宋" w:hAnsi="仿宋" w:eastAsia="仿宋" w:cs="仿宋_GB2312"/>
          <w:b/>
          <w:bCs/>
          <w:color w:val="000000" w:themeColor="text1"/>
          <w:sz w:val="28"/>
          <w:szCs w:val="28"/>
        </w:rPr>
      </w:pPr>
      <w:r>
        <w:rPr>
          <w:rFonts w:ascii="仿宋" w:hAnsi="仿宋" w:eastAsia="仿宋" w:cs="仿宋_GB2312"/>
          <w:b/>
          <w:bCs/>
          <w:color w:val="000000" w:themeColor="text1"/>
          <w:sz w:val="28"/>
          <w:szCs w:val="28"/>
        </w:rPr>
        <w:t>（项目名称）</w:t>
      </w:r>
    </w:p>
    <w:p>
      <w:pPr>
        <w:pStyle w:val="7"/>
        <w:jc w:val="center"/>
        <w:rPr>
          <w:rFonts w:ascii="仿宋" w:hAnsi="仿宋" w:eastAsia="仿宋" w:cs="仿宋_GB2312"/>
          <w:b/>
          <w:color w:val="000000" w:themeColor="text1"/>
          <w:sz w:val="24"/>
          <w:szCs w:val="24"/>
        </w:rPr>
      </w:pPr>
    </w:p>
    <w:p>
      <w:pPr>
        <w:pStyle w:val="7"/>
        <w:jc w:val="center"/>
        <w:rPr>
          <w:rFonts w:ascii="仿宋" w:hAnsi="仿宋" w:eastAsia="仿宋" w:cs="仿宋_GB2312"/>
          <w:b/>
          <w:color w:val="000000" w:themeColor="text1"/>
          <w:sz w:val="24"/>
          <w:szCs w:val="24"/>
        </w:rPr>
      </w:pPr>
    </w:p>
    <w:p>
      <w:pPr>
        <w:pStyle w:val="7"/>
        <w:jc w:val="center"/>
        <w:rPr>
          <w:rFonts w:ascii="仿宋" w:hAnsi="仿宋" w:eastAsia="仿宋" w:cs="仿宋_GB2312"/>
          <w:b/>
          <w:color w:val="000000" w:themeColor="text1"/>
          <w:sz w:val="24"/>
          <w:szCs w:val="24"/>
        </w:rPr>
      </w:pPr>
    </w:p>
    <w:p>
      <w:pPr>
        <w:pStyle w:val="7"/>
        <w:jc w:val="center"/>
        <w:rPr>
          <w:rFonts w:ascii="仿宋" w:hAnsi="仿宋" w:eastAsia="仿宋" w:cs="仿宋_GB2312"/>
          <w:b/>
          <w:color w:val="000000" w:themeColor="text1"/>
          <w:sz w:val="24"/>
          <w:szCs w:val="24"/>
        </w:rPr>
      </w:pPr>
    </w:p>
    <w:p>
      <w:pPr>
        <w:pStyle w:val="7"/>
        <w:tabs>
          <w:tab w:val="left" w:pos="1260"/>
        </w:tabs>
        <w:jc w:val="center"/>
        <w:rPr>
          <w:rFonts w:ascii="仿宋" w:hAnsi="仿宋" w:eastAsia="仿宋" w:cs="仿宋_GB2312"/>
          <w:b/>
          <w:color w:val="000000" w:themeColor="text1"/>
          <w:spacing w:val="100"/>
          <w:w w:val="110"/>
          <w:sz w:val="28"/>
          <w:szCs w:val="28"/>
        </w:rPr>
      </w:pPr>
      <w:r>
        <w:rPr>
          <w:rFonts w:hint="eastAsia" w:ascii="仿宋" w:hAnsi="仿宋" w:eastAsia="仿宋" w:cs="仿宋_GB2312"/>
          <w:b/>
          <w:color w:val="000000" w:themeColor="text1"/>
          <w:spacing w:val="100"/>
          <w:w w:val="110"/>
          <w:kern w:val="0"/>
          <w:sz w:val="28"/>
          <w:szCs w:val="28"/>
        </w:rPr>
        <w:t>询价响应文件</w:t>
      </w:r>
    </w:p>
    <w:p>
      <w:pPr>
        <w:pStyle w:val="7"/>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（正本</w:t>
      </w:r>
      <w:r>
        <w:rPr>
          <w:rFonts w:ascii="仿宋" w:hAnsi="仿宋" w:eastAsia="仿宋" w:cs="仿宋_GB2312"/>
          <w:b/>
          <w:color w:val="000000" w:themeColor="text1"/>
          <w:sz w:val="28"/>
          <w:szCs w:val="28"/>
        </w:rPr>
        <w:t>/副本）</w:t>
      </w:r>
    </w:p>
    <w:p>
      <w:pPr>
        <w:pStyle w:val="7"/>
        <w:jc w:val="center"/>
        <w:rPr>
          <w:rFonts w:ascii="仿宋" w:hAnsi="仿宋" w:eastAsia="仿宋" w:cs="仿宋_GB2312"/>
          <w:b/>
          <w:color w:val="000000" w:themeColor="text1"/>
        </w:rPr>
      </w:pPr>
    </w:p>
    <w:p>
      <w:pPr>
        <w:pStyle w:val="7"/>
        <w:jc w:val="center"/>
        <w:rPr>
          <w:rFonts w:ascii="仿宋" w:hAnsi="仿宋" w:eastAsia="仿宋" w:cs="仿宋_GB2312"/>
          <w:b/>
          <w:color w:val="000000" w:themeColor="text1"/>
        </w:rPr>
      </w:pPr>
    </w:p>
    <w:p>
      <w:pPr>
        <w:pStyle w:val="7"/>
        <w:jc w:val="center"/>
        <w:rPr>
          <w:rFonts w:ascii="仿宋" w:hAnsi="仿宋" w:eastAsia="仿宋" w:cs="仿宋_GB2312"/>
          <w:b/>
          <w:color w:val="000000" w:themeColor="text1"/>
        </w:rPr>
      </w:pPr>
    </w:p>
    <w:p>
      <w:pPr>
        <w:pStyle w:val="7"/>
        <w:jc w:val="center"/>
        <w:rPr>
          <w:rFonts w:ascii="仿宋" w:hAnsi="仿宋" w:eastAsia="仿宋" w:cs="仿宋_GB2312"/>
          <w:b/>
          <w:color w:val="000000" w:themeColor="text1"/>
        </w:rPr>
      </w:pPr>
    </w:p>
    <w:p>
      <w:pPr>
        <w:pStyle w:val="7"/>
        <w:jc w:val="center"/>
        <w:rPr>
          <w:rFonts w:ascii="仿宋" w:hAnsi="仿宋" w:eastAsia="仿宋" w:cs="仿宋_GB2312"/>
          <w:b/>
          <w:color w:val="000000" w:themeColor="text1"/>
        </w:rPr>
      </w:pPr>
    </w:p>
    <w:p>
      <w:pPr>
        <w:pStyle w:val="7"/>
        <w:jc w:val="center"/>
        <w:rPr>
          <w:rFonts w:ascii="仿宋" w:hAnsi="仿宋" w:eastAsia="仿宋" w:cs="仿宋_GB2312"/>
          <w:b/>
          <w:color w:val="000000" w:themeColor="text1"/>
          <w:sz w:val="28"/>
          <w:szCs w:val="28"/>
        </w:rPr>
      </w:pPr>
    </w:p>
    <w:p>
      <w:pPr>
        <w:pStyle w:val="7"/>
        <w:spacing w:line="360" w:lineRule="auto"/>
        <w:ind w:firstLine="980" w:firstLineChars="350"/>
        <w:rPr>
          <w:rFonts w:ascii="仿宋" w:hAnsi="仿宋" w:eastAsia="仿宋" w:cs="仿宋_GB2312"/>
          <w:color w:val="000000" w:themeColor="text1"/>
          <w:sz w:val="28"/>
          <w:szCs w:val="28"/>
          <w:u w:val="single"/>
        </w:rPr>
      </w:pPr>
      <w:r>
        <w:rPr>
          <w:rFonts w:hint="eastAsia" w:ascii="仿宋" w:hAnsi="仿宋" w:eastAsia="仿宋" w:cs="仿宋_GB2312"/>
          <w:color w:val="000000" w:themeColor="text1"/>
          <w:sz w:val="28"/>
          <w:szCs w:val="28"/>
        </w:rPr>
        <w:t>项目编号（包、组号）：</w:t>
      </w:r>
    </w:p>
    <w:p>
      <w:pPr>
        <w:pStyle w:val="6"/>
        <w:spacing w:line="360" w:lineRule="auto"/>
        <w:ind w:firstLine="560" w:firstLineChars="200"/>
        <w:rPr>
          <w:rFonts w:ascii="仿宋" w:hAnsi="仿宋" w:eastAsia="仿宋" w:cs="仿宋_GB2312"/>
          <w:color w:val="000000" w:themeColor="text1"/>
          <w:sz w:val="28"/>
          <w:szCs w:val="28"/>
          <w:u w:val="single"/>
        </w:rPr>
      </w:pPr>
      <w:r>
        <w:rPr>
          <w:rFonts w:hint="eastAsia" w:ascii="仿宋" w:hAnsi="仿宋" w:eastAsia="仿宋" w:cs="仿宋_GB2312"/>
          <w:color w:val="000000" w:themeColor="text1"/>
          <w:sz w:val="28"/>
          <w:szCs w:val="28"/>
        </w:rPr>
        <w:t>项目名称：</w:t>
      </w:r>
      <w:r>
        <w:rPr>
          <w:rFonts w:hint="eastAsia" w:ascii="仿宋" w:hAnsi="仿宋" w:eastAsia="仿宋" w:cs="仿宋_GB2312"/>
          <w:b/>
          <w:bCs/>
          <w:color w:val="000000" w:themeColor="text1"/>
          <w:sz w:val="28"/>
          <w:szCs w:val="28"/>
        </w:rPr>
        <w:t>2021年广州净水有限公司消防设施维保项目</w:t>
      </w:r>
    </w:p>
    <w:p>
      <w:pPr>
        <w:pStyle w:val="7"/>
        <w:ind w:firstLine="632" w:firstLineChars="300"/>
        <w:rPr>
          <w:rFonts w:ascii="仿宋" w:hAnsi="仿宋" w:eastAsia="仿宋" w:cs="仿宋_GB2312"/>
          <w:b/>
          <w:color w:val="000000" w:themeColor="text1"/>
        </w:rPr>
      </w:pPr>
    </w:p>
    <w:p>
      <w:pPr>
        <w:pStyle w:val="7"/>
        <w:ind w:firstLine="632" w:firstLineChars="300"/>
        <w:rPr>
          <w:rFonts w:ascii="仿宋" w:hAnsi="仿宋" w:eastAsia="仿宋" w:cs="仿宋_GB2312"/>
          <w:b/>
          <w:color w:val="000000" w:themeColor="text1"/>
        </w:rPr>
      </w:pPr>
    </w:p>
    <w:p>
      <w:pPr>
        <w:pStyle w:val="7"/>
        <w:ind w:firstLine="632" w:firstLineChars="300"/>
        <w:rPr>
          <w:rFonts w:ascii="仿宋" w:hAnsi="仿宋" w:eastAsia="仿宋" w:cs="仿宋_GB2312"/>
          <w:b/>
          <w:color w:val="000000" w:themeColor="text1"/>
        </w:rPr>
      </w:pPr>
    </w:p>
    <w:p>
      <w:pPr>
        <w:pStyle w:val="7"/>
        <w:ind w:firstLine="632" w:firstLineChars="300"/>
        <w:rPr>
          <w:rFonts w:ascii="仿宋" w:hAnsi="仿宋" w:eastAsia="仿宋" w:cs="仿宋_GB2312"/>
          <w:b/>
          <w:color w:val="000000" w:themeColor="text1"/>
        </w:rPr>
      </w:pPr>
    </w:p>
    <w:p>
      <w:pPr>
        <w:pStyle w:val="7"/>
        <w:ind w:firstLine="632" w:firstLineChars="300"/>
        <w:rPr>
          <w:rFonts w:ascii="仿宋" w:hAnsi="仿宋" w:eastAsia="仿宋" w:cs="仿宋_GB2312"/>
          <w:b/>
          <w:color w:val="000000" w:themeColor="text1"/>
        </w:rPr>
      </w:pPr>
    </w:p>
    <w:p>
      <w:pPr>
        <w:pStyle w:val="7"/>
        <w:ind w:firstLine="632" w:firstLineChars="300"/>
        <w:rPr>
          <w:rFonts w:ascii="仿宋" w:hAnsi="仿宋" w:eastAsia="仿宋" w:cs="仿宋_GB2312"/>
          <w:b/>
          <w:color w:val="000000" w:themeColor="text1"/>
        </w:rPr>
      </w:pPr>
    </w:p>
    <w:p>
      <w:pPr>
        <w:pStyle w:val="7"/>
        <w:ind w:firstLine="632" w:firstLineChars="300"/>
        <w:rPr>
          <w:rFonts w:ascii="仿宋" w:hAnsi="仿宋" w:eastAsia="仿宋" w:cs="仿宋_GB2312"/>
          <w:b/>
          <w:color w:val="000000" w:themeColor="text1"/>
        </w:rPr>
      </w:pPr>
    </w:p>
    <w:p>
      <w:pPr>
        <w:pStyle w:val="7"/>
        <w:spacing w:line="360" w:lineRule="auto"/>
        <w:ind w:firstLine="3117" w:firstLineChars="1109"/>
        <w:rPr>
          <w:rFonts w:ascii="仿宋" w:hAnsi="仿宋" w:eastAsia="仿宋" w:cs="仿宋_GB2312"/>
          <w:b/>
          <w:color w:val="000000" w:themeColor="text1"/>
          <w:sz w:val="28"/>
          <w:szCs w:val="28"/>
          <w:u w:val="single"/>
        </w:rPr>
      </w:pPr>
      <w:r>
        <w:rPr>
          <w:rFonts w:hint="eastAsia" w:ascii="仿宋" w:hAnsi="仿宋" w:eastAsia="仿宋" w:cs="仿宋_GB2312"/>
          <w:b/>
          <w:color w:val="000000" w:themeColor="text1"/>
          <w:sz w:val="28"/>
          <w:szCs w:val="28"/>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rPr>
      </w:pPr>
      <w:r>
        <w:rPr>
          <w:rFonts w:hint="eastAsia" w:ascii="仿宋" w:hAnsi="仿宋" w:eastAsia="仿宋" w:cs="仿宋_GB2312"/>
          <w:b/>
          <w:color w:val="000000" w:themeColor="text1"/>
          <w:sz w:val="28"/>
          <w:szCs w:val="28"/>
        </w:rPr>
        <w:t>日期：   年      月      日</w:t>
      </w:r>
    </w:p>
    <w:p>
      <w:pPr>
        <w:widowControl/>
        <w:jc w:val="left"/>
        <w:rPr>
          <w:rFonts w:ascii="宋体" w:hAnsi="宋体" w:cs="宋体"/>
          <w:bCs/>
          <w:sz w:val="24"/>
        </w:rPr>
      </w:pPr>
      <w:r>
        <w:rPr>
          <w:rFonts w:ascii="宋体" w:hAnsi="宋体" w:cs="宋体"/>
          <w:bCs/>
          <w:sz w:val="24"/>
        </w:rPr>
        <w:br w:type="page"/>
      </w:r>
    </w:p>
    <w:p>
      <w:pPr>
        <w:pStyle w:val="3"/>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w:t>
      </w:r>
      <w:r>
        <w:rPr>
          <w:rFonts w:ascii="仿宋" w:hAnsi="仿宋" w:eastAsia="仿宋" w:cs="仿宋_GB2312"/>
          <w:b/>
          <w:color w:val="000000" w:themeColor="text1"/>
          <w:sz w:val="28"/>
          <w:szCs w:val="28"/>
        </w:rPr>
        <w:t>1）法定代表人/负责人资格证明书</w:t>
      </w:r>
    </w:p>
    <w:p>
      <w:pPr>
        <w:spacing w:line="480" w:lineRule="exact"/>
        <w:rPr>
          <w:rFonts w:ascii="仿宋" w:hAnsi="仿宋" w:eastAsia="仿宋" w:cs="仿宋_GB2312"/>
          <w:color w:val="000000" w:themeColor="text1"/>
          <w:sz w:val="28"/>
          <w:szCs w:val="28"/>
        </w:rPr>
      </w:pPr>
    </w:p>
    <w:p>
      <w:pPr>
        <w:spacing w:line="48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致：（项目实施单位）</w:t>
      </w:r>
    </w:p>
    <w:p>
      <w:pPr>
        <w:rPr>
          <w:rFonts w:ascii="仿宋" w:hAnsi="仿宋" w:eastAsia="仿宋" w:cs="仿宋_GB2312"/>
          <w:color w:val="000000" w:themeColor="text1"/>
          <w:sz w:val="28"/>
          <w:szCs w:val="28"/>
        </w:rPr>
      </w:pPr>
    </w:p>
    <w:p>
      <w:pPr>
        <w:spacing w:line="44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同志为本单位法定代表人，特此证明。</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签发日期：单位：（盖单位公章）</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附：代表人性别：年龄：身份证号码：</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联系电话：</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营业执照号码：经济性质：</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机构代码：机构性质：</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主营：</w:t>
      </w:r>
    </w:p>
    <w:p>
      <w:pPr>
        <w:spacing w:line="44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兼营：</w:t>
      </w:r>
    </w:p>
    <w:p>
      <w:pPr>
        <w:spacing w:line="440" w:lineRule="exact"/>
        <w:ind w:firstLine="280" w:firstLineChars="100"/>
        <w:rPr>
          <w:rFonts w:ascii="仿宋" w:hAnsi="仿宋" w:eastAsia="仿宋" w:cs="仿宋_GB2312"/>
          <w:color w:val="000000" w:themeColor="text1"/>
          <w:sz w:val="28"/>
          <w:szCs w:val="28"/>
        </w:rPr>
      </w:pPr>
    </w:p>
    <w:p>
      <w:pPr>
        <w:spacing w:line="44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说明：</w:t>
      </w:r>
      <w:r>
        <w:rPr>
          <w:rFonts w:ascii="仿宋" w:hAnsi="仿宋" w:eastAsia="仿宋" w:cs="仿宋_GB2312"/>
          <w:color w:val="000000" w:themeColor="text1"/>
          <w:sz w:val="28"/>
          <w:szCs w:val="28"/>
        </w:rPr>
        <w:t>1.内容必须填写真实、清楚、涂改无效，不得转让、买卖。</w:t>
      </w:r>
    </w:p>
    <w:p>
      <w:pPr>
        <w:spacing w:line="440" w:lineRule="exact"/>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      2.将此证明书提交对方作为合同附件</w:t>
      </w:r>
      <w:r>
        <w:rPr>
          <w:rFonts w:hint="eastAsia" w:ascii="仿宋" w:hAnsi="仿宋" w:eastAsia="仿宋" w:cs="仿宋_GB2312"/>
          <w:b/>
          <w:color w:val="000000" w:themeColor="text1"/>
          <w:sz w:val="28"/>
          <w:szCs w:val="28"/>
        </w:rPr>
        <w:t>。</w:t>
      </w:r>
    </w:p>
    <w:p>
      <w:pPr>
        <w:rPr>
          <w:rFonts w:ascii="仿宋" w:hAnsi="仿宋" w:eastAsia="仿宋" w:cs="仿宋_GB2312"/>
          <w:color w:val="000000" w:themeColor="text1"/>
          <w:sz w:val="28"/>
          <w:szCs w:val="28"/>
        </w:rPr>
      </w:pPr>
    </w:p>
    <w:p>
      <w:pPr>
        <w:rPr>
          <w:rFonts w:ascii="仿宋" w:hAnsi="仿宋" w:eastAsia="仿宋" w:cs="仿宋_GB2312"/>
          <w:color w:val="000000" w:themeColor="text1"/>
          <w:sz w:val="28"/>
          <w:szCs w:val="28"/>
        </w:rPr>
      </w:pPr>
    </w:p>
    <w:p>
      <w:pPr>
        <w:rPr>
          <w:rFonts w:ascii="仿宋" w:hAnsi="仿宋" w:eastAsia="仿宋" w:cs="仿宋_GB2312"/>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 w:hAnsi="仿宋" w:eastAsia="仿宋" w:cs="仿宋_GB2312"/>
          <w:b/>
          <w:color w:val="000000" w:themeColor="text1"/>
          <w:sz w:val="28"/>
          <w:szCs w:val="28"/>
        </w:rPr>
      </w:pPr>
    </w:p>
    <w:p>
      <w:pPr>
        <w:rPr>
          <w:rFonts w:ascii="仿宋_GB2312" w:hAnsi="仿宋_GB2312" w:eastAsia="仿宋_GB2312" w:cs="仿宋_GB2312"/>
          <w:sz w:val="28"/>
          <w:szCs w:val="28"/>
        </w:rPr>
      </w:pPr>
      <w:r>
        <w:rPr>
          <w:rFonts w:ascii="仿宋_GB2312" w:hAnsi="仿宋_GB2312" w:eastAsia="仿宋_GB2312" w:cs="仿宋_GB2312"/>
          <w:b/>
          <w:sz w:val="28"/>
          <w:szCs w:val="28"/>
        </w:rPr>
        <w:pict>
          <v:shape id="AutoShape 2" o:spid="_x0000_s2051" o:spt="176" type="#_x0000_t176" style="position:absolute;left:0pt;margin-left:114.15pt;margin-top:5.55pt;height:124.75pt;width:183.75pt;z-index:251660288;mso-width-relative:page;mso-height-relative:page;" coordsize="21600,21600" o:gfxdata="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2mywnXAAAACgEAAA8AAAAAAAAAAQAgAAAAIgAAAGRycy9k&#10;b3ducmV2LnhtbFBLAQIUABQAAAAIAIdO4kAhxucaAwIAAEIEAAAOAAAAAAAAAAEAIAAAACYBAABk&#10;cnMvZTJvRG9jLnhtbFBLBQYAAAAABgAGAFkBAACbBQAAAAA=&#1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w: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jc w:val="center"/>
        <w:rPr>
          <w:rFonts w:ascii="仿宋" w:hAnsi="仿宋" w:eastAsia="仿宋" w:cs="仿宋_GB2312"/>
          <w:b/>
          <w:color w:val="000000" w:themeColor="text1"/>
          <w:sz w:val="28"/>
          <w:szCs w:val="28"/>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rPr>
        <w:t>（</w:t>
      </w:r>
      <w:r>
        <w:rPr>
          <w:rFonts w:ascii="仿宋" w:hAnsi="仿宋" w:eastAsia="仿宋" w:cs="仿宋_GB2312"/>
          <w:b/>
          <w:color w:val="000000" w:themeColor="text1"/>
          <w:sz w:val="28"/>
          <w:szCs w:val="28"/>
        </w:rPr>
        <w:t>2）法定代表人/负责人授权委托书</w:t>
      </w:r>
    </w:p>
    <w:p>
      <w:pPr>
        <w:spacing w:line="360" w:lineRule="auto"/>
        <w:rPr>
          <w:rFonts w:ascii="仿宋" w:hAnsi="仿宋" w:eastAsia="仿宋" w:cs="仿宋_GB2312"/>
          <w:color w:val="000000" w:themeColor="text1"/>
          <w:sz w:val="28"/>
          <w:szCs w:val="28"/>
        </w:rPr>
      </w:pPr>
    </w:p>
    <w:p>
      <w:pPr>
        <w:spacing w:line="360" w:lineRule="auto"/>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致：（项目实施单位）</w:t>
      </w:r>
    </w:p>
    <w:p>
      <w:pPr>
        <w:spacing w:line="480" w:lineRule="exact"/>
        <w:ind w:firstLine="562" w:firstLineChars="200"/>
        <w:rPr>
          <w:rFonts w:ascii="仿宋" w:hAnsi="仿宋" w:eastAsia="仿宋" w:cs="仿宋_GB2312"/>
          <w:b/>
          <w:color w:val="000000" w:themeColor="text1"/>
          <w:sz w:val="28"/>
          <w:szCs w:val="28"/>
        </w:rPr>
      </w:pPr>
    </w:p>
    <w:p>
      <w:pPr>
        <w:spacing w:line="480" w:lineRule="exact"/>
        <w:ind w:firstLine="560" w:firstLineChars="2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兹授权同志，为我方签订经济合同及办理其他事务代理人，其权限是：</w:t>
      </w:r>
    </w:p>
    <w:p>
      <w:pPr>
        <w:spacing w:line="48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w:t>
      </w:r>
    </w:p>
    <w:p>
      <w:pPr>
        <w:spacing w:line="48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授权单位：（盖章）法定代表人（签名或盖私章）</w:t>
      </w:r>
    </w:p>
    <w:p>
      <w:pPr>
        <w:spacing w:line="48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有效期限：至年月日签发日期：</w:t>
      </w:r>
    </w:p>
    <w:p>
      <w:pPr>
        <w:spacing w:line="48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附：代理人性别：年龄：职务：身份证号码：</w:t>
      </w:r>
    </w:p>
    <w:p>
      <w:pPr>
        <w:spacing w:line="480" w:lineRule="exact"/>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  联系电话：</w:t>
      </w:r>
    </w:p>
    <w:p>
      <w:pPr>
        <w:spacing w:line="48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营业执照号码：经济性质：</w:t>
      </w:r>
    </w:p>
    <w:p>
      <w:pPr>
        <w:spacing w:line="48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主营（产）：</w:t>
      </w:r>
    </w:p>
    <w:p>
      <w:pPr>
        <w:spacing w:line="480" w:lineRule="exact"/>
        <w:ind w:firstLine="280" w:firstLineChars="100"/>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兼营（产）：</w:t>
      </w:r>
    </w:p>
    <w:p>
      <w:pPr>
        <w:spacing w:line="480" w:lineRule="exact"/>
        <w:ind w:firstLine="280" w:firstLineChars="100"/>
        <w:rPr>
          <w:rFonts w:ascii="仿宋" w:hAnsi="仿宋" w:eastAsia="仿宋" w:cs="仿宋_GB2312"/>
          <w:color w:val="000000" w:themeColor="text1"/>
          <w:sz w:val="28"/>
          <w:szCs w:val="28"/>
        </w:rPr>
      </w:pPr>
    </w:p>
    <w:p>
      <w:pPr>
        <w:spacing w:line="480" w:lineRule="exact"/>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说明：</w:t>
      </w:r>
      <w:r>
        <w:rPr>
          <w:rFonts w:ascii="仿宋" w:hAnsi="仿宋" w:eastAsia="仿宋" w:cs="仿宋_GB2312"/>
          <w:color w:val="000000" w:themeColor="text1"/>
          <w:sz w:val="28"/>
          <w:szCs w:val="28"/>
        </w:rPr>
        <w:t>1.法定代表人为企业事业单位、国家机关、社会团体的主要行政负责人。</w:t>
      </w:r>
    </w:p>
    <w:p>
      <w:pPr>
        <w:spacing w:line="480" w:lineRule="exact"/>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 xml:space="preserve">      2.内容必须填写真实、清楚、涂改无效，不得转让、买卖。</w:t>
      </w:r>
    </w:p>
    <w:p>
      <w:pPr>
        <w:spacing w:line="480" w:lineRule="exact"/>
        <w:ind w:firstLine="840" w:firstLineChars="300"/>
        <w:rPr>
          <w:rFonts w:ascii="仿宋" w:hAnsi="仿宋" w:eastAsia="仿宋" w:cs="仿宋_GB2312"/>
          <w:b/>
          <w:color w:val="000000" w:themeColor="text1"/>
          <w:sz w:val="28"/>
          <w:szCs w:val="28"/>
        </w:rPr>
      </w:pPr>
      <w:r>
        <w:rPr>
          <w:rFonts w:ascii="仿宋" w:hAnsi="仿宋" w:eastAsia="仿宋" w:cs="仿宋_GB2312"/>
          <w:color w:val="000000" w:themeColor="text1"/>
          <w:sz w:val="28"/>
          <w:szCs w:val="28"/>
        </w:rPr>
        <w:t>3.将此证明书提交对方作为合同附件</w:t>
      </w:r>
      <w:r>
        <w:rPr>
          <w:rFonts w:hint="eastAsia" w:ascii="仿宋" w:hAnsi="仿宋" w:eastAsia="仿宋" w:cs="仿宋_GB2312"/>
          <w:b/>
          <w:color w:val="000000" w:themeColor="text1"/>
          <w:sz w:val="28"/>
          <w:szCs w:val="28"/>
        </w:rPr>
        <w:t>。</w:t>
      </w:r>
    </w:p>
    <w:p>
      <w:pPr>
        <w:spacing w:line="480" w:lineRule="exact"/>
        <w:ind w:firstLine="840" w:firstLineChars="300"/>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color w:val="000000" w:themeColor="text1"/>
          <w:sz w:val="28"/>
          <w:szCs w:val="28"/>
        </w:rPr>
      </w:pPr>
      <w:r>
        <w:rPr>
          <w:rFonts w:ascii="仿宋" w:hAnsi="仿宋" w:eastAsia="仿宋" w:cs="仿宋_GB2312"/>
          <w:color w:val="000000" w:themeColor="text1"/>
          <w:sz w:val="28"/>
          <w:szCs w:val="28"/>
        </w:rPr>
        <w:t>6.谈判签字代表为法定代表人，则本表不适用。</w:t>
      </w:r>
    </w:p>
    <w:p>
      <w:pPr>
        <w:spacing w:line="480" w:lineRule="exact"/>
        <w:ind w:firstLine="843" w:firstLineChars="300"/>
        <w:rPr>
          <w:rFonts w:ascii="仿宋" w:hAnsi="仿宋" w:eastAsia="仿宋" w:cs="仿宋_GB2312"/>
          <w:b/>
          <w:color w:val="000000" w:themeColor="text1"/>
          <w:sz w:val="28"/>
          <w:szCs w:val="28"/>
        </w:rPr>
      </w:pPr>
    </w:p>
    <w:p>
      <w:pPr>
        <w:jc w:val="center"/>
        <w:rPr>
          <w:rFonts w:ascii="仿宋" w:hAnsi="仿宋" w:eastAsia="仿宋" w:cs="仿宋_GB2312"/>
          <w:color w:val="000000" w:themeColor="text1"/>
          <w:sz w:val="28"/>
          <w:szCs w:val="28"/>
        </w:rPr>
      </w:pPr>
      <w:r>
        <w:rPr>
          <w:rFonts w:ascii="仿宋" w:hAnsi="仿宋" w:eastAsia="仿宋" w:cs="仿宋_GB2312"/>
          <w:color w:val="000000" w:themeColor="text1"/>
          <w:sz w:val="28"/>
          <w:szCs w:val="28"/>
          <w:u w:val="single"/>
        </w:rPr>
        <w:pict>
          <v:shape id="AutoShape 3" o:spid="_x0000_s2050" o:spt="176" type="#_x0000_t176" style="position:absolute;left:0pt;margin-left:126pt;margin-top:3.8pt;height:124.75pt;width:183.75pt;z-index:251661312;mso-width-relative:page;mso-height-relative:page;"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2yb8rXAAAACQEAAA8AAAAAAAAAAQAgAAAAIgAAAGRycy9kb3du&#10;cmV2LnhtbFBLAQIUABQAAAAIAIdO4kCi1CWxOQIAAKEEAAAOAAAAAAAAAAEAIAAAACYBAABkcnMv&#10;ZTJvRG9jLnhtbFBLBQYAAAAABgAGAFkBAADRBQAAAAA=&#10;">
            <v:path/>
            <v:fill focussize="0,0"/>
            <v:stroke joinstyle="miter"/>
            <v:imagedata o:title=""/>
            <o:lock v:ext="edit"/>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w:r>
    </w:p>
    <w:p>
      <w:pPr>
        <w:jc w:val="center"/>
        <w:rPr>
          <w:rFonts w:ascii="仿宋" w:hAnsi="仿宋" w:eastAsia="仿宋" w:cs="仿宋_GB2312"/>
          <w:color w:val="000000" w:themeColor="text1"/>
          <w:sz w:val="28"/>
          <w:szCs w:val="28"/>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b/>
          <w:sz w:val="28"/>
          <w:szCs w:val="28"/>
        </w:rPr>
      </w:pPr>
    </w:p>
    <w:p>
      <w:pPr>
        <w:pStyle w:val="3"/>
        <w:ind w:firstLine="562"/>
        <w:jc w:val="center"/>
        <w:rPr>
          <w:rFonts w:ascii="仿宋_GB2312" w:hAnsi="仿宋_GB2312" w:cs="仿宋_GB2312"/>
          <w:b w:val="0"/>
          <w:bCs w:val="0"/>
        </w:rPr>
      </w:pPr>
      <w:r>
        <w:rPr>
          <w:rFonts w:hint="eastAsia" w:ascii="仿宋_GB2312" w:hAnsi="仿宋_GB2312" w:cs="仿宋_GB2312"/>
          <w:bCs w:val="0"/>
        </w:rPr>
        <w:t>2资格证明文件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sz w:val="28"/>
          <w:szCs w:val="28"/>
        </w:rPr>
        <w:t>日期：年 月 日</w:t>
      </w:r>
    </w:p>
    <w:p>
      <w:pPr>
        <w:jc w:val="center"/>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 xml:space="preserve">3 </w:t>
      </w:r>
      <w:r>
        <w:rPr>
          <w:rFonts w:hint="eastAsia" w:ascii="仿宋" w:hAnsi="仿宋" w:eastAsia="仿宋" w:cs="仿宋_GB2312"/>
          <w:b/>
          <w:color w:val="000000" w:themeColor="text1"/>
          <w:sz w:val="28"/>
          <w:szCs w:val="28"/>
        </w:rPr>
        <w:t>报价意向承诺及声明函</w:t>
      </w:r>
    </w:p>
    <w:p>
      <w:pPr>
        <w:jc w:val="center"/>
        <w:rPr>
          <w:rFonts w:ascii="仿宋" w:hAnsi="仿宋" w:eastAsia="仿宋" w:cs="仿宋_GB2312"/>
          <w:b/>
          <w:color w:val="000000" w:themeColor="text1"/>
          <w:sz w:val="28"/>
          <w:szCs w:val="28"/>
        </w:rPr>
      </w:pPr>
    </w:p>
    <w:p>
      <w:pPr>
        <w:pStyle w:val="34"/>
        <w:adjustRightInd w:val="0"/>
        <w:ind w:firstLine="0"/>
        <w:rPr>
          <w:rFonts w:hAnsi="仿宋" w:cs="仿宋_GB2312"/>
          <w:color w:val="000000" w:themeColor="text1"/>
          <w:sz w:val="24"/>
          <w:szCs w:val="24"/>
        </w:rPr>
      </w:pPr>
      <w:r>
        <w:rPr>
          <w:rFonts w:hint="eastAsia" w:hAnsi="仿宋" w:cs="仿宋_GB2312"/>
          <w:color w:val="000000" w:themeColor="text1"/>
          <w:sz w:val="24"/>
          <w:szCs w:val="24"/>
        </w:rPr>
        <w:t>致：</w:t>
      </w:r>
      <w:r>
        <w:rPr>
          <w:rFonts w:hint="eastAsia" w:hAnsi="仿宋" w:cs="仿宋_GB2312"/>
          <w:color w:val="000000" w:themeColor="text1"/>
          <w:sz w:val="24"/>
          <w:szCs w:val="24"/>
          <w:u w:val="single"/>
        </w:rPr>
        <w:t>（项目实施单位）</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rPr>
      </w:pPr>
      <w:r>
        <w:rPr>
          <w:rFonts w:hint="eastAsia" w:ascii="仿宋_GB2312" w:hAnsi="仿宋" w:eastAsia="仿宋_GB2312" w:cs="仿宋_GB2312"/>
          <w:color w:val="000000" w:themeColor="text1"/>
          <w:kern w:val="0"/>
          <w:sz w:val="24"/>
        </w:rPr>
        <w:t>1.</w:t>
      </w:r>
      <w:r>
        <w:rPr>
          <w:rFonts w:hint="eastAsia" w:ascii="仿宋_GB2312" w:hAnsi="仿宋" w:eastAsia="仿宋_GB2312" w:cs="仿宋_GB2312"/>
          <w:color w:val="000000" w:themeColor="text1"/>
          <w:sz w:val="24"/>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rPr>
      </w:pPr>
      <w:r>
        <w:rPr>
          <w:rFonts w:hint="eastAsia" w:ascii="仿宋_GB2312" w:hAnsi="仿宋" w:eastAsia="仿宋_GB2312" w:cs="仿宋_GB2312"/>
          <w:color w:val="000000" w:themeColor="text1"/>
          <w:sz w:val="24"/>
        </w:rPr>
        <w:t>2.现我方承诺：</w:t>
      </w:r>
      <w:r>
        <w:rPr>
          <w:rFonts w:hint="eastAsia" w:ascii="仿宋_GB2312" w:hAnsi="仿宋" w:eastAsia="仿宋_GB2312" w:cs="仿宋_GB2312"/>
          <w:color w:val="000000" w:themeColor="text1"/>
          <w:kern w:val="0"/>
          <w:sz w:val="24"/>
        </w:rPr>
        <w:t>愿以人民币[单价]元,（小写：￥元）;[总价]元,（小写：￥元）的报价，承包本次交易所包含的所有工作，并承担任何质量缺陷责任。</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rPr>
      </w:pPr>
      <w:r>
        <w:rPr>
          <w:rFonts w:hint="eastAsia" w:ascii="仿宋_GB2312" w:hAnsi="仿宋" w:eastAsia="仿宋_GB2312" w:cs="仿宋_GB2312"/>
          <w:color w:val="000000" w:themeColor="text1"/>
          <w:sz w:val="24"/>
        </w:rPr>
        <w:t>3.我方保证将按照本项目询价文件第二部分项目内容的技术、商务要求完成本项目。</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5.如果我方获得承包资格，我方保证将</w:t>
      </w:r>
      <w:r>
        <w:rPr>
          <w:rFonts w:hint="eastAsia" w:ascii="仿宋_GB2312" w:hAnsi="仿宋" w:eastAsia="仿宋_GB2312" w:cs="仿宋_GB2312"/>
          <w:color w:val="000000" w:themeColor="text1"/>
          <w:kern w:val="0"/>
          <w:sz w:val="24"/>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7.我方就参加本项目交易工作，作出以下郑重声明：</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rPr>
      </w:pPr>
      <w:r>
        <w:rPr>
          <w:rFonts w:hint="eastAsia" w:ascii="仿宋_GB2312" w:hAnsi="仿宋" w:eastAsia="仿宋_GB2312" w:cs="仿宋_GB2312"/>
          <w:color w:val="000000" w:themeColor="text1"/>
          <w:sz w:val="24"/>
        </w:rPr>
        <w:t>⑷本公司及其有隶属关系的机构没有参加本项目的前期工作编写工作。</w:t>
      </w:r>
    </w:p>
    <w:p>
      <w:pPr>
        <w:pStyle w:val="33"/>
        <w:ind w:firstLine="496"/>
        <w:rPr>
          <w:rFonts w:ascii="仿宋_GB2312" w:hAnsi="仿宋" w:eastAsia="仿宋_GB2312" w:cs="仿宋_GB2312"/>
          <w:color w:val="000000" w:themeColor="text1"/>
        </w:rPr>
      </w:pPr>
      <w:r>
        <w:rPr>
          <w:rFonts w:hint="eastAsia" w:ascii="仿宋_GB2312" w:hAnsi="仿宋" w:eastAsia="仿宋_GB2312" w:cs="仿宋_GB2312"/>
          <w:color w:val="000000" w:themeColor="text1"/>
        </w:rPr>
        <w:t>本公司违反上述承诺，或本声明陈述与事实不符，经查实，本公司愿意接受公开通报，承担由此带来的法律后果。</w:t>
      </w:r>
    </w:p>
    <w:p>
      <w:pPr>
        <w:pStyle w:val="33"/>
        <w:ind w:firstLine="496"/>
        <w:rPr>
          <w:rFonts w:ascii="仿宋_GB2312" w:hAnsi="仿宋" w:eastAsia="仿宋_GB2312" w:cs="仿宋_GB2312"/>
          <w:color w:val="000000" w:themeColor="text1"/>
          <w:u w:val="single"/>
        </w:rPr>
      </w:pPr>
      <w:r>
        <w:rPr>
          <w:rFonts w:hint="eastAsia" w:ascii="仿宋_GB2312" w:hAnsi="仿宋" w:eastAsia="仿宋_GB2312" w:cs="仿宋_GB2312"/>
          <w:color w:val="000000" w:themeColor="text1"/>
        </w:rPr>
        <w:t>承包意向人：(盖公章)</w:t>
      </w:r>
    </w:p>
    <w:p>
      <w:pPr>
        <w:pStyle w:val="33"/>
        <w:ind w:firstLine="496"/>
        <w:rPr>
          <w:rFonts w:ascii="仿宋_GB2312" w:hAnsi="仿宋" w:eastAsia="仿宋_GB2312" w:cs="仿宋_GB2312"/>
          <w:color w:val="000000" w:themeColor="text1"/>
        </w:rPr>
      </w:pPr>
      <w:r>
        <w:rPr>
          <w:rFonts w:hint="eastAsia" w:ascii="仿宋_GB2312" w:hAnsi="仿宋" w:eastAsia="仿宋_GB2312" w:cs="仿宋_GB2312"/>
          <w:color w:val="000000" w:themeColor="text1"/>
        </w:rPr>
        <w:t>法定代表人（签名或盖章）：</w:t>
      </w:r>
    </w:p>
    <w:p>
      <w:pPr>
        <w:pStyle w:val="33"/>
        <w:ind w:firstLine="496"/>
        <w:rPr>
          <w:rFonts w:ascii="仿宋_GB2312" w:hAnsi="仿宋_GB2312" w:eastAsia="仿宋_GB2312" w:cs="仿宋_GB2312"/>
        </w:rPr>
      </w:pPr>
      <w:r>
        <w:rPr>
          <w:rFonts w:hint="eastAsia" w:ascii="仿宋_GB2312" w:hAnsi="仿宋" w:eastAsia="仿宋_GB2312" w:cs="仿宋_GB2312"/>
          <w:color w:val="000000" w:themeColor="text1"/>
        </w:rPr>
        <w:t xml:space="preserve">日    期：  年 月 日  </w:t>
      </w:r>
    </w:p>
    <w:p>
      <w:pPr>
        <w:pStyle w:val="33"/>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rPr>
          <w:rFonts w:ascii="仿宋" w:hAnsi="仿宋" w:eastAsia="仿宋" w:cs="仿宋_GB2312"/>
          <w:b/>
          <w:color w:val="000000" w:themeColor="text1"/>
          <w:sz w:val="28"/>
          <w:szCs w:val="28"/>
        </w:rPr>
      </w:pPr>
      <w:r>
        <w:rPr>
          <w:rFonts w:ascii="仿宋" w:hAnsi="仿宋" w:eastAsia="仿宋" w:cs="仿宋_GB2312"/>
          <w:b/>
          <w:color w:val="000000" w:themeColor="text1"/>
          <w:sz w:val="28"/>
          <w:szCs w:val="28"/>
        </w:rPr>
        <w:t xml:space="preserve">4 </w:t>
      </w:r>
      <w:r>
        <w:rPr>
          <w:rFonts w:hint="eastAsia" w:ascii="仿宋" w:hAnsi="仿宋" w:eastAsia="仿宋" w:cs="仿宋_GB2312"/>
          <w:b/>
          <w:color w:val="000000" w:themeColor="text1"/>
          <w:sz w:val="28"/>
          <w:szCs w:val="28"/>
        </w:rPr>
        <w:t>拟投入本项目的项目负责人情况表</w:t>
      </w:r>
    </w:p>
    <w:p>
      <w:pPr>
        <w:jc w:val="center"/>
        <w:rPr>
          <w:rFonts w:ascii="仿宋" w:hAnsi="仿宋" w:eastAsia="仿宋" w:cs="仿宋_GB2312"/>
          <w:b/>
          <w:color w:val="000000" w:themeColor="text1"/>
          <w:sz w:val="28"/>
          <w:szCs w:val="28"/>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姓名</w:t>
            </w:r>
          </w:p>
        </w:tc>
        <w:tc>
          <w:tcPr>
            <w:tcW w:w="1661" w:type="dxa"/>
            <w:gridSpan w:val="2"/>
            <w:vAlign w:val="center"/>
          </w:tcPr>
          <w:p>
            <w:pPr>
              <w:jc w:val="center"/>
              <w:rPr>
                <w:rFonts w:ascii="仿宋" w:hAnsi="仿宋" w:eastAsia="仿宋" w:cs="仿宋_GB2312"/>
                <w:b/>
                <w:color w:val="000000" w:themeColor="text1"/>
                <w:sz w:val="28"/>
                <w:szCs w:val="28"/>
              </w:rPr>
            </w:pPr>
          </w:p>
        </w:tc>
        <w:tc>
          <w:tcPr>
            <w:tcW w:w="1661" w:type="dxa"/>
            <w:gridSpan w:val="2"/>
            <w:vAlign w:val="center"/>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出生年月</w:t>
            </w:r>
          </w:p>
        </w:tc>
        <w:tc>
          <w:tcPr>
            <w:tcW w:w="1661" w:type="dxa"/>
            <w:gridSpan w:val="2"/>
            <w:vAlign w:val="center"/>
          </w:tcPr>
          <w:p>
            <w:pPr>
              <w:jc w:val="center"/>
              <w:rPr>
                <w:rFonts w:ascii="仿宋" w:hAnsi="仿宋" w:eastAsia="仿宋" w:cs="仿宋_GB2312"/>
                <w:b/>
                <w:color w:val="000000" w:themeColor="text1"/>
                <w:sz w:val="28"/>
                <w:szCs w:val="28"/>
              </w:rPr>
            </w:pPr>
          </w:p>
        </w:tc>
        <w:tc>
          <w:tcPr>
            <w:tcW w:w="1662" w:type="dxa"/>
            <w:gridSpan w:val="2"/>
            <w:vAlign w:val="center"/>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学历</w:t>
            </w:r>
          </w:p>
        </w:tc>
        <w:tc>
          <w:tcPr>
            <w:tcW w:w="1662" w:type="dxa"/>
            <w:vAlign w:val="center"/>
          </w:tcPr>
          <w:p>
            <w:pPr>
              <w:jc w:val="center"/>
              <w:rPr>
                <w:rFonts w:ascii="仿宋" w:hAnsi="仿宋" w:eastAsia="仿宋" w:cs="仿宋_GB2312"/>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专业</w:t>
            </w:r>
          </w:p>
        </w:tc>
        <w:tc>
          <w:tcPr>
            <w:tcW w:w="1662" w:type="dxa"/>
            <w:vAlign w:val="center"/>
          </w:tcPr>
          <w:p>
            <w:pPr>
              <w:spacing w:line="360" w:lineRule="exact"/>
              <w:jc w:val="center"/>
              <w:rPr>
                <w:rFonts w:ascii="仿宋" w:hAnsi="仿宋" w:eastAsia="仿宋" w:cs="仿宋_GB2312"/>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注册证书等级</w:t>
            </w:r>
          </w:p>
          <w:p>
            <w:pPr>
              <w:spacing w:line="36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职称证专业</w:t>
            </w:r>
          </w:p>
        </w:tc>
        <w:tc>
          <w:tcPr>
            <w:tcW w:w="3322" w:type="dxa"/>
            <w:gridSpan w:val="4"/>
            <w:vAlign w:val="center"/>
          </w:tcPr>
          <w:p>
            <w:pPr>
              <w:jc w:val="center"/>
              <w:rPr>
                <w:rFonts w:ascii="仿宋" w:hAnsi="仿宋" w:eastAsia="仿宋" w:cs="仿宋_GB2312"/>
                <w:b/>
                <w:color w:val="000000" w:themeColor="text1"/>
                <w:sz w:val="28"/>
                <w:szCs w:val="28"/>
              </w:rPr>
            </w:pPr>
          </w:p>
        </w:tc>
        <w:tc>
          <w:tcPr>
            <w:tcW w:w="1662" w:type="dxa"/>
            <w:gridSpan w:val="2"/>
            <w:vAlign w:val="center"/>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证书编号</w:t>
            </w:r>
          </w:p>
        </w:tc>
        <w:tc>
          <w:tcPr>
            <w:tcW w:w="1662" w:type="dxa"/>
            <w:vAlign w:val="center"/>
          </w:tcPr>
          <w:p>
            <w:pPr>
              <w:jc w:val="center"/>
              <w:rPr>
                <w:rFonts w:ascii="仿宋" w:hAnsi="仿宋" w:eastAsia="仿宋" w:cs="仿宋_GB2312"/>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项目名称</w:t>
            </w:r>
          </w:p>
        </w:tc>
        <w:tc>
          <w:tcPr>
            <w:tcW w:w="1993" w:type="dxa"/>
            <w:gridSpan w:val="2"/>
            <w:vAlign w:val="center"/>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合同金额</w:t>
            </w:r>
          </w:p>
        </w:tc>
        <w:tc>
          <w:tcPr>
            <w:tcW w:w="1993" w:type="dxa"/>
            <w:gridSpan w:val="2"/>
            <w:vAlign w:val="center"/>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开、竣工时间</w:t>
            </w:r>
          </w:p>
        </w:tc>
        <w:tc>
          <w:tcPr>
            <w:tcW w:w="1993" w:type="dxa"/>
            <w:gridSpan w:val="2"/>
            <w:vAlign w:val="center"/>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担任职务</w:t>
            </w:r>
          </w:p>
        </w:tc>
        <w:tc>
          <w:tcPr>
            <w:tcW w:w="1996" w:type="dxa"/>
            <w:gridSpan w:val="2"/>
            <w:vAlign w:val="center"/>
          </w:tcPr>
          <w:p>
            <w:pPr>
              <w:jc w:val="center"/>
              <w:rPr>
                <w:rFonts w:ascii="仿宋" w:hAnsi="仿宋" w:eastAsia="仿宋" w:cs="仿宋_GB2312"/>
                <w:b/>
                <w:color w:val="000000" w:themeColor="text1"/>
                <w:sz w:val="28"/>
                <w:szCs w:val="28"/>
              </w:rPr>
            </w:pPr>
            <w:r>
              <w:rPr>
                <w:rFonts w:hint="eastAsia" w:ascii="仿宋" w:hAnsi="仿宋" w:eastAsia="仿宋" w:cs="仿宋_GB2312"/>
                <w:b/>
                <w:color w:val="000000" w:themeColor="text1"/>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rPr>
            </w:pPr>
          </w:p>
        </w:tc>
        <w:tc>
          <w:tcPr>
            <w:tcW w:w="1993" w:type="dxa"/>
            <w:gridSpan w:val="2"/>
            <w:vAlign w:val="center"/>
          </w:tcPr>
          <w:p>
            <w:pPr>
              <w:jc w:val="center"/>
              <w:rPr>
                <w:rFonts w:ascii="仿宋" w:hAnsi="仿宋" w:eastAsia="仿宋" w:cs="仿宋_GB2312"/>
                <w:b/>
                <w:color w:val="000000" w:themeColor="text1"/>
                <w:sz w:val="28"/>
                <w:szCs w:val="28"/>
              </w:rPr>
            </w:pPr>
          </w:p>
        </w:tc>
        <w:tc>
          <w:tcPr>
            <w:tcW w:w="1993" w:type="dxa"/>
            <w:gridSpan w:val="2"/>
            <w:vAlign w:val="center"/>
          </w:tcPr>
          <w:p>
            <w:pPr>
              <w:jc w:val="center"/>
              <w:rPr>
                <w:rFonts w:ascii="仿宋" w:hAnsi="仿宋" w:eastAsia="仿宋" w:cs="仿宋_GB2312"/>
                <w:b/>
                <w:color w:val="000000" w:themeColor="text1"/>
                <w:sz w:val="28"/>
                <w:szCs w:val="28"/>
              </w:rPr>
            </w:pPr>
          </w:p>
        </w:tc>
        <w:tc>
          <w:tcPr>
            <w:tcW w:w="1993" w:type="dxa"/>
            <w:gridSpan w:val="2"/>
            <w:vAlign w:val="center"/>
          </w:tcPr>
          <w:p>
            <w:pPr>
              <w:jc w:val="center"/>
              <w:rPr>
                <w:rFonts w:ascii="仿宋" w:hAnsi="仿宋" w:eastAsia="仿宋" w:cs="仿宋_GB2312"/>
                <w:b/>
                <w:color w:val="000000" w:themeColor="text1"/>
                <w:sz w:val="28"/>
                <w:szCs w:val="28"/>
              </w:rPr>
            </w:pPr>
          </w:p>
        </w:tc>
        <w:tc>
          <w:tcPr>
            <w:tcW w:w="1996" w:type="dxa"/>
            <w:gridSpan w:val="2"/>
            <w:vAlign w:val="center"/>
          </w:tcPr>
          <w:p>
            <w:pPr>
              <w:jc w:val="center"/>
              <w:rPr>
                <w:rFonts w:ascii="仿宋" w:hAnsi="仿宋" w:eastAsia="仿宋" w:cs="仿宋_GB2312"/>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rPr>
            </w:pPr>
          </w:p>
        </w:tc>
        <w:tc>
          <w:tcPr>
            <w:tcW w:w="1993" w:type="dxa"/>
            <w:gridSpan w:val="2"/>
            <w:vAlign w:val="center"/>
          </w:tcPr>
          <w:p>
            <w:pPr>
              <w:jc w:val="center"/>
              <w:rPr>
                <w:rFonts w:ascii="仿宋" w:hAnsi="仿宋" w:eastAsia="仿宋" w:cs="仿宋_GB2312"/>
                <w:b/>
                <w:color w:val="000000" w:themeColor="text1"/>
                <w:sz w:val="28"/>
                <w:szCs w:val="28"/>
              </w:rPr>
            </w:pPr>
          </w:p>
        </w:tc>
        <w:tc>
          <w:tcPr>
            <w:tcW w:w="1993" w:type="dxa"/>
            <w:gridSpan w:val="2"/>
            <w:vAlign w:val="center"/>
          </w:tcPr>
          <w:p>
            <w:pPr>
              <w:jc w:val="center"/>
              <w:rPr>
                <w:rFonts w:ascii="仿宋" w:hAnsi="仿宋" w:eastAsia="仿宋" w:cs="仿宋_GB2312"/>
                <w:b/>
                <w:color w:val="000000" w:themeColor="text1"/>
                <w:sz w:val="28"/>
                <w:szCs w:val="28"/>
              </w:rPr>
            </w:pPr>
          </w:p>
        </w:tc>
        <w:tc>
          <w:tcPr>
            <w:tcW w:w="1993" w:type="dxa"/>
            <w:gridSpan w:val="2"/>
            <w:vAlign w:val="center"/>
          </w:tcPr>
          <w:p>
            <w:pPr>
              <w:jc w:val="center"/>
              <w:rPr>
                <w:rFonts w:ascii="仿宋" w:hAnsi="仿宋" w:eastAsia="仿宋" w:cs="仿宋_GB2312"/>
                <w:b/>
                <w:color w:val="000000" w:themeColor="text1"/>
                <w:sz w:val="28"/>
                <w:szCs w:val="28"/>
              </w:rPr>
            </w:pPr>
          </w:p>
        </w:tc>
        <w:tc>
          <w:tcPr>
            <w:tcW w:w="1996" w:type="dxa"/>
            <w:gridSpan w:val="2"/>
            <w:vAlign w:val="center"/>
          </w:tcPr>
          <w:p>
            <w:pPr>
              <w:jc w:val="center"/>
              <w:rPr>
                <w:rFonts w:ascii="仿宋" w:hAnsi="仿宋" w:eastAsia="仿宋" w:cs="仿宋_GB2312"/>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rPr>
            </w:pPr>
          </w:p>
        </w:tc>
        <w:tc>
          <w:tcPr>
            <w:tcW w:w="1993" w:type="dxa"/>
            <w:gridSpan w:val="2"/>
            <w:vAlign w:val="center"/>
          </w:tcPr>
          <w:p>
            <w:pPr>
              <w:jc w:val="center"/>
              <w:rPr>
                <w:rFonts w:ascii="仿宋" w:hAnsi="仿宋" w:eastAsia="仿宋" w:cs="仿宋_GB2312"/>
                <w:b/>
                <w:color w:val="000000" w:themeColor="text1"/>
                <w:sz w:val="28"/>
                <w:szCs w:val="28"/>
              </w:rPr>
            </w:pPr>
          </w:p>
        </w:tc>
        <w:tc>
          <w:tcPr>
            <w:tcW w:w="1993" w:type="dxa"/>
            <w:gridSpan w:val="2"/>
            <w:vAlign w:val="center"/>
          </w:tcPr>
          <w:p>
            <w:pPr>
              <w:jc w:val="center"/>
              <w:rPr>
                <w:rFonts w:ascii="仿宋" w:hAnsi="仿宋" w:eastAsia="仿宋" w:cs="仿宋_GB2312"/>
                <w:b/>
                <w:color w:val="000000" w:themeColor="text1"/>
                <w:sz w:val="28"/>
                <w:szCs w:val="28"/>
              </w:rPr>
            </w:pPr>
          </w:p>
        </w:tc>
        <w:tc>
          <w:tcPr>
            <w:tcW w:w="1993" w:type="dxa"/>
            <w:gridSpan w:val="2"/>
            <w:vAlign w:val="center"/>
          </w:tcPr>
          <w:p>
            <w:pPr>
              <w:jc w:val="center"/>
              <w:rPr>
                <w:rFonts w:ascii="仿宋" w:hAnsi="仿宋" w:eastAsia="仿宋" w:cs="仿宋_GB2312"/>
                <w:b/>
                <w:color w:val="000000" w:themeColor="text1"/>
                <w:sz w:val="28"/>
                <w:szCs w:val="28"/>
              </w:rPr>
            </w:pPr>
          </w:p>
        </w:tc>
        <w:tc>
          <w:tcPr>
            <w:tcW w:w="1996" w:type="dxa"/>
            <w:gridSpan w:val="2"/>
            <w:vAlign w:val="center"/>
          </w:tcPr>
          <w:p>
            <w:pPr>
              <w:jc w:val="center"/>
              <w:rPr>
                <w:rFonts w:ascii="仿宋" w:hAnsi="仿宋" w:eastAsia="仿宋" w:cs="仿宋_GB2312"/>
                <w:b/>
                <w:color w:val="000000" w:themeColor="text1"/>
                <w:sz w:val="28"/>
                <w:szCs w:val="28"/>
              </w:rPr>
            </w:pPr>
          </w:p>
        </w:tc>
      </w:tr>
    </w:tbl>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adjustRightInd w:val="0"/>
        <w:snapToGrid w:val="0"/>
        <w:spacing w:line="300" w:lineRule="auto"/>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rPr>
        <w:t>报价单位代表（签名或盖私章）：</w:t>
      </w:r>
    </w:p>
    <w:p>
      <w:pPr>
        <w:adjustRightInd w:val="0"/>
        <w:snapToGrid w:val="0"/>
        <w:spacing w:line="300" w:lineRule="auto"/>
        <w:rPr>
          <w:rFonts w:ascii="仿宋" w:hAnsi="仿宋" w:eastAsia="仿宋" w:cs="仿宋_GB2312"/>
          <w:color w:val="000000" w:themeColor="text1"/>
          <w:sz w:val="28"/>
          <w:szCs w:val="28"/>
          <w:u w:val="single"/>
        </w:rPr>
      </w:pPr>
      <w:r>
        <w:rPr>
          <w:rFonts w:hint="eastAsia" w:ascii="仿宋" w:hAnsi="仿宋" w:eastAsia="仿宋" w:cs="仿宋_GB2312"/>
          <w:color w:val="000000" w:themeColor="text1"/>
          <w:sz w:val="28"/>
          <w:szCs w:val="28"/>
        </w:rPr>
        <w:t>报价单位名称（盖单位公章）：</w:t>
      </w:r>
    </w:p>
    <w:p>
      <w:pPr>
        <w:adjustRightInd w:val="0"/>
        <w:snapToGrid w:val="0"/>
        <w:spacing w:line="300" w:lineRule="auto"/>
        <w:rPr>
          <w:rFonts w:ascii="仿宋" w:hAnsi="仿宋" w:eastAsia="仿宋" w:cs="仿宋_GB2312"/>
          <w:b/>
          <w:color w:val="000000" w:themeColor="text1"/>
          <w:sz w:val="28"/>
          <w:szCs w:val="28"/>
        </w:rPr>
      </w:pPr>
      <w:r>
        <w:rPr>
          <w:rFonts w:hint="eastAsia" w:ascii="仿宋" w:hAnsi="仿宋" w:eastAsia="仿宋" w:cs="仿宋_GB2312"/>
          <w:color w:val="000000" w:themeColor="text1"/>
          <w:sz w:val="28"/>
          <w:szCs w:val="28"/>
        </w:rPr>
        <w:t>日期：年月日</w:t>
      </w: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themeColor="text1"/>
          <w:sz w:val="28"/>
          <w:szCs w:val="28"/>
        </w:r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5 报价清单</w:t>
      </w:r>
    </w:p>
    <w:tbl>
      <w:tblPr>
        <w:tblStyle w:val="15"/>
        <w:tblW w:w="888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93"/>
        <w:gridCol w:w="708"/>
        <w:gridCol w:w="1299"/>
        <w:gridCol w:w="1236"/>
        <w:gridCol w:w="1236"/>
        <w:gridCol w:w="1236"/>
        <w:gridCol w:w="1236"/>
        <w:gridCol w:w="123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序号</w:t>
            </w:r>
          </w:p>
        </w:tc>
        <w:tc>
          <w:tcPr>
            <w:tcW w:w="2007" w:type="dxa"/>
            <w:gridSpan w:val="2"/>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单位名称</w:t>
            </w:r>
          </w:p>
          <w:p>
            <w:pPr>
              <w:widowControl/>
              <w:jc w:val="center"/>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（维保范围）</w:t>
            </w:r>
          </w:p>
        </w:tc>
        <w:tc>
          <w:tcPr>
            <w:tcW w:w="1236" w:type="dxa"/>
            <w:vAlign w:val="center"/>
          </w:tcPr>
          <w:p>
            <w:pPr>
              <w:spacing w:line="384" w:lineRule="auto"/>
              <w:jc w:val="center"/>
              <w:rPr>
                <w:rFonts w:ascii="宋体" w:hAnsi="宋体" w:cs="宋体"/>
                <w:b/>
                <w:sz w:val="24"/>
                <w:szCs w:val="24"/>
              </w:rPr>
            </w:pPr>
            <w:r>
              <w:rPr>
                <w:rFonts w:hint="eastAsia" w:ascii="宋体" w:hAnsi="宋体" w:cs="宋体"/>
                <w:b/>
                <w:sz w:val="24"/>
                <w:szCs w:val="24"/>
              </w:rPr>
              <w:t>单次维保费用</w:t>
            </w:r>
          </w:p>
          <w:p>
            <w:pPr>
              <w:spacing w:line="384" w:lineRule="auto"/>
              <w:jc w:val="center"/>
              <w:rPr>
                <w:rFonts w:ascii="宋体" w:hAnsi="宋体" w:cs="宋体"/>
                <w:b/>
                <w:sz w:val="24"/>
                <w:szCs w:val="24"/>
              </w:rPr>
            </w:pPr>
            <w:r>
              <w:rPr>
                <w:rFonts w:hint="eastAsia" w:ascii="宋体" w:hAnsi="宋体" w:cs="宋体"/>
                <w:b/>
                <w:sz w:val="24"/>
                <w:szCs w:val="24"/>
              </w:rPr>
              <w:t>不含税（万元）</w:t>
            </w:r>
          </w:p>
        </w:tc>
        <w:tc>
          <w:tcPr>
            <w:tcW w:w="1236" w:type="dxa"/>
            <w:vAlign w:val="center"/>
          </w:tcPr>
          <w:p>
            <w:pPr>
              <w:spacing w:line="384" w:lineRule="auto"/>
              <w:jc w:val="center"/>
              <w:rPr>
                <w:rFonts w:ascii="宋体" w:hAnsi="宋体" w:cs="宋体"/>
                <w:b/>
                <w:sz w:val="24"/>
                <w:szCs w:val="24"/>
              </w:rPr>
            </w:pPr>
            <w:r>
              <w:rPr>
                <w:rFonts w:hint="eastAsia" w:ascii="宋体" w:hAnsi="宋体" w:cs="宋体"/>
                <w:b/>
                <w:sz w:val="24"/>
                <w:szCs w:val="24"/>
              </w:rPr>
              <w:t>单次维保费用</w:t>
            </w:r>
          </w:p>
          <w:p>
            <w:pPr>
              <w:spacing w:line="384" w:lineRule="auto"/>
              <w:jc w:val="center"/>
              <w:rPr>
                <w:rFonts w:ascii="宋体" w:hAnsi="宋体" w:cs="宋体"/>
                <w:b/>
                <w:sz w:val="24"/>
                <w:szCs w:val="24"/>
              </w:rPr>
            </w:pPr>
            <w:r>
              <w:rPr>
                <w:rFonts w:hint="eastAsia" w:ascii="宋体" w:hAnsi="宋体" w:cs="宋体"/>
                <w:b/>
                <w:sz w:val="24"/>
                <w:szCs w:val="24"/>
              </w:rPr>
              <w:t>含税（万元）</w:t>
            </w:r>
          </w:p>
        </w:tc>
        <w:tc>
          <w:tcPr>
            <w:tcW w:w="1236" w:type="dxa"/>
            <w:vAlign w:val="center"/>
          </w:tcPr>
          <w:p>
            <w:pPr>
              <w:spacing w:line="384" w:lineRule="auto"/>
              <w:jc w:val="center"/>
              <w:rPr>
                <w:rFonts w:ascii="宋体" w:hAnsi="宋体" w:cs="宋体"/>
                <w:b/>
                <w:sz w:val="24"/>
                <w:szCs w:val="24"/>
              </w:rPr>
            </w:pPr>
            <w:r>
              <w:rPr>
                <w:rFonts w:hint="eastAsia" w:ascii="宋体" w:hAnsi="宋体" w:cs="宋体"/>
                <w:b/>
                <w:sz w:val="24"/>
                <w:szCs w:val="24"/>
              </w:rPr>
              <w:t>暂定维保次数</w:t>
            </w:r>
          </w:p>
        </w:tc>
        <w:tc>
          <w:tcPr>
            <w:tcW w:w="1236" w:type="dxa"/>
            <w:vAlign w:val="center"/>
          </w:tcPr>
          <w:p>
            <w:pPr>
              <w:spacing w:line="384" w:lineRule="auto"/>
              <w:jc w:val="center"/>
              <w:rPr>
                <w:rFonts w:ascii="宋体" w:hAnsi="宋体" w:cs="宋体"/>
                <w:b/>
                <w:sz w:val="24"/>
                <w:szCs w:val="24"/>
              </w:rPr>
            </w:pPr>
            <w:r>
              <w:rPr>
                <w:rFonts w:hint="eastAsia" w:ascii="宋体" w:hAnsi="宋体" w:cs="宋体"/>
                <w:b/>
                <w:sz w:val="24"/>
                <w:szCs w:val="24"/>
              </w:rPr>
              <w:t>暂定总价</w:t>
            </w:r>
          </w:p>
          <w:p>
            <w:pPr>
              <w:spacing w:line="384" w:lineRule="auto"/>
              <w:jc w:val="center"/>
              <w:rPr>
                <w:rFonts w:ascii="宋体" w:hAnsi="宋体" w:cs="宋体"/>
                <w:b/>
                <w:sz w:val="24"/>
                <w:szCs w:val="24"/>
              </w:rPr>
            </w:pPr>
            <w:r>
              <w:rPr>
                <w:rFonts w:hint="eastAsia" w:ascii="宋体" w:hAnsi="宋体" w:cs="宋体"/>
                <w:b/>
                <w:sz w:val="24"/>
                <w:szCs w:val="24"/>
              </w:rPr>
              <w:t>不含税（万元）</w:t>
            </w:r>
          </w:p>
        </w:tc>
        <w:tc>
          <w:tcPr>
            <w:tcW w:w="1236" w:type="dxa"/>
            <w:vAlign w:val="center"/>
          </w:tcPr>
          <w:p>
            <w:pPr>
              <w:spacing w:line="384" w:lineRule="auto"/>
              <w:jc w:val="center"/>
              <w:rPr>
                <w:rFonts w:ascii="宋体" w:hAnsi="宋体" w:cs="宋体"/>
                <w:b/>
                <w:sz w:val="24"/>
                <w:szCs w:val="24"/>
              </w:rPr>
            </w:pPr>
            <w:r>
              <w:rPr>
                <w:rFonts w:hint="eastAsia" w:ascii="宋体" w:hAnsi="宋体" w:cs="宋体"/>
                <w:b/>
                <w:sz w:val="24"/>
                <w:szCs w:val="24"/>
              </w:rPr>
              <w:t>暂定总价</w:t>
            </w:r>
          </w:p>
          <w:p>
            <w:pPr>
              <w:spacing w:line="384" w:lineRule="auto"/>
              <w:jc w:val="center"/>
              <w:rPr>
                <w:rFonts w:ascii="宋体" w:hAnsi="宋体" w:cs="宋体"/>
                <w:b/>
                <w:sz w:val="24"/>
                <w:szCs w:val="24"/>
              </w:rPr>
            </w:pPr>
            <w:r>
              <w:rPr>
                <w:rFonts w:hint="eastAsia" w:ascii="宋体" w:hAnsi="宋体" w:cs="宋体"/>
                <w:b/>
                <w:sz w:val="24"/>
                <w:szCs w:val="24"/>
              </w:rPr>
              <w:t>含税（万元）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2"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公司本部</w:t>
            </w:r>
          </w:p>
        </w:tc>
        <w:tc>
          <w:tcPr>
            <w:tcW w:w="1236" w:type="dxa"/>
            <w:vAlign w:val="center"/>
          </w:tcPr>
          <w:p>
            <w:pPr>
              <w:spacing w:line="384" w:lineRule="auto"/>
              <w:jc w:val="center"/>
              <w:rPr>
                <w:rFonts w:ascii="宋体" w:hAnsi="宋体" w:cs="宋体"/>
                <w:sz w:val="24"/>
                <w:szCs w:val="24"/>
              </w:rPr>
            </w:pPr>
          </w:p>
        </w:tc>
        <w:tc>
          <w:tcPr>
            <w:tcW w:w="1236" w:type="dxa"/>
            <w:vAlign w:val="center"/>
          </w:tcPr>
          <w:p>
            <w:pPr>
              <w:spacing w:line="384" w:lineRule="auto"/>
              <w:jc w:val="center"/>
              <w:rPr>
                <w:rFonts w:ascii="宋体" w:hAnsi="宋体" w:cs="宋体"/>
                <w:sz w:val="24"/>
                <w:szCs w:val="24"/>
              </w:rPr>
            </w:pPr>
          </w:p>
        </w:tc>
        <w:tc>
          <w:tcPr>
            <w:tcW w:w="1236" w:type="dxa"/>
            <w:vAlign w:val="center"/>
          </w:tcPr>
          <w:p>
            <w:pPr>
              <w:spacing w:line="384" w:lineRule="auto"/>
              <w:jc w:val="center"/>
              <w:rPr>
                <w:rFonts w:ascii="宋体" w:hAnsi="宋体" w:cs="宋体"/>
                <w:sz w:val="24"/>
                <w:szCs w:val="24"/>
              </w:rPr>
            </w:pPr>
            <w:r>
              <w:rPr>
                <w:rFonts w:hint="eastAsia" w:ascii="宋体" w:hAnsi="宋体" w:cs="宋体"/>
                <w:sz w:val="24"/>
                <w:szCs w:val="24"/>
              </w:rPr>
              <w:t>12</w:t>
            </w:r>
          </w:p>
        </w:tc>
        <w:tc>
          <w:tcPr>
            <w:tcW w:w="1236" w:type="dxa"/>
            <w:vAlign w:val="center"/>
          </w:tcPr>
          <w:p>
            <w:pPr>
              <w:spacing w:line="384" w:lineRule="auto"/>
              <w:jc w:val="center"/>
              <w:rPr>
                <w:rFonts w:ascii="宋体" w:hAnsi="宋体" w:cs="宋体"/>
                <w:sz w:val="24"/>
                <w:szCs w:val="24"/>
              </w:rPr>
            </w:pPr>
          </w:p>
        </w:tc>
        <w:tc>
          <w:tcPr>
            <w:tcW w:w="1236" w:type="dxa"/>
            <w:vAlign w:val="center"/>
          </w:tcPr>
          <w:p>
            <w:pPr>
              <w:spacing w:line="384" w:lineRule="auto"/>
              <w:jc w:val="center"/>
              <w:rPr>
                <w:rFonts w:ascii="宋体" w:hAnsi="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大坦沙</w:t>
            </w:r>
          </w:p>
        </w:tc>
        <w:tc>
          <w:tcPr>
            <w:tcW w:w="1236" w:type="dxa"/>
          </w:tcPr>
          <w:p>
            <w:pPr>
              <w:spacing w:line="384" w:lineRule="auto"/>
              <w:rPr>
                <w:rFonts w:ascii="宋体" w:hAnsi="宋体" w:cs="宋体"/>
                <w:sz w:val="24"/>
                <w:szCs w:val="24"/>
              </w:rPr>
            </w:pPr>
          </w:p>
        </w:tc>
        <w:tc>
          <w:tcPr>
            <w:tcW w:w="1236" w:type="dxa"/>
          </w:tcPr>
          <w:p>
            <w:pPr>
              <w:spacing w:line="384" w:lineRule="auto"/>
              <w:rPr>
                <w:rFonts w:ascii="宋体" w:hAnsi="宋体" w:cs="宋体"/>
                <w:sz w:val="24"/>
                <w:szCs w:val="24"/>
              </w:rPr>
            </w:pPr>
          </w:p>
        </w:tc>
        <w:tc>
          <w:tcPr>
            <w:tcW w:w="1236" w:type="dxa"/>
            <w:vAlign w:val="bottom"/>
          </w:tcPr>
          <w:p>
            <w:pPr>
              <w:spacing w:line="384" w:lineRule="auto"/>
              <w:jc w:val="center"/>
              <w:rPr>
                <w:rFonts w:ascii="宋体" w:hAnsi="宋体" w:cs="宋体"/>
                <w:sz w:val="24"/>
                <w:szCs w:val="24"/>
              </w:rPr>
            </w:pPr>
            <w:r>
              <w:rPr>
                <w:rFonts w:hint="eastAsia" w:ascii="宋体" w:hAnsi="宋体" w:cs="宋体"/>
                <w:sz w:val="24"/>
                <w:szCs w:val="24"/>
              </w:rPr>
              <w:t>4</w:t>
            </w:r>
          </w:p>
        </w:tc>
        <w:tc>
          <w:tcPr>
            <w:tcW w:w="1236" w:type="dxa"/>
          </w:tcPr>
          <w:p>
            <w:pPr>
              <w:spacing w:line="384" w:lineRule="auto"/>
              <w:rPr>
                <w:rFonts w:ascii="宋体" w:hAnsi="宋体" w:cs="宋体"/>
                <w:sz w:val="24"/>
                <w:szCs w:val="24"/>
              </w:rPr>
            </w:pPr>
          </w:p>
        </w:tc>
        <w:tc>
          <w:tcPr>
            <w:tcW w:w="1236" w:type="dxa"/>
          </w:tcPr>
          <w:p>
            <w:pPr>
              <w:spacing w:line="384" w:lineRule="auto"/>
              <w:rPr>
                <w:rFonts w:ascii="宋体" w:hAnsi="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猎德</w:t>
            </w:r>
          </w:p>
        </w:tc>
        <w:tc>
          <w:tcPr>
            <w:tcW w:w="1236" w:type="dxa"/>
          </w:tcPr>
          <w:p>
            <w:pPr>
              <w:spacing w:line="384" w:lineRule="auto"/>
              <w:rPr>
                <w:rFonts w:ascii="宋体" w:hAnsi="宋体" w:cs="宋体"/>
                <w:sz w:val="24"/>
                <w:szCs w:val="24"/>
              </w:rPr>
            </w:pPr>
          </w:p>
        </w:tc>
        <w:tc>
          <w:tcPr>
            <w:tcW w:w="1236" w:type="dxa"/>
          </w:tcPr>
          <w:p>
            <w:pPr>
              <w:spacing w:line="384" w:lineRule="auto"/>
              <w:rPr>
                <w:rFonts w:ascii="宋体" w:hAnsi="宋体" w:cs="宋体"/>
                <w:sz w:val="24"/>
                <w:szCs w:val="24"/>
              </w:rPr>
            </w:pPr>
          </w:p>
        </w:tc>
        <w:tc>
          <w:tcPr>
            <w:tcW w:w="1236" w:type="dxa"/>
            <w:vAlign w:val="bottom"/>
          </w:tcPr>
          <w:p>
            <w:pPr>
              <w:spacing w:line="384" w:lineRule="auto"/>
              <w:jc w:val="center"/>
              <w:rPr>
                <w:rFonts w:ascii="宋体" w:hAnsi="宋体" w:cs="宋体"/>
                <w:sz w:val="24"/>
                <w:szCs w:val="24"/>
              </w:rPr>
            </w:pPr>
            <w:r>
              <w:rPr>
                <w:rFonts w:hint="eastAsia" w:ascii="宋体" w:hAnsi="宋体" w:cs="宋体"/>
                <w:sz w:val="24"/>
                <w:szCs w:val="24"/>
              </w:rPr>
              <w:t>12</w:t>
            </w:r>
          </w:p>
        </w:tc>
        <w:tc>
          <w:tcPr>
            <w:tcW w:w="1236" w:type="dxa"/>
          </w:tcPr>
          <w:p>
            <w:pPr>
              <w:spacing w:line="384" w:lineRule="auto"/>
              <w:rPr>
                <w:rFonts w:ascii="宋体" w:hAnsi="宋体" w:cs="宋体"/>
                <w:sz w:val="24"/>
                <w:szCs w:val="24"/>
              </w:rPr>
            </w:pPr>
          </w:p>
        </w:tc>
        <w:tc>
          <w:tcPr>
            <w:tcW w:w="1236" w:type="dxa"/>
          </w:tcPr>
          <w:p>
            <w:pPr>
              <w:spacing w:line="384" w:lineRule="auto"/>
              <w:rPr>
                <w:rFonts w:ascii="宋体" w:hAnsi="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708" w:type="dxa"/>
            <w:vMerge w:val="restart"/>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沥滘</w:t>
            </w:r>
          </w:p>
        </w:tc>
        <w:tc>
          <w:tcPr>
            <w:tcW w:w="1299"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一二期</w:t>
            </w:r>
          </w:p>
        </w:tc>
        <w:tc>
          <w:tcPr>
            <w:tcW w:w="1236" w:type="dxa"/>
          </w:tcPr>
          <w:p>
            <w:pPr>
              <w:spacing w:line="384" w:lineRule="auto"/>
              <w:rPr>
                <w:rFonts w:ascii="宋体" w:hAnsi="宋体" w:cs="宋体"/>
                <w:sz w:val="24"/>
                <w:szCs w:val="24"/>
              </w:rPr>
            </w:pPr>
          </w:p>
        </w:tc>
        <w:tc>
          <w:tcPr>
            <w:tcW w:w="1236" w:type="dxa"/>
          </w:tcPr>
          <w:p>
            <w:pPr>
              <w:spacing w:line="384" w:lineRule="auto"/>
              <w:rPr>
                <w:rFonts w:ascii="宋体" w:hAnsi="宋体" w:cs="宋体"/>
                <w:sz w:val="24"/>
                <w:szCs w:val="24"/>
              </w:rPr>
            </w:pPr>
          </w:p>
        </w:tc>
        <w:tc>
          <w:tcPr>
            <w:tcW w:w="1236" w:type="dxa"/>
            <w:vAlign w:val="bottom"/>
          </w:tcPr>
          <w:p>
            <w:pPr>
              <w:spacing w:line="384" w:lineRule="auto"/>
              <w:jc w:val="center"/>
              <w:rPr>
                <w:rFonts w:ascii="宋体" w:hAnsi="宋体" w:cs="宋体"/>
                <w:sz w:val="24"/>
                <w:szCs w:val="24"/>
              </w:rPr>
            </w:pPr>
            <w:r>
              <w:rPr>
                <w:rFonts w:hint="eastAsia" w:ascii="宋体" w:hAnsi="宋体" w:cs="宋体"/>
                <w:sz w:val="24"/>
                <w:szCs w:val="24"/>
              </w:rPr>
              <w:t>12</w:t>
            </w:r>
          </w:p>
        </w:tc>
        <w:tc>
          <w:tcPr>
            <w:tcW w:w="1236" w:type="dxa"/>
          </w:tcPr>
          <w:p>
            <w:pPr>
              <w:spacing w:line="384" w:lineRule="auto"/>
              <w:rPr>
                <w:rFonts w:ascii="宋体" w:hAnsi="宋体" w:cs="宋体"/>
                <w:sz w:val="24"/>
                <w:szCs w:val="24"/>
              </w:rPr>
            </w:pPr>
          </w:p>
        </w:tc>
        <w:tc>
          <w:tcPr>
            <w:tcW w:w="1236" w:type="dxa"/>
          </w:tcPr>
          <w:p>
            <w:pPr>
              <w:spacing w:line="384" w:lineRule="auto"/>
              <w:rPr>
                <w:rFonts w:ascii="宋体" w:hAnsi="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708" w:type="dxa"/>
            <w:vMerge w:val="continue"/>
          </w:tcPr>
          <w:p>
            <w:pPr>
              <w:widowControl/>
              <w:jc w:val="center"/>
              <w:rPr>
                <w:rFonts w:ascii="宋体" w:hAnsi="宋体" w:eastAsia="宋体" w:cs="宋体"/>
                <w:color w:val="000000"/>
                <w:kern w:val="0"/>
                <w:sz w:val="24"/>
                <w:szCs w:val="24"/>
              </w:rPr>
            </w:pPr>
          </w:p>
        </w:tc>
        <w:tc>
          <w:tcPr>
            <w:tcW w:w="1299"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三期</w:t>
            </w:r>
          </w:p>
        </w:tc>
        <w:tc>
          <w:tcPr>
            <w:tcW w:w="1236" w:type="dxa"/>
          </w:tcPr>
          <w:p>
            <w:pPr>
              <w:spacing w:line="384" w:lineRule="auto"/>
              <w:rPr>
                <w:rFonts w:ascii="宋体" w:hAnsi="宋体" w:cs="宋体"/>
                <w:sz w:val="24"/>
                <w:szCs w:val="24"/>
              </w:rPr>
            </w:pPr>
          </w:p>
        </w:tc>
        <w:tc>
          <w:tcPr>
            <w:tcW w:w="1236" w:type="dxa"/>
          </w:tcPr>
          <w:p>
            <w:pPr>
              <w:spacing w:line="384" w:lineRule="auto"/>
              <w:rPr>
                <w:rFonts w:ascii="宋体" w:hAnsi="宋体" w:cs="宋体"/>
                <w:sz w:val="24"/>
                <w:szCs w:val="24"/>
              </w:rPr>
            </w:pPr>
          </w:p>
        </w:tc>
        <w:tc>
          <w:tcPr>
            <w:tcW w:w="1236" w:type="dxa"/>
            <w:vAlign w:val="bottom"/>
          </w:tcPr>
          <w:p>
            <w:pPr>
              <w:spacing w:line="384" w:lineRule="auto"/>
              <w:jc w:val="center"/>
              <w:rPr>
                <w:rFonts w:ascii="宋体" w:hAnsi="宋体" w:cs="宋体"/>
                <w:sz w:val="24"/>
                <w:szCs w:val="24"/>
              </w:rPr>
            </w:pPr>
            <w:r>
              <w:rPr>
                <w:rFonts w:hint="eastAsia" w:ascii="宋体" w:hAnsi="宋体" w:cs="宋体"/>
                <w:sz w:val="24"/>
                <w:szCs w:val="24"/>
              </w:rPr>
              <w:t>8</w:t>
            </w:r>
          </w:p>
        </w:tc>
        <w:tc>
          <w:tcPr>
            <w:tcW w:w="1236" w:type="dxa"/>
          </w:tcPr>
          <w:p>
            <w:pPr>
              <w:spacing w:line="384" w:lineRule="auto"/>
              <w:rPr>
                <w:rFonts w:ascii="宋体" w:hAnsi="宋体" w:cs="宋体"/>
                <w:sz w:val="24"/>
                <w:szCs w:val="24"/>
              </w:rPr>
            </w:pPr>
          </w:p>
        </w:tc>
        <w:tc>
          <w:tcPr>
            <w:tcW w:w="1236" w:type="dxa"/>
          </w:tcPr>
          <w:p>
            <w:pPr>
              <w:spacing w:line="384" w:lineRule="auto"/>
              <w:rPr>
                <w:rFonts w:ascii="宋体" w:hAnsi="宋体" w:cs="宋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708" w:type="dxa"/>
            <w:vMerge w:val="restart"/>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龙归</w:t>
            </w:r>
          </w:p>
        </w:tc>
        <w:tc>
          <w:tcPr>
            <w:tcW w:w="1299"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一二期</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1</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708" w:type="dxa"/>
            <w:vMerge w:val="continue"/>
          </w:tcPr>
          <w:p>
            <w:pPr>
              <w:widowControl/>
              <w:jc w:val="center"/>
              <w:rPr>
                <w:rFonts w:ascii="宋体" w:hAnsi="宋体" w:eastAsia="宋体" w:cs="宋体"/>
                <w:color w:val="000000"/>
                <w:kern w:val="0"/>
                <w:sz w:val="24"/>
                <w:szCs w:val="24"/>
              </w:rPr>
            </w:pPr>
          </w:p>
        </w:tc>
        <w:tc>
          <w:tcPr>
            <w:tcW w:w="1299"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三期</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12</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1"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竹料</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8</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石井</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4</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708" w:type="dxa"/>
            <w:vMerge w:val="restart"/>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石井净</w:t>
            </w:r>
          </w:p>
        </w:tc>
        <w:tc>
          <w:tcPr>
            <w:tcW w:w="1299"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一期</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12</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708" w:type="dxa"/>
            <w:vMerge w:val="continue"/>
          </w:tcPr>
          <w:p>
            <w:pPr>
              <w:widowControl/>
              <w:jc w:val="center"/>
              <w:rPr>
                <w:rFonts w:ascii="宋体" w:hAnsi="宋体" w:eastAsia="宋体" w:cs="宋体"/>
                <w:color w:val="000000"/>
                <w:kern w:val="0"/>
                <w:sz w:val="24"/>
                <w:szCs w:val="24"/>
              </w:rPr>
            </w:pPr>
          </w:p>
        </w:tc>
        <w:tc>
          <w:tcPr>
            <w:tcW w:w="1299"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二期</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6</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京溪</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12</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708" w:type="dxa"/>
            <w:vMerge w:val="restart"/>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大沙地</w:t>
            </w:r>
          </w:p>
        </w:tc>
        <w:tc>
          <w:tcPr>
            <w:tcW w:w="1299"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一期</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12</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708" w:type="dxa"/>
            <w:vMerge w:val="continue"/>
          </w:tcPr>
          <w:p>
            <w:pPr>
              <w:widowControl/>
              <w:jc w:val="center"/>
              <w:rPr>
                <w:rFonts w:ascii="宋体" w:hAnsi="宋体" w:eastAsia="宋体" w:cs="宋体"/>
                <w:color w:val="000000"/>
                <w:kern w:val="0"/>
                <w:sz w:val="24"/>
                <w:szCs w:val="24"/>
              </w:rPr>
            </w:pPr>
          </w:p>
        </w:tc>
        <w:tc>
          <w:tcPr>
            <w:tcW w:w="1299"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二期</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11</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江高</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12</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3"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健康城</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6</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大观</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6</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从化</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6</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西朗二期</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12</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jc w:val="center"/>
        </w:trPr>
        <w:tc>
          <w:tcPr>
            <w:tcW w:w="693" w:type="dxa"/>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2007" w:type="dxa"/>
            <w:gridSpan w:val="2"/>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水质中心</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c>
          <w:tcPr>
            <w:tcW w:w="1236" w:type="dxa"/>
            <w:vAlign w:val="bottom"/>
          </w:tcPr>
          <w:p>
            <w:pPr>
              <w:spacing w:line="384" w:lineRule="auto"/>
              <w:jc w:val="center"/>
              <w:rPr>
                <w:rFonts w:ascii="宋体" w:hAnsi="宋体" w:cs="宋体"/>
                <w:sz w:val="24"/>
              </w:rPr>
            </w:pPr>
            <w:r>
              <w:rPr>
                <w:rFonts w:hint="eastAsia" w:ascii="宋体" w:hAnsi="宋体" w:cs="宋体"/>
                <w:sz w:val="24"/>
              </w:rPr>
              <w:t>2</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 w:hRule="atLeast"/>
          <w:jc w:val="center"/>
        </w:trPr>
        <w:tc>
          <w:tcPr>
            <w:tcW w:w="6408" w:type="dxa"/>
            <w:gridSpan w:val="6"/>
          </w:tcPr>
          <w:p>
            <w:pPr>
              <w:spacing w:line="384" w:lineRule="auto"/>
              <w:jc w:val="center"/>
              <w:rPr>
                <w:rFonts w:ascii="宋体" w:hAnsi="宋体" w:cs="宋体"/>
                <w:sz w:val="24"/>
              </w:rPr>
            </w:pPr>
            <w:r>
              <w:rPr>
                <w:rFonts w:hint="eastAsia" w:ascii="宋体" w:hAnsi="宋体" w:eastAsia="宋体" w:cs="宋体"/>
                <w:color w:val="000000"/>
                <w:kern w:val="0"/>
                <w:sz w:val="24"/>
                <w:szCs w:val="24"/>
              </w:rPr>
              <w:t>总计</w:t>
            </w:r>
          </w:p>
        </w:tc>
        <w:tc>
          <w:tcPr>
            <w:tcW w:w="1236" w:type="dxa"/>
          </w:tcPr>
          <w:p>
            <w:pPr>
              <w:spacing w:line="384" w:lineRule="auto"/>
              <w:rPr>
                <w:rFonts w:ascii="宋体" w:hAnsi="宋体" w:cs="宋体"/>
                <w:sz w:val="24"/>
              </w:rPr>
            </w:pPr>
          </w:p>
        </w:tc>
        <w:tc>
          <w:tcPr>
            <w:tcW w:w="1236" w:type="dxa"/>
          </w:tcPr>
          <w:p>
            <w:pPr>
              <w:spacing w:line="384" w:lineRule="auto"/>
              <w:rPr>
                <w:rFonts w:ascii="宋体" w:hAnsi="宋体" w:cs="宋体"/>
                <w:sz w:val="24"/>
              </w:rPr>
            </w:pPr>
          </w:p>
        </w:tc>
      </w:tr>
    </w:tbl>
    <w:p>
      <w:pPr>
        <w:widowControl/>
        <w:tabs>
          <w:tab w:val="left" w:pos="851"/>
        </w:tabs>
        <w:adjustRightInd w:val="0"/>
        <w:snapToGrid w:val="0"/>
        <w:spacing w:line="384" w:lineRule="auto"/>
        <w:ind w:firstLine="480" w:firstLineChars="200"/>
        <w:jc w:val="left"/>
        <w:rPr>
          <w:rFonts w:ascii="宋体" w:hAnsi="宋体" w:cs="宋体"/>
          <w:bCs/>
          <w:sz w:val="24"/>
        </w:rPr>
      </w:pPr>
    </w:p>
    <w:p>
      <w:pPr>
        <w:widowControl/>
        <w:jc w:val="left"/>
        <w:rPr>
          <w:rFonts w:ascii="宋体" w:hAnsi="宋体" w:cs="宋体"/>
          <w:bCs/>
          <w:sz w:val="24"/>
        </w:r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6 消防设施维保计划方案</w:t>
      </w:r>
    </w:p>
    <w:p>
      <w:pPr>
        <w:widowControl/>
        <w:jc w:val="left"/>
        <w:rPr>
          <w:rFonts w:ascii="宋体" w:hAnsi="宋体" w:cs="宋体"/>
          <w:bCs/>
          <w:sz w:val="24"/>
        </w:rPr>
      </w:pPr>
    </w:p>
    <w:p>
      <w:pPr>
        <w:widowControl/>
        <w:jc w:val="left"/>
        <w:rPr>
          <w:rFonts w:ascii="宋体" w:hAnsi="宋体" w:cs="宋体"/>
          <w:bCs/>
          <w:sz w:val="24"/>
        </w:rPr>
      </w:pPr>
    </w:p>
    <w:p>
      <w:pPr>
        <w:widowControl/>
        <w:jc w:val="left"/>
        <w:rPr>
          <w:rFonts w:ascii="宋体" w:hAnsi="宋体" w:cs="宋体"/>
          <w:bCs/>
          <w:sz w:val="24"/>
        </w:rPr>
      </w:pPr>
    </w:p>
    <w:p>
      <w:pPr>
        <w:widowControl/>
        <w:jc w:val="left"/>
        <w:rPr>
          <w:rFonts w:ascii="宋体" w:hAnsi="宋体" w:cs="宋体"/>
          <w:bCs/>
          <w:sz w:val="24"/>
        </w:rPr>
      </w:pPr>
    </w:p>
    <w:p>
      <w:pPr>
        <w:widowControl/>
        <w:jc w:val="left"/>
        <w:rPr>
          <w:rFonts w:ascii="宋体" w:hAnsi="宋体" w:cs="宋体"/>
          <w:bCs/>
          <w:sz w:val="24"/>
        </w:rPr>
      </w:pPr>
    </w:p>
    <w:p>
      <w:pPr>
        <w:widowControl/>
        <w:jc w:val="left"/>
        <w:rPr>
          <w:rFonts w:ascii="宋体" w:hAnsi="宋体" w:cs="宋体"/>
          <w:bCs/>
          <w:sz w:val="24"/>
        </w:rPr>
      </w:pPr>
    </w:p>
    <w:p>
      <w:pPr>
        <w:widowControl/>
        <w:jc w:val="left"/>
        <w:rPr>
          <w:rFonts w:ascii="宋体" w:hAnsi="宋体" w:cs="宋体"/>
          <w:bCs/>
          <w:sz w:val="24"/>
        </w:rPr>
      </w:pPr>
    </w:p>
    <w:p>
      <w:pPr>
        <w:widowControl/>
        <w:jc w:val="left"/>
        <w:rPr>
          <w:rFonts w:ascii="宋体" w:hAnsi="宋体" w:cs="宋体"/>
          <w:bCs/>
          <w:sz w:val="24"/>
        </w:rPr>
      </w:pPr>
    </w:p>
    <w:p>
      <w:pPr>
        <w:widowControl/>
        <w:jc w:val="left"/>
        <w:rPr>
          <w:rFonts w:ascii="宋体" w:hAnsi="宋体" w:cs="宋体"/>
          <w:bCs/>
          <w:sz w:val="24"/>
        </w:rPr>
      </w:pPr>
    </w:p>
    <w:p>
      <w:pPr>
        <w:widowControl/>
        <w:jc w:val="left"/>
        <w:rPr>
          <w:rFonts w:ascii="宋体" w:hAnsi="宋体" w:cs="宋体"/>
          <w:bCs/>
          <w:sz w:val="24"/>
        </w:rPr>
      </w:pPr>
    </w:p>
    <w:p>
      <w:pPr>
        <w:widowControl/>
        <w:jc w:val="left"/>
        <w:rPr>
          <w:rFonts w:ascii="宋体" w:hAnsi="宋体" w:cs="宋体"/>
          <w:bCs/>
          <w:sz w:val="24"/>
        </w:rPr>
      </w:pPr>
    </w:p>
    <w:p>
      <w:pPr>
        <w:widowControl/>
        <w:jc w:val="left"/>
        <w:rPr>
          <w:rFonts w:ascii="宋体" w:hAnsi="宋体" w:cs="宋体"/>
          <w:bCs/>
          <w:sz w:val="24"/>
        </w:r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7人员资格情况</w:t>
      </w: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p>
    <w:p>
      <w:pPr>
        <w:jc w:val="center"/>
        <w:rPr>
          <w:rFonts w:ascii="仿宋" w:hAnsi="仿宋" w:eastAsia="仿宋" w:cs="仿宋_GB2312"/>
          <w:b/>
          <w:color w:val="000000"/>
          <w:sz w:val="28"/>
          <w:szCs w:val="28"/>
        </w:rPr>
      </w:pPr>
      <w:r>
        <w:rPr>
          <w:rFonts w:hint="eastAsia" w:ascii="仿宋" w:hAnsi="仿宋" w:eastAsia="仿宋" w:cs="仿宋_GB2312"/>
          <w:b/>
          <w:color w:val="000000"/>
          <w:sz w:val="28"/>
          <w:szCs w:val="28"/>
        </w:rPr>
        <w:t>8 承诺函</w:t>
      </w:r>
    </w:p>
    <w:p>
      <w:pPr>
        <w:widowControl/>
        <w:tabs>
          <w:tab w:val="left" w:pos="851"/>
        </w:tabs>
        <w:adjustRightInd w:val="0"/>
        <w:snapToGrid w:val="0"/>
        <w:spacing w:line="384" w:lineRule="auto"/>
        <w:jc w:val="center"/>
        <w:rPr>
          <w:rFonts w:ascii="宋体" w:hAnsi="宋体" w:cs="宋体"/>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3"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rvABY0QAAAAIBAAAPAAAAAAAAAAEAIAAAACIAAABkcnMvZG93bnJldi54bWxQ&#10;SwECFAAUAAAACACHTuJA4PZp6jcCAABgBAAADgAAAAAAAAABACAAAAAgAQAAZHJzL2Uyb0RvYy54&#10;bWxQSwUGAAAAAAYABgBZAQAAyQUAAAAA&#10;">
          <v:path/>
          <v:fill on="f" focussize="0,0"/>
          <v:stroke on="f" weight="0.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23</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7D93E3D"/>
    <w:multiLevelType w:val="multilevel"/>
    <w:tmpl w:val="07D93E3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A574260"/>
    <w:multiLevelType w:val="multilevel"/>
    <w:tmpl w:val="1A574260"/>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C4B2AEE"/>
    <w:multiLevelType w:val="multilevel"/>
    <w:tmpl w:val="1C4B2AEE"/>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CDF40A2"/>
    <w:multiLevelType w:val="multilevel"/>
    <w:tmpl w:val="1CDF40A2"/>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05F16B1"/>
    <w:multiLevelType w:val="multilevel"/>
    <w:tmpl w:val="205F16B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B201A7B"/>
    <w:multiLevelType w:val="multilevel"/>
    <w:tmpl w:val="2B201A7B"/>
    <w:lvl w:ilvl="0" w:tentative="0">
      <w:start w:val="1"/>
      <w:numFmt w:val="low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B911F20"/>
    <w:multiLevelType w:val="multilevel"/>
    <w:tmpl w:val="2B911F2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09E67FE"/>
    <w:multiLevelType w:val="multilevel"/>
    <w:tmpl w:val="309E67FE"/>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7963870"/>
    <w:multiLevelType w:val="multilevel"/>
    <w:tmpl w:val="3796387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B8060FF"/>
    <w:multiLevelType w:val="multilevel"/>
    <w:tmpl w:val="3B8060FF"/>
    <w:lvl w:ilvl="0" w:tentative="0">
      <w:start w:val="1"/>
      <w:numFmt w:val="decimal"/>
      <w:lvlText w:val="%1)"/>
      <w:lvlJc w:val="left"/>
      <w:pPr>
        <w:ind w:left="420" w:hanging="420"/>
      </w:pPr>
      <w:rPr>
        <w:rFonts w:hint="default"/>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98665D"/>
    <w:multiLevelType w:val="multilevel"/>
    <w:tmpl w:val="3F98665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6236446"/>
    <w:multiLevelType w:val="multilevel"/>
    <w:tmpl w:val="4623644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6364F55"/>
    <w:multiLevelType w:val="multilevel"/>
    <w:tmpl w:val="46364F5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D3537E0"/>
    <w:multiLevelType w:val="multilevel"/>
    <w:tmpl w:val="4D3537E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34B5C71"/>
    <w:multiLevelType w:val="singleLevel"/>
    <w:tmpl w:val="534B5C71"/>
    <w:lvl w:ilvl="0" w:tentative="0">
      <w:start w:val="2"/>
      <w:numFmt w:val="decimal"/>
      <w:suff w:val="nothing"/>
      <w:lvlText w:val="%1、"/>
      <w:lvlJc w:val="left"/>
    </w:lvl>
  </w:abstractNum>
  <w:abstractNum w:abstractNumId="16">
    <w:nsid w:val="5E302E0C"/>
    <w:multiLevelType w:val="multilevel"/>
    <w:tmpl w:val="5E302E0C"/>
    <w:lvl w:ilvl="0" w:tentative="0">
      <w:start w:val="1"/>
      <w:numFmt w:val="decimal"/>
      <w:lvlText w:val="%1)"/>
      <w:lvlJc w:val="left"/>
      <w:pPr>
        <w:ind w:left="420" w:hanging="420"/>
      </w:pPr>
      <w:rPr>
        <w:rFonts w:hint="default"/>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F7140AC"/>
    <w:multiLevelType w:val="multilevel"/>
    <w:tmpl w:val="5F7140A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8BE11F0"/>
    <w:multiLevelType w:val="multilevel"/>
    <w:tmpl w:val="68BE11F0"/>
    <w:lvl w:ilvl="0" w:tentative="0">
      <w:start w:val="1"/>
      <w:numFmt w:val="decimal"/>
      <w:suff w:val="space"/>
      <w:lvlText w:val="第%1章"/>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3.2.%3"/>
      <w:lvlJc w:val="left"/>
      <w:pPr>
        <w:ind w:left="0" w:firstLine="0"/>
      </w:pPr>
      <w:rPr>
        <w:rFonts w:hint="eastAsia"/>
      </w:rPr>
    </w:lvl>
    <w:lvl w:ilvl="3" w:tentative="0">
      <w:start w:val="1"/>
      <w:numFmt w:val="decimal"/>
      <w:lvlRestart w:val="1"/>
      <w:suff w:val="nothing"/>
      <w:lvlText w:val="3.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9">
    <w:nsid w:val="6B5A30FD"/>
    <w:multiLevelType w:val="multilevel"/>
    <w:tmpl w:val="6B5A30F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39E3523"/>
    <w:multiLevelType w:val="multilevel"/>
    <w:tmpl w:val="739E3523"/>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62B20DA"/>
    <w:multiLevelType w:val="multilevel"/>
    <w:tmpl w:val="762B20DA"/>
    <w:lvl w:ilvl="0" w:tentative="0">
      <w:start w:val="1"/>
      <w:numFmt w:val="lowerLetter"/>
      <w:lvlText w:val="%1)"/>
      <w:lvlJc w:val="left"/>
      <w:pPr>
        <w:ind w:left="420" w:hanging="420"/>
      </w:pPr>
      <w:rPr>
        <w:rFonts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8103F01"/>
    <w:multiLevelType w:val="multilevel"/>
    <w:tmpl w:val="78103F01"/>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E87685B"/>
    <w:multiLevelType w:val="multilevel"/>
    <w:tmpl w:val="7E87685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8"/>
  </w:num>
  <w:num w:numId="3">
    <w:abstractNumId w:val="14"/>
  </w:num>
  <w:num w:numId="4">
    <w:abstractNumId w:val="10"/>
  </w:num>
  <w:num w:numId="5">
    <w:abstractNumId w:val="23"/>
  </w:num>
  <w:num w:numId="6">
    <w:abstractNumId w:val="20"/>
  </w:num>
  <w:num w:numId="7">
    <w:abstractNumId w:val="4"/>
  </w:num>
  <w:num w:numId="8">
    <w:abstractNumId w:val="9"/>
  </w:num>
  <w:num w:numId="9">
    <w:abstractNumId w:val="6"/>
  </w:num>
  <w:num w:numId="10">
    <w:abstractNumId w:val="16"/>
  </w:num>
  <w:num w:numId="11">
    <w:abstractNumId w:val="7"/>
  </w:num>
  <w:num w:numId="12">
    <w:abstractNumId w:val="3"/>
  </w:num>
  <w:num w:numId="13">
    <w:abstractNumId w:val="17"/>
  </w:num>
  <w:num w:numId="14">
    <w:abstractNumId w:val="21"/>
  </w:num>
  <w:num w:numId="15">
    <w:abstractNumId w:val="5"/>
  </w:num>
  <w:num w:numId="16">
    <w:abstractNumId w:val="13"/>
  </w:num>
  <w:num w:numId="17">
    <w:abstractNumId w:val="2"/>
  </w:num>
  <w:num w:numId="18">
    <w:abstractNumId w:val="19"/>
  </w:num>
  <w:num w:numId="19">
    <w:abstractNumId w:val="12"/>
  </w:num>
  <w:num w:numId="20">
    <w:abstractNumId w:val="22"/>
  </w:num>
  <w:num w:numId="21">
    <w:abstractNumId w:val="1"/>
  </w:num>
  <w:num w:numId="22">
    <w:abstractNumId w:val="11"/>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669FA"/>
    <w:rsid w:val="00006243"/>
    <w:rsid w:val="000644E6"/>
    <w:rsid w:val="000657B9"/>
    <w:rsid w:val="000A513D"/>
    <w:rsid w:val="000B2E59"/>
    <w:rsid w:val="000E45BC"/>
    <w:rsid w:val="000F0E33"/>
    <w:rsid w:val="00112127"/>
    <w:rsid w:val="00113A79"/>
    <w:rsid w:val="001467CA"/>
    <w:rsid w:val="00163A61"/>
    <w:rsid w:val="00194425"/>
    <w:rsid w:val="00196351"/>
    <w:rsid w:val="001F46A9"/>
    <w:rsid w:val="001F5CC8"/>
    <w:rsid w:val="00204AB7"/>
    <w:rsid w:val="002144D7"/>
    <w:rsid w:val="00235700"/>
    <w:rsid w:val="00243240"/>
    <w:rsid w:val="00250256"/>
    <w:rsid w:val="002A21F8"/>
    <w:rsid w:val="002F588A"/>
    <w:rsid w:val="00320FA9"/>
    <w:rsid w:val="00335D77"/>
    <w:rsid w:val="00352134"/>
    <w:rsid w:val="00356EFB"/>
    <w:rsid w:val="003A0C70"/>
    <w:rsid w:val="003A30A6"/>
    <w:rsid w:val="003D205C"/>
    <w:rsid w:val="003D66E3"/>
    <w:rsid w:val="003E3A96"/>
    <w:rsid w:val="004273C1"/>
    <w:rsid w:val="0046764A"/>
    <w:rsid w:val="00477301"/>
    <w:rsid w:val="00481194"/>
    <w:rsid w:val="004814F2"/>
    <w:rsid w:val="004E1354"/>
    <w:rsid w:val="0050227A"/>
    <w:rsid w:val="00504917"/>
    <w:rsid w:val="00525D06"/>
    <w:rsid w:val="00527A1E"/>
    <w:rsid w:val="005328FE"/>
    <w:rsid w:val="00536854"/>
    <w:rsid w:val="00570096"/>
    <w:rsid w:val="00570D85"/>
    <w:rsid w:val="005840C1"/>
    <w:rsid w:val="005A4EA8"/>
    <w:rsid w:val="005F336B"/>
    <w:rsid w:val="006077E7"/>
    <w:rsid w:val="00613B10"/>
    <w:rsid w:val="00653163"/>
    <w:rsid w:val="006840DB"/>
    <w:rsid w:val="006E0C83"/>
    <w:rsid w:val="00703691"/>
    <w:rsid w:val="00724C42"/>
    <w:rsid w:val="007263F2"/>
    <w:rsid w:val="007331F2"/>
    <w:rsid w:val="00747A49"/>
    <w:rsid w:val="007550D7"/>
    <w:rsid w:val="00786097"/>
    <w:rsid w:val="007957B4"/>
    <w:rsid w:val="0079655F"/>
    <w:rsid w:val="007A6F35"/>
    <w:rsid w:val="007B6895"/>
    <w:rsid w:val="007D172A"/>
    <w:rsid w:val="007F6D48"/>
    <w:rsid w:val="007F7F8F"/>
    <w:rsid w:val="008077D6"/>
    <w:rsid w:val="0083305F"/>
    <w:rsid w:val="00833F4E"/>
    <w:rsid w:val="008410FC"/>
    <w:rsid w:val="00850945"/>
    <w:rsid w:val="00854ED4"/>
    <w:rsid w:val="00876F4F"/>
    <w:rsid w:val="008A3A31"/>
    <w:rsid w:val="008B03F8"/>
    <w:rsid w:val="008E4F0E"/>
    <w:rsid w:val="00933EEF"/>
    <w:rsid w:val="00940686"/>
    <w:rsid w:val="0095329C"/>
    <w:rsid w:val="00974494"/>
    <w:rsid w:val="0098076A"/>
    <w:rsid w:val="009B1F7B"/>
    <w:rsid w:val="009C7F95"/>
    <w:rsid w:val="00A042A5"/>
    <w:rsid w:val="00A07297"/>
    <w:rsid w:val="00A10754"/>
    <w:rsid w:val="00A37654"/>
    <w:rsid w:val="00A55510"/>
    <w:rsid w:val="00A66265"/>
    <w:rsid w:val="00A9730C"/>
    <w:rsid w:val="00AC7CE3"/>
    <w:rsid w:val="00AE2741"/>
    <w:rsid w:val="00AF5C08"/>
    <w:rsid w:val="00B057D6"/>
    <w:rsid w:val="00B322B9"/>
    <w:rsid w:val="00B76342"/>
    <w:rsid w:val="00B908B9"/>
    <w:rsid w:val="00B936D7"/>
    <w:rsid w:val="00BA63CA"/>
    <w:rsid w:val="00BC5308"/>
    <w:rsid w:val="00BC63F4"/>
    <w:rsid w:val="00BD0A61"/>
    <w:rsid w:val="00BD2540"/>
    <w:rsid w:val="00BD6CB0"/>
    <w:rsid w:val="00BF29CD"/>
    <w:rsid w:val="00C00DEE"/>
    <w:rsid w:val="00C2525F"/>
    <w:rsid w:val="00C351CD"/>
    <w:rsid w:val="00C40D7A"/>
    <w:rsid w:val="00C669FA"/>
    <w:rsid w:val="00CA61FE"/>
    <w:rsid w:val="00CC428A"/>
    <w:rsid w:val="00D0201F"/>
    <w:rsid w:val="00D141CE"/>
    <w:rsid w:val="00D30450"/>
    <w:rsid w:val="00D32BCA"/>
    <w:rsid w:val="00D61CC7"/>
    <w:rsid w:val="00D61E8F"/>
    <w:rsid w:val="00D70B32"/>
    <w:rsid w:val="00DB0C60"/>
    <w:rsid w:val="00DC06EB"/>
    <w:rsid w:val="00E135A3"/>
    <w:rsid w:val="00EE09EB"/>
    <w:rsid w:val="00EE5DF6"/>
    <w:rsid w:val="00F056F1"/>
    <w:rsid w:val="00F222B0"/>
    <w:rsid w:val="00F35C04"/>
    <w:rsid w:val="00F44C25"/>
    <w:rsid w:val="00F81A4F"/>
    <w:rsid w:val="00FC38AC"/>
    <w:rsid w:val="00FC4531"/>
    <w:rsid w:val="00FD2A30"/>
    <w:rsid w:val="0215573E"/>
    <w:rsid w:val="02C45024"/>
    <w:rsid w:val="03475D9E"/>
    <w:rsid w:val="07966214"/>
    <w:rsid w:val="0A810BB7"/>
    <w:rsid w:val="0A851038"/>
    <w:rsid w:val="0BEE4AD8"/>
    <w:rsid w:val="0CD71487"/>
    <w:rsid w:val="0E8B1A39"/>
    <w:rsid w:val="118C396D"/>
    <w:rsid w:val="120339C7"/>
    <w:rsid w:val="171B257B"/>
    <w:rsid w:val="17374AFE"/>
    <w:rsid w:val="18832F1A"/>
    <w:rsid w:val="198533A4"/>
    <w:rsid w:val="19EE3322"/>
    <w:rsid w:val="201607F8"/>
    <w:rsid w:val="201C0EBB"/>
    <w:rsid w:val="20E1358A"/>
    <w:rsid w:val="2344568D"/>
    <w:rsid w:val="27EF76F4"/>
    <w:rsid w:val="28B67AA9"/>
    <w:rsid w:val="28F033EC"/>
    <w:rsid w:val="2AFA2A43"/>
    <w:rsid w:val="2B8F2CA4"/>
    <w:rsid w:val="2BF2732D"/>
    <w:rsid w:val="2D19638F"/>
    <w:rsid w:val="2DAB1D7F"/>
    <w:rsid w:val="2E9A7907"/>
    <w:rsid w:val="35971342"/>
    <w:rsid w:val="37942F37"/>
    <w:rsid w:val="38F70FAB"/>
    <w:rsid w:val="395A5702"/>
    <w:rsid w:val="3E0F351A"/>
    <w:rsid w:val="3EC8123A"/>
    <w:rsid w:val="42093E84"/>
    <w:rsid w:val="42BF01C5"/>
    <w:rsid w:val="44FD12C2"/>
    <w:rsid w:val="4611043A"/>
    <w:rsid w:val="46194FAB"/>
    <w:rsid w:val="47977170"/>
    <w:rsid w:val="480139C4"/>
    <w:rsid w:val="48DB21ED"/>
    <w:rsid w:val="4D284C9B"/>
    <w:rsid w:val="4FCB1D63"/>
    <w:rsid w:val="51A926EA"/>
    <w:rsid w:val="523A3295"/>
    <w:rsid w:val="537F7BFD"/>
    <w:rsid w:val="5428437A"/>
    <w:rsid w:val="54B057B0"/>
    <w:rsid w:val="55461FCB"/>
    <w:rsid w:val="56A0149E"/>
    <w:rsid w:val="584222D3"/>
    <w:rsid w:val="5B1E4FDA"/>
    <w:rsid w:val="5C955D81"/>
    <w:rsid w:val="5DD0123C"/>
    <w:rsid w:val="5E784C84"/>
    <w:rsid w:val="6331176E"/>
    <w:rsid w:val="63526B3A"/>
    <w:rsid w:val="656D64FA"/>
    <w:rsid w:val="665C3C76"/>
    <w:rsid w:val="670D7173"/>
    <w:rsid w:val="681869FD"/>
    <w:rsid w:val="699C0231"/>
    <w:rsid w:val="6A3320AF"/>
    <w:rsid w:val="6ABB5727"/>
    <w:rsid w:val="6B4026C8"/>
    <w:rsid w:val="6F4D1D02"/>
    <w:rsid w:val="70624653"/>
    <w:rsid w:val="71EA5114"/>
    <w:rsid w:val="71F37EA0"/>
    <w:rsid w:val="72903204"/>
    <w:rsid w:val="7C57001E"/>
    <w:rsid w:val="7F0B2A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1"/>
    <w:semiHidden/>
    <w:unhideWhenUsed/>
    <w:qFormat/>
    <w:uiPriority w:val="9"/>
    <w:pPr>
      <w:keepNext/>
      <w:keepLines/>
      <w:spacing w:before="260" w:after="260" w:line="416" w:lineRule="auto"/>
      <w:outlineLvl w:val="2"/>
    </w:pPr>
    <w:rPr>
      <w:b/>
      <w:bCs/>
      <w:sz w:val="32"/>
      <w:szCs w:val="32"/>
    </w:rPr>
  </w:style>
  <w:style w:type="paragraph" w:styleId="4">
    <w:name w:val="heading 5"/>
    <w:basedOn w:val="1"/>
    <w:next w:val="1"/>
    <w:link w:val="23"/>
    <w:unhideWhenUsed/>
    <w:qFormat/>
    <w:uiPriority w:val="9"/>
    <w:pPr>
      <w:keepNext/>
      <w:keepLines/>
      <w:widowControl/>
      <w:spacing w:before="40" w:line="259" w:lineRule="auto"/>
      <w:jc w:val="left"/>
      <w:outlineLvl w:val="4"/>
    </w:pPr>
    <w:rPr>
      <w:rFonts w:asciiTheme="majorHAnsi" w:hAnsiTheme="majorHAnsi" w:eastAsiaTheme="majorEastAsia" w:cstheme="majorBidi"/>
      <w:color w:val="366091" w:themeColor="accent1" w:themeShade="BF"/>
      <w:kern w:val="0"/>
      <w:sz w:val="2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qFormat/>
    <w:uiPriority w:val="0"/>
    <w:pPr>
      <w:jc w:val="left"/>
    </w:pPr>
    <w:rPr>
      <w:rFonts w:ascii="Times New Roman" w:hAnsi="Times New Roman" w:eastAsia="宋体" w:cs="Times New Roman"/>
      <w:szCs w:val="24"/>
    </w:rPr>
  </w:style>
  <w:style w:type="paragraph" w:styleId="6">
    <w:name w:val="Body Text Indent"/>
    <w:basedOn w:val="1"/>
    <w:link w:val="32"/>
    <w:semiHidden/>
    <w:unhideWhenUsed/>
    <w:qFormat/>
    <w:uiPriority w:val="99"/>
    <w:pPr>
      <w:spacing w:after="120"/>
      <w:ind w:left="420" w:leftChars="200"/>
    </w:pPr>
  </w:style>
  <w:style w:type="paragraph" w:styleId="7">
    <w:name w:val="Plain Text"/>
    <w:basedOn w:val="1"/>
    <w:link w:val="27"/>
    <w:qFormat/>
    <w:uiPriority w:val="0"/>
    <w:rPr>
      <w:rFonts w:ascii="宋体" w:hAnsi="Courier New" w:eastAsia="宋体" w:cs="Courier New"/>
      <w:szCs w:val="21"/>
    </w:rPr>
  </w:style>
  <w:style w:type="paragraph" w:styleId="8">
    <w:name w:val="Balloon Text"/>
    <w:basedOn w:val="1"/>
    <w:link w:val="36"/>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rPr>
      <w:rFonts w:ascii="Times New Roman" w:hAnsi="Times New Roman" w:eastAsia="宋体" w:cs="Times New Roman"/>
      <w:szCs w:val="24"/>
    </w:rPr>
  </w:style>
  <w:style w:type="paragraph" w:styleId="12">
    <w:name w:val="Body Text Indent 3"/>
    <w:basedOn w:val="1"/>
    <w:link w:val="25"/>
    <w:qFormat/>
    <w:uiPriority w:val="99"/>
    <w:pPr>
      <w:widowControl/>
      <w:spacing w:after="120" w:line="259" w:lineRule="auto"/>
      <w:ind w:left="420" w:leftChars="200"/>
      <w:jc w:val="left"/>
    </w:pPr>
    <w:rPr>
      <w:kern w:val="0"/>
      <w:sz w:val="16"/>
      <w:szCs w:val="16"/>
    </w:rPr>
  </w:style>
  <w:style w:type="paragraph" w:styleId="13">
    <w:name w:val="Title"/>
    <w:basedOn w:val="1"/>
    <w:next w:val="1"/>
    <w:link w:val="29"/>
    <w:qFormat/>
    <w:uiPriority w:val="0"/>
    <w:pPr>
      <w:spacing w:before="240" w:after="60"/>
      <w:jc w:val="center"/>
      <w:outlineLvl w:val="0"/>
    </w:pPr>
    <w:rPr>
      <w:rFonts w:ascii="Cambria" w:hAnsi="Cambria" w:eastAsia="宋体" w:cs="Times New Roman"/>
      <w:b/>
      <w:bCs/>
      <w:sz w:val="32"/>
      <w:szCs w:val="32"/>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annotation reference"/>
    <w:basedOn w:val="16"/>
    <w:qFormat/>
    <w:uiPriority w:val="0"/>
    <w:rPr>
      <w:sz w:val="21"/>
      <w:szCs w:val="21"/>
    </w:rPr>
  </w:style>
  <w:style w:type="character" w:customStyle="1" w:styleId="19">
    <w:name w:val="页眉 Char"/>
    <w:basedOn w:val="16"/>
    <w:link w:val="10"/>
    <w:qFormat/>
    <w:uiPriority w:val="99"/>
    <w:rPr>
      <w:sz w:val="18"/>
      <w:szCs w:val="18"/>
    </w:rPr>
  </w:style>
  <w:style w:type="character" w:customStyle="1" w:styleId="20">
    <w:name w:val="页脚 Char"/>
    <w:basedOn w:val="16"/>
    <w:link w:val="9"/>
    <w:qFormat/>
    <w:uiPriority w:val="99"/>
    <w:rPr>
      <w:sz w:val="18"/>
      <w:szCs w:val="18"/>
    </w:rPr>
  </w:style>
  <w:style w:type="paragraph" w:customStyle="1" w:styleId="21">
    <w:name w:val="列出段落1"/>
    <w:basedOn w:val="1"/>
    <w:qFormat/>
    <w:uiPriority w:val="34"/>
    <w:pPr>
      <w:ind w:firstLine="420" w:firstLineChars="200"/>
    </w:pPr>
    <w:rPr>
      <w:rFonts w:ascii="Calibri" w:hAnsi="Calibri" w:eastAsia="宋体" w:cs="Times New Roman"/>
    </w:rPr>
  </w:style>
  <w:style w:type="character" w:customStyle="1" w:styleId="22">
    <w:name w:val="标题 5 Char"/>
    <w:basedOn w:val="16"/>
    <w:link w:val="4"/>
    <w:semiHidden/>
    <w:qFormat/>
    <w:uiPriority w:val="9"/>
    <w:rPr>
      <w:b/>
      <w:bCs/>
      <w:sz w:val="28"/>
      <w:szCs w:val="28"/>
    </w:rPr>
  </w:style>
  <w:style w:type="character" w:customStyle="1" w:styleId="23">
    <w:name w:val="标题 5 Char1"/>
    <w:basedOn w:val="16"/>
    <w:link w:val="4"/>
    <w:qFormat/>
    <w:uiPriority w:val="9"/>
    <w:rPr>
      <w:rFonts w:asciiTheme="majorHAnsi" w:hAnsiTheme="majorHAnsi" w:eastAsiaTheme="majorEastAsia" w:cstheme="majorBidi"/>
      <w:color w:val="366091" w:themeColor="accent1" w:themeShade="BF"/>
      <w:kern w:val="0"/>
      <w:sz w:val="22"/>
    </w:rPr>
  </w:style>
  <w:style w:type="character" w:customStyle="1" w:styleId="24">
    <w:name w:val="正文文本缩进 3 Char"/>
    <w:basedOn w:val="16"/>
    <w:link w:val="12"/>
    <w:semiHidden/>
    <w:qFormat/>
    <w:uiPriority w:val="99"/>
    <w:rPr>
      <w:sz w:val="16"/>
      <w:szCs w:val="16"/>
    </w:rPr>
  </w:style>
  <w:style w:type="character" w:customStyle="1" w:styleId="25">
    <w:name w:val="正文文本缩进 3 Char1"/>
    <w:basedOn w:val="16"/>
    <w:link w:val="12"/>
    <w:qFormat/>
    <w:uiPriority w:val="99"/>
    <w:rPr>
      <w:kern w:val="0"/>
      <w:sz w:val="16"/>
      <w:szCs w:val="16"/>
    </w:rPr>
  </w:style>
  <w:style w:type="paragraph" w:styleId="26">
    <w:name w:val="List Paragraph"/>
    <w:basedOn w:val="1"/>
    <w:qFormat/>
    <w:uiPriority w:val="34"/>
    <w:pPr>
      <w:ind w:firstLine="420" w:firstLineChars="200"/>
    </w:pPr>
  </w:style>
  <w:style w:type="character" w:customStyle="1" w:styleId="27">
    <w:name w:val="纯文本 Char"/>
    <w:basedOn w:val="16"/>
    <w:link w:val="7"/>
    <w:qFormat/>
    <w:uiPriority w:val="0"/>
    <w:rPr>
      <w:rFonts w:ascii="宋体" w:hAnsi="Courier New" w:eastAsia="宋体" w:cs="Courier New"/>
      <w:szCs w:val="21"/>
    </w:rPr>
  </w:style>
  <w:style w:type="character" w:customStyle="1" w:styleId="28">
    <w:name w:val="标题 2 Char"/>
    <w:basedOn w:val="16"/>
    <w:link w:val="2"/>
    <w:semiHidden/>
    <w:qFormat/>
    <w:uiPriority w:val="9"/>
    <w:rPr>
      <w:rFonts w:asciiTheme="majorHAnsi" w:hAnsiTheme="majorHAnsi" w:eastAsiaTheme="majorEastAsia" w:cstheme="majorBidi"/>
      <w:b/>
      <w:bCs/>
      <w:sz w:val="32"/>
      <w:szCs w:val="32"/>
    </w:rPr>
  </w:style>
  <w:style w:type="character" w:customStyle="1" w:styleId="29">
    <w:name w:val="标题 Char"/>
    <w:basedOn w:val="16"/>
    <w:link w:val="13"/>
    <w:qFormat/>
    <w:uiPriority w:val="0"/>
    <w:rPr>
      <w:rFonts w:ascii="Cambria" w:hAnsi="Cambria" w:eastAsia="宋体" w:cs="Times New Roman"/>
      <w:b/>
      <w:bCs/>
      <w:sz w:val="32"/>
      <w:szCs w:val="32"/>
    </w:rPr>
  </w:style>
  <w:style w:type="character" w:customStyle="1" w:styleId="30">
    <w:name w:val="批注文字 Char"/>
    <w:basedOn w:val="16"/>
    <w:link w:val="5"/>
    <w:qFormat/>
    <w:uiPriority w:val="0"/>
    <w:rPr>
      <w:rFonts w:ascii="Times New Roman" w:hAnsi="Times New Roman" w:eastAsia="宋体" w:cs="Times New Roman"/>
      <w:szCs w:val="24"/>
    </w:rPr>
  </w:style>
  <w:style w:type="character" w:customStyle="1" w:styleId="31">
    <w:name w:val="标题 3 Char"/>
    <w:basedOn w:val="16"/>
    <w:link w:val="3"/>
    <w:semiHidden/>
    <w:qFormat/>
    <w:uiPriority w:val="9"/>
    <w:rPr>
      <w:b/>
      <w:bCs/>
      <w:sz w:val="32"/>
      <w:szCs w:val="32"/>
    </w:rPr>
  </w:style>
  <w:style w:type="character" w:customStyle="1" w:styleId="32">
    <w:name w:val="正文文本缩进 Char"/>
    <w:basedOn w:val="16"/>
    <w:link w:val="6"/>
    <w:semiHidden/>
    <w:qFormat/>
    <w:uiPriority w:val="99"/>
  </w:style>
  <w:style w:type="paragraph" w:customStyle="1" w:styleId="33">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3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5">
    <w:name w:val="apple-converted-space"/>
    <w:basedOn w:val="16"/>
    <w:qFormat/>
    <w:uiPriority w:val="0"/>
  </w:style>
  <w:style w:type="character" w:customStyle="1" w:styleId="36">
    <w:name w:val="批注框文本 Char"/>
    <w:basedOn w:val="16"/>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14D70-2D37-492B-849D-1B5330ED1FA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53</Pages>
  <Words>3791</Words>
  <Characters>21615</Characters>
  <Lines>180</Lines>
  <Paragraphs>50</Paragraphs>
  <TotalTime>0</TotalTime>
  <ScaleCrop>false</ScaleCrop>
  <LinksUpToDate>false</LinksUpToDate>
  <CharactersWithSpaces>25356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2020-12-07T02:55:00Z</dcterms:created>
  <dc:creator>李嘉雯</dc:creator>
  <cp:lastModifiedBy>黄大神</cp:lastModifiedBy>
  <cp:lastPrinted>2020-12-22T04:02:00Z</cp:lastPrinted>
  <dcterms:modified xsi:type="dcterms:W3CDTF">2021-01-07T00:55:15Z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