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sz w:val="28"/>
          <w:szCs w:val="28"/>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b/>
          <w:bCs/>
          <w:sz w:val="72"/>
        </w:rPr>
      </w:pPr>
      <w:r>
        <w:rPr>
          <w:rFonts w:hint="eastAsia" w:ascii="仿宋_GB2312" w:hAnsi="仿宋_GB2312" w:eastAsia="仿宋_GB2312" w:cs="仿宋_GB2312"/>
          <w:b/>
          <w:bCs/>
          <w:sz w:val="72"/>
        </w:rPr>
        <w:t>询价文件</w:t>
      </w:r>
    </w:p>
    <w:p>
      <w:pPr>
        <w:spacing w:line="500" w:lineRule="exact"/>
        <w:jc w:val="center"/>
        <w:rPr>
          <w:rFonts w:ascii="仿宋_GB2312" w:hAnsi="仿宋_GB2312" w:eastAsia="仿宋_GB2312" w:cs="仿宋_GB2312"/>
          <w:b/>
          <w:bCs/>
        </w:rPr>
      </w:pPr>
    </w:p>
    <w:p>
      <w:pPr>
        <w:spacing w:line="50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b/>
          <w:bCs/>
          <w:sz w:val="28"/>
          <w:szCs w:val="28"/>
        </w:rPr>
        <w:t>项目编号：</w:t>
      </w:r>
      <w:r>
        <w:rPr>
          <w:rFonts w:hint="eastAsia" w:ascii="仿宋_GB2312" w:hAnsi="仿宋_GB2312" w:eastAsia="仿宋_GB2312" w:cs="仿宋_GB2312"/>
          <w:b/>
          <w:bCs/>
          <w:sz w:val="28"/>
          <w:szCs w:val="28"/>
          <w:lang w:val="en-US" w:eastAsia="zh-CN"/>
        </w:rPr>
        <w:t>XE-20201127-2</w:t>
      </w:r>
      <w:r>
        <w:rPr>
          <w:b/>
          <w:bCs/>
        </w:rPr>
        <w:fldChar w:fldCharType="begin"/>
      </w:r>
      <w:r>
        <w:rPr>
          <w:b/>
          <w:bCs/>
        </w:rPr>
        <w:instrText xml:space="preserve"> DOCVARIABLE  采购编号  \* MERGEFORMAT </w:instrText>
      </w:r>
      <w:r>
        <w:rPr>
          <w:b/>
          <w:bCs/>
        </w:rPr>
        <w:fldChar w:fldCharType="end"/>
      </w:r>
    </w:p>
    <w:p>
      <w:pPr>
        <w:spacing w:line="500" w:lineRule="exact"/>
        <w:ind w:left="2058" w:hanging="1968" w:hangingChars="700"/>
        <w:rPr>
          <w:rFonts w:ascii="仿宋_GB2312" w:hAnsi="仿宋_GB2312" w:eastAsia="仿宋_GB2312" w:cs="仿宋_GB2312"/>
          <w:b/>
          <w:bCs/>
        </w:rPr>
      </w:pPr>
      <w:r>
        <w:rPr>
          <w:rFonts w:hint="eastAsia" w:ascii="仿宋_GB2312" w:hAnsi="仿宋_GB2312" w:eastAsia="仿宋_GB2312" w:cs="仿宋_GB2312"/>
          <w:b/>
          <w:bCs/>
          <w:sz w:val="28"/>
          <w:szCs w:val="28"/>
        </w:rPr>
        <w:t xml:space="preserve">   项目名称：</w:t>
      </w:r>
      <w:r>
        <w:rPr>
          <w:rFonts w:hint="eastAsia" w:ascii="仿宋_GB2312" w:hAnsi="仿宋_GB2312" w:eastAsia="仿宋_GB2312" w:cs="仿宋_GB2312"/>
          <w:b/>
          <w:bCs/>
          <w:sz w:val="28"/>
          <w:szCs w:val="28"/>
          <w:lang w:val="en-US" w:eastAsia="zh-CN"/>
        </w:rPr>
        <w:t>广州市净水有限公司</w:t>
      </w:r>
      <w:r>
        <w:rPr>
          <w:rFonts w:hint="eastAsia" w:ascii="仿宋_GB2312" w:hAnsi="仿宋_GB2312" w:eastAsia="仿宋_GB2312" w:cs="仿宋_GB2312"/>
          <w:b/>
          <w:bCs/>
          <w:sz w:val="28"/>
          <w:szCs w:val="28"/>
        </w:rPr>
        <w:t>大沙地分公司一期二沉池吸泥机改造项目</w:t>
      </w: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  编制</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w:t>
      </w:r>
      <w:r>
        <w:rPr>
          <w:rFonts w:hint="eastAsia" w:ascii="仿宋_GB2312" w:hAnsi="仿宋_GB2312" w:eastAsia="仿宋" w:cs="仿宋_GB2312"/>
          <w:b/>
          <w:bCs w:val="0"/>
          <w:sz w:val="28"/>
        </w:rPr>
        <w:t>2020年</w:t>
      </w:r>
      <w:r>
        <w:rPr>
          <w:rFonts w:hint="eastAsia" w:ascii="仿宋_GB2312" w:hAnsi="仿宋_GB2312" w:eastAsia="仿宋" w:cs="仿宋_GB2312"/>
          <w:b/>
          <w:bCs w:val="0"/>
          <w:sz w:val="28"/>
          <w:lang w:val="en-US" w:eastAsia="zh-CN"/>
        </w:rPr>
        <w:t>11</w:t>
      </w:r>
      <w:r>
        <w:rPr>
          <w:rFonts w:hint="eastAsia" w:ascii="仿宋_GB2312" w:hAnsi="仿宋_GB2312" w:eastAsia="仿宋" w:cs="仿宋_GB2312"/>
          <w:b/>
          <w:bCs w:val="0"/>
          <w:sz w:val="28"/>
        </w:rPr>
        <w:t>月</w:t>
      </w:r>
      <w:r>
        <w:rPr>
          <w:rFonts w:hint="eastAsia" w:ascii="仿宋_GB2312" w:hAnsi="仿宋_GB2312" w:eastAsia="仿宋" w:cs="仿宋_GB2312"/>
          <w:b/>
          <w:bCs w:val="0"/>
          <w:sz w:val="28"/>
          <w:lang w:val="en-US" w:eastAsia="zh-CN"/>
        </w:rPr>
        <w:t>27</w:t>
      </w:r>
      <w:r>
        <w:rPr>
          <w:rFonts w:hint="eastAsia" w:ascii="仿宋_GB2312" w:hAnsi="仿宋_GB2312" w:eastAsia="仿宋" w:cs="仿宋_GB2312"/>
          <w:b/>
          <w:bCs w:val="0"/>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7"/>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51"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b/>
          <w:spacing w:val="20"/>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bCs/>
          <w:spacing w:val="20"/>
          <w:sz w:val="28"/>
          <w:szCs w:val="28"/>
          <w:u w:val="single"/>
        </w:rPr>
        <w:t xml:space="preserve"> </w:t>
      </w:r>
      <w:r>
        <w:rPr>
          <w:rFonts w:hint="eastAsia" w:ascii="仿宋_GB2312" w:hAnsi="仿宋_GB2312" w:eastAsia="仿宋_GB2312" w:cs="仿宋_GB2312"/>
          <w:sz w:val="28"/>
          <w:szCs w:val="28"/>
          <w:u w:val="single"/>
        </w:rPr>
        <w:t xml:space="preserve">大沙地分公司一期二沉池吸泥机改造项目 </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一、资金计划：自筹资金 </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XE-20201127-2</w:t>
      </w:r>
    </w:p>
    <w:p>
      <w:pPr>
        <w:ind w:left="2485" w:leftChars="250" w:hanging="1960" w:hangingChars="700"/>
        <w:rPr>
          <w:rFonts w:ascii="仿宋_GB2312" w:hAnsi="仿宋_GB2312" w:eastAsia="仿宋_GB2312" w:cs="仿宋_GB2312"/>
          <w:spacing w:val="20"/>
          <w:sz w:val="28"/>
          <w:szCs w:val="28"/>
          <w:u w:val="single"/>
        </w:rPr>
      </w:pPr>
      <w:r>
        <w:rPr>
          <w:rFonts w:hint="eastAsia" w:ascii="宋体" w:hAnsi="宋体" w:cs="宋体"/>
          <w:sz w:val="28"/>
          <w:szCs w:val="28"/>
          <w:lang w:val="zh-CN"/>
        </w:rPr>
        <w:t>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项目名称：</w:t>
      </w:r>
      <w:r>
        <w:rPr>
          <w:rFonts w:hint="eastAsia" w:ascii="仿宋_GB2312" w:hAnsi="仿宋_GB2312" w:eastAsia="仿宋_GB2312" w:cs="仿宋_GB2312"/>
          <w:sz w:val="28"/>
          <w:szCs w:val="28"/>
          <w:lang w:val="en-US" w:eastAsia="zh-CN"/>
        </w:rPr>
        <w:t>广州市净水有限公司</w:t>
      </w:r>
      <w:r>
        <w:rPr>
          <w:rFonts w:hint="eastAsia" w:ascii="仿宋_GB2312" w:hAnsi="仿宋_GB2312" w:eastAsia="仿宋_GB2312" w:cs="仿宋_GB2312"/>
          <w:sz w:val="28"/>
          <w:szCs w:val="28"/>
          <w:lang w:val="zh-CN"/>
        </w:rPr>
        <w:t>大沙地分公司</w:t>
      </w:r>
      <w:r>
        <w:rPr>
          <w:rFonts w:hint="eastAsia" w:ascii="仿宋_GB2312" w:hAnsi="仿宋_GB2312" w:eastAsia="仿宋_GB2312" w:cs="仿宋_GB2312"/>
          <w:sz w:val="28"/>
          <w:szCs w:val="28"/>
          <w:u w:val="none"/>
          <w:lang w:val="zh-CN"/>
        </w:rPr>
        <w:t>一期</w:t>
      </w:r>
      <w:r>
        <w:rPr>
          <w:rFonts w:hint="eastAsia" w:ascii="仿宋_GB2312" w:hAnsi="仿宋_GB2312" w:eastAsia="仿宋_GB2312" w:cs="仿宋_GB2312"/>
          <w:sz w:val="28"/>
          <w:szCs w:val="28"/>
          <w:lang w:val="zh-CN"/>
        </w:rPr>
        <w:t>二沉池吸泥机改造项目</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zh-CN"/>
        </w:rPr>
        <w:t>3979904.70元</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autoSpaceDE w:val="0"/>
        <w:autoSpaceDN w:val="0"/>
        <w:ind w:left="0" w:leftChars="0" w:firstLine="560" w:firstLineChars="200"/>
        <w:rPr>
          <w:rFonts w:ascii="仿宋_GB2312" w:hAnsi="仿宋_GB2312" w:eastAsia="仿宋_GB2312" w:cs="仿宋_GB2312"/>
          <w:sz w:val="28"/>
          <w:szCs w:val="28"/>
          <w:u w:val="none"/>
        </w:rPr>
      </w:pPr>
      <w:r>
        <w:rPr>
          <w:rFonts w:hint="eastAsia" w:ascii="仿宋_GB2312" w:hAnsi="仿宋_GB2312" w:eastAsia="仿宋_GB2312" w:cs="仿宋_GB2312"/>
          <w:sz w:val="28"/>
          <w:szCs w:val="28"/>
        </w:rPr>
        <w:t>对广州市净水有限公司大沙地分公司一期二沉池吸泥机共有四台，需要进行更新改造。详见工程量清单。</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1、报价单位应为在中华人民共和国境内的法人或者其他组织，具有独立法人资格，且能开具增值税专用发票。</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2、具备机电工程施工总承包三级（或以上级别资质）或建筑机电安装工程专业承包三级（或以上级别资质），具有建设主管部门颁发的《安全生产许可证》并在有效期内。</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报价单位拟担任本工程项目负责人的人员为：机电工程专业二级或建筑工程专业二级以上级别的注册建造师或具备小型项目负责人资质，并持有项目负责人安全生产考核合格证（B类）；专职安全人员须具有在有效期内的安全考核合格证书（C类），项目负责人和安全员不为同一人。</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4、2017年1月1日至今，最少具有一项类似施工业绩，并提供相关证明文件（合同复印件，加盖单位公章）。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报价单位在规定时间内到项目现场进行实地踏勘，由本项目承办单位在现场踏勘回执（见附件 现场踏勘委派书）盖章确认。</w:t>
      </w:r>
    </w:p>
    <w:p>
      <w:pPr>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 现场踏勘(答疑会)集合时间：2020年1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eastAsia="zh-CN"/>
        </w:rPr>
        <w:t>10时00分</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 现场踏勘(答疑会)集合地点：广州市净水有限公司大沙地分公司。</w:t>
      </w:r>
    </w:p>
    <w:p>
      <w:pPr>
        <w:snapToGrid w:val="0"/>
        <w:spacing w:line="360" w:lineRule="auto"/>
        <w:ind w:firstLine="588" w:firstLineChars="210"/>
        <w:rPr>
          <w:rFonts w:ascii="仿宋" w:hAnsi="仿宋" w:eastAsia="仿宋" w:cs="仿宋"/>
          <w:sz w:val="28"/>
          <w:szCs w:val="28"/>
        </w:rPr>
      </w:pPr>
      <w:r>
        <w:rPr>
          <w:rFonts w:hint="eastAsia" w:ascii="仿宋" w:hAnsi="仿宋" w:eastAsia="仿宋" w:cs="仿宋"/>
          <w:sz w:val="28"/>
          <w:szCs w:val="28"/>
        </w:rPr>
        <w:t>现场踏勘要求：报价单位凭借《现场踏勘书》踏勘现场，完全了解项目地点、环境、内容和要求。</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时00分</w:t>
      </w:r>
      <w:r>
        <w:rPr>
          <w:rFonts w:hint="eastAsia" w:ascii="仿宋" w:hAnsi="仿宋" w:eastAsia="仿宋" w:cs="仿宋_GB2312"/>
          <w:sz w:val="28"/>
          <w:szCs w:val="28"/>
          <w:lang w:val="en-US" w:eastAsia="zh-CN"/>
        </w:rPr>
        <w:t>前</w:t>
      </w:r>
      <w:r>
        <w:rPr>
          <w:rFonts w:hint="eastAsia" w:ascii="仿宋" w:hAnsi="仿宋" w:eastAsia="仿宋" w:cs="仿宋_GB2312"/>
          <w:sz w:val="28"/>
          <w:szCs w:val="28"/>
        </w:rPr>
        <w:t>，在广州市净水有限公司门户网站免费下载。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时30分至1</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时00分；询价响应文件截止时间：2020年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时00分。</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十、询价响应文件送达地点：广州市天河区临江大道501号广州市净水有限公司</w:t>
      </w:r>
      <w:r>
        <w:rPr>
          <w:rFonts w:hint="eastAsia" w:ascii="仿宋" w:hAnsi="仿宋" w:eastAsia="仿宋" w:cs="仿宋"/>
          <w:sz w:val="28"/>
          <w:szCs w:val="28"/>
          <w:lang w:val="en-US" w:eastAsia="zh-CN"/>
        </w:rPr>
        <w:t>六楼招标办</w:t>
      </w:r>
      <w:bookmarkStart w:id="10" w:name="_GoBack"/>
      <w:bookmarkEnd w:id="10"/>
      <w:r>
        <w:rPr>
          <w:rFonts w:hint="eastAsia" w:ascii="仿宋" w:hAnsi="仿宋" w:eastAsia="仿宋" w:cs="仿宋"/>
          <w:sz w:val="28"/>
          <w:szCs w:val="28"/>
        </w:rPr>
        <w:t xml:space="preserve">               </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十一、评审时间：</w:t>
      </w:r>
      <w:r>
        <w:rPr>
          <w:rFonts w:hint="eastAsia" w:ascii="仿宋" w:hAnsi="仿宋" w:eastAsia="仿宋" w:cs="仿宋"/>
          <w:sz w:val="28"/>
          <w:szCs w:val="28"/>
          <w:lang w:val="en-US" w:eastAsia="zh-CN"/>
        </w:rPr>
        <w:t>2020</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十二、评审地点：广州市净水有限公司</w:t>
      </w:r>
      <w:r>
        <w:rPr>
          <w:rFonts w:hint="eastAsia" w:ascii="仿宋" w:hAnsi="仿宋" w:eastAsia="仿宋" w:cs="仿宋"/>
          <w:sz w:val="28"/>
          <w:szCs w:val="28"/>
          <w:lang w:val="en-US" w:eastAsia="zh-CN"/>
        </w:rPr>
        <w:t>六楼招标办</w:t>
      </w:r>
      <w:r>
        <w:rPr>
          <w:rFonts w:hint="eastAsia" w:ascii="仿宋" w:hAnsi="仿宋" w:eastAsia="仿宋" w:cs="仿宋"/>
          <w:sz w:val="28"/>
          <w:szCs w:val="28"/>
        </w:rPr>
        <w:t xml:space="preserve">                      </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十三、</w:t>
      </w:r>
      <w:r>
        <w:rPr>
          <w:rFonts w:hint="eastAsia" w:ascii="仿宋" w:hAnsi="仿宋" w:eastAsia="仿宋" w:cs="仿宋"/>
          <w:kern w:val="0"/>
          <w:sz w:val="28"/>
          <w:szCs w:val="28"/>
        </w:rPr>
        <w:t>询价人</w:t>
      </w:r>
      <w:r>
        <w:rPr>
          <w:rFonts w:hint="eastAsia" w:ascii="仿宋" w:hAnsi="仿宋" w:eastAsia="仿宋" w:cs="仿宋"/>
          <w:sz w:val="28"/>
          <w:szCs w:val="28"/>
        </w:rPr>
        <w:t>的联系方式</w:t>
      </w:r>
    </w:p>
    <w:p>
      <w:pPr>
        <w:snapToGrid w:val="0"/>
        <w:spacing w:line="540" w:lineRule="exact"/>
        <w:ind w:firstLine="630" w:firstLineChars="225"/>
        <w:rPr>
          <w:rFonts w:ascii="仿宋" w:hAnsi="仿宋" w:eastAsia="仿宋" w:cs="仿宋"/>
          <w:kern w:val="0"/>
          <w:sz w:val="28"/>
          <w:szCs w:val="28"/>
        </w:rPr>
      </w:pPr>
      <w:r>
        <w:rPr>
          <w:rFonts w:hint="eastAsia" w:ascii="仿宋" w:hAnsi="仿宋" w:eastAsia="仿宋" w:cs="仿宋"/>
          <w:kern w:val="0"/>
          <w:sz w:val="28"/>
          <w:szCs w:val="28"/>
        </w:rPr>
        <w:t>询价人：广州市净水有限公司</w:t>
      </w:r>
    </w:p>
    <w:p>
      <w:pPr>
        <w:snapToGrid w:val="0"/>
        <w:spacing w:line="540" w:lineRule="exact"/>
        <w:ind w:firstLine="630" w:firstLineChars="225"/>
        <w:rPr>
          <w:rFonts w:ascii="仿宋" w:hAnsi="仿宋" w:eastAsia="仿宋" w:cs="仿宋"/>
          <w:kern w:val="0"/>
          <w:sz w:val="28"/>
          <w:szCs w:val="28"/>
        </w:rPr>
      </w:pPr>
      <w:r>
        <w:rPr>
          <w:rFonts w:hint="eastAsia" w:ascii="仿宋" w:hAnsi="仿宋" w:eastAsia="仿宋" w:cs="仿宋"/>
          <w:kern w:val="0"/>
          <w:sz w:val="28"/>
          <w:szCs w:val="28"/>
        </w:rPr>
        <w:t xml:space="preserve">联系地址：广州市天河区临江大道501号            </w:t>
      </w:r>
    </w:p>
    <w:p>
      <w:pPr>
        <w:snapToGrid w:val="0"/>
        <w:spacing w:line="540" w:lineRule="exact"/>
        <w:ind w:firstLine="630" w:firstLineChars="225"/>
        <w:rPr>
          <w:rFonts w:ascii="仿宋" w:hAnsi="仿宋" w:eastAsia="仿宋" w:cs="仿宋"/>
          <w:kern w:val="0"/>
          <w:sz w:val="28"/>
          <w:szCs w:val="28"/>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黄</w:t>
      </w:r>
      <w:r>
        <w:rPr>
          <w:rFonts w:hint="eastAsia" w:ascii="仿宋" w:hAnsi="仿宋" w:eastAsia="仿宋" w:cs="仿宋"/>
          <w:kern w:val="0"/>
          <w:sz w:val="28"/>
          <w:szCs w:val="28"/>
        </w:rPr>
        <w:t>工    联系方式：020-</w:t>
      </w:r>
      <w:r>
        <w:rPr>
          <w:rFonts w:hint="eastAsia" w:ascii="仿宋" w:hAnsi="仿宋" w:eastAsia="仿宋" w:cs="仿宋"/>
          <w:kern w:val="0"/>
          <w:sz w:val="28"/>
          <w:szCs w:val="28"/>
          <w:lang w:val="en-US" w:eastAsia="zh-CN"/>
        </w:rPr>
        <w:t>62315524</w:t>
      </w:r>
      <w:r>
        <w:rPr>
          <w:rFonts w:hint="eastAsia" w:ascii="仿宋" w:hAnsi="仿宋" w:eastAsia="仿宋" w:cs="仿宋"/>
          <w:kern w:val="0"/>
          <w:sz w:val="28"/>
          <w:szCs w:val="28"/>
        </w:rPr>
        <w:t xml:space="preserve">     </w:t>
      </w:r>
    </w:p>
    <w:p>
      <w:pPr>
        <w:snapToGrid w:val="0"/>
        <w:spacing w:line="360" w:lineRule="auto"/>
        <w:ind w:left="420" w:leftChars="200" w:firstLine="630" w:firstLineChars="225"/>
        <w:rPr>
          <w:rFonts w:ascii="仿宋" w:hAnsi="仿宋" w:eastAsia="仿宋" w:cs="仿宋"/>
          <w:sz w:val="28"/>
          <w:szCs w:val="28"/>
          <w:u w:val="single"/>
        </w:rPr>
      </w:pPr>
    </w:p>
    <w:p>
      <w:pPr>
        <w:ind w:firstLine="4340" w:firstLineChars="1550"/>
        <w:rPr>
          <w:rFonts w:ascii="仿宋" w:hAnsi="仿宋" w:eastAsia="仿宋" w:cs="仿宋"/>
          <w:sz w:val="28"/>
          <w:szCs w:val="28"/>
          <w:u w:val="single"/>
        </w:rPr>
      </w:pPr>
      <w:r>
        <w:rPr>
          <w:rFonts w:hint="eastAsia" w:ascii="仿宋" w:hAnsi="仿宋" w:eastAsia="仿宋" w:cs="仿宋"/>
          <w:sz w:val="28"/>
          <w:szCs w:val="28"/>
        </w:rPr>
        <w:t xml:space="preserve">       广州市净水有限公司</w:t>
      </w:r>
    </w:p>
    <w:p>
      <w:pPr>
        <w:ind w:firstLine="588" w:firstLineChars="210"/>
        <w:rPr>
          <w:rFonts w:ascii="仿宋_GB2312" w:hAnsi="仿宋_GB2312" w:eastAsia="仿宋_GB2312" w:cs="仿宋_GB2312"/>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2020</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w:t>
      </w:r>
    </w:p>
    <w:p>
      <w:pPr>
        <w:spacing w:line="480" w:lineRule="auto"/>
        <w:rPr>
          <w:rFonts w:hint="eastAsia" w:ascii="仿宋_GB2312" w:hAnsi="仿宋_GB2312" w:eastAsia="仿宋_GB2312" w:cs="仿宋_GB2312"/>
          <w:b/>
          <w:sz w:val="28"/>
          <w:szCs w:val="28"/>
        </w:rPr>
      </w:pPr>
    </w:p>
    <w:p>
      <w:pPr>
        <w:spacing w:line="48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w:t>
      </w:r>
    </w:p>
    <w:p>
      <w:pPr>
        <w:spacing w:line="48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现场踏勘委派书</w:t>
      </w:r>
    </w:p>
    <w:p>
      <w:pPr>
        <w:spacing w:line="360" w:lineRule="auto"/>
        <w:rPr>
          <w:rFonts w:ascii="宋体" w:hAnsi="宋体"/>
          <w:szCs w:val="21"/>
        </w:rPr>
      </w:pP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致：广州市净水有限公司</w:t>
      </w:r>
    </w:p>
    <w:p>
      <w:pPr>
        <w:spacing w:line="360" w:lineRule="auto"/>
        <w:rPr>
          <w:rFonts w:ascii="宋体" w:hAnsi="宋体"/>
          <w:szCs w:val="21"/>
        </w:rPr>
      </w:pP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我公司（单位</w:t>
      </w:r>
      <w:r>
        <w:rPr>
          <w:rFonts w:hint="eastAsia" w:ascii="仿宋" w:hAnsi="仿宋" w:eastAsia="仿宋" w:cs="仿宋"/>
          <w:kern w:val="0"/>
          <w:sz w:val="28"/>
          <w:szCs w:val="28"/>
          <w:u w:val="single"/>
        </w:rPr>
        <w:t>）</w:t>
      </w:r>
      <w:r>
        <w:rPr>
          <w:rFonts w:ascii="仿宋" w:hAnsi="仿宋" w:eastAsia="仿宋" w:cs="仿宋"/>
          <w:kern w:val="0"/>
          <w:sz w:val="28"/>
          <w:szCs w:val="28"/>
          <w:u w:val="single"/>
        </w:rPr>
        <w:t xml:space="preserve">      （报价单位名称）     </w:t>
      </w:r>
      <w:r>
        <w:rPr>
          <w:rFonts w:hint="eastAsia" w:ascii="仿宋" w:hAnsi="仿宋" w:eastAsia="仿宋" w:cs="仿宋"/>
          <w:kern w:val="0"/>
          <w:sz w:val="28"/>
          <w:szCs w:val="28"/>
        </w:rPr>
        <w:t>现委派</w:t>
      </w:r>
      <w:r>
        <w:rPr>
          <w:rFonts w:ascii="仿宋" w:hAnsi="仿宋" w:eastAsia="仿宋" w:cs="仿宋"/>
          <w:kern w:val="0"/>
          <w:sz w:val="28"/>
          <w:szCs w:val="28"/>
          <w:u w:val="single"/>
        </w:rPr>
        <w:t xml:space="preserve">    （姓名、职务、身份证号）    </w:t>
      </w:r>
      <w:r>
        <w:rPr>
          <w:rFonts w:hint="eastAsia" w:ascii="仿宋" w:hAnsi="仿宋" w:eastAsia="仿宋" w:cs="仿宋"/>
          <w:kern w:val="0"/>
          <w:sz w:val="28"/>
          <w:szCs w:val="28"/>
        </w:rPr>
        <w:t>处理本项目</w:t>
      </w:r>
      <w:r>
        <w:rPr>
          <w:rFonts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大沙地分公司</w:t>
      </w:r>
      <w:r>
        <w:rPr>
          <w:rFonts w:hint="eastAsia" w:ascii="仿宋_GB2312" w:hAnsi="仿宋_GB2312" w:eastAsia="仿宋_GB2312" w:cs="仿宋_GB2312"/>
          <w:sz w:val="28"/>
          <w:szCs w:val="28"/>
          <w:u w:val="single"/>
        </w:rPr>
        <w:t>一期二沉池吸泥机改造项目</w:t>
      </w:r>
      <w:r>
        <w:rPr>
          <w:rFonts w:hint="eastAsia" w:ascii="仿宋_GB2312" w:hAnsi="仿宋_GB2312" w:eastAsia="仿宋_GB2312" w:cs="仿宋_GB2312"/>
          <w:bCs/>
          <w:sz w:val="28"/>
          <w:szCs w:val="28"/>
          <w:u w:val="single"/>
        </w:rPr>
        <w:t xml:space="preserve"> </w:t>
      </w:r>
      <w:r>
        <w:rPr>
          <w:rFonts w:ascii="仿宋" w:hAnsi="仿宋" w:eastAsia="仿宋" w:cs="仿宋"/>
          <w:kern w:val="0"/>
          <w:sz w:val="28"/>
          <w:szCs w:val="28"/>
        </w:rPr>
        <w:t xml:space="preserve"> </w:t>
      </w:r>
      <w:r>
        <w:rPr>
          <w:rFonts w:hint="eastAsia" w:ascii="仿宋" w:hAnsi="仿宋" w:eastAsia="仿宋" w:cs="仿宋"/>
          <w:kern w:val="0"/>
          <w:sz w:val="28"/>
          <w:szCs w:val="28"/>
        </w:rPr>
        <w:t>，项目编号：</w:t>
      </w:r>
      <w:r>
        <w:rPr>
          <w:rFonts w:ascii="仿宋" w:hAnsi="仿宋" w:eastAsia="仿宋" w:cs="仿宋"/>
          <w:kern w:val="0"/>
          <w:sz w:val="28"/>
          <w:szCs w:val="28"/>
        </w:rPr>
        <w:t xml:space="preserve">XXXXXXX  </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的现场踏勘事宜。</w:t>
      </w:r>
    </w:p>
    <w:p>
      <w:pPr>
        <w:spacing w:line="360" w:lineRule="auto"/>
        <w:rPr>
          <w:rFonts w:ascii="仿宋" w:hAnsi="仿宋" w:eastAsia="仿宋" w:cs="仿宋"/>
          <w:kern w:val="0"/>
          <w:sz w:val="28"/>
          <w:szCs w:val="28"/>
        </w:rPr>
      </w:pP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特此声明！</w:t>
      </w:r>
    </w:p>
    <w:p>
      <w:pPr>
        <w:spacing w:line="360" w:lineRule="auto"/>
        <w:ind w:firstLine="560" w:firstLineChars="200"/>
        <w:rPr>
          <w:rFonts w:ascii="仿宋" w:hAnsi="仿宋" w:eastAsia="仿宋" w:cs="仿宋"/>
          <w:kern w:val="0"/>
          <w:sz w:val="28"/>
          <w:szCs w:val="28"/>
        </w:rPr>
      </w:pPr>
    </w:p>
    <w:p>
      <w:pPr>
        <w:adjustRightInd/>
        <w:snapToGrid/>
        <w:spacing w:line="360" w:lineRule="auto"/>
        <w:ind w:firstLine="560" w:firstLineChars="200"/>
        <w:rPr>
          <w:rFonts w:ascii="仿宋" w:hAnsi="仿宋" w:eastAsia="仿宋" w:cs="仿宋"/>
          <w:kern w:val="0"/>
          <w:sz w:val="28"/>
          <w:szCs w:val="28"/>
        </w:rPr>
      </w:pPr>
    </w:p>
    <w:p>
      <w:pPr>
        <w:adjustRightInd/>
        <w:snapToGrid/>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报价单位法定代表人（或法定代表人授权代表）签字：</w:t>
      </w:r>
      <w:r>
        <w:rPr>
          <w:rFonts w:ascii="仿宋" w:hAnsi="仿宋" w:eastAsia="仿宋" w:cs="仿宋"/>
          <w:kern w:val="0"/>
          <w:sz w:val="28"/>
          <w:szCs w:val="28"/>
        </w:rPr>
        <w:t xml:space="preserve">                   </w:t>
      </w:r>
    </w:p>
    <w:p>
      <w:pPr>
        <w:adjustRightInd/>
        <w:snapToGrid/>
        <w:spacing w:line="360" w:lineRule="auto"/>
        <w:ind w:firstLine="560" w:firstLineChars="200"/>
        <w:rPr>
          <w:rFonts w:ascii="仿宋" w:hAnsi="仿宋" w:eastAsia="仿宋" w:cs="仿宋"/>
          <w:kern w:val="0"/>
          <w:sz w:val="28"/>
          <w:szCs w:val="28"/>
          <w:u w:val="none"/>
        </w:rPr>
      </w:pPr>
      <w:r>
        <w:rPr>
          <w:rFonts w:hint="eastAsia" w:ascii="仿宋" w:hAnsi="仿宋" w:eastAsia="仿宋" w:cs="仿宋"/>
          <w:kern w:val="0"/>
          <w:sz w:val="28"/>
          <w:szCs w:val="28"/>
        </w:rPr>
        <w:t>报价单位名称（签章）：</w:t>
      </w:r>
      <w:r>
        <w:rPr>
          <w:rFonts w:ascii="仿宋" w:hAnsi="仿宋" w:eastAsia="仿宋" w:cs="仿宋"/>
          <w:kern w:val="0"/>
          <w:sz w:val="28"/>
          <w:szCs w:val="28"/>
        </w:rPr>
        <w:t xml:space="preserve">                        </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日期：</w:t>
      </w:r>
      <w:r>
        <w:rPr>
          <w:rFonts w:ascii="仿宋" w:hAnsi="仿宋" w:eastAsia="仿宋" w:cs="仿宋"/>
          <w:kern w:val="0"/>
          <w:sz w:val="28"/>
          <w:szCs w:val="28"/>
        </w:rPr>
        <w:t xml:space="preserve">   </w:t>
      </w:r>
      <w:r>
        <w:rPr>
          <w:rFonts w:hint="eastAsia" w:ascii="仿宋" w:hAnsi="仿宋" w:eastAsia="仿宋" w:cs="仿宋"/>
          <w:kern w:val="0"/>
          <w:sz w:val="28"/>
          <w:szCs w:val="28"/>
        </w:rPr>
        <w:t>年</w:t>
      </w:r>
      <w:r>
        <w:rPr>
          <w:rFonts w:ascii="仿宋" w:hAnsi="仿宋" w:eastAsia="仿宋" w:cs="仿宋"/>
          <w:kern w:val="0"/>
          <w:sz w:val="28"/>
          <w:szCs w:val="28"/>
        </w:rPr>
        <w:t xml:space="preserve">   </w:t>
      </w:r>
      <w:r>
        <w:rPr>
          <w:rFonts w:hint="eastAsia" w:ascii="仿宋" w:hAnsi="仿宋" w:eastAsia="仿宋" w:cs="仿宋"/>
          <w:kern w:val="0"/>
          <w:sz w:val="28"/>
          <w:szCs w:val="28"/>
        </w:rPr>
        <w:t>月</w:t>
      </w:r>
      <w:r>
        <w:rPr>
          <w:rFonts w:ascii="仿宋" w:hAnsi="仿宋" w:eastAsia="仿宋" w:cs="仿宋"/>
          <w:kern w:val="0"/>
          <w:sz w:val="28"/>
          <w:szCs w:val="28"/>
        </w:rPr>
        <w:t xml:space="preserve">   </w:t>
      </w:r>
      <w:r>
        <w:rPr>
          <w:rFonts w:hint="eastAsia" w:ascii="仿宋" w:hAnsi="仿宋" w:eastAsia="仿宋" w:cs="仿宋"/>
          <w:kern w:val="0"/>
          <w:sz w:val="28"/>
          <w:szCs w:val="28"/>
        </w:rPr>
        <w:t>日</w:t>
      </w:r>
    </w:p>
    <w:p>
      <w:pPr>
        <w:spacing w:line="360" w:lineRule="auto"/>
        <w:ind w:firstLine="560" w:firstLineChars="200"/>
        <w:rPr>
          <w:rFonts w:ascii="仿宋" w:hAnsi="仿宋" w:eastAsia="仿宋" w:cs="仿宋"/>
          <w:bCs w:val="0"/>
          <w:kern w:val="0"/>
          <w:sz w:val="28"/>
          <w:szCs w:val="28"/>
        </w:rPr>
      </w:pPr>
    </w:p>
    <w:p>
      <w:pPr>
        <w:spacing w:line="360" w:lineRule="auto"/>
        <w:ind w:firstLine="560" w:firstLineChars="200"/>
        <w:rPr>
          <w:rFonts w:ascii="仿宋" w:hAnsi="仿宋" w:eastAsia="仿宋" w:cs="仿宋"/>
          <w:bCs w:val="0"/>
          <w:kern w:val="0"/>
          <w:sz w:val="28"/>
          <w:szCs w:val="28"/>
        </w:rPr>
      </w:pPr>
      <w:r>
        <w:rPr>
          <w:rFonts w:hint="eastAsia" w:ascii="仿宋" w:hAnsi="仿宋" w:eastAsia="仿宋" w:cs="仿宋"/>
          <w:bCs w:val="0"/>
          <w:kern w:val="0"/>
          <w:sz w:val="28"/>
          <w:szCs w:val="28"/>
        </w:rPr>
        <w:t>承办单位：广州市净水有限公司</w:t>
      </w:r>
      <w:r>
        <w:rPr>
          <w:rFonts w:hint="eastAsia" w:ascii="仿宋" w:hAnsi="仿宋" w:eastAsia="仿宋" w:cs="仿宋"/>
          <w:kern w:val="0"/>
          <w:sz w:val="28"/>
          <w:szCs w:val="28"/>
        </w:rPr>
        <w:t>大沙地</w:t>
      </w:r>
      <w:r>
        <w:rPr>
          <w:rFonts w:hint="eastAsia" w:ascii="仿宋" w:hAnsi="仿宋" w:eastAsia="仿宋" w:cs="仿宋"/>
          <w:bCs w:val="0"/>
          <w:kern w:val="0"/>
          <w:sz w:val="28"/>
          <w:szCs w:val="28"/>
        </w:rPr>
        <w:t>分公司</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bCs w:val="0"/>
          <w:kern w:val="0"/>
          <w:sz w:val="28"/>
          <w:szCs w:val="28"/>
        </w:rPr>
        <w:t>联系人：</w:t>
      </w:r>
      <w:r>
        <w:rPr>
          <w:rFonts w:hint="eastAsia" w:ascii="仿宋" w:hAnsi="仿宋" w:eastAsia="仿宋" w:cs="仿宋"/>
          <w:kern w:val="0"/>
          <w:sz w:val="28"/>
          <w:szCs w:val="28"/>
        </w:rPr>
        <w:t>陈</w:t>
      </w:r>
      <w:r>
        <w:rPr>
          <w:rFonts w:hint="eastAsia" w:ascii="仿宋" w:hAnsi="仿宋" w:eastAsia="仿宋" w:cs="仿宋"/>
          <w:bCs w:val="0"/>
          <w:kern w:val="0"/>
          <w:sz w:val="28"/>
          <w:szCs w:val="28"/>
        </w:rPr>
        <w:t>工</w:t>
      </w:r>
      <w:r>
        <w:rPr>
          <w:rFonts w:ascii="仿宋" w:hAnsi="仿宋" w:eastAsia="仿宋" w:cs="仿宋"/>
          <w:bCs w:val="0"/>
          <w:kern w:val="0"/>
          <w:sz w:val="28"/>
          <w:szCs w:val="28"/>
        </w:rPr>
        <w:t xml:space="preserve">                         </w:t>
      </w:r>
      <w:r>
        <w:rPr>
          <w:rFonts w:hint="eastAsia" w:ascii="仿宋" w:hAnsi="仿宋" w:eastAsia="仿宋" w:cs="仿宋"/>
          <w:bCs w:val="0"/>
          <w:kern w:val="0"/>
          <w:sz w:val="28"/>
          <w:szCs w:val="28"/>
        </w:rPr>
        <w:t>联系电话：</w:t>
      </w:r>
      <w:r>
        <w:rPr>
          <w:rFonts w:ascii="仿宋" w:hAnsi="仿宋" w:eastAsia="仿宋" w:cs="仿宋"/>
          <w:bCs w:val="0"/>
          <w:kern w:val="0"/>
          <w:sz w:val="28"/>
          <w:szCs w:val="28"/>
        </w:rPr>
        <w:t>020-</w:t>
      </w:r>
      <w:r>
        <w:rPr>
          <w:rFonts w:hint="eastAsia" w:ascii="仿宋" w:hAnsi="仿宋" w:eastAsia="仿宋" w:cs="仿宋"/>
          <w:kern w:val="0"/>
          <w:sz w:val="28"/>
          <w:szCs w:val="28"/>
        </w:rPr>
        <w:t>82367828</w:t>
      </w:r>
    </w:p>
    <w:p>
      <w:pPr>
        <w:pStyle w:val="12"/>
        <w:adjustRightInd w:val="0"/>
        <w:snapToGrid w:val="0"/>
        <w:spacing w:line="300" w:lineRule="auto"/>
        <w:jc w:val="center"/>
        <w:rPr>
          <w:rFonts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2"/>
        <w:adjustRightInd w:val="0"/>
        <w:snapToGrid w:val="0"/>
        <w:spacing w:line="300" w:lineRule="auto"/>
        <w:rPr>
          <w:rFonts w:ascii="仿宋_GB2312" w:hAnsi="仿宋_GB2312" w:eastAsia="仿宋_GB2312" w:cs="仿宋_GB2312"/>
          <w:b/>
          <w:sz w:val="28"/>
          <w:szCs w:val="28"/>
          <w:lang w:val="zh-CN"/>
        </w:rPr>
      </w:pPr>
    </w:p>
    <w:p>
      <w:pPr>
        <w:numPr>
          <w:ilvl w:val="0"/>
          <w:numId w:val="1"/>
        </w:numPr>
        <w:spacing w:line="50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大沙地分公司一期二沉池吸泥机采用中心传动单管吸泥式结构。共有</w:t>
      </w:r>
      <w:r>
        <w:rPr>
          <w:rFonts w:ascii="仿宋_GB2312" w:hAnsi="仿宋_GB2312" w:eastAsia="仿宋_GB2312" w:cs="仿宋_GB2312"/>
          <w:sz w:val="28"/>
          <w:szCs w:val="28"/>
          <w:lang w:val="zh-CN"/>
        </w:rPr>
        <w:t>4个池，主要部件有：工作桥、驱动装置、中心垂架、中心柱、吸泥桁架、吸泥管、中心泥罐、刮渣装置、排渣斗、出水堰以及电控装置等。吸泥管和刮渣装置通过桁架及中心垂架与驱动装置连接。</w:t>
      </w:r>
    </w:p>
    <w:p>
      <w:pPr>
        <w:adjustRightInd w:val="0"/>
        <w:snapToGrid w:val="0"/>
        <w:spacing w:line="500" w:lineRule="exact"/>
        <w:ind w:left="569" w:leftChars="271" w:firstLine="480" w:firstLineChars="200"/>
        <w:rPr>
          <w:sz w:val="24"/>
        </w:rPr>
      </w:pPr>
    </w:p>
    <w:p>
      <w:pPr>
        <w:pStyle w:val="12"/>
        <w:keepLines w:val="0"/>
        <w:numPr>
          <w:ilvl w:val="0"/>
          <w:numId w:val="1"/>
        </w:numPr>
        <w:adjustRightInd w:val="0"/>
        <w:snapToGrid w:val="0"/>
        <w:spacing w:before="0" w:after="0" w:line="300" w:lineRule="auto"/>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项目技术要求</w:t>
      </w:r>
    </w:p>
    <w:p>
      <w:pPr>
        <w:pStyle w:val="12"/>
        <w:keepLines w:val="0"/>
        <w:adjustRightInd w:val="0"/>
        <w:snapToGrid w:val="0"/>
        <w:spacing w:before="0" w:after="0" w:line="300" w:lineRule="auto"/>
        <w:ind w:left="570"/>
        <w:rPr>
          <w:rFonts w:ascii="仿宋_GB2312" w:hAnsi="仿宋_GB2312" w:eastAsia="仿宋_GB2312" w:cs="仿宋_GB2312"/>
          <w:sz w:val="28"/>
          <w:szCs w:val="28"/>
          <w:lang w:val="zh-CN"/>
        </w:rPr>
      </w:pPr>
      <w:r>
        <w:rPr>
          <w:rFonts w:hint="eastAsia" w:ascii="仿宋_GB2312" w:hAnsi="仿宋_GB2312" w:eastAsia="仿宋_GB2312" w:cs="仿宋_GB2312"/>
          <w:b w:val="0"/>
          <w:bCs w:val="0"/>
          <w:sz w:val="28"/>
          <w:szCs w:val="28"/>
          <w:lang w:val="zh-CN"/>
        </w:rPr>
        <w:t>吸（刮）泥机</w:t>
      </w:r>
    </w:p>
    <w:p>
      <w:pPr>
        <w:numPr>
          <w:ilvl w:val="0"/>
          <w:numId w:val="2"/>
        </w:numPr>
        <w:snapToGrid w:val="0"/>
        <w:spacing w:line="360" w:lineRule="auto"/>
        <w:ind w:left="900" w:hanging="420"/>
        <w:outlineLvl w:val="3"/>
        <w:rPr>
          <w:rFonts w:ascii="仿宋_GB2312" w:hAnsi="仿宋_GB2312" w:eastAsia="仿宋_GB2312" w:cs="仿宋_GB2312"/>
          <w:b w:val="0"/>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b w:val="0"/>
          <w:bCs w:val="0"/>
          <w:kern w:val="2"/>
          <w:sz w:val="28"/>
          <w:szCs w:val="28"/>
          <w:lang w:val="zh-CN"/>
        </w:rPr>
        <w:t>需提供的资料</w:t>
      </w:r>
      <w:r>
        <w:rPr>
          <w:rFonts w:hint="eastAsia" w:ascii="仿宋_GB2312" w:hAnsi="仿宋_GB2312" w:eastAsia="仿宋_GB2312" w:cs="仿宋_GB2312"/>
          <w:sz w:val="28"/>
          <w:szCs w:val="28"/>
          <w:lang w:val="zh-CN"/>
        </w:rPr>
        <w:t>,该资料在报价资料中必须包含</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ascii="仿宋_GB2312" w:hAnsi="仿宋_GB2312" w:eastAsia="仿宋_GB2312" w:cs="仿宋_GB2312"/>
          <w:kern w:val="2"/>
          <w:sz w:val="28"/>
          <w:szCs w:val="28"/>
          <w:lang w:val="zh-CN"/>
        </w:rPr>
        <w:t>a.</w:t>
      </w:r>
      <w:r>
        <w:rPr>
          <w:rFonts w:hint="eastAsia" w:ascii="仿宋_GB2312" w:hAnsi="仿宋_GB2312" w:eastAsia="仿宋_GB2312" w:cs="仿宋_GB2312"/>
          <w:kern w:val="2"/>
          <w:sz w:val="28"/>
          <w:szCs w:val="28"/>
          <w:lang w:val="zh-CN"/>
        </w:rPr>
        <w:t xml:space="preserve"> ★</w:t>
      </w:r>
      <w:r>
        <w:rPr>
          <w:rFonts w:ascii="仿宋_GB2312" w:hAnsi="仿宋_GB2312" w:eastAsia="仿宋_GB2312" w:cs="仿宋_GB2312"/>
          <w:b w:val="0"/>
          <w:bCs w:val="0"/>
          <w:kern w:val="2"/>
          <w:sz w:val="28"/>
          <w:szCs w:val="28"/>
          <w:lang w:val="zh-CN"/>
        </w:rPr>
        <w:t xml:space="preserve"> </w:t>
      </w:r>
      <w:r>
        <w:rPr>
          <w:rFonts w:hint="eastAsia" w:ascii="仿宋_GB2312" w:hAnsi="仿宋_GB2312" w:eastAsia="仿宋_GB2312" w:cs="仿宋_GB2312"/>
          <w:b w:val="0"/>
          <w:bCs w:val="0"/>
          <w:kern w:val="2"/>
          <w:sz w:val="28"/>
          <w:szCs w:val="28"/>
          <w:lang w:val="zh-CN"/>
        </w:rPr>
        <w:t>报价</w:t>
      </w:r>
      <w:r>
        <w:rPr>
          <w:rFonts w:ascii="仿宋_GB2312" w:hAnsi="仿宋_GB2312" w:eastAsia="仿宋_GB2312" w:cs="仿宋_GB2312"/>
          <w:b w:val="0"/>
          <w:bCs w:val="0"/>
          <w:kern w:val="2"/>
          <w:sz w:val="28"/>
          <w:szCs w:val="28"/>
          <w:lang w:val="zh-CN"/>
        </w:rPr>
        <w:t>人与设备制造厂家共同出具的设备性能承诺函</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b．★设备制造商出具的书面承诺中标后提供二沉池的工艺设计方案，包含进水槽布置等内容的二次设计图纸，工艺设计并不增加报价总价</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ascii="仿宋_GB2312" w:hAnsi="仿宋_GB2312" w:eastAsia="仿宋_GB2312" w:cs="仿宋_GB2312"/>
          <w:kern w:val="2"/>
          <w:sz w:val="28"/>
          <w:szCs w:val="28"/>
          <w:lang w:val="zh-CN"/>
        </w:rPr>
        <w:t xml:space="preserve">b. </w:t>
      </w:r>
      <w:r>
        <w:rPr>
          <w:rFonts w:hint="eastAsia" w:ascii="仿宋_GB2312" w:hAnsi="仿宋_GB2312" w:eastAsia="仿宋_GB2312" w:cs="仿宋_GB2312"/>
          <w:kern w:val="2"/>
          <w:sz w:val="28"/>
          <w:szCs w:val="28"/>
          <w:lang w:val="zh-CN"/>
        </w:rPr>
        <w:t>★提供水力模型的计算资料</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ascii="仿宋_GB2312" w:hAnsi="仿宋_GB2312" w:eastAsia="仿宋_GB2312" w:cs="仿宋_GB2312"/>
          <w:kern w:val="2"/>
          <w:sz w:val="28"/>
          <w:szCs w:val="28"/>
          <w:lang w:val="zh-CN"/>
        </w:rPr>
        <w:t xml:space="preserve">c. </w:t>
      </w:r>
      <w:r>
        <w:rPr>
          <w:rFonts w:hint="eastAsia" w:ascii="仿宋_GB2312" w:hAnsi="仿宋_GB2312" w:eastAsia="仿宋_GB2312" w:cs="仿宋_GB2312"/>
          <w:kern w:val="2"/>
          <w:sz w:val="28"/>
          <w:szCs w:val="28"/>
          <w:lang w:val="zh-CN"/>
        </w:rPr>
        <w:t>★报价人提供由制造商盖章出具的下列资料：</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①.以进水量、回流污泥量在达到设计值的前提下确保二沉池稳定运行出水</w:t>
      </w:r>
      <w:r>
        <w:rPr>
          <w:rFonts w:ascii="仿宋_GB2312" w:hAnsi="仿宋_GB2312" w:eastAsia="仿宋_GB2312" w:cs="仿宋_GB2312"/>
          <w:kern w:val="2"/>
          <w:sz w:val="28"/>
          <w:szCs w:val="28"/>
          <w:lang w:val="zh-CN"/>
        </w:rPr>
        <w:t>SS</w:t>
      </w:r>
      <w:r>
        <w:rPr>
          <w:rFonts w:hint="eastAsia" w:ascii="仿宋_GB2312" w:hAnsi="仿宋_GB2312" w:eastAsia="仿宋_GB2312" w:cs="仿宋_GB2312"/>
          <w:kern w:val="2"/>
          <w:sz w:val="28"/>
          <w:szCs w:val="28"/>
          <w:lang w:val="zh-CN"/>
        </w:rPr>
        <w:t>≤</w:t>
      </w:r>
      <w:r>
        <w:rPr>
          <w:rFonts w:ascii="仿宋_GB2312" w:hAnsi="仿宋_GB2312" w:eastAsia="仿宋_GB2312" w:cs="仿宋_GB2312"/>
          <w:kern w:val="2"/>
          <w:sz w:val="28"/>
          <w:szCs w:val="28"/>
          <w:lang w:val="zh-CN"/>
        </w:rPr>
        <w:t xml:space="preserve">20mg/L </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②.以制造商的技术能力，可做到的最大表面水力负荷参数、最大固体负荷参数</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③.确保均匀布水，进水渠末端最后一个配水孔处不会出现泥水分层现象的单池可处理的最小水量参数（含进水+回流污泥的总量）</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ascii="仿宋_GB2312" w:hAnsi="仿宋_GB2312" w:eastAsia="仿宋_GB2312" w:cs="仿宋_GB2312"/>
          <w:kern w:val="2"/>
          <w:sz w:val="28"/>
          <w:szCs w:val="28"/>
          <w:lang w:val="zh-CN"/>
        </w:rPr>
        <w:t xml:space="preserve">d. </w:t>
      </w:r>
      <w:r>
        <w:rPr>
          <w:rFonts w:hint="eastAsia" w:ascii="仿宋_GB2312" w:hAnsi="仿宋_GB2312" w:eastAsia="仿宋_GB2312" w:cs="仿宋_GB2312"/>
          <w:kern w:val="2"/>
          <w:sz w:val="28"/>
          <w:szCs w:val="28"/>
          <w:lang w:val="zh-CN"/>
        </w:rPr>
        <w:t>★中心传动吸泥机设备的平面及剖面图，并应标明所有的安装尺寸和材料，尤其是工作桥护栏形式设计图，包含开档尺寸、空隙面积等几何结构</w:t>
      </w:r>
    </w:p>
    <w:p>
      <w:pPr>
        <w:pStyle w:val="51"/>
        <w:snapToGrid w:val="0"/>
        <w:spacing w:before="0" w:beforeAutospacing="0" w:after="0" w:afterAutospacing="0" w:line="360" w:lineRule="auto"/>
        <w:ind w:firstLine="480"/>
        <w:jc w:val="both"/>
        <w:rPr>
          <w:rFonts w:ascii="仿宋_GB2312" w:hAnsi="仿宋_GB2312" w:eastAsia="仿宋_GB2312" w:cs="仿宋_GB2312"/>
          <w:kern w:val="2"/>
          <w:sz w:val="28"/>
          <w:szCs w:val="28"/>
          <w:lang w:val="zh-CN"/>
        </w:rPr>
      </w:pPr>
      <w:r>
        <w:rPr>
          <w:rFonts w:ascii="仿宋_GB2312" w:hAnsi="仿宋_GB2312" w:eastAsia="仿宋_GB2312" w:cs="仿宋_GB2312"/>
          <w:kern w:val="2"/>
          <w:sz w:val="28"/>
          <w:szCs w:val="28"/>
          <w:lang w:val="zh-CN"/>
        </w:rPr>
        <w:t xml:space="preserve">e. </w:t>
      </w:r>
      <w:r>
        <w:rPr>
          <w:rFonts w:hint="eastAsia" w:ascii="仿宋_GB2312" w:hAnsi="仿宋_GB2312" w:eastAsia="仿宋_GB2312" w:cs="仿宋_GB2312"/>
          <w:kern w:val="2"/>
          <w:sz w:val="28"/>
          <w:szCs w:val="28"/>
          <w:lang w:val="zh-CN"/>
        </w:rPr>
        <w:t>★中心驱动装置的型号参数信息，以及扭矩限制器的相关信息。</w:t>
      </w:r>
    </w:p>
    <w:p>
      <w:pPr>
        <w:pStyle w:val="4"/>
        <w:keepLines w:val="0"/>
        <w:snapToGrid w:val="0"/>
        <w:spacing w:before="0" w:after="0" w:line="360" w:lineRule="auto"/>
        <w:ind w:left="420" w:hanging="420"/>
        <w:rPr>
          <w:rFonts w:ascii="仿宋_GB2312" w:hAnsi="仿宋_GB2312" w:eastAsia="仿宋_GB2312" w:cs="仿宋_GB2312"/>
          <w:b w:val="0"/>
          <w:bCs w:val="0"/>
          <w:sz w:val="28"/>
          <w:szCs w:val="28"/>
          <w:lang w:val="zh-CN"/>
        </w:rPr>
      </w:pPr>
      <w:r>
        <w:rPr>
          <w:rFonts w:hint="eastAsia" w:ascii="仿宋_GB2312" w:hAnsi="仿宋_GB2312" w:eastAsia="仿宋_GB2312" w:cs="仿宋_GB2312"/>
          <w:b w:val="0"/>
          <w:bCs w:val="0"/>
          <w:sz w:val="28"/>
          <w:szCs w:val="28"/>
          <w:lang w:val="zh-CN"/>
        </w:rPr>
        <w:t>吸泥机设备技术要求</w:t>
      </w:r>
    </w:p>
    <w:p>
      <w:pPr>
        <w:pStyle w:val="49"/>
        <w:numPr>
          <w:ilvl w:val="0"/>
          <w:numId w:val="3"/>
        </w:numPr>
        <w:spacing w:line="300" w:lineRule="atLeast"/>
        <w:ind w:right="561" w:firstLineChars="0"/>
        <w:rPr>
          <w:rFonts w:ascii="仿宋_GB2312" w:hAnsi="仿宋_GB2312" w:eastAsia="仿宋_GB2312" w:cs="仿宋_GB2312"/>
          <w:b w:val="0"/>
          <w:sz w:val="28"/>
          <w:szCs w:val="28"/>
          <w:lang w:val="zh-CN"/>
        </w:rPr>
      </w:pPr>
      <w:r>
        <w:rPr>
          <w:rFonts w:hint="eastAsia" w:ascii="仿宋_GB2312" w:hAnsi="仿宋_GB2312" w:eastAsia="仿宋_GB2312" w:cs="仿宋_GB2312"/>
          <w:b w:val="0"/>
          <w:bCs w:val="0"/>
          <w:sz w:val="28"/>
          <w:szCs w:val="28"/>
          <w:lang w:val="zh-CN"/>
        </w:rPr>
        <w:t>在进水量、回流污泥量、生物反应池污泥浓度满足设计最大处理量的的基准条件下：无论进水量、回流污泥量、污泥浓度、污泥沉降性能如何变化，都必须确保二沉池的出水SS≤20。</w:t>
      </w:r>
    </w:p>
    <w:p>
      <w:pPr>
        <w:pStyle w:val="49"/>
        <w:numPr>
          <w:ilvl w:val="0"/>
          <w:numId w:val="3"/>
        </w:numPr>
        <w:spacing w:line="300" w:lineRule="atLeast"/>
        <w:ind w:right="561" w:firstLineChars="0"/>
        <w:rPr>
          <w:rFonts w:ascii="仿宋_GB2312" w:hAnsi="仿宋_GB2312" w:eastAsia="仿宋_GB2312" w:cs="仿宋_GB2312"/>
          <w:sz w:val="28"/>
          <w:szCs w:val="28"/>
          <w:lang w:val="zh-CN"/>
        </w:rPr>
      </w:pPr>
      <w:r>
        <w:rPr>
          <w:rFonts w:hint="eastAsia" w:ascii="仿宋_GB2312" w:hAnsi="仿宋_GB2312" w:eastAsia="仿宋_GB2312" w:cs="仿宋_GB2312"/>
          <w:b w:val="0"/>
          <w:bCs w:val="0"/>
          <w:sz w:val="28"/>
          <w:szCs w:val="28"/>
          <w:lang w:val="zh-CN"/>
        </w:rPr>
        <w:t>报价人应具有周边进水周边出水二沉池工艺设计能力及丰富的经验，能提供二沉池配水槽的计算方法，确保中标后能及时提供满足买方要求的相关工艺图（主要包括进、出水槽详图、进水槽配水孔口及挡水裙板布置图）。</w:t>
      </w:r>
    </w:p>
    <w:p>
      <w:pPr>
        <w:numPr>
          <w:ilvl w:val="0"/>
          <w:numId w:val="2"/>
        </w:numPr>
        <w:spacing w:line="400" w:lineRule="exact"/>
        <w:outlineLvl w:val="3"/>
        <w:rPr>
          <w:rFonts w:ascii="仿宋_GB2312" w:hAnsi="仿宋_GB2312" w:eastAsia="仿宋_GB2312" w:cs="仿宋_GB2312"/>
          <w:b w:val="0"/>
          <w:sz w:val="28"/>
          <w:szCs w:val="28"/>
          <w:lang w:val="zh-CN"/>
        </w:rPr>
      </w:pPr>
      <w:r>
        <w:rPr>
          <w:rFonts w:hint="eastAsia" w:ascii="仿宋_GB2312" w:hAnsi="仿宋_GB2312" w:eastAsia="仿宋_GB2312" w:cs="仿宋_GB2312"/>
          <w:b w:val="0"/>
          <w:bCs w:val="0"/>
          <w:sz w:val="28"/>
          <w:szCs w:val="28"/>
          <w:lang w:val="zh-CN"/>
        </w:rPr>
        <w:t>设备性能和结构要求</w:t>
      </w:r>
    </w:p>
    <w:p>
      <w:pPr>
        <w:pStyle w:val="51"/>
        <w:snapToGrid w:val="0"/>
        <w:spacing w:before="0" w:beforeAutospacing="0" w:after="0" w:afterAutospacing="0" w:line="360" w:lineRule="auto"/>
        <w:ind w:firstLine="1120" w:firstLineChars="400"/>
        <w:jc w:val="both"/>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所提供的设备必须是一个报价人的最终产品。</w:t>
      </w:r>
    </w:p>
    <w:p>
      <w:pPr>
        <w:pStyle w:val="51"/>
        <w:snapToGrid w:val="0"/>
        <w:spacing w:before="0" w:beforeAutospacing="0" w:after="0" w:afterAutospacing="0" w:line="360" w:lineRule="auto"/>
        <w:ind w:firstLine="1120" w:firstLineChars="400"/>
        <w:jc w:val="both"/>
        <w:rPr>
          <w:rFonts w:ascii="仿宋_GB2312" w:hAnsi="仿宋_GB2312" w:eastAsia="仿宋_GB2312" w:cs="仿宋_GB2312"/>
          <w:b w:val="0"/>
          <w:kern w:val="2"/>
          <w:sz w:val="28"/>
          <w:szCs w:val="28"/>
          <w:lang w:val="zh-CN"/>
        </w:rPr>
      </w:pPr>
      <w:bookmarkStart w:id="0" w:name="_Toc114899543"/>
      <w:r>
        <w:rPr>
          <w:rFonts w:hint="eastAsia" w:ascii="仿宋_GB2312" w:hAnsi="仿宋_GB2312" w:eastAsia="仿宋_GB2312" w:cs="仿宋_GB2312"/>
          <w:b w:val="0"/>
          <w:kern w:val="2"/>
          <w:sz w:val="28"/>
          <w:szCs w:val="28"/>
          <w:lang w:val="zh-CN"/>
        </w:rPr>
        <w:t>吸泥机设备结构形式及工作原理</w:t>
      </w:r>
      <w:bookmarkEnd w:id="0"/>
    </w:p>
    <w:p>
      <w:pPr>
        <w:pStyle w:val="51"/>
        <w:snapToGrid w:val="0"/>
        <w:spacing w:before="0" w:beforeAutospacing="0" w:after="0" w:afterAutospacing="0" w:line="360" w:lineRule="auto"/>
        <w:ind w:left="210" w:leftChars="100" w:firstLine="420" w:firstLineChars="150"/>
        <w:jc w:val="both"/>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吸泥机的结构形式为中心传动吸泥机，主要由中心驱动装置组合、固定半桥式工作桥、中立柱、转笼、双侧桁架、集泥筒、吸泥管、撇渣装置、排渣斗及就地控制箱等组成。配套用在周边进水周边出水二沉池上，其工作原理是活性污泥混合液在二沉池的进水口进入变断面周边进水槽，经进水槽底部的配水孔在整个周边以异重流的状态向池中心均匀、缓慢流入二沉池分离出来的清液向上流动返回位于池边的出水槽；二沉池的沉泥经变径吸泥管和集泥筒排泥管排出池外；浮渣刮板将池中浮渣刮到排渣斗中，由排渣斗排出；进水槽浮渣亦由进水槽浮渣刮板刮至浮渣井排出；吸泥机的结构控制尺寸应符合沉淀池的主要尺寸要求。</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w:t>
      </w:r>
      <w:r>
        <w:rPr>
          <w:rFonts w:hint="eastAsia" w:ascii="仿宋_GB2312" w:hAnsi="仿宋_GB2312" w:eastAsia="仿宋_GB2312" w:cs="仿宋_GB2312"/>
          <w:kern w:val="2"/>
          <w:sz w:val="28"/>
          <w:szCs w:val="28"/>
          <w:lang w:val="zh-CN"/>
        </w:rPr>
        <w:t>.1进水槽</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a.周边进水槽的布水管应由设备供应商依其系统要求提供，周边配水系统设计应保证二沉池的水力平衡。</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b.进水槽必须环绕周边均匀地布水，报价人设计的水槽的断面应保证使水流在布水槽中以等速流动，防止固形物在槽内沉积，并能满足运行中来水量变化的条件。</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c.布水管孔口大小、间距应合理，应能保证水流沿整个池周提供均衡配水的流量。</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d.水流以低速均匀流入池子，然后向外扩散，并以平缓的环流返回到周边出水槽。报价人应保证进水的流速不会造成任何的短流和涡动，使悬浮固体均匀降落。</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e.任何导流用的板厚不小于3mm，应采用AISI304不锈钢制造。</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w:t>
      </w:r>
      <w:r>
        <w:rPr>
          <w:rFonts w:hint="eastAsia" w:ascii="仿宋_GB2312" w:hAnsi="仿宋_GB2312" w:eastAsia="仿宋_GB2312" w:cs="仿宋_GB2312"/>
          <w:kern w:val="2"/>
          <w:sz w:val="28"/>
          <w:szCs w:val="28"/>
          <w:lang w:val="zh-CN"/>
        </w:rPr>
        <w:t>.2出水堰和浮渣挡板</w:t>
      </w:r>
    </w:p>
    <w:p>
      <w:pPr>
        <w:ind w:firstLine="480"/>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 xml:space="preserve">a. </w:t>
      </w:r>
      <w:r>
        <w:rPr>
          <w:rFonts w:hint="eastAsia" w:ascii="仿宋_GB2312" w:hAnsi="仿宋_GB2312" w:eastAsia="仿宋_GB2312" w:cs="仿宋_GB2312"/>
          <w:kern w:val="2"/>
          <w:sz w:val="28"/>
          <w:szCs w:val="28"/>
          <w:lang w:val="zh-CN"/>
        </w:rPr>
        <w:t>采用AISI304不锈钢制连续直角三角型堰板固定在出水槽上，堰板高度不小于250mm，厚度不小于3mm，堰口齿数应满足出水负荷的需要。</w:t>
      </w:r>
    </w:p>
    <w:p>
      <w:pPr>
        <w:ind w:firstLine="480"/>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 xml:space="preserve">b. </w:t>
      </w:r>
      <w:r>
        <w:rPr>
          <w:rFonts w:hint="eastAsia" w:ascii="仿宋_GB2312" w:hAnsi="仿宋_GB2312" w:eastAsia="仿宋_GB2312" w:cs="仿宋_GB2312"/>
          <w:kern w:val="2"/>
          <w:sz w:val="28"/>
          <w:szCs w:val="28"/>
          <w:lang w:val="zh-CN"/>
        </w:rPr>
        <w:t>AISI304不锈钢制的浮渣挡板也固定在出水槽上，高度不小于300mm，厚度不小于3mm，应拦集水面浮渣，以防浮渣进入出水槽。</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2.3</w:t>
      </w:r>
      <w:r>
        <w:rPr>
          <w:rFonts w:hint="eastAsia" w:ascii="仿宋_GB2312" w:hAnsi="仿宋_GB2312" w:eastAsia="仿宋_GB2312" w:cs="仿宋_GB2312"/>
          <w:kern w:val="2"/>
          <w:sz w:val="28"/>
          <w:szCs w:val="28"/>
          <w:lang w:val="zh-CN"/>
        </w:rPr>
        <w:t>中心驱动装置组合</w:t>
      </w:r>
    </w:p>
    <w:p>
      <w:pPr>
        <w:ind w:firstLine="480"/>
        <w:rPr>
          <w:rFonts w:ascii="仿宋_GB2312" w:hAnsi="仿宋_GB2312" w:eastAsia="仿宋_GB2312" w:cs="仿宋_GB2312"/>
          <w:b w:val="0"/>
          <w:sz w:val="28"/>
          <w:szCs w:val="28"/>
          <w:lang w:val="zh-CN"/>
        </w:rPr>
      </w:pPr>
      <w:r>
        <w:rPr>
          <w:rFonts w:hint="eastAsia" w:ascii="仿宋_GB2312" w:hAnsi="仿宋_GB2312" w:eastAsia="仿宋_GB2312" w:cs="仿宋_GB2312"/>
          <w:b w:val="0"/>
          <w:kern w:val="2"/>
          <w:sz w:val="28"/>
          <w:szCs w:val="28"/>
          <w:lang w:val="zh-CN"/>
        </w:rPr>
        <w:t>中心驱动装置由电机、减速机、扭矩限制器、齿轮箱及置于齿轮箱中的小齿轮和内啮合式的回转支承组成。</w:t>
      </w:r>
    </w:p>
    <w:p>
      <w:pPr>
        <w:ind w:firstLine="480"/>
        <w:rPr>
          <w:rFonts w:ascii="仿宋_GB2312" w:hAnsi="仿宋_GB2312" w:eastAsia="仿宋_GB2312" w:cs="仿宋_GB2312"/>
          <w:b w:val="0"/>
          <w:sz w:val="28"/>
          <w:szCs w:val="28"/>
          <w:lang w:val="zh-CN"/>
        </w:rPr>
      </w:pPr>
      <w:r>
        <w:rPr>
          <w:rFonts w:hint="eastAsia" w:ascii="仿宋_GB2312" w:hAnsi="仿宋_GB2312" w:eastAsia="仿宋_GB2312" w:cs="仿宋_GB2312"/>
          <w:b w:val="0"/>
          <w:kern w:val="2"/>
          <w:sz w:val="28"/>
          <w:szCs w:val="28"/>
          <w:lang w:val="zh-CN"/>
        </w:rPr>
        <w:t>电机减速机采用国际知名企业NORD、SEW公司的产品，减速机采用传动效率高的平行轴斜齿轮式减速机，每级传动效率应≥95％，设计使用寿命≥20万小时。报价时提供型号参数。</w:t>
      </w:r>
    </w:p>
    <w:p>
      <w:pPr>
        <w:ind w:firstLine="480"/>
        <w:rPr>
          <w:rFonts w:ascii="仿宋_GB2312" w:hAnsi="仿宋_GB2312" w:eastAsia="仿宋_GB2312" w:cs="仿宋_GB2312"/>
          <w:b w:val="0"/>
          <w:sz w:val="28"/>
          <w:szCs w:val="28"/>
          <w:lang w:val="zh-CN"/>
        </w:rPr>
      </w:pPr>
      <w:r>
        <w:rPr>
          <w:rFonts w:hint="eastAsia" w:ascii="仿宋_GB2312" w:hAnsi="仿宋_GB2312" w:eastAsia="仿宋_GB2312" w:cs="仿宋_GB2312"/>
          <w:b w:val="0"/>
          <w:kern w:val="2"/>
          <w:sz w:val="28"/>
          <w:szCs w:val="28"/>
          <w:lang w:val="zh-CN"/>
        </w:rPr>
        <w:t>需配备扭矩限制器，并带有过载保护系统，确保设备在出现意外荷载时不受损害。扭矩限制器需与电机减速机联动，在扭矩过载时自动切断电机的电源，同时发出可远程上传的报警信号。</w:t>
      </w:r>
    </w:p>
    <w:p>
      <w:pPr>
        <w:ind w:firstLine="480"/>
        <w:rPr>
          <w:rFonts w:ascii="仿宋_GB2312" w:hAnsi="仿宋_GB2312" w:eastAsia="仿宋_GB2312" w:cs="仿宋_GB2312"/>
          <w:b w:val="0"/>
          <w:sz w:val="28"/>
          <w:szCs w:val="28"/>
          <w:lang w:val="zh-CN"/>
        </w:rPr>
      </w:pPr>
      <w:r>
        <w:rPr>
          <w:rFonts w:hint="eastAsia" w:ascii="仿宋_GB2312" w:hAnsi="仿宋_GB2312" w:eastAsia="仿宋_GB2312" w:cs="仿宋_GB2312"/>
          <w:b w:val="0"/>
          <w:kern w:val="2"/>
          <w:sz w:val="28"/>
          <w:szCs w:val="28"/>
          <w:lang w:val="zh-CN"/>
        </w:rPr>
        <w:t>内置小齿轮及回转支承，采用内啮合形式，小齿轮材质为40Cr，内齿式回转支承材质为50Mn，整个小齿轮与回转支承浸没于油浴中，为闭式传动。</w:t>
      </w:r>
    </w:p>
    <w:p>
      <w:pPr>
        <w:ind w:firstLine="480"/>
        <w:rPr>
          <w:rFonts w:ascii="仿宋_GB2312" w:hAnsi="仿宋_GB2312" w:eastAsia="仿宋_GB2312" w:cs="仿宋_GB2312"/>
          <w:b w:val="0"/>
          <w:sz w:val="28"/>
          <w:szCs w:val="28"/>
          <w:lang w:val="zh-CN"/>
        </w:rPr>
      </w:pPr>
      <w:r>
        <w:rPr>
          <w:rFonts w:hint="eastAsia" w:ascii="仿宋_GB2312" w:hAnsi="仿宋_GB2312" w:eastAsia="仿宋_GB2312" w:cs="仿宋_GB2312"/>
          <w:b w:val="0"/>
          <w:kern w:val="2"/>
          <w:sz w:val="28"/>
          <w:szCs w:val="28"/>
          <w:lang w:val="zh-CN"/>
        </w:rPr>
        <w:t>齿轮箱、回转盘和齿轮箱盖，采用HT250铸造。</w:t>
      </w:r>
    </w:p>
    <w:p>
      <w:pPr>
        <w:ind w:firstLine="480"/>
        <w:rPr>
          <w:rFonts w:ascii="仿宋_GB2312" w:hAnsi="仿宋_GB2312" w:eastAsia="仿宋_GB2312" w:cs="仿宋_GB2312"/>
          <w:b w:val="0"/>
          <w:sz w:val="28"/>
          <w:szCs w:val="28"/>
          <w:lang w:val="zh-CN"/>
        </w:rPr>
      </w:pPr>
      <w:r>
        <w:rPr>
          <w:rFonts w:hint="eastAsia" w:ascii="仿宋_GB2312" w:hAnsi="仿宋_GB2312" w:eastAsia="仿宋_GB2312" w:cs="仿宋_GB2312"/>
          <w:b w:val="0"/>
          <w:kern w:val="2"/>
          <w:sz w:val="28"/>
          <w:szCs w:val="28"/>
          <w:lang w:val="zh-CN"/>
        </w:rPr>
        <w:t>固定半桥式工作桥</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工作桥为固定半桥式桁架结构，主梁及支梁采用</w:t>
      </w:r>
      <w:r>
        <w:rPr>
          <w:rFonts w:hint="eastAsia" w:ascii="仿宋_GB2312" w:hAnsi="仿宋_GB2312" w:eastAsia="仿宋_GB2312" w:cs="仿宋_GB2312"/>
          <w:sz w:val="28"/>
          <w:szCs w:val="28"/>
          <w:lang w:val="zh-CN"/>
        </w:rPr>
        <w:t>AISI304不锈钢</w:t>
      </w:r>
      <w:r>
        <w:rPr>
          <w:rFonts w:hint="eastAsia" w:ascii="仿宋_GB2312" w:hAnsi="仿宋_GB2312" w:eastAsia="仿宋_GB2312" w:cs="仿宋_GB2312"/>
          <w:kern w:val="2"/>
          <w:sz w:val="28"/>
          <w:szCs w:val="28"/>
          <w:lang w:val="zh-CN"/>
        </w:rPr>
        <w:t>，外形美观。是工作人员的维修和维护管理通道，能承受的活动荷载大于250kg/m²，其最大挠度小于1/700，桥的直线度为1.5/1000，全长允许偏差≤±10mm。</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工作桥的除了有很好的刚性和稳定性外，工作桥几何外形应与工作桥主体的外形相匹配。桥架护栏高度按国家标准规定设计，且要从安全及便于维修等方面考虑护栏的间隔距离。工作桥端有上桥扶梯，扶梯高度满足上下方便，两边的扶手栏杆下有100mm的踢脚板</w:t>
      </w:r>
      <w:r>
        <w:rPr>
          <w:rFonts w:hint="eastAsia" w:ascii="仿宋_GB2312" w:hAnsi="仿宋_GB2312" w:eastAsia="仿宋_GB2312" w:cs="仿宋_GB2312"/>
          <w:sz w:val="28"/>
          <w:szCs w:val="28"/>
          <w:lang w:val="zh-CN"/>
        </w:rPr>
        <w:t>,材料AISI304不锈钢</w:t>
      </w:r>
      <w:r>
        <w:rPr>
          <w:rFonts w:hint="eastAsia" w:ascii="仿宋_GB2312" w:hAnsi="仿宋_GB2312" w:eastAsia="仿宋_GB2312" w:cs="仿宋_GB2312"/>
          <w:kern w:val="2"/>
          <w:sz w:val="28"/>
          <w:szCs w:val="28"/>
          <w:lang w:val="zh-CN"/>
        </w:rPr>
        <w:t>。电缆穿管将电缆沿桥架引至中心电控箱，不可将电缆穿线管当作工作桥的护栏设计。</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报价人需在报价文件中提供工作桥示意图。</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w:t>
      </w:r>
      <w:r>
        <w:rPr>
          <w:rFonts w:hint="eastAsia" w:ascii="仿宋_GB2312" w:hAnsi="仿宋_GB2312" w:eastAsia="仿宋_GB2312" w:cs="仿宋_GB2312"/>
          <w:kern w:val="2"/>
          <w:sz w:val="28"/>
          <w:szCs w:val="28"/>
          <w:lang w:val="zh-CN"/>
        </w:rPr>
        <w:t>.4中心立柱</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中心立柱向上支撑驱动装置和工作桥，向下固定在混凝土基础上，中心柱直径及钢板厚必须满足支撑重量要求及受力要求，适合污水处理环境长期工作。</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为保证中心立柱的综合性能，应采用整体圆柱形结构，不允许采用中间用法兰联接或焊接的结构形式。</w:t>
      </w:r>
      <w:r>
        <w:rPr>
          <w:rFonts w:hint="eastAsia" w:ascii="仿宋_GB2312" w:hAnsi="仿宋_GB2312" w:eastAsia="仿宋_GB2312" w:cs="仿宋_GB2312"/>
          <w:sz w:val="28"/>
          <w:szCs w:val="28"/>
          <w:lang w:val="zh-CN"/>
        </w:rPr>
        <w:t>立柱采用AISI304不锈钢材质。</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2.5</w:t>
      </w:r>
      <w:r>
        <w:rPr>
          <w:rFonts w:hint="eastAsia" w:ascii="仿宋_GB2312" w:hAnsi="仿宋_GB2312" w:eastAsia="仿宋_GB2312" w:cs="仿宋_GB2312"/>
          <w:kern w:val="2"/>
          <w:sz w:val="28"/>
          <w:szCs w:val="28"/>
          <w:lang w:val="zh-CN"/>
        </w:rPr>
        <w:t>转笼与桁架</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转笼与桁架的结构应符合力学性能，运行安全可靠，适合在污水环境中长期运行。</w:t>
      </w:r>
      <w:r>
        <w:rPr>
          <w:rFonts w:hint="eastAsia" w:ascii="仿宋_GB2312" w:hAnsi="仿宋_GB2312" w:eastAsia="仿宋_GB2312" w:cs="仿宋_GB2312"/>
          <w:sz w:val="28"/>
          <w:szCs w:val="28"/>
          <w:lang w:val="zh-CN"/>
        </w:rPr>
        <w:t>转笼与桁架采用AISI304不锈钢材质。</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吸泥管</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吸泥管应与池底平行，采用变截面长方形钢管，并有一系列吸泥孔，以保证其沿池底边转一周，即可将池底污泥吸除。吸泥管应连续将污泥排除，以实现二沉池池底均匀排泥效果。吸泥管应采用合理的水力设计，以保证二沉池中心最远点的吸泥率最大、有最佳排泥效果，必须满足工艺设计参数的要求。</w:t>
      </w:r>
      <w:r>
        <w:rPr>
          <w:rFonts w:hint="eastAsia" w:ascii="仿宋_GB2312" w:hAnsi="仿宋_GB2312" w:eastAsia="仿宋_GB2312" w:cs="仿宋_GB2312"/>
          <w:sz w:val="28"/>
          <w:szCs w:val="28"/>
          <w:lang w:val="zh-CN"/>
        </w:rPr>
        <w:t>吸泥管采用AISI304不锈钢材质。</w:t>
      </w:r>
    </w:p>
    <w:p>
      <w:pPr>
        <w:ind w:firstLine="480"/>
        <w:rPr>
          <w:rFonts w:ascii="仿宋_GB2312" w:hAnsi="仿宋_GB2312" w:eastAsia="仿宋_GB2312" w:cs="仿宋_GB2312"/>
          <w:sz w:val="28"/>
          <w:szCs w:val="28"/>
          <w:lang w:val="zh-CN"/>
        </w:rPr>
      </w:pPr>
      <w:r>
        <w:rPr>
          <w:rFonts w:hint="eastAsia" w:ascii="仿宋_GB2312" w:hAnsi="仿宋_GB2312" w:eastAsia="仿宋_GB2312" w:cs="仿宋_GB2312"/>
          <w:kern w:val="2"/>
          <w:sz w:val="28"/>
          <w:szCs w:val="28"/>
          <w:lang w:val="zh-CN"/>
        </w:rPr>
        <w:t>报价人需在中标后提供吸泥管变截面、吸泥孔的数量及分布的计算结果。</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w:t>
      </w:r>
      <w:r>
        <w:rPr>
          <w:rFonts w:hint="eastAsia" w:ascii="仿宋_GB2312" w:hAnsi="仿宋_GB2312" w:eastAsia="仿宋_GB2312" w:cs="仿宋_GB2312"/>
          <w:kern w:val="2"/>
          <w:sz w:val="28"/>
          <w:szCs w:val="28"/>
          <w:lang w:val="zh-CN"/>
        </w:rPr>
        <w:t>.6集泥筒</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集泥筒将吸泥管吸入的污泥汇集，由排泥管排除。旋转部件集泥筒与固定部件中心柱及池底之间的间隙要求密封不漏水，并承诺密封使用周期。</w:t>
      </w:r>
      <w:r>
        <w:rPr>
          <w:rFonts w:hint="eastAsia" w:ascii="仿宋_GB2312" w:hAnsi="仿宋_GB2312" w:eastAsia="仿宋_GB2312" w:cs="仿宋_GB2312"/>
          <w:sz w:val="28"/>
          <w:szCs w:val="28"/>
          <w:lang w:val="zh-CN"/>
        </w:rPr>
        <w:t>集泥筒采用AISI304不锈钢材质。</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w:t>
      </w:r>
      <w:r>
        <w:rPr>
          <w:rFonts w:hint="eastAsia" w:ascii="仿宋_GB2312" w:hAnsi="仿宋_GB2312" w:eastAsia="仿宋_GB2312" w:cs="仿宋_GB2312"/>
          <w:kern w:val="2"/>
          <w:sz w:val="28"/>
          <w:szCs w:val="28"/>
          <w:lang w:val="zh-CN"/>
        </w:rPr>
        <w:t>.7撇渣装置</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撇渣机构包括排渣斗，浮渣刮板及进水槽撇渣装置，浮渣刮板由桁架支撑，将浮渣撇入排渣斗排出，排渣斗排渣应顺利并设置冲洗装置，在排出的同时，利用二沉池出水自行进行冲洗，不得有浮渣堆积现象。</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进水槽的撇渣方法是使用安装在撇渣设备悬臂上的叶片，驱动槽内浮渣堰而清除，撇渣设计应防止槽内浮渣引起的堵塞。</w:t>
      </w:r>
      <w:r>
        <w:rPr>
          <w:rFonts w:hint="eastAsia" w:ascii="仿宋_GB2312" w:hAnsi="仿宋_GB2312" w:eastAsia="仿宋_GB2312" w:cs="仿宋_GB2312"/>
          <w:sz w:val="28"/>
          <w:szCs w:val="28"/>
          <w:lang w:val="zh-CN"/>
        </w:rPr>
        <w:t>撇渣机构采用AISI304不锈钢材质。</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w:t>
      </w:r>
      <w:r>
        <w:rPr>
          <w:rFonts w:hint="eastAsia" w:ascii="仿宋_GB2312" w:hAnsi="仿宋_GB2312" w:eastAsia="仿宋_GB2312" w:cs="仿宋_GB2312"/>
          <w:kern w:val="2"/>
          <w:sz w:val="28"/>
          <w:szCs w:val="28"/>
          <w:lang w:val="zh-CN"/>
        </w:rPr>
        <w:t>.8电气控制</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吸泥机电气控制系统设计成能现场手动按钮控制和远程控制</w:t>
      </w:r>
      <w:r>
        <w:rPr>
          <w:rFonts w:ascii="仿宋_GB2312" w:hAnsi="仿宋_GB2312" w:eastAsia="仿宋_GB2312" w:cs="仿宋_GB2312"/>
          <w:kern w:val="2"/>
          <w:sz w:val="28"/>
          <w:szCs w:val="28"/>
          <w:lang w:val="zh-CN"/>
        </w:rPr>
        <w:t>PLC及显示报警、故障系统。现场控制箱由</w:t>
      </w:r>
      <w:r>
        <w:rPr>
          <w:rFonts w:hint="eastAsia" w:ascii="仿宋_GB2312" w:hAnsi="仿宋_GB2312" w:eastAsia="仿宋_GB2312" w:cs="仿宋_GB2312"/>
          <w:kern w:val="2"/>
          <w:sz w:val="28"/>
          <w:szCs w:val="28"/>
          <w:lang w:val="zh-CN"/>
        </w:rPr>
        <w:t>报价</w:t>
      </w:r>
      <w:r>
        <w:rPr>
          <w:rFonts w:ascii="仿宋_GB2312" w:hAnsi="仿宋_GB2312" w:eastAsia="仿宋_GB2312" w:cs="仿宋_GB2312"/>
          <w:kern w:val="2"/>
          <w:sz w:val="28"/>
          <w:szCs w:val="28"/>
          <w:lang w:val="zh-CN"/>
        </w:rPr>
        <w:t>人提供，电气控制箱体应适合户外使用要求，材质为AISI304不锈钢</w:t>
      </w:r>
      <w:r>
        <w:rPr>
          <w:rFonts w:hint="eastAsia" w:ascii="仿宋_GB2312" w:hAnsi="仿宋_GB2312" w:eastAsia="仿宋_GB2312" w:cs="仿宋_GB2312"/>
          <w:sz w:val="28"/>
          <w:szCs w:val="28"/>
          <w:lang w:val="zh-CN"/>
        </w:rPr>
        <w:t>，电缆线管材质</w:t>
      </w:r>
      <w:r>
        <w:rPr>
          <w:rFonts w:ascii="仿宋_GB2312" w:hAnsi="仿宋_GB2312" w:eastAsia="仿宋_GB2312" w:cs="仿宋_GB2312"/>
          <w:sz w:val="28"/>
          <w:szCs w:val="28"/>
          <w:lang w:val="zh-CN"/>
        </w:rPr>
        <w:t>为AISI304不锈钢</w:t>
      </w:r>
      <w:r>
        <w:rPr>
          <w:rFonts w:ascii="仿宋_GB2312" w:hAnsi="仿宋_GB2312" w:eastAsia="仿宋_GB2312" w:cs="仿宋_GB2312"/>
          <w:kern w:val="2"/>
          <w:sz w:val="28"/>
          <w:szCs w:val="28"/>
          <w:lang w:val="zh-CN"/>
        </w:rPr>
        <w:t>。电控箱应设计成双层门，外层为玻璃防水门，里层为操作层，落地安装形式，元器件采用施耐德产品，控制回路应有手/自动切换，在自动时可实现PLC远程控制，设备的手/自动、控制、运行、故障等状态应提供信号接口以便送至中控PLC控制。电控箱电源进线处应配套防浪涌保护开关。</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吸泥机的电控箱提供无源节点上传设备的状态和控制信号，并能接受中控下达的控制指令。</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设备至电控箱的缆由报价人提供。　</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报价人根据提供设备的性能要求及上述控制要求，报价时提出完整的每台吸泥机电气控制原理图，接线图和电气元件配置一览表。</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w:t>
      </w:r>
      <w:r>
        <w:rPr>
          <w:rFonts w:hint="eastAsia" w:ascii="仿宋_GB2312" w:hAnsi="仿宋_GB2312" w:eastAsia="仿宋_GB2312" w:cs="仿宋_GB2312"/>
          <w:kern w:val="2"/>
          <w:sz w:val="28"/>
          <w:szCs w:val="28"/>
          <w:lang w:val="zh-CN"/>
        </w:rPr>
        <w:t>.9吸泥机扭矩设计</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吸泥机应有足够的扭矩，</w:t>
      </w:r>
      <w:r>
        <w:rPr>
          <w:rFonts w:ascii="仿宋_GB2312" w:hAnsi="仿宋_GB2312" w:eastAsia="仿宋_GB2312" w:cs="仿宋_GB2312"/>
          <w:kern w:val="2"/>
          <w:sz w:val="28"/>
          <w:szCs w:val="28"/>
          <w:lang w:val="zh-CN"/>
        </w:rPr>
        <w:t xml:space="preserve"> </w:t>
      </w:r>
      <w:r>
        <w:rPr>
          <w:rFonts w:hint="eastAsia" w:ascii="仿宋_GB2312" w:hAnsi="仿宋_GB2312" w:eastAsia="仿宋_GB2312" w:cs="仿宋_GB2312"/>
          <w:kern w:val="2"/>
          <w:sz w:val="28"/>
          <w:szCs w:val="28"/>
          <w:lang w:val="zh-CN"/>
        </w:rPr>
        <w:t>以确保设备的正常运行，并提供相应的检测方法。</w:t>
      </w:r>
    </w:p>
    <w:p>
      <w:pPr>
        <w:spacing w:line="400" w:lineRule="exact"/>
        <w:ind w:left="900"/>
        <w:outlineLvl w:val="3"/>
        <w:rPr>
          <w:rFonts w:ascii="仿宋_GB2312" w:hAnsi="仿宋_GB2312" w:eastAsia="仿宋_GB2312" w:cs="仿宋_GB2312"/>
          <w:sz w:val="28"/>
          <w:szCs w:val="28"/>
          <w:lang w:val="zh-CN"/>
        </w:rPr>
      </w:pPr>
      <w:r>
        <w:rPr>
          <w:rFonts w:ascii="仿宋_GB2312" w:hAnsi="仿宋_GB2312" w:eastAsia="仿宋_GB2312" w:cs="仿宋_GB2312"/>
          <w:kern w:val="2"/>
          <w:sz w:val="28"/>
          <w:szCs w:val="28"/>
          <w:lang w:val="zh-CN"/>
        </w:rPr>
        <w:t>2</w:t>
      </w:r>
      <w:r>
        <w:rPr>
          <w:rFonts w:hint="eastAsia" w:ascii="仿宋_GB2312" w:hAnsi="仿宋_GB2312" w:eastAsia="仿宋_GB2312" w:cs="仿宋_GB2312"/>
          <w:kern w:val="2"/>
          <w:sz w:val="28"/>
          <w:szCs w:val="28"/>
          <w:lang w:val="zh-CN"/>
        </w:rPr>
        <w:t>.10加工及焊接</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焊接件各部焊缝应平整、光滑，焊缝强度大于母材强度，焊缝缺陷应符合有关规范要求。整机应做表面钝化处理，外观美观，无缺陷。</w:t>
      </w:r>
    </w:p>
    <w:p>
      <w:pPr>
        <w:spacing w:line="400" w:lineRule="exact"/>
        <w:ind w:left="900"/>
        <w:outlineLvl w:val="3"/>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kern w:val="2"/>
          <w:sz w:val="28"/>
          <w:szCs w:val="28"/>
          <w:lang w:val="zh-CN"/>
        </w:rPr>
        <w:t>.11吸泥机安装、调试、培训</w:t>
      </w:r>
    </w:p>
    <w:p>
      <w:pPr>
        <w:widowControl/>
        <w:overflowPunct w:val="0"/>
        <w:autoSpaceDE w:val="0"/>
        <w:autoSpaceDN w:val="0"/>
        <w:adjustRightInd w:val="0"/>
        <w:ind w:firstLine="480"/>
        <w:jc w:val="left"/>
        <w:textAlignment w:val="baseline"/>
        <w:rPr>
          <w:rFonts w:ascii="仿宋_GB2312" w:hAnsi="仿宋_GB2312" w:eastAsia="仿宋_GB2312" w:cs="仿宋_GB2312"/>
          <w:kern w:val="2"/>
          <w:sz w:val="28"/>
          <w:szCs w:val="28"/>
          <w:lang w:val="zh-CN"/>
        </w:rPr>
      </w:pPr>
      <w:r>
        <w:rPr>
          <w:rFonts w:hint="eastAsia" w:ascii="仿宋_GB2312" w:hAnsi="仿宋_GB2312" w:eastAsia="仿宋_GB2312" w:cs="仿宋_GB2312"/>
          <w:kern w:val="2"/>
          <w:sz w:val="28"/>
          <w:szCs w:val="28"/>
          <w:lang w:val="zh-CN"/>
        </w:rPr>
        <w:t>设备报价人除全面负责现场设备的安装、调试外，应在安装、调试期间，根据提供的运行、管理、维修等相关资料，编制培训计划，在买方认为合适的时间，对买方的操作人员行进行集中培训。</w:t>
      </w:r>
    </w:p>
    <w:p>
      <w:pPr>
        <w:autoSpaceDE w:val="0"/>
        <w:autoSpaceDN w:val="0"/>
        <w:adjustRightInd w:val="0"/>
        <w:spacing w:line="300" w:lineRule="atLeast"/>
        <w:ind w:firstLine="281" w:firstLineChars="100"/>
        <w:rPr>
          <w:rFonts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b/>
          <w:sz w:val="28"/>
          <w:szCs w:val="28"/>
          <w:lang w:val="zh-CN"/>
        </w:rPr>
        <w:t xml:space="preserve">  </w:t>
      </w:r>
      <w:r>
        <w:rPr>
          <w:rFonts w:hint="eastAsia" w:ascii="仿宋_GB2312" w:hAnsi="??_GB2312" w:eastAsia="仿宋_GB2312" w:cs="宋体"/>
          <w:color w:val="000000" w:themeColor="text1"/>
          <w:kern w:val="0"/>
          <w:sz w:val="28"/>
          <w:szCs w:val="28"/>
          <w14:textFill>
            <w14:solidFill>
              <w14:schemeClr w14:val="tx1"/>
            </w14:solidFill>
          </w14:textFill>
        </w:rPr>
        <w:t>3</w:t>
      </w:r>
      <w:r>
        <w:rPr>
          <w:rFonts w:hint="eastAsia" w:ascii="仿宋_GB2312" w:hAnsi="??_GB2312" w:eastAsia="仿宋_GB2312" w:cs="宋体"/>
          <w:color w:val="000000" w:themeColor="text1"/>
          <w:kern w:val="0"/>
          <w:sz w:val="28"/>
          <w:szCs w:val="28"/>
          <w:lang w:val="zh-CN"/>
          <w14:textFill>
            <w14:solidFill>
              <w14:schemeClr w14:val="tx1"/>
            </w14:solidFill>
          </w14:textFill>
        </w:rPr>
        <w:t>）安全措施及项目实施标准及验收标准：必须严格按照广州市净水公司颁布的安全操作规章制度执行施工。项目实施标准及验收标准按照《机械设备安装工程施工及验收通用规范（GB50231-2009）》及《城镇污水处理厂工程质量验收规范（GB50334-2017）》执行。</w:t>
      </w:r>
    </w:p>
    <w:p>
      <w:pPr>
        <w:autoSpaceDE w:val="0"/>
        <w:autoSpaceDN w:val="0"/>
        <w:adjustRightInd w:val="0"/>
        <w:spacing w:line="300" w:lineRule="atLeast"/>
        <w:ind w:firstLine="560" w:firstLineChars="200"/>
        <w:rPr>
          <w:rFonts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本项目涉及临时用电及机械伤人的安全因素，施工时必须佩戴安全帽及安全带，用电时严格遵守一机一开关一漏保规定，施工时需有报价单位的监护人及我司值班人员同时在场旁站。作业操作规定的安全用品等安全措施并严格按照安全运行控制程序进行。</w:t>
      </w:r>
    </w:p>
    <w:p>
      <w:pPr>
        <w:pStyle w:val="12"/>
        <w:adjustRightInd w:val="0"/>
        <w:snapToGrid w:val="0"/>
        <w:spacing w:line="300" w:lineRule="auto"/>
        <w:rPr>
          <w:rFonts w:ascii="仿宋" w:hAnsi="仿宋" w:eastAsia="仿宋" w:cs="仿宋_GB2312"/>
          <w:b/>
          <w:color w:val="FF0000"/>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1.工期：签订合同后18个月完成。</w:t>
      </w:r>
      <w:r>
        <w:rPr>
          <w:rFonts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具体施工日期及工期调整根据大沙地分公司实际计划时间而定)</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(1).采购供应的材料、其名称、品种、型号、规格、质量等，均应符合国家、地方及行业有关规范及要求。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(2).所有材料都必须有材料质检部门出具的合格证明，并保证产品的有效性。</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(3).由于承包单位提供的伪劣、假冒等所有不合格材料而导致的损失、事故及一切后果，均由承包单位负责并赔偿</w:t>
      </w:r>
      <w:r>
        <w:rPr>
          <w:rFonts w:hint="eastAsia" w:ascii="仿宋" w:hAnsi="仿宋" w:eastAsia="仿宋" w:cs="仿宋"/>
          <w:kern w:val="0"/>
          <w:sz w:val="28"/>
          <w:szCs w:val="28"/>
        </w:rPr>
        <w:t>发包人</w:t>
      </w:r>
      <w:r>
        <w:rPr>
          <w:rFonts w:hint="eastAsia" w:ascii="仿宋_GB2312" w:hAnsi="仿宋_GB2312" w:eastAsia="仿宋_GB2312" w:cs="仿宋_GB2312"/>
          <w:sz w:val="28"/>
          <w:szCs w:val="28"/>
        </w:rPr>
        <w:t>所有损失，并负责更换所有已施工的不合格材料。</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(4).若承包单位使用的标准在本报价技术要求的规定外，承包单位应明确说明用于替代的标准或使用规范，并提供所使用的标准，该标准必须是国际公认的同等或更高级的标准，如承包单位所使用的标准低于上述标准，发包人将有权不予接受。</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(5). 承包单位必须根据询价文件响应文件上主要材料的明细（包括厂家、规格、品质等级等）提供材料。工程实施时，如发生货不对板，发包人有权拒用，造成损失由承包单位承担。</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 w:hAnsi="仿宋" w:eastAsia="仿宋" w:cs="仿宋"/>
          <w:kern w:val="0"/>
          <w:sz w:val="28"/>
          <w:szCs w:val="28"/>
        </w:rPr>
        <w:t xml:space="preserve"> </w:t>
      </w:r>
      <w:r>
        <w:rPr>
          <w:rFonts w:hint="eastAsia" w:ascii="仿宋_GB2312" w:hAnsi="仿宋_GB2312" w:eastAsia="仿宋_GB2312" w:cs="仿宋_GB2312"/>
          <w:sz w:val="28"/>
          <w:szCs w:val="28"/>
        </w:rPr>
        <w:t>发包人保留对本工程使用之主要材料品质确认审查的权利及保留另行委托专业队伍对本工程进行独立检测的权利。</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(7).采购范围之内工程所用之设备，由承包单位提供。</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(8). 主要材料要求：</w:t>
      </w:r>
    </w:p>
    <w:p>
      <w:pPr>
        <w:autoSpaceDE w:val="0"/>
        <w:autoSpaceDN w:val="0"/>
        <w:ind w:left="561" w:leftChars="267" w:firstLine="420" w:firstLineChars="15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eq \o\ac(○,1)</w:instrTex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承包单位除按有关规定报价外，主要材料应选用报价文件所提供的主要材料品牌， </w:t>
      </w:r>
    </w:p>
    <w:p>
      <w:pPr>
        <w:autoSpaceDE w:val="0"/>
        <w:autoSpaceDN w:val="0"/>
        <w:ind w:left="561" w:leftChars="267" w:firstLine="420" w:firstLineChars="15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eq \o\ac(○,2)</w:instrTex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施工材料须见证检验的有关说明</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本工程所用施工材料在进场前，承包单位必须通知建设单位，对施工过程中使用的每一批次的材料，抽取相应数量的样品送至具备相应资质的检验单位进行见证检验，经检验合格后方可在施工工程中使用。</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如因材料不符合要求而造成验收不合格，其一切后果、费用由承包单位负责。</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送检材料的一切费用，计入报价中，承包单位负责向有关部缴交。</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(9) 承包单位向发包人承诺在质量保修期内承担工程质量保修责任。</w:t>
      </w:r>
    </w:p>
    <w:p>
      <w:pPr>
        <w:autoSpaceDE w:val="0"/>
        <w:autoSpaceDN w:val="0"/>
        <w:ind w:left="561" w:leftChars="267" w:firstLine="360" w:firstLineChars="150"/>
        <w:rPr>
          <w:rFonts w:ascii="仿宋_GB2312" w:hAnsi="仿宋_GB2312" w:eastAsia="仿宋_GB2312" w:cs="仿宋_GB2312"/>
          <w:sz w:val="24"/>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1" w:leftChars="267" w:firstLine="315" w:firstLineChars="150"/>
        <w:rPr>
          <w:rFonts w:hAnsi="宋体"/>
          <w:szCs w:val="21"/>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ascii="仿宋_GB2312" w:hAnsi="仿宋_GB2312" w:eastAsia="仿宋_GB2312" w:cs="仿宋_GB2312"/>
          <w:sz w:val="28"/>
          <w:szCs w:val="28"/>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sz w:val="28"/>
          <w:szCs w:val="28"/>
          <w:u w:val="single"/>
        </w:rPr>
        <w:t>壹年</w:t>
      </w:r>
    </w:p>
    <w:p>
      <w:pPr>
        <w:autoSpaceDE w:val="0"/>
        <w:autoSpaceDN w:val="0"/>
        <w:ind w:left="560"/>
        <w:rPr>
          <w:rFonts w:ascii="仿宋_GB2312" w:hAnsi="仿宋_GB2312" w:eastAsia="仿宋_GB2312" w:cs="仿宋_GB2312"/>
          <w:sz w:val="28"/>
          <w:szCs w:val="28"/>
        </w:rPr>
      </w:pPr>
    </w:p>
    <w:p>
      <w:pPr>
        <w:adjustRightInd w:val="0"/>
        <w:snapToGrid w:val="0"/>
        <w:spacing w:line="360" w:lineRule="exact"/>
        <w:ind w:firstLine="515" w:firstLineChars="184"/>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widowControl/>
        <w:numPr>
          <w:ilvl w:val="0"/>
          <w:numId w:val="4"/>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验收依据：询价文件、询价响应文件、厂家货物技术标准说明及国家有关的质量标准规定，均为验收依据。</w:t>
      </w:r>
    </w:p>
    <w:p>
      <w:pPr>
        <w:widowControl/>
        <w:numPr>
          <w:ilvl w:val="0"/>
          <w:numId w:val="4"/>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承包单位根据要求进行设备的安装、调试、测试后，由发包人或政府相关部门进行使用性能方面的验收。</w:t>
      </w:r>
    </w:p>
    <w:p>
      <w:pPr>
        <w:widowControl/>
        <w:numPr>
          <w:ilvl w:val="0"/>
          <w:numId w:val="4"/>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验收合格条件</w:t>
      </w:r>
    </w:p>
    <w:p>
      <w:pPr>
        <w:widowControl/>
        <w:numPr>
          <w:ilvl w:val="2"/>
          <w:numId w:val="5"/>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调试完毕后现场试运行连续稳定工作72小时，无异常，并确保能够达到要求的标准。</w:t>
      </w:r>
    </w:p>
    <w:p>
      <w:pPr>
        <w:widowControl/>
        <w:numPr>
          <w:ilvl w:val="2"/>
          <w:numId w:val="5"/>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各类电气系统、保护装置等附属设备均正常运行。</w:t>
      </w:r>
    </w:p>
    <w:p>
      <w:pPr>
        <w:widowControl/>
        <w:numPr>
          <w:ilvl w:val="0"/>
          <w:numId w:val="4"/>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pPr>
        <w:widowControl/>
        <w:numPr>
          <w:ilvl w:val="0"/>
          <w:numId w:val="4"/>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验收时承包单位必须派代表参加。</w:t>
      </w:r>
    </w:p>
    <w:p>
      <w:pPr>
        <w:widowControl/>
        <w:numPr>
          <w:ilvl w:val="0"/>
          <w:numId w:val="4"/>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采用支票、</w:t>
      </w:r>
      <w:r>
        <w:rPr>
          <w:rFonts w:hint="eastAsia" w:ascii="仿宋_GB2312" w:hAnsi="仿宋_GB2312" w:eastAsia="仿宋_GB2312" w:cs="仿宋_GB2312"/>
          <w:sz w:val="28"/>
          <w:szCs w:val="28"/>
          <w:lang w:val="zh-CN"/>
        </w:rPr>
        <w:t>网银支付两</w:t>
      </w:r>
      <w:r>
        <w:rPr>
          <w:rFonts w:ascii="仿宋_GB2312" w:hAnsi="仿宋_GB2312" w:eastAsia="仿宋_GB2312" w:cs="仿宋_GB2312"/>
          <w:sz w:val="28"/>
          <w:szCs w:val="28"/>
          <w:lang w:val="zh-CN"/>
        </w:rPr>
        <w:t>种形式。</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8.承包方式：</w:t>
      </w:r>
      <w:r>
        <w:rPr>
          <w:rFonts w:hint="eastAsia" w:ascii="仿宋" w:hAnsi="仿宋" w:eastAsia="仿宋" w:cs="仿宋_GB2312"/>
          <w:color w:val="000000" w:themeColor="text1"/>
          <w:sz w:val="28"/>
          <w:szCs w:val="28"/>
          <w14:textFill>
            <w14:solidFill>
              <w14:schemeClr w14:val="tx1"/>
            </w14:solidFill>
          </w14:textFill>
        </w:rPr>
        <w:t>单价包干</w:t>
      </w:r>
    </w:p>
    <w:p>
      <w:pPr>
        <w:autoSpaceDE w:val="0"/>
        <w:autoSpaceDN w:val="0"/>
        <w:rPr>
          <w:rFonts w:ascii="仿宋_GB2312" w:hAnsi="仿宋_GB2312" w:eastAsia="仿宋_GB2312" w:cs="仿宋_GB2312"/>
          <w:sz w:val="28"/>
          <w:szCs w:val="28"/>
        </w:rPr>
      </w:pPr>
      <w:r>
        <w:rPr>
          <w:rFonts w:hint="eastAsia" w:ascii="仿宋" w:hAnsi="仿宋" w:eastAsia="仿宋" w:cs="仿宋_GB2312"/>
          <w:sz w:val="28"/>
          <w:szCs w:val="28"/>
        </w:rPr>
        <w:t>综合单价：询价响应文件包含总价及综合单价时，综合单价为合同单价。合同单价在询价文件及施工合同约定的风险范围之内不可调整。</w:t>
      </w: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2"/>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2"/>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w:t>
      </w:r>
      <w:r>
        <w:rPr>
          <w:rFonts w:hint="eastAsia" w:ascii="仿宋" w:hAnsi="仿宋" w:eastAsia="仿宋" w:cs="仿宋_GB2312"/>
          <w:kern w:val="0"/>
          <w:sz w:val="28"/>
          <w:szCs w:val="28"/>
          <w:lang w:val="en-US" w:eastAsia="zh-CN"/>
        </w:rPr>
        <w:t>经自行报名</w:t>
      </w:r>
      <w:r>
        <w:rPr>
          <w:rFonts w:hint="eastAsia" w:ascii="仿宋" w:hAnsi="仿宋" w:eastAsia="仿宋" w:cs="仿宋_GB2312"/>
          <w:kern w:val="0"/>
          <w:sz w:val="28"/>
          <w:szCs w:val="28"/>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备案；因特殊情况需要中止或终止合同的，询价人应将中止或终止合同的理由以及相应措施，以书面形式报公司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autoSpaceDE w:val="0"/>
        <w:autoSpaceDN w:val="0"/>
        <w:adjustRightInd w:val="0"/>
        <w:snapToGrid w:val="0"/>
        <w:spacing w:line="300" w:lineRule="auto"/>
        <w:ind w:left="420" w:right="32" w:hanging="420"/>
        <w:rPr>
          <w:rFonts w:ascii="仿宋" w:hAnsi="仿宋" w:eastAsia="仿宋" w:cs="仿宋_GB2312"/>
          <w:sz w:val="28"/>
          <w:szCs w:val="28"/>
        </w:rPr>
      </w:pPr>
    </w:p>
    <w:p>
      <w:pPr>
        <w:pStyle w:val="3"/>
        <w:rPr>
          <w:rFonts w:ascii="仿宋_GB2312" w:hAnsi="仿宋_GB2312" w:eastAsia="仿宋_GB2312" w:cs="仿宋_GB2312"/>
          <w:color w:val="000000"/>
        </w:rPr>
      </w:pPr>
      <w:bookmarkStart w:id="1" w:name="_Toc247085739"/>
      <w:bookmarkStart w:id="2" w:name="_Toc371433002"/>
      <w:bookmarkStart w:id="3" w:name="_Toc144974548"/>
      <w:bookmarkStart w:id="4" w:name="_Toc179632599"/>
      <w:bookmarkStart w:id="5" w:name="_Toc152045581"/>
      <w:bookmarkStart w:id="6" w:name="_Toc152042358"/>
      <w:r>
        <w:rPr>
          <w:rFonts w:hint="eastAsia" w:ascii="仿宋_GB2312" w:hAnsi="仿宋_GB2312" w:eastAsia="仿宋_GB2312" w:cs="仿宋_GB2312"/>
          <w:color w:val="000000"/>
        </w:rPr>
        <w:t>附件一   报价记录表</w:t>
      </w:r>
      <w:bookmarkEnd w:id="1"/>
      <w:bookmarkEnd w:id="2"/>
      <w:bookmarkEnd w:id="3"/>
      <w:bookmarkEnd w:id="4"/>
      <w:bookmarkEnd w:id="5"/>
      <w:bookmarkEnd w:id="6"/>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rPr>
          <w:rFonts w:ascii="仿宋_GB2312" w:hAnsi="仿宋_GB2312" w:eastAsia="仿宋_GB2312" w:cs="仿宋_GB2312"/>
          <w:sz w:val="28"/>
          <w:szCs w:val="28"/>
        </w:rPr>
      </w:pPr>
    </w:p>
    <w:p>
      <w:pPr>
        <w:spacing w:line="360" w:lineRule="auto"/>
        <w:jc w:val="center"/>
        <w:rPr>
          <w:rFonts w:ascii="宋体" w:hAnsi="宋体"/>
          <w:b/>
          <w:sz w:val="36"/>
          <w:szCs w:val="36"/>
        </w:rPr>
      </w:pPr>
      <w:r>
        <w:rPr>
          <w:rFonts w:hint="eastAsia" w:ascii="宋体" w:hAnsi="宋体"/>
          <w:b/>
          <w:sz w:val="36"/>
          <w:szCs w:val="36"/>
        </w:rPr>
        <w:t>广州市净水有限公司非公开招标项目询价评审记录表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cs="宋体"/>
          <w:b/>
          <w:sz w:val="28"/>
          <w:szCs w:val="28"/>
        </w:rPr>
        <w:t xml:space="preserve"> </w:t>
      </w:r>
      <w:r>
        <w:rPr>
          <w:rFonts w:hint="eastAsia" w:ascii="宋体" w:hAnsi="宋体"/>
          <w:sz w:val="24"/>
        </w:rPr>
        <w:t xml:space="preserve">                             </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pPr>
      <w:r>
        <w:rPr>
          <w:rFonts w:hint="eastAsia"/>
        </w:rPr>
        <w:t>备注：1、审核情况填写“符合”或“不符合；或者打“√”或“×”。</w:t>
      </w:r>
    </w:p>
    <w:p>
      <w:pPr>
        <w:numPr>
          <w:ilvl w:val="0"/>
          <w:numId w:val="7"/>
        </w:numPr>
        <w:ind w:firstLine="630" w:firstLineChars="300"/>
      </w:pPr>
      <w:r>
        <w:rPr>
          <w:rFonts w:hint="eastAsia"/>
        </w:rPr>
        <w:t>本表所有审核情况均为符合的，结论为报名成功。若有一项或以上审核情况为不符合的，结论为报名不成功。</w:t>
      </w:r>
    </w:p>
    <w:p>
      <w:pPr>
        <w:ind w:left="630"/>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Cs/>
          <w:sz w:val="28"/>
          <w:szCs w:val="28"/>
        </w:rPr>
      </w:pPr>
      <w:r>
        <w:rPr>
          <w:rFonts w:hint="eastAsia" w:ascii="宋体" w:hAnsi="宋体"/>
          <w:b/>
          <w:sz w:val="28"/>
          <w:szCs w:val="28"/>
        </w:rPr>
        <w:t xml:space="preserve">                                                  </w:t>
      </w:r>
      <w:r>
        <w:rPr>
          <w:rFonts w:hint="eastAsia" w:ascii="宋体" w:hAnsi="宋体"/>
          <w:b/>
          <w:szCs w:val="21"/>
        </w:rPr>
        <w:t>2020年10月版</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仿宋_GB2312" w:hAnsi="仿宋_GB2312" w:eastAsia="仿宋_GB2312" w:cs="仿宋_GB2312"/>
          <w:bCs/>
          <w:sz w:val="28"/>
          <w:szCs w:val="28"/>
        </w:rPr>
        <w:t>大沙地分公司一期二沉池吸泥机改造项目</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ascii="宋体" w:hAnsi="宋体" w:cs="宋体"/>
          <w:b/>
          <w:sz w:val="30"/>
          <w:szCs w:val="30"/>
        </w:rPr>
        <w:t>项目编号</w:t>
      </w:r>
      <w:r>
        <w:rPr>
          <w:rFonts w:hint="eastAsia" w:ascii="宋体" w:hAnsi="宋体" w:cs="宋体"/>
          <w:b/>
          <w:sz w:val="30"/>
          <w:szCs w:val="30"/>
        </w:rPr>
        <w:t>：</w:t>
      </w: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400" w:lineRule="atLeast"/>
        <w:rPr>
          <w:rFonts w:ascii="宋体" w:hAnsi="宋体" w:cs="宋体"/>
          <w:b/>
          <w:sz w:val="30"/>
        </w:rPr>
      </w:pPr>
    </w:p>
    <w:p>
      <w:pPr>
        <w:spacing w:beforeLines="30" w:line="360" w:lineRule="auto"/>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 xml:space="preserve">          </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cs="Times New Roman" w:asciiTheme="minorEastAsia" w:hAnsiTheme="minorEastAsia" w:eastAsiaTheme="minorEastAsia"/>
          <w:bCs w:val="0"/>
          <w:sz w:val="24"/>
          <w:szCs w:val="24"/>
          <w:u w:val="single"/>
        </w:rPr>
        <w:t>大沙地分公司一期二沉池吸泥机改造项目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Theme="minorEastAsia" w:hAnsiTheme="minorEastAsia" w:eastAsiaTheme="minorEastAsia"/>
          <w:sz w:val="24"/>
          <w:u w:val="single"/>
        </w:rPr>
        <w:t>广州市净水有限公司大沙地分公司</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一期二沉池吸泥机更新改造</w:t>
      </w:r>
      <w:r>
        <w:rPr>
          <w:rFonts w:hint="eastAsia" w:asciiTheme="minorEastAsia" w:hAnsiTheme="minorEastAsia" w:eastAsiaTheme="minorEastAsia"/>
          <w:sz w:val="24"/>
          <w:u w:val="single"/>
        </w:rPr>
        <w:t xml:space="preserve">（详见预算书）  </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80" w:firstLineChars="200"/>
        <w:rPr>
          <w:rFonts w:ascii="宋体" w:hAnsi="宋体" w:cs="宋体"/>
          <w:sz w:val="24"/>
        </w:rPr>
      </w:pPr>
      <w:r>
        <w:rPr>
          <w:rFonts w:hint="eastAsia" w:ascii="宋体" w:hAnsi="宋体"/>
          <w:bCs/>
          <w:sz w:val="24"/>
          <w:bdr w:val="single" w:color="auto" w:sz="4" w:space="0"/>
        </w:rPr>
        <w:t xml:space="preserve">√ </w:t>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80" w:firstLineChars="200"/>
        <w:rPr>
          <w:rFonts w:ascii="宋体" w:hAnsi="宋体" w:cs="宋体"/>
          <w:sz w:val="24"/>
        </w:rPr>
      </w:pPr>
      <w:r>
        <w:rPr>
          <w:rFonts w:hint="eastAsia" w:ascii="宋体" w:hAnsi="宋体"/>
          <w:bCs/>
          <w:sz w:val="24"/>
          <w:bdr w:val="single" w:color="auto" w:sz="4" w:space="0"/>
        </w:rPr>
        <w:t xml:space="preserve">  </w:t>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甲方委托由资质第三方机构审核后，若结算审核价比合同暂定总价低，则以结算审核价作为合同结算价，否则以合同暂定总价为合同结算价。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暂定18个月</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u w:val="single"/>
        </w:rPr>
        <w:t xml:space="preserve">15 </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 xml:space="preserve"> 30 </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hint="eastAsia" w:ascii="宋体" w:hAnsi="宋体"/>
          <w:bCs/>
          <w:sz w:val="24"/>
          <w:bdr w:val="single" w:color="auto" w:sz="4" w:space="0"/>
        </w:rPr>
        <w:t xml:space="preserve">  </w:t>
      </w:r>
      <w:r>
        <w:rPr>
          <w:rFonts w:hint="eastAsia" w:ascii="宋体" w:hAnsi="宋体" w:cs="宋体"/>
          <w:bCs/>
          <w:sz w:val="24"/>
        </w:rPr>
        <w:t>无；</w:t>
      </w:r>
      <w:r>
        <w:rPr>
          <w:rFonts w:ascii="宋体" w:hAnsi="宋体" w:cs="宋体"/>
          <w:bCs/>
          <w:sz w:val="24"/>
        </w:rPr>
        <w:t xml:space="preserve">     </w:t>
      </w:r>
      <w:r>
        <w:rPr>
          <w:rFonts w:hint="eastAsia" w:ascii="宋体" w:hAnsi="宋体"/>
          <w:bCs/>
          <w:sz w:val="24"/>
          <w:bdr w:val="single" w:color="auto" w:sz="4" w:space="0"/>
        </w:rPr>
        <w:t xml:space="preserve">√ </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50</w:t>
      </w:r>
      <w:r>
        <w:rPr>
          <w:rFonts w:hint="eastAsia" w:hAnsi="宋体" w:cs="宋体"/>
          <w:sz w:val="24"/>
          <w:szCs w:val="24"/>
        </w:rPr>
        <w:t>％即￥</w:t>
      </w:r>
      <w:r>
        <w:rPr>
          <w:rFonts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hint="eastAsia" w:ascii="宋体" w:hAnsi="宋体" w:cs="宋体"/>
          <w:bCs/>
          <w:sz w:val="24"/>
        </w:rPr>
        <w:t xml:space="preserve">    </w:t>
      </w: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p>
    <w:p>
      <w:pPr>
        <w:spacing w:line="384" w:lineRule="auto"/>
        <w:ind w:firstLine="960" w:firstLineChars="4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ascii="宋体" w:hAnsi="宋体" w:cs="宋体"/>
          <w:sz w:val="24"/>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bCs/>
          <w:sz w:val="24"/>
          <w:bdr w:val="single" w:color="auto" w:sz="4" w:space="0"/>
        </w:rPr>
        <w:t xml:space="preserve">√ </w:t>
      </w:r>
      <w:r>
        <w:rPr>
          <w:rFonts w:hint="eastAsia" w:ascii="宋体" w:hAnsi="宋体" w:cs="宋体"/>
          <w:bCs/>
          <w:sz w:val="24"/>
        </w:rPr>
        <w:t>无；</w:t>
      </w:r>
      <w:r>
        <w:rPr>
          <w:rFonts w:ascii="宋体" w:hAnsi="宋体" w:cs="宋体"/>
          <w:bCs/>
          <w:sz w:val="24"/>
        </w:rPr>
        <w:t xml:space="preserve">     </w:t>
      </w:r>
      <w:r>
        <w:rPr>
          <w:rFonts w:hint="eastAsia" w:ascii="宋体" w:hAnsi="宋体"/>
          <w:bCs/>
          <w:sz w:val="24"/>
          <w:bdr w:val="single" w:color="auto" w:sz="4" w:space="0"/>
        </w:rPr>
        <w:t xml:space="preserve">  </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9"/>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9"/>
        <w:spacing w:before="0" w:beforeAutospacing="0" w:after="0" w:afterAutospacing="0" w:line="360" w:lineRule="auto"/>
        <w:ind w:firstLine="480"/>
      </w:pPr>
      <w:r>
        <w:rPr>
          <w:rFonts w:hint="eastAsia"/>
        </w:rPr>
        <w:t>（1）符合甲方要求（详见附件7保函格式）的银行独立保函，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付款方式：</w:t>
      </w:r>
      <w:r>
        <w:rPr>
          <w:rFonts w:hint="eastAsia" w:ascii="宋体" w:hAnsi="宋体"/>
          <w:bCs/>
          <w:sz w:val="24"/>
          <w:bdr w:val="single" w:color="auto" w:sz="4" w:space="0"/>
        </w:rPr>
        <w:t xml:space="preserve">√ </w:t>
      </w:r>
      <w:r>
        <w:rPr>
          <w:rFonts w:hint="eastAsia" w:asciiTheme="minorEastAsia" w:hAnsiTheme="minorEastAsia" w:eastAsiaTheme="minorEastAsia" w:cstheme="minorEastAsia"/>
          <w:sz w:val="24"/>
        </w:rPr>
        <w:t xml:space="preserve">网银支付；  </w:t>
      </w:r>
      <w:r>
        <w:rPr>
          <w:rFonts w:hint="eastAsia" w:ascii="宋体" w:hAnsi="宋体"/>
          <w:bCs/>
          <w:sz w:val="24"/>
          <w:bdr w:val="single" w:color="auto" w:sz="4" w:space="0"/>
        </w:rPr>
        <w:t xml:space="preserve">  </w:t>
      </w:r>
      <w:r>
        <w:rPr>
          <w:rFonts w:hint="eastAsia" w:asciiTheme="minorEastAsia" w:hAnsiTheme="minorEastAsia" w:eastAsiaTheme="minorEastAsia" w:cstheme="minorEastAsia"/>
          <w:sz w:val="24"/>
        </w:rPr>
        <w:t xml:space="preserve">支票；   </w:t>
      </w:r>
      <w:r>
        <w:rPr>
          <w:rFonts w:hint="eastAsia" w:ascii="宋体" w:hAnsi="宋体"/>
          <w:bCs/>
          <w:sz w:val="24"/>
          <w:bdr w:val="single" w:color="auto" w:sz="4" w:space="0"/>
        </w:rPr>
        <w:t xml:space="preserve">  </w:t>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bdr w:val="single" w:color="auto" w:sz="4" w:space="0"/>
        </w:rPr>
        <w:t xml:space="preserve">     </w:t>
      </w:r>
      <w:r>
        <w:rPr>
          <w:rFonts w:hint="eastAsia" w:asciiTheme="minorEastAsia" w:hAnsiTheme="minorEastAsia" w:eastAsiaTheme="minorEastAsia" w:cstheme="minorEastAsia"/>
          <w:bCs/>
          <w:sz w:val="24"/>
          <w:bdr w:val="single" w:color="auto" w:sz="4" w:space="0"/>
        </w:rPr>
        <w:t xml:space="preserve"> </w:t>
      </w:r>
    </w:p>
    <w:p>
      <w:pPr>
        <w:pStyle w:val="12"/>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8"/>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ascii="宋体" w:hAnsi="宋体" w:cs="宋体"/>
          <w:kern w:val="0"/>
          <w:sz w:val="24"/>
          <w:u w:val="single"/>
          <w:lang w:val="zh-CN"/>
        </w:rPr>
        <w:t xml:space="preserve">  壹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 xml:space="preserve"> </w:t>
      </w:r>
      <w:r>
        <w:rPr>
          <w:rFonts w:hint="eastAsia" w:ascii="宋体" w:hAnsi="宋体" w:cs="宋体"/>
          <w:bCs/>
          <w:sz w:val="24"/>
          <w:u w:val="single"/>
        </w:rPr>
        <w:t>15</w:t>
      </w:r>
      <w:r>
        <w:rPr>
          <w:rFonts w:ascii="宋体" w:hAnsi="宋体" w:cs="宋体"/>
          <w:bCs/>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rPr>
          <w:rFonts w:ascii="宋体" w:hAnsi="宋体" w:cs="宋体"/>
          <w:sz w:val="24"/>
        </w:rPr>
      </w:pPr>
      <w:r>
        <w:rPr>
          <w:rFonts w:ascii="宋体" w:hAnsi="宋体" w:cs="宋体"/>
          <w:sz w:val="24"/>
        </w:rPr>
        <w:t xml:space="preserve">      4.</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5.</w:t>
      </w:r>
      <w:r>
        <w:rPr>
          <w:rFonts w:hint="eastAsia" w:ascii="宋体" w:hAnsi="宋体" w:cs="宋体"/>
          <w:sz w:val="24"/>
        </w:rPr>
        <w:t>项目投入人员架构表</w:t>
      </w:r>
    </w:p>
    <w:p>
      <w:pPr>
        <w:spacing w:line="384" w:lineRule="auto"/>
        <w:rPr>
          <w:rFonts w:ascii="宋体" w:hAnsi="宋体" w:cs="宋体"/>
          <w:sz w:val="24"/>
        </w:rPr>
      </w:pPr>
      <w:r>
        <w:rPr>
          <w:rFonts w:ascii="宋体" w:hAnsi="宋体" w:cs="宋体"/>
          <w:sz w:val="24"/>
        </w:rPr>
        <w:t xml:space="preserve">      6.</w:t>
      </w:r>
      <w:r>
        <w:rPr>
          <w:rFonts w:hint="eastAsia" w:ascii="宋体" w:hAnsi="宋体" w:cs="宋体"/>
          <w:sz w:val="24"/>
        </w:rPr>
        <w:t>职业卫生管理协议书</w:t>
      </w:r>
    </w:p>
    <w:p>
      <w:pPr>
        <w:spacing w:line="384" w:lineRule="auto"/>
        <w:rPr>
          <w:rFonts w:ascii="宋体" w:hAnsi="宋体" w:cs="宋体"/>
          <w:sz w:val="24"/>
        </w:rPr>
      </w:pPr>
      <w:r>
        <w:rPr>
          <w:rFonts w:ascii="宋体" w:hAnsi="宋体" w:cs="宋体"/>
          <w:sz w:val="24"/>
        </w:rPr>
        <w:t xml:space="preserve">      7.</w:t>
      </w:r>
      <w:r>
        <w:rPr>
          <w:rFonts w:hint="eastAsia" w:ascii="宋体" w:hAnsi="宋体" w:cs="宋体"/>
          <w:sz w:val="24"/>
        </w:rPr>
        <w:t>履约保函（模板）</w:t>
      </w:r>
    </w:p>
    <w:p>
      <w:pPr>
        <w:spacing w:line="384" w:lineRule="auto"/>
        <w:ind w:firstLine="720" w:firstLineChars="300"/>
        <w:rPr>
          <w:rFonts w:ascii="宋体" w:hAnsi="宋体" w:cs="宋体"/>
          <w:sz w:val="24"/>
        </w:rPr>
      </w:pPr>
      <w:r>
        <w:rPr>
          <w:rFonts w:hint="eastAsia" w:ascii="宋体" w:hAnsi="宋体" w:cs="宋体"/>
          <w:sz w:val="24"/>
        </w:rPr>
        <w:t>8.授权委托证明（如需）</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tabs>
          <w:tab w:val="left" w:pos="5740"/>
        </w:tabs>
        <w:autoSpaceDE w:val="0"/>
        <w:autoSpaceDN w:val="0"/>
        <w:adjustRightInd w:val="0"/>
        <w:jc w:val="center"/>
        <w:rPr>
          <w:rFonts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hAnsi="仿宋_GB2312" w:eastAsia="仿宋_GB2312" w:cs="仿宋_GB2312"/>
          <w:sz w:val="28"/>
          <w:szCs w:val="28"/>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7" w:name="_Toc389815339"/>
      <w:bookmarkStart w:id="8" w:name="_Toc387080836"/>
      <w:bookmarkStart w:id="9"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3"/>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9"/>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附件3：</w:t>
      </w:r>
      <w:bookmarkEnd w:id="7"/>
      <w:bookmarkEnd w:id="8"/>
      <w:bookmarkEnd w:id="9"/>
      <w:r>
        <w:rPr>
          <w:rFonts w:hint="eastAsia" w:ascii="宋体" w:hAnsi="宋体" w:cs="宋体"/>
          <w:b/>
          <w:szCs w:val="21"/>
        </w:rPr>
        <w:t>安全管理协议书</w:t>
      </w:r>
    </w:p>
    <w:p>
      <w:pPr>
        <w:spacing w:line="360" w:lineRule="auto"/>
        <w:jc w:val="center"/>
        <w:rPr>
          <w:rFonts w:ascii="宋体" w:hAnsi="宋体" w:cs="宋体"/>
          <w:b/>
          <w:bCs/>
          <w:sz w:val="24"/>
        </w:rPr>
      </w:pPr>
    </w:p>
    <w:p>
      <w:pPr>
        <w:spacing w:line="336" w:lineRule="auto"/>
        <w:jc w:val="center"/>
        <w:rPr>
          <w:rFonts w:ascii="宋体" w:hAnsi="宋体" w:cs="宋体"/>
          <w:b/>
          <w:bCs/>
          <w:sz w:val="28"/>
          <w:szCs w:val="28"/>
        </w:rPr>
      </w:pPr>
      <w:r>
        <w:rPr>
          <w:rFonts w:hint="eastAsia" w:ascii="宋体" w:hAnsi="宋体" w:cs="宋体"/>
          <w:b/>
          <w:bCs/>
          <w:sz w:val="28"/>
          <w:szCs w:val="28"/>
        </w:rPr>
        <w:t>安全管理协议书</w:t>
      </w:r>
    </w:p>
    <w:p>
      <w:pPr>
        <w:spacing w:line="336" w:lineRule="auto"/>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甲方：</w:t>
      </w:r>
      <w:r>
        <w:rPr>
          <w:rFonts w:hint="eastAsia" w:ascii="宋体" w:hAnsi="宋体" w:cs="宋体"/>
          <w:sz w:val="24"/>
          <w:u w:val="single"/>
        </w:rPr>
        <w:t>广州市净水有限公司</w:t>
      </w:r>
    </w:p>
    <w:p>
      <w:pPr>
        <w:adjustRightInd w:val="0"/>
        <w:snapToGrid w:val="0"/>
        <w:spacing w:line="336" w:lineRule="auto"/>
        <w:ind w:firstLine="480" w:firstLineChars="200"/>
        <w:jc w:val="left"/>
        <w:rPr>
          <w:rStyle w:val="25"/>
          <w:rFonts w:ascii="宋体" w:hAnsi="宋体" w:cs="宋体"/>
          <w:b w:val="0"/>
          <w:u w:val="single"/>
        </w:rPr>
      </w:pPr>
      <w:r>
        <w:rPr>
          <w:rFonts w:hint="eastAsia" w:ascii="宋体" w:hAnsi="宋体" w:cs="宋体"/>
          <w:sz w:val="24"/>
        </w:rPr>
        <w:t xml:space="preserve">乙方: </w:t>
      </w:r>
      <w:r>
        <w:rPr>
          <w:rFonts w:hint="eastAsia" w:ascii="宋体" w:hAnsi="宋体" w:cs="宋体"/>
          <w:sz w:val="24"/>
          <w:u w:val="single"/>
        </w:rPr>
        <w:t xml:space="preserve">  </w:t>
      </w:r>
      <w:r>
        <w:rPr>
          <w:rStyle w:val="25"/>
          <w:rFonts w:hint="eastAsia" w:ascii="宋体" w:hAnsi="宋体" w:cs="宋体"/>
          <w:u w:val="single"/>
        </w:rPr>
        <w:t xml:space="preserve">                                   </w:t>
      </w:r>
    </w:p>
    <w:p>
      <w:pPr>
        <w:adjustRightInd w:val="0"/>
        <w:snapToGrid w:val="0"/>
        <w:spacing w:line="336" w:lineRule="auto"/>
        <w:ind w:firstLine="480" w:firstLineChars="200"/>
        <w:jc w:val="left"/>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numPr>
          <w:ilvl w:val="0"/>
          <w:numId w:val="9"/>
        </w:numPr>
        <w:adjustRightInd w:val="0"/>
        <w:snapToGrid w:val="0"/>
        <w:spacing w:line="336" w:lineRule="auto"/>
        <w:jc w:val="left"/>
        <w:rPr>
          <w:rFonts w:ascii="宋体" w:hAnsi="宋体" w:cs="宋体"/>
          <w:sz w:val="24"/>
        </w:rPr>
      </w:pPr>
      <w:r>
        <w:rPr>
          <w:rFonts w:hint="eastAsia" w:ascii="宋体" w:hAnsi="宋体" w:cs="宋体"/>
          <w:sz w:val="24"/>
        </w:rPr>
        <w:t>本协议与主协议的关系</w:t>
      </w:r>
    </w:p>
    <w:p>
      <w:pPr>
        <w:adjustRightInd w:val="0"/>
        <w:snapToGrid w:val="0"/>
        <w:spacing w:line="336" w:lineRule="auto"/>
        <w:ind w:left="105" w:firstLine="480" w:firstLineChars="200"/>
        <w:jc w:val="left"/>
        <w:rPr>
          <w:rFonts w:ascii="宋体" w:hAnsi="宋体" w:cs="宋体"/>
          <w:sz w:val="24"/>
        </w:rPr>
      </w:pPr>
      <w:r>
        <w:rPr>
          <w:rFonts w:hint="eastAsia" w:ascii="宋体" w:hAnsi="宋体" w:cs="宋体"/>
          <w:sz w:val="24"/>
        </w:rPr>
        <w:t>本协议作为</w:t>
      </w:r>
      <w:r>
        <w:rPr>
          <w:rFonts w:hint="eastAsia" w:ascii="宋体" w:hAnsi="宋体" w:cs="宋体"/>
          <w:bCs/>
          <w:sz w:val="24"/>
          <w:u w:val="single"/>
        </w:rPr>
        <w:t xml:space="preserve">                           </w:t>
      </w:r>
      <w:r>
        <w:rPr>
          <w:rFonts w:hint="eastAsia" w:ascii="宋体" w:hAnsi="宋体" w:cs="宋体"/>
          <w:sz w:val="24"/>
        </w:rPr>
        <w:t>的组成部分，与主合同具有同等法律效力。</w:t>
      </w:r>
    </w:p>
    <w:p>
      <w:pPr>
        <w:adjustRightInd w:val="0"/>
        <w:snapToGrid w:val="0"/>
        <w:spacing w:line="336" w:lineRule="auto"/>
        <w:jc w:val="left"/>
        <w:rPr>
          <w:rFonts w:ascii="宋体" w:hAnsi="宋体" w:cs="宋体"/>
          <w:sz w:val="24"/>
        </w:rPr>
      </w:pPr>
      <w:r>
        <w:rPr>
          <w:rFonts w:hint="eastAsia" w:ascii="宋体" w:hAnsi="宋体" w:cs="宋体"/>
          <w:sz w:val="24"/>
        </w:rPr>
        <w:t xml:space="preserve"> 二、甲乙双方的责任、权利和义务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（一）甲方的责任、权利和义务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1.贯彻落实国家、地方及甲方有关安全管理的法律法规和规章制度，对乙方承包作业的安全管理工作进行监督管理。</w:t>
      </w:r>
    </w:p>
    <w:p>
      <w:pPr>
        <w:adjustRightInd w:val="0"/>
        <w:snapToGrid w:val="0"/>
        <w:spacing w:line="336" w:lineRule="auto"/>
        <w:jc w:val="left"/>
        <w:rPr>
          <w:rFonts w:ascii="宋体" w:hAnsi="宋体" w:cs="宋体"/>
          <w:sz w:val="24"/>
        </w:rPr>
      </w:pPr>
      <w:r>
        <w:rPr>
          <w:rFonts w:hint="eastAsia" w:ascii="宋体" w:hAnsi="宋体" w:cs="宋体"/>
          <w:sz w:val="24"/>
        </w:rPr>
        <w:t>2.审查乙方安全资质，确保乙方具备与承包内容资质相一致的外协条件。</w:t>
      </w:r>
    </w:p>
    <w:p>
      <w:pPr>
        <w:adjustRightInd w:val="0"/>
        <w:snapToGrid w:val="0"/>
        <w:spacing w:line="336" w:lineRule="auto"/>
        <w:jc w:val="left"/>
        <w:rPr>
          <w:rFonts w:ascii="宋体" w:hAnsi="宋体" w:cs="宋体"/>
          <w:sz w:val="24"/>
        </w:rPr>
      </w:pPr>
      <w:r>
        <w:rPr>
          <w:rFonts w:hint="eastAsia" w:ascii="宋体" w:hAnsi="宋体" w:cs="宋体"/>
          <w:sz w:val="24"/>
        </w:rPr>
        <w:t>3.要求乙方建立健全承包作业的各项安全管理制度及标准，监督乙方制定相应的安全生产方案并严格落实。</w:t>
      </w:r>
    </w:p>
    <w:p>
      <w:pPr>
        <w:adjustRightInd w:val="0"/>
        <w:snapToGrid w:val="0"/>
        <w:spacing w:line="336" w:lineRule="auto"/>
        <w:jc w:val="left"/>
        <w:rPr>
          <w:rFonts w:ascii="宋体" w:hAnsi="宋体" w:cs="宋体"/>
          <w:sz w:val="24"/>
        </w:rPr>
      </w:pPr>
      <w:r>
        <w:rPr>
          <w:rFonts w:hint="eastAsia" w:ascii="宋体" w:hAnsi="宋体" w:cs="宋体"/>
          <w:sz w:val="24"/>
        </w:rPr>
        <w:t>4.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36" w:lineRule="auto"/>
        <w:jc w:val="left"/>
        <w:rPr>
          <w:rFonts w:ascii="宋体" w:hAnsi="宋体" w:cs="宋体"/>
          <w:sz w:val="24"/>
        </w:rPr>
      </w:pPr>
      <w:r>
        <w:rPr>
          <w:rFonts w:hint="eastAsia" w:ascii="宋体" w:hAnsi="宋体" w:cs="宋体"/>
          <w:sz w:val="24"/>
        </w:rPr>
        <w:t>5.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36" w:lineRule="auto"/>
        <w:jc w:val="left"/>
        <w:rPr>
          <w:rFonts w:ascii="宋体" w:hAnsi="宋体" w:cs="宋体"/>
          <w:sz w:val="24"/>
        </w:rPr>
      </w:pPr>
      <w:r>
        <w:rPr>
          <w:rFonts w:hint="eastAsia" w:ascii="宋体" w:hAnsi="宋体" w:cs="宋体"/>
          <w:sz w:val="24"/>
        </w:rPr>
        <w:t>（二）乙方的责任、权利和义务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36" w:lineRule="auto"/>
        <w:jc w:val="left"/>
        <w:rPr>
          <w:rFonts w:ascii="宋体" w:hAnsi="宋体" w:cs="宋体"/>
          <w:sz w:val="24"/>
        </w:rPr>
      </w:pPr>
      <w:r>
        <w:rPr>
          <w:rFonts w:hint="eastAsia" w:ascii="宋体" w:hAnsi="宋体" w:cs="宋体"/>
          <w:sz w:val="24"/>
        </w:rPr>
        <w:t>2.严格按照资质范围进行作业，不得进行超资质范围的技术服务作业，不得将所承担的承包项目再次转包。</w:t>
      </w:r>
    </w:p>
    <w:p>
      <w:pPr>
        <w:adjustRightInd w:val="0"/>
        <w:snapToGrid w:val="0"/>
        <w:spacing w:line="336" w:lineRule="auto"/>
        <w:jc w:val="left"/>
        <w:rPr>
          <w:rFonts w:ascii="宋体" w:hAnsi="宋体" w:cs="宋体"/>
          <w:sz w:val="24"/>
        </w:rPr>
      </w:pPr>
      <w:r>
        <w:rPr>
          <w:rFonts w:hint="eastAsia" w:ascii="宋体" w:hAnsi="宋体" w:cs="宋体"/>
          <w:sz w:val="24"/>
        </w:rPr>
        <w:t>3.乙方特种作业人员必须持有效证件上岗；新录用人员不得单独操作，须经相关安全、技能培训合格，取得特种作业资格证后方可单独操作。</w:t>
      </w:r>
    </w:p>
    <w:p>
      <w:pPr>
        <w:adjustRightInd w:val="0"/>
        <w:snapToGrid w:val="0"/>
        <w:spacing w:line="336" w:lineRule="auto"/>
        <w:jc w:val="left"/>
        <w:rPr>
          <w:rFonts w:ascii="宋体" w:hAnsi="宋体" w:cs="宋体"/>
          <w:sz w:val="24"/>
        </w:rPr>
      </w:pPr>
      <w:r>
        <w:rPr>
          <w:rFonts w:hint="eastAsia" w:ascii="宋体" w:hAnsi="宋体" w:cs="宋体"/>
          <w:sz w:val="24"/>
        </w:rPr>
        <w:t>4.接受甲方对安全管理工作的监督检查，服从甲方管理，对甲方口头提出或书面签发提出的隐患整改通知单应按照规定要求进行处理。</w:t>
      </w:r>
    </w:p>
    <w:p>
      <w:pPr>
        <w:adjustRightInd w:val="0"/>
        <w:snapToGrid w:val="0"/>
        <w:spacing w:line="336" w:lineRule="auto"/>
        <w:jc w:val="left"/>
        <w:rPr>
          <w:rFonts w:ascii="宋体" w:hAnsi="宋体" w:cs="宋体"/>
          <w:sz w:val="24"/>
        </w:rPr>
      </w:pPr>
      <w:r>
        <w:rPr>
          <w:rFonts w:hint="eastAsia" w:ascii="宋体" w:hAnsi="宋体" w:cs="宋体"/>
          <w:sz w:val="24"/>
        </w:rPr>
        <w:t>5.对自行携带和使用的设备负有安全管理和维护保养的全部责任，并符合相关标准。使（租）用大型机械设备时，应在使用前向甲方备案。</w:t>
      </w:r>
    </w:p>
    <w:p>
      <w:pPr>
        <w:adjustRightInd w:val="0"/>
        <w:snapToGrid w:val="0"/>
        <w:spacing w:line="336" w:lineRule="auto"/>
        <w:jc w:val="left"/>
        <w:rPr>
          <w:rFonts w:ascii="宋体" w:hAnsi="宋体" w:cs="宋体"/>
          <w:sz w:val="24"/>
        </w:rPr>
      </w:pPr>
      <w:r>
        <w:rPr>
          <w:rFonts w:hint="eastAsia" w:ascii="宋体" w:hAnsi="宋体" w:cs="宋体"/>
          <w:sz w:val="24"/>
        </w:rPr>
        <w:t>6.乙方必须统一组织、严格管理，不得随意换人、加人和顶替，若需换人、加人必须向甲方提出申请，并履行书面手续。</w:t>
      </w:r>
    </w:p>
    <w:p>
      <w:pPr>
        <w:adjustRightInd w:val="0"/>
        <w:snapToGrid w:val="0"/>
        <w:spacing w:line="336" w:lineRule="auto"/>
        <w:jc w:val="left"/>
        <w:rPr>
          <w:rFonts w:ascii="宋体" w:hAnsi="宋体" w:cs="宋体"/>
          <w:sz w:val="24"/>
        </w:rPr>
      </w:pPr>
      <w:r>
        <w:rPr>
          <w:rFonts w:hint="eastAsia" w:ascii="宋体" w:hAnsi="宋体" w:cs="宋体"/>
          <w:sz w:val="24"/>
        </w:rPr>
        <w:t>7.在有毒有害、化学危险品、粉尘、噪音、高温环境、有限空间中作业施工必须按照甲方相应管理规定执行。</w:t>
      </w:r>
    </w:p>
    <w:p>
      <w:pPr>
        <w:adjustRightInd w:val="0"/>
        <w:snapToGrid w:val="0"/>
        <w:spacing w:line="336" w:lineRule="auto"/>
        <w:jc w:val="left"/>
        <w:rPr>
          <w:rFonts w:ascii="宋体" w:hAnsi="宋体" w:cs="宋体"/>
          <w:sz w:val="24"/>
        </w:rPr>
      </w:pPr>
      <w:r>
        <w:rPr>
          <w:rFonts w:hint="eastAsia" w:ascii="宋体" w:hAnsi="宋体" w:cs="宋体"/>
          <w:sz w:val="24"/>
        </w:rPr>
        <w:t>8.乙方必须组织人员进行内部安全教育，并参加我公司安全交底，确认知悉并签订安全承诺书后方可进入现场作业。</w:t>
      </w:r>
    </w:p>
    <w:p>
      <w:pPr>
        <w:adjustRightInd w:val="0"/>
        <w:snapToGrid w:val="0"/>
        <w:spacing w:line="336" w:lineRule="auto"/>
        <w:jc w:val="left"/>
        <w:rPr>
          <w:rFonts w:ascii="宋体" w:hAnsi="宋体" w:cs="宋体"/>
          <w:sz w:val="24"/>
        </w:rPr>
      </w:pPr>
      <w:r>
        <w:rPr>
          <w:rFonts w:hint="eastAsia" w:ascii="宋体" w:hAnsi="宋体" w:cs="宋体"/>
          <w:sz w:val="24"/>
        </w:rPr>
        <w:t xml:space="preserve">三、协议内容                                                </w:t>
      </w:r>
    </w:p>
    <w:p>
      <w:pPr>
        <w:adjustRightInd w:val="0"/>
        <w:snapToGrid w:val="0"/>
        <w:spacing w:line="336" w:lineRule="auto"/>
        <w:jc w:val="left"/>
        <w:rPr>
          <w:rFonts w:ascii="宋体" w:hAnsi="宋体" w:cs="宋体"/>
          <w:sz w:val="24"/>
        </w:rPr>
      </w:pPr>
      <w:r>
        <w:rPr>
          <w:rFonts w:hint="eastAsia" w:ascii="宋体" w:hAnsi="宋体" w:cs="宋体"/>
          <w:sz w:val="24"/>
        </w:rPr>
        <w:t>1.甲乙双方均具有独立法人资格，按照责任权利对等的原则，乙方对承包的技术服务工作实行自主管理，负主体责任，甲方对乙方承包的工作实施监督管理。</w:t>
      </w:r>
    </w:p>
    <w:p>
      <w:pPr>
        <w:adjustRightInd w:val="0"/>
        <w:snapToGrid w:val="0"/>
        <w:spacing w:line="336" w:lineRule="auto"/>
        <w:jc w:val="left"/>
        <w:rPr>
          <w:rFonts w:ascii="宋体" w:hAnsi="宋体" w:cs="宋体"/>
          <w:sz w:val="24"/>
        </w:rPr>
      </w:pPr>
      <w:r>
        <w:rPr>
          <w:rFonts w:hint="eastAsia" w:ascii="宋体" w:hAnsi="宋体" w:cs="宋体"/>
          <w:sz w:val="24"/>
        </w:rPr>
        <w:t>2.乙方必须向甲方提供安全资质以待审查，审查合格后方可办理进厂手续。</w:t>
      </w:r>
    </w:p>
    <w:p>
      <w:pPr>
        <w:adjustRightInd w:val="0"/>
        <w:snapToGrid w:val="0"/>
        <w:spacing w:line="336" w:lineRule="auto"/>
        <w:jc w:val="left"/>
        <w:rPr>
          <w:rFonts w:ascii="宋体" w:hAnsi="宋体" w:cs="宋体"/>
          <w:sz w:val="24"/>
        </w:rPr>
      </w:pPr>
      <w:r>
        <w:rPr>
          <w:rFonts w:hint="eastAsia" w:ascii="宋体" w:hAnsi="宋体" w:cs="宋体"/>
          <w:sz w:val="24"/>
        </w:rPr>
        <w:t>3.乙方应根据岗位需要以及作业人员数量按50:1的比例配备相应的专（兼）职安全管理人员（不足50人时，至少配备1名），进行现场安全管理以及生产作业过程中的协调、联系。</w:t>
      </w:r>
    </w:p>
    <w:p>
      <w:pPr>
        <w:adjustRightInd w:val="0"/>
        <w:snapToGrid w:val="0"/>
        <w:spacing w:line="336" w:lineRule="auto"/>
        <w:jc w:val="left"/>
        <w:rPr>
          <w:rFonts w:ascii="宋体" w:hAnsi="宋体" w:cs="宋体"/>
          <w:sz w:val="24"/>
        </w:rPr>
      </w:pPr>
      <w:r>
        <w:rPr>
          <w:rFonts w:hint="eastAsia" w:ascii="宋体" w:hAnsi="宋体" w:cs="宋体"/>
          <w:sz w:val="24"/>
        </w:rPr>
        <w:t>4.乙方必须严格按照国家相关规定雇佣作业人员，同时满足甲方用工条件。</w:t>
      </w:r>
    </w:p>
    <w:p>
      <w:pPr>
        <w:adjustRightInd w:val="0"/>
        <w:snapToGrid w:val="0"/>
        <w:spacing w:line="336" w:lineRule="auto"/>
        <w:jc w:val="left"/>
        <w:rPr>
          <w:rFonts w:ascii="宋体" w:hAnsi="宋体" w:cs="宋体"/>
          <w:sz w:val="24"/>
        </w:rPr>
      </w:pPr>
      <w:r>
        <w:rPr>
          <w:rFonts w:hint="eastAsia" w:ascii="宋体" w:hAnsi="宋体" w:cs="宋体"/>
          <w:sz w:val="24"/>
        </w:rPr>
        <w:t>5.乙方应遵照国家相关法律标准对作业人员进行必要的安全教育培训，使其知识和能力与岗位要求相匹配，并满足甲方相关要求。</w:t>
      </w:r>
    </w:p>
    <w:p>
      <w:pPr>
        <w:adjustRightInd w:val="0"/>
        <w:snapToGrid w:val="0"/>
        <w:spacing w:line="336" w:lineRule="auto"/>
        <w:jc w:val="left"/>
        <w:rPr>
          <w:rFonts w:ascii="宋体" w:hAnsi="宋体" w:cs="宋体"/>
          <w:sz w:val="24"/>
        </w:rPr>
      </w:pPr>
      <w:r>
        <w:rPr>
          <w:rFonts w:hint="eastAsia" w:ascii="宋体" w:hAnsi="宋体" w:cs="宋体"/>
          <w:sz w:val="24"/>
        </w:rPr>
        <w:t>6.乙方每次作业前必须做好安全交底工作，现场负责人要定期对现场进行检查，消除隐患。</w:t>
      </w:r>
    </w:p>
    <w:p>
      <w:pPr>
        <w:adjustRightInd w:val="0"/>
        <w:snapToGrid w:val="0"/>
        <w:spacing w:line="336" w:lineRule="auto"/>
        <w:jc w:val="left"/>
        <w:rPr>
          <w:rFonts w:ascii="宋体" w:hAnsi="宋体" w:cs="宋体"/>
          <w:sz w:val="24"/>
        </w:rPr>
      </w:pPr>
      <w:r>
        <w:rPr>
          <w:rFonts w:hint="eastAsia" w:ascii="宋体" w:hAnsi="宋体" w:cs="宋体"/>
          <w:sz w:val="24"/>
        </w:rPr>
        <w:t>7.甲方提供的设备、设施、器材、工具等，乙方负责全面管理，由于乙方人员的检查、维护、操作、保管等原因造成的非正常损坏，承担经济责任。</w:t>
      </w:r>
    </w:p>
    <w:p>
      <w:pPr>
        <w:adjustRightInd w:val="0"/>
        <w:snapToGrid w:val="0"/>
        <w:spacing w:line="336" w:lineRule="auto"/>
        <w:jc w:val="left"/>
        <w:rPr>
          <w:rFonts w:ascii="宋体" w:hAnsi="宋体" w:cs="宋体"/>
          <w:sz w:val="24"/>
        </w:rPr>
      </w:pPr>
      <w:r>
        <w:rPr>
          <w:rFonts w:hint="eastAsia" w:ascii="宋体" w:hAnsi="宋体" w:cs="宋体"/>
          <w:sz w:val="24"/>
        </w:rPr>
        <w:t>8.乙方必须为其从业人员配备劳动防护用品并确保正确使用。</w:t>
      </w:r>
    </w:p>
    <w:p>
      <w:pPr>
        <w:adjustRightInd w:val="0"/>
        <w:snapToGrid w:val="0"/>
        <w:spacing w:line="336" w:lineRule="auto"/>
        <w:jc w:val="left"/>
        <w:rPr>
          <w:rFonts w:ascii="宋体" w:hAnsi="宋体" w:cs="宋体"/>
          <w:sz w:val="24"/>
        </w:rPr>
      </w:pPr>
      <w:r>
        <w:rPr>
          <w:rFonts w:hint="eastAsia" w:ascii="宋体" w:hAnsi="宋体" w:cs="宋体"/>
          <w:sz w:val="24"/>
        </w:rPr>
        <w:t>9.乙方作业人员应在技术服务工作区域内活动，不得进入甲方或第三方生产作业现场，同时对技术服务工作区域安全文明生产管理工作负责。</w:t>
      </w:r>
    </w:p>
    <w:p>
      <w:pPr>
        <w:adjustRightInd w:val="0"/>
        <w:snapToGrid w:val="0"/>
        <w:spacing w:line="336" w:lineRule="auto"/>
        <w:jc w:val="left"/>
        <w:rPr>
          <w:rFonts w:ascii="宋体" w:hAnsi="宋体" w:cs="宋体"/>
          <w:sz w:val="24"/>
        </w:rPr>
      </w:pPr>
      <w:r>
        <w:rPr>
          <w:rFonts w:hint="eastAsia" w:ascii="宋体" w:hAnsi="宋体" w:cs="宋体"/>
          <w:sz w:val="24"/>
        </w:rPr>
        <w:t>10.甲方有权随时对乙方进行安全工作检查，制止违章作业，对违反甲方安全规定的行为有权对乙方进行经济处罚，或根据具体情况责令乙方停工整顿。</w:t>
      </w:r>
    </w:p>
    <w:p>
      <w:pPr>
        <w:adjustRightInd w:val="0"/>
        <w:snapToGrid w:val="0"/>
        <w:spacing w:line="336" w:lineRule="auto"/>
        <w:jc w:val="left"/>
        <w:rPr>
          <w:rFonts w:ascii="宋体" w:hAnsi="宋体" w:cs="宋体"/>
          <w:sz w:val="24"/>
        </w:rPr>
      </w:pPr>
      <w:r>
        <w:rPr>
          <w:rFonts w:hint="eastAsia" w:ascii="宋体" w:hAnsi="宋体" w:cs="宋体"/>
          <w:sz w:val="24"/>
        </w:rPr>
        <w:t>11.发生紧急情况时，乙方必须服从甲方统一调度指挥。</w:t>
      </w:r>
    </w:p>
    <w:p>
      <w:pPr>
        <w:adjustRightInd w:val="0"/>
        <w:snapToGrid w:val="0"/>
        <w:spacing w:line="336" w:lineRule="auto"/>
        <w:jc w:val="left"/>
        <w:rPr>
          <w:rFonts w:ascii="宋体" w:hAnsi="宋体" w:cs="宋体"/>
          <w:sz w:val="24"/>
        </w:rPr>
      </w:pPr>
      <w:r>
        <w:rPr>
          <w:rFonts w:hint="eastAsia" w:ascii="宋体" w:hAnsi="宋体" w:cs="宋体"/>
          <w:sz w:val="24"/>
        </w:rPr>
        <w:t>12.乙方应严格履行安全管理协议，遵守甲方各项管理规定，服从管理，否则视为违约，违约金参照甲方管理制度相关标准执行。</w:t>
      </w:r>
    </w:p>
    <w:p>
      <w:pPr>
        <w:adjustRightInd w:val="0"/>
        <w:snapToGrid w:val="0"/>
        <w:spacing w:line="336" w:lineRule="auto"/>
        <w:jc w:val="left"/>
        <w:rPr>
          <w:rFonts w:ascii="宋体" w:hAnsi="宋体" w:cs="宋体"/>
          <w:sz w:val="24"/>
        </w:rPr>
      </w:pPr>
      <w:r>
        <w:rPr>
          <w:rFonts w:hint="eastAsia" w:ascii="宋体" w:hAnsi="宋体" w:cs="宋体"/>
          <w:sz w:val="24"/>
        </w:rPr>
        <w:t>四、事故责任</w:t>
      </w:r>
    </w:p>
    <w:p>
      <w:pPr>
        <w:adjustRightInd w:val="0"/>
        <w:snapToGrid w:val="0"/>
        <w:spacing w:line="336" w:lineRule="auto"/>
        <w:jc w:val="left"/>
        <w:rPr>
          <w:rFonts w:ascii="宋体" w:hAnsi="宋体" w:cs="宋体"/>
          <w:sz w:val="24"/>
        </w:rPr>
      </w:pPr>
      <w:r>
        <w:rPr>
          <w:rFonts w:hint="eastAsia" w:ascii="宋体" w:hAnsi="宋体" w:cs="宋体"/>
          <w:sz w:val="24"/>
        </w:rPr>
        <w:t>1.在乙方承包范围内，由于乙方责任发生生产安全事故时，造成的甲方、乙方或者第三方人身伤害事故，乙方负全部责任。</w:t>
      </w:r>
    </w:p>
    <w:p>
      <w:pPr>
        <w:adjustRightInd w:val="0"/>
        <w:snapToGrid w:val="0"/>
        <w:spacing w:line="336" w:lineRule="auto"/>
        <w:jc w:val="left"/>
        <w:rPr>
          <w:rFonts w:ascii="宋体" w:hAnsi="宋体" w:cs="宋体"/>
          <w:sz w:val="24"/>
        </w:rPr>
      </w:pPr>
      <w:r>
        <w:rPr>
          <w:rFonts w:hint="eastAsia" w:ascii="宋体" w:hAnsi="宋体" w:cs="宋体"/>
          <w:sz w:val="24"/>
        </w:rPr>
        <w:t>2.乙方人员在甲方非承包区域遭受意外伤害的，乙方负全部责任。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3.乙方人员违规进入甲方或第三方承包区域，造成事故的，乙方负全部事故责任；乙方人员遭受人身伤害的，乙方负全部责任。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36" w:lineRule="auto"/>
        <w:jc w:val="left"/>
        <w:rPr>
          <w:rFonts w:ascii="宋体" w:hAnsi="宋体" w:cs="宋体"/>
          <w:sz w:val="24"/>
        </w:rPr>
      </w:pPr>
      <w:r>
        <w:rPr>
          <w:rFonts w:hint="eastAsia" w:ascii="宋体" w:hAnsi="宋体" w:cs="宋体"/>
          <w:sz w:val="24"/>
        </w:rPr>
        <w:t>5.乙方在甲方生产区域内发生生产安全事故后，必须在第一时间向甲方报告，迟报或者隐瞒不报生产安全事故，承担事故的全部责任。甲方提供救援服务并协助处理善后事宜。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36" w:lineRule="auto"/>
        <w:jc w:val="left"/>
        <w:rPr>
          <w:rFonts w:ascii="宋体" w:hAnsi="宋体" w:cs="宋体"/>
          <w:sz w:val="24"/>
        </w:rPr>
      </w:pPr>
      <w:r>
        <w:rPr>
          <w:rFonts w:hint="eastAsia" w:ascii="宋体" w:hAnsi="宋体" w:cs="宋体"/>
          <w:sz w:val="24"/>
        </w:rPr>
        <w:t>6.乙方各类人员在甲方生产区域内发生人身伤害事故和其他事故，由乙方负责调查、处理和统计上报，并报甲方安全监督部门备案。</w:t>
      </w:r>
    </w:p>
    <w:p>
      <w:pPr>
        <w:adjustRightInd w:val="0"/>
        <w:snapToGrid w:val="0"/>
        <w:spacing w:line="336" w:lineRule="auto"/>
        <w:jc w:val="left"/>
        <w:rPr>
          <w:rFonts w:ascii="宋体" w:hAnsi="宋体" w:cs="宋体"/>
          <w:sz w:val="24"/>
        </w:rPr>
      </w:pPr>
    </w:p>
    <w:p>
      <w:pPr>
        <w:pStyle w:val="46"/>
        <w:spacing w:line="336" w:lineRule="auto"/>
        <w:rPr>
          <w:rFonts w:ascii="宋体" w:hAnsi="宋体" w:cs="宋体"/>
          <w:sz w:val="24"/>
        </w:rPr>
      </w:pPr>
      <w:r>
        <w:rPr>
          <w:rFonts w:hint="eastAsia" w:ascii="宋体" w:hAnsi="宋体" w:cs="宋体"/>
          <w:sz w:val="24"/>
        </w:rPr>
        <w:t>五、补充条款：</w:t>
      </w:r>
      <w:r>
        <w:rPr>
          <w:rFonts w:hint="eastAsia" w:ascii="宋体" w:hAnsi="宋体" w:cs="宋体"/>
          <w:sz w:val="24"/>
          <w:u w:val="single"/>
        </w:rPr>
        <w:t xml:space="preserve">         /       </w:t>
      </w:r>
      <w:r>
        <w:rPr>
          <w:rFonts w:hint="eastAsia" w:ascii="宋体" w:hAnsi="宋体" w:cs="宋体"/>
          <w:sz w:val="24"/>
        </w:rPr>
        <w:t>。</w:t>
      </w:r>
    </w:p>
    <w:p>
      <w:pPr>
        <w:adjustRightInd w:val="0"/>
        <w:snapToGrid w:val="0"/>
        <w:spacing w:line="336" w:lineRule="auto"/>
        <w:jc w:val="left"/>
        <w:rPr>
          <w:rFonts w:ascii="宋体" w:hAnsi="宋体" w:cs="宋体"/>
          <w:sz w:val="24"/>
        </w:rPr>
      </w:pPr>
      <w:r>
        <w:rPr>
          <w:rFonts w:hint="eastAsia" w:ascii="宋体" w:hAnsi="宋体" w:cs="宋体"/>
          <w:sz w:val="24"/>
        </w:rPr>
        <w:t>六、附则</w:t>
      </w: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本协议与合同同时签订、同时终止，具有相同的法律效力。合同由甲乙双方签字、盖章生效，甲乙双方各壹份。</w:t>
      </w:r>
    </w:p>
    <w:p>
      <w:pPr>
        <w:adjustRightInd w:val="0"/>
        <w:snapToGrid w:val="0"/>
        <w:spacing w:line="336" w:lineRule="auto"/>
        <w:rPr>
          <w:rFonts w:ascii="宋体" w:hAnsi="宋体" w:cs="宋体"/>
          <w:sz w:val="24"/>
        </w:rPr>
      </w:pPr>
    </w:p>
    <w:p>
      <w:pPr>
        <w:adjustRightInd w:val="0"/>
        <w:snapToGrid w:val="0"/>
        <w:spacing w:line="336" w:lineRule="auto"/>
        <w:ind w:left="1330" w:leftChars="5" w:hanging="1320" w:hangingChars="550"/>
        <w:rPr>
          <w:rFonts w:ascii="宋体" w:hAnsi="宋体" w:cs="宋体"/>
          <w:sz w:val="24"/>
        </w:rPr>
      </w:pPr>
      <w:r>
        <w:rPr>
          <w:rFonts w:hint="eastAsia" w:ascii="宋体" w:hAnsi="宋体" w:cs="宋体"/>
          <w:sz w:val="24"/>
        </w:rPr>
        <w:t xml:space="preserve">   甲方代表 （章）：                             乙方代表（章）：                                                           　　              　　　　　　　</w:t>
      </w:r>
    </w:p>
    <w:p>
      <w:pPr>
        <w:adjustRightInd w:val="0"/>
        <w:snapToGrid w:val="0"/>
        <w:spacing w:line="336" w:lineRule="auto"/>
        <w:rPr>
          <w:rFonts w:ascii="宋体" w:hAnsi="宋体" w:cs="宋体"/>
          <w:sz w:val="24"/>
        </w:rPr>
      </w:pPr>
      <w:r>
        <w:rPr>
          <w:rFonts w:hint="eastAsia" w:ascii="宋体" w:hAnsi="宋体" w:cs="宋体"/>
          <w:sz w:val="24"/>
        </w:rPr>
        <w:t xml:space="preserve">      年 　月　  日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附件4：</w:t>
      </w: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8"/>
        <w:gridCol w:w="1389"/>
        <w:gridCol w:w="2853"/>
        <w:gridCol w:w="846"/>
        <w:gridCol w:w="1066"/>
        <w:gridCol w:w="1134"/>
        <w:gridCol w:w="1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序号</w:t>
            </w:r>
          </w:p>
        </w:tc>
        <w:tc>
          <w:tcPr>
            <w:tcW w:w="1389" w:type="dxa"/>
            <w:vAlign w:val="center"/>
          </w:tcPr>
          <w:p>
            <w:pPr>
              <w:jc w:val="center"/>
              <w:rPr>
                <w:rFonts w:ascii="仿宋_GB2312" w:hAnsi="仿宋_GB2312" w:eastAsia="仿宋_GB2312" w:cs="仿宋_GB2312"/>
                <w:sz w:val="28"/>
                <w:szCs w:val="28"/>
              </w:rPr>
            </w:pPr>
            <w:r>
              <w:rPr>
                <w:rFonts w:hint="eastAsia"/>
                <w:sz w:val="20"/>
                <w:szCs w:val="20"/>
              </w:rPr>
              <w:t>项目名称</w:t>
            </w:r>
          </w:p>
        </w:tc>
        <w:tc>
          <w:tcPr>
            <w:tcW w:w="2853" w:type="dxa"/>
            <w:vAlign w:val="center"/>
          </w:tcPr>
          <w:p>
            <w:pPr>
              <w:jc w:val="center"/>
              <w:rPr>
                <w:rFonts w:ascii="仿宋_GB2312" w:hAnsi="仿宋_GB2312" w:eastAsia="仿宋_GB2312" w:cs="仿宋_GB2312"/>
                <w:sz w:val="28"/>
                <w:szCs w:val="28"/>
              </w:rPr>
            </w:pPr>
            <w:r>
              <w:rPr>
                <w:rFonts w:hint="eastAsia"/>
                <w:sz w:val="20"/>
                <w:szCs w:val="20"/>
              </w:rPr>
              <w:t>项目特征描述</w:t>
            </w:r>
          </w:p>
        </w:tc>
        <w:tc>
          <w:tcPr>
            <w:tcW w:w="846" w:type="dxa"/>
            <w:vAlign w:val="center"/>
          </w:tcPr>
          <w:p>
            <w:pPr>
              <w:jc w:val="center"/>
              <w:rPr>
                <w:rFonts w:ascii="仿宋_GB2312" w:hAnsi="仿宋_GB2312" w:eastAsia="仿宋_GB2312" w:cs="仿宋_GB2312"/>
                <w:sz w:val="28"/>
                <w:szCs w:val="28"/>
              </w:rPr>
            </w:pPr>
            <w:r>
              <w:rPr>
                <w:rFonts w:hint="eastAsia"/>
                <w:sz w:val="20"/>
                <w:szCs w:val="20"/>
              </w:rPr>
              <w:t>计量单位</w:t>
            </w:r>
          </w:p>
        </w:tc>
        <w:tc>
          <w:tcPr>
            <w:tcW w:w="1066" w:type="dxa"/>
            <w:vAlign w:val="center"/>
          </w:tcPr>
          <w:p>
            <w:pPr>
              <w:jc w:val="center"/>
              <w:rPr>
                <w:rFonts w:ascii="仿宋_GB2312" w:hAnsi="仿宋_GB2312" w:eastAsia="仿宋_GB2312" w:cs="仿宋_GB2312"/>
                <w:sz w:val="28"/>
                <w:szCs w:val="28"/>
              </w:rPr>
            </w:pPr>
            <w:r>
              <w:rPr>
                <w:rFonts w:hint="eastAsia"/>
                <w:sz w:val="20"/>
                <w:szCs w:val="20"/>
              </w:rPr>
              <w:t>工程量</w:t>
            </w:r>
          </w:p>
        </w:tc>
        <w:tc>
          <w:tcPr>
            <w:tcW w:w="1134" w:type="dxa"/>
            <w:vAlign w:val="center"/>
          </w:tcPr>
          <w:p>
            <w:pPr>
              <w:jc w:val="center"/>
              <w:rPr>
                <w:sz w:val="20"/>
                <w:szCs w:val="20"/>
              </w:rPr>
            </w:pPr>
            <w:r>
              <w:rPr>
                <w:rFonts w:hint="eastAsia"/>
                <w:sz w:val="20"/>
                <w:szCs w:val="20"/>
              </w:rPr>
              <w:t>综合单价</w:t>
            </w:r>
          </w:p>
        </w:tc>
        <w:tc>
          <w:tcPr>
            <w:tcW w:w="1533" w:type="dxa"/>
            <w:vAlign w:val="center"/>
          </w:tcPr>
          <w:p>
            <w:pPr>
              <w:jc w:val="center"/>
              <w:rPr>
                <w:sz w:val="20"/>
                <w:szCs w:val="20"/>
              </w:rPr>
            </w:pPr>
            <w:r>
              <w:rPr>
                <w:rFonts w:hint="eastAsia"/>
                <w:sz w:val="20"/>
                <w:szCs w:val="20"/>
              </w:rPr>
              <w:t>综合合价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p>
        </w:tc>
        <w:tc>
          <w:tcPr>
            <w:tcW w:w="1389" w:type="dxa"/>
            <w:vAlign w:val="center"/>
          </w:tcPr>
          <w:p>
            <w:pPr>
              <w:jc w:val="center"/>
              <w:rPr>
                <w:rFonts w:cs="Tahoma"/>
                <w:sz w:val="20"/>
                <w:szCs w:val="20"/>
              </w:rPr>
            </w:pPr>
            <w:r>
              <w:rPr>
                <w:rFonts w:hint="eastAsia" w:cs="Tahoma"/>
                <w:sz w:val="20"/>
                <w:szCs w:val="20"/>
              </w:rPr>
              <w:t>整个项目</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p>
        </w:tc>
        <w:tc>
          <w:tcPr>
            <w:tcW w:w="1066" w:type="dxa"/>
            <w:vAlign w:val="center"/>
          </w:tcPr>
          <w:p>
            <w:pPr>
              <w:jc w:val="center"/>
              <w:rPr>
                <w:rFonts w:cs="Tahoma"/>
                <w:sz w:val="20"/>
                <w:szCs w:val="20"/>
              </w:rPr>
            </w:pP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刮泥机拆除</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1.刮泥机拆除</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电缆拆除</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1.动力电缆拆除</w:t>
            </w:r>
            <w:r>
              <w:rPr>
                <w:rFonts w:hint="eastAsia" w:cs="Tahoma"/>
                <w:sz w:val="20"/>
                <w:szCs w:val="20"/>
              </w:rPr>
              <w:br w:type="textWrapping"/>
            </w:r>
            <w:r>
              <w:rPr>
                <w:rFonts w:hint="eastAsia" w:cs="Tahoma"/>
                <w:sz w:val="20"/>
                <w:szCs w:val="20"/>
              </w:rPr>
              <w:t>2.控制电缆拆除</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电缆安装</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1.动力电缆安装</w:t>
            </w:r>
            <w:r>
              <w:rPr>
                <w:rFonts w:hint="eastAsia" w:cs="Tahoma"/>
                <w:sz w:val="20"/>
                <w:szCs w:val="20"/>
              </w:rPr>
              <w:br w:type="textWrapping"/>
            </w:r>
            <w:r>
              <w:rPr>
                <w:rFonts w:hint="eastAsia" w:cs="Tahoma"/>
                <w:sz w:val="20"/>
                <w:szCs w:val="20"/>
              </w:rPr>
              <w:t>2.控制电缆安装</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刮吸泥机安装</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1.中心传动半桥式单管吸泥机主机（双侧吸泥管和桁架（D=50m，转速n=0.018rpm，N=0.55kW）齿轮箱铸铁油漆防腐，工作桥为不锈钢304，其它钢部件采用不锈钢304</w:t>
            </w:r>
            <w:r>
              <w:rPr>
                <w:rFonts w:hint="eastAsia" w:cs="Tahoma"/>
                <w:sz w:val="20"/>
                <w:szCs w:val="20"/>
              </w:rPr>
              <w:br w:type="textWrapping"/>
            </w:r>
            <w:r>
              <w:rPr>
                <w:rFonts w:hint="eastAsia" w:cs="Tahoma"/>
                <w:sz w:val="20"/>
                <w:szCs w:val="20"/>
              </w:rPr>
              <w:t>2.包含不锈钢304配套附件安装： 出水堰板、浮渣挡板、挡水裙板、配水孔管、折射板、排渣堰门、套筒阀</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刮泥机试运转</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1.刮泥机试运转</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p>
        </w:tc>
        <w:tc>
          <w:tcPr>
            <w:tcW w:w="1389" w:type="dxa"/>
            <w:vAlign w:val="center"/>
          </w:tcPr>
          <w:p>
            <w:pPr>
              <w:jc w:val="center"/>
              <w:rPr>
                <w:rFonts w:cs="Tahoma"/>
                <w:sz w:val="20"/>
                <w:szCs w:val="20"/>
              </w:rPr>
            </w:pPr>
            <w:r>
              <w:rPr>
                <w:rFonts w:hint="eastAsia" w:cs="Tahoma"/>
                <w:sz w:val="20"/>
                <w:szCs w:val="20"/>
              </w:rPr>
              <w:t>措施项目</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p>
        </w:tc>
        <w:tc>
          <w:tcPr>
            <w:tcW w:w="1066" w:type="dxa"/>
            <w:vAlign w:val="center"/>
          </w:tcPr>
          <w:p>
            <w:pPr>
              <w:jc w:val="center"/>
              <w:rPr>
                <w:rFonts w:cs="Tahoma"/>
                <w:sz w:val="20"/>
                <w:szCs w:val="20"/>
              </w:rPr>
            </w:pP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刮泥机更换增加措施费</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1.鼓风机通风 能力8(m3/min)15台班/台*4台</w:t>
            </w:r>
            <w:r>
              <w:rPr>
                <w:rFonts w:hint="eastAsia" w:cs="Tahoma"/>
                <w:sz w:val="20"/>
                <w:szCs w:val="20"/>
              </w:rPr>
              <w:br w:type="textWrapping"/>
            </w:r>
            <w:r>
              <w:rPr>
                <w:rFonts w:hint="eastAsia" w:cs="Tahoma"/>
                <w:sz w:val="20"/>
                <w:szCs w:val="20"/>
              </w:rPr>
              <w:t>2.气体检测15台班/台*4台</w:t>
            </w:r>
            <w:r>
              <w:rPr>
                <w:rFonts w:hint="eastAsia" w:cs="Tahoma"/>
                <w:sz w:val="20"/>
                <w:szCs w:val="20"/>
              </w:rPr>
              <w:br w:type="textWrapping"/>
            </w:r>
            <w:r>
              <w:rPr>
                <w:rFonts w:hint="eastAsia" w:cs="Tahoma"/>
                <w:sz w:val="20"/>
                <w:szCs w:val="20"/>
              </w:rPr>
              <w:t>3.记录员记录及现场监护人7工日/台*4台</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起重机</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1.提升质量100t，5台班/台*4台</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台班</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20</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高层施工增加</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　</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项</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389" w:type="dxa"/>
            <w:vAlign w:val="center"/>
          </w:tcPr>
          <w:p>
            <w:pPr>
              <w:jc w:val="center"/>
              <w:rPr>
                <w:rFonts w:cs="Tahoma"/>
                <w:sz w:val="20"/>
                <w:szCs w:val="20"/>
              </w:rPr>
            </w:pPr>
            <w:r>
              <w:rPr>
                <w:rFonts w:hint="eastAsia" w:cs="Tahoma"/>
                <w:sz w:val="20"/>
                <w:szCs w:val="20"/>
              </w:rPr>
              <w:t>脚手架搭拆费</w:t>
            </w:r>
          </w:p>
        </w:tc>
        <w:tc>
          <w:tcPr>
            <w:tcW w:w="2853" w:type="dxa"/>
            <w:vAlign w:val="center"/>
          </w:tcPr>
          <w:p>
            <w:pPr>
              <w:jc w:val="center"/>
              <w:rPr>
                <w:rFonts w:cs="Tahoma"/>
                <w:sz w:val="20"/>
                <w:szCs w:val="20"/>
              </w:rPr>
            </w:pPr>
            <w:r>
              <w:rPr>
                <w:rFonts w:hint="eastAsia" w:cs="Tahoma"/>
                <w:sz w:val="20"/>
                <w:szCs w:val="20"/>
              </w:rPr>
              <w:t>　</w:t>
            </w:r>
          </w:p>
        </w:tc>
        <w:tc>
          <w:tcPr>
            <w:tcW w:w="846" w:type="dxa"/>
            <w:vAlign w:val="center"/>
          </w:tcPr>
          <w:p>
            <w:pPr>
              <w:jc w:val="center"/>
              <w:rPr>
                <w:rFonts w:cs="Tahoma"/>
                <w:sz w:val="20"/>
                <w:szCs w:val="20"/>
              </w:rPr>
            </w:pPr>
            <w:r>
              <w:rPr>
                <w:rFonts w:hint="eastAsia" w:cs="Tahoma"/>
                <w:sz w:val="20"/>
                <w:szCs w:val="20"/>
              </w:rPr>
              <w:t>项</w:t>
            </w:r>
          </w:p>
        </w:tc>
        <w:tc>
          <w:tcPr>
            <w:tcW w:w="1066" w:type="dxa"/>
            <w:vAlign w:val="center"/>
          </w:tcPr>
          <w:p>
            <w:pPr>
              <w:jc w:val="center"/>
              <w:rPr>
                <w:rFonts w:cs="Tahoma"/>
                <w:sz w:val="20"/>
                <w:szCs w:val="20"/>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p>
        </w:tc>
        <w:tc>
          <w:tcPr>
            <w:tcW w:w="1389" w:type="dxa"/>
            <w:vAlign w:val="center"/>
          </w:tcPr>
          <w:p>
            <w:pPr>
              <w:jc w:val="center"/>
              <w:rPr>
                <w:rFonts w:cs="Tahoma"/>
                <w:sz w:val="20"/>
                <w:szCs w:val="20"/>
              </w:rPr>
            </w:pPr>
            <w:r>
              <w:rPr>
                <w:rFonts w:hint="eastAsia" w:cs="Tahoma"/>
                <w:sz w:val="20"/>
                <w:szCs w:val="20"/>
              </w:rPr>
              <w:t>其它措施费</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p>
        </w:tc>
        <w:tc>
          <w:tcPr>
            <w:tcW w:w="1066" w:type="dxa"/>
            <w:vAlign w:val="center"/>
          </w:tcPr>
          <w:p>
            <w:pPr>
              <w:jc w:val="center"/>
              <w:rPr>
                <w:rFonts w:cs="Tahoma"/>
                <w:sz w:val="20"/>
                <w:szCs w:val="20"/>
              </w:rPr>
            </w:pP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4" w:hRule="atLeast"/>
        </w:trPr>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89" w:type="dxa"/>
            <w:vAlign w:val="center"/>
          </w:tcPr>
          <w:p>
            <w:pPr>
              <w:jc w:val="center"/>
              <w:rPr>
                <w:rFonts w:cs="Tahoma"/>
                <w:sz w:val="20"/>
                <w:szCs w:val="20"/>
              </w:rPr>
            </w:pPr>
            <w:r>
              <w:rPr>
                <w:rFonts w:hint="eastAsia" w:cs="Tahoma"/>
                <w:sz w:val="20"/>
                <w:szCs w:val="20"/>
              </w:rPr>
              <w:t>绿色施工安全防护措施费</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r>
              <w:rPr>
                <w:rFonts w:hint="eastAsia" w:cs="Tahoma"/>
                <w:sz w:val="20"/>
                <w:szCs w:val="20"/>
              </w:rPr>
              <w:t>项</w:t>
            </w:r>
          </w:p>
        </w:tc>
        <w:tc>
          <w:tcPr>
            <w:tcW w:w="1066" w:type="dxa"/>
            <w:vAlign w:val="center"/>
          </w:tcPr>
          <w:p>
            <w:pPr>
              <w:jc w:val="center"/>
              <w:rPr>
                <w:rFonts w:cs="Tahoma"/>
                <w:sz w:val="20"/>
                <w:szCs w:val="20"/>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5" w:hRule="atLeast"/>
        </w:trPr>
        <w:tc>
          <w:tcPr>
            <w:tcW w:w="758" w:type="dxa"/>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4"/>
              </w:rPr>
              <w:t>序号</w:t>
            </w:r>
          </w:p>
        </w:tc>
        <w:tc>
          <w:tcPr>
            <w:tcW w:w="1389" w:type="dxa"/>
            <w:vAlign w:val="center"/>
          </w:tcPr>
          <w:p>
            <w:pPr>
              <w:jc w:val="center"/>
              <w:rPr>
                <w:rFonts w:cs="Tahoma"/>
                <w:sz w:val="20"/>
                <w:szCs w:val="20"/>
              </w:rPr>
            </w:pPr>
            <w:r>
              <w:rPr>
                <w:rFonts w:hint="eastAsia"/>
                <w:sz w:val="20"/>
                <w:szCs w:val="20"/>
              </w:rPr>
              <w:t>项目名称</w:t>
            </w:r>
          </w:p>
        </w:tc>
        <w:tc>
          <w:tcPr>
            <w:tcW w:w="2853" w:type="dxa"/>
            <w:vAlign w:val="center"/>
          </w:tcPr>
          <w:p>
            <w:pPr>
              <w:jc w:val="center"/>
              <w:rPr>
                <w:rFonts w:cs="Tahoma"/>
                <w:sz w:val="20"/>
                <w:szCs w:val="20"/>
              </w:rPr>
            </w:pPr>
            <w:r>
              <w:rPr>
                <w:rFonts w:hint="eastAsia"/>
                <w:sz w:val="20"/>
                <w:szCs w:val="20"/>
              </w:rPr>
              <w:t>项目特征描述</w:t>
            </w:r>
          </w:p>
        </w:tc>
        <w:tc>
          <w:tcPr>
            <w:tcW w:w="846" w:type="dxa"/>
            <w:vAlign w:val="center"/>
          </w:tcPr>
          <w:p>
            <w:pPr>
              <w:jc w:val="center"/>
              <w:rPr>
                <w:rFonts w:cs="Tahoma"/>
                <w:sz w:val="20"/>
                <w:szCs w:val="20"/>
              </w:rPr>
            </w:pPr>
            <w:r>
              <w:rPr>
                <w:rFonts w:hint="eastAsia"/>
                <w:sz w:val="20"/>
                <w:szCs w:val="20"/>
              </w:rPr>
              <w:t>计量单位</w:t>
            </w:r>
          </w:p>
        </w:tc>
        <w:tc>
          <w:tcPr>
            <w:tcW w:w="1066" w:type="dxa"/>
            <w:vAlign w:val="center"/>
          </w:tcPr>
          <w:p>
            <w:pPr>
              <w:jc w:val="center"/>
              <w:rPr>
                <w:rFonts w:cs="Tahoma"/>
                <w:sz w:val="20"/>
                <w:szCs w:val="20"/>
              </w:rPr>
            </w:pPr>
            <w:r>
              <w:rPr>
                <w:rFonts w:hint="eastAsia"/>
                <w:sz w:val="20"/>
                <w:szCs w:val="20"/>
              </w:rPr>
              <w:t>工程量</w:t>
            </w:r>
          </w:p>
        </w:tc>
        <w:tc>
          <w:tcPr>
            <w:tcW w:w="1134" w:type="dxa"/>
            <w:vAlign w:val="center"/>
          </w:tcPr>
          <w:p>
            <w:pPr>
              <w:jc w:val="center"/>
              <w:rPr>
                <w:sz w:val="20"/>
                <w:szCs w:val="20"/>
              </w:rPr>
            </w:pPr>
            <w:r>
              <w:rPr>
                <w:rFonts w:hint="eastAsia"/>
                <w:sz w:val="20"/>
                <w:szCs w:val="20"/>
              </w:rPr>
              <w:t>综合单价</w:t>
            </w:r>
          </w:p>
        </w:tc>
        <w:tc>
          <w:tcPr>
            <w:tcW w:w="1533" w:type="dxa"/>
            <w:vAlign w:val="center"/>
          </w:tcPr>
          <w:p>
            <w:pPr>
              <w:jc w:val="center"/>
              <w:rPr>
                <w:sz w:val="20"/>
                <w:szCs w:val="20"/>
              </w:rPr>
            </w:pPr>
            <w:r>
              <w:rPr>
                <w:rFonts w:hint="eastAsia"/>
                <w:sz w:val="20"/>
                <w:szCs w:val="20"/>
              </w:rPr>
              <w:t>综合合价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89" w:type="dxa"/>
            <w:vAlign w:val="center"/>
          </w:tcPr>
          <w:p>
            <w:pPr>
              <w:jc w:val="center"/>
              <w:rPr>
                <w:rFonts w:cs="Tahoma"/>
                <w:sz w:val="20"/>
                <w:szCs w:val="20"/>
              </w:rPr>
            </w:pPr>
            <w:r>
              <w:rPr>
                <w:rFonts w:hint="eastAsia" w:cs="Tahoma"/>
                <w:sz w:val="20"/>
                <w:szCs w:val="20"/>
              </w:rPr>
              <w:t>地下（暗）室、设备及大口径管道内等特殊施工部位进行施工增加费</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r>
              <w:rPr>
                <w:rFonts w:hint="eastAsia" w:cs="Tahoma"/>
                <w:sz w:val="20"/>
                <w:szCs w:val="20"/>
              </w:rPr>
              <w:t>项</w:t>
            </w:r>
          </w:p>
        </w:tc>
        <w:tc>
          <w:tcPr>
            <w:tcW w:w="1066" w:type="dxa"/>
            <w:vAlign w:val="center"/>
          </w:tcPr>
          <w:p>
            <w:pPr>
              <w:jc w:val="center"/>
              <w:rPr>
                <w:rFonts w:cs="Tahoma"/>
                <w:sz w:val="20"/>
                <w:szCs w:val="20"/>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3" w:hRule="atLeast"/>
        </w:trPr>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389" w:type="dxa"/>
            <w:vAlign w:val="center"/>
          </w:tcPr>
          <w:p>
            <w:pPr>
              <w:jc w:val="center"/>
              <w:rPr>
                <w:rFonts w:cs="Tahoma"/>
                <w:sz w:val="20"/>
                <w:szCs w:val="20"/>
              </w:rPr>
            </w:pPr>
            <w:r>
              <w:rPr>
                <w:rFonts w:hint="eastAsia" w:cs="Tahoma"/>
                <w:sz w:val="20"/>
                <w:szCs w:val="20"/>
              </w:rPr>
              <w:t>预算包干费</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r>
              <w:rPr>
                <w:rFonts w:hint="eastAsia" w:cs="Tahoma"/>
                <w:sz w:val="20"/>
                <w:szCs w:val="20"/>
              </w:rPr>
              <w:t>项</w:t>
            </w:r>
          </w:p>
        </w:tc>
        <w:tc>
          <w:tcPr>
            <w:tcW w:w="1066" w:type="dxa"/>
            <w:vAlign w:val="center"/>
          </w:tcPr>
          <w:p>
            <w:pPr>
              <w:jc w:val="center"/>
              <w:rPr>
                <w:rFonts w:cs="Tahoma"/>
                <w:sz w:val="20"/>
                <w:szCs w:val="20"/>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7" w:hRule="atLeast"/>
        </w:trPr>
        <w:tc>
          <w:tcPr>
            <w:tcW w:w="2147" w:type="dxa"/>
            <w:gridSpan w:val="2"/>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总</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价</w:t>
            </w:r>
            <w:r>
              <w:rPr>
                <w:rFonts w:hint="eastAsia" w:ascii="仿宋_GB2312" w:hAnsi="仿宋_GB2312" w:eastAsia="仿宋_GB2312" w:cs="仿宋_GB2312"/>
                <w:sz w:val="28"/>
                <w:szCs w:val="28"/>
              </w:rPr>
              <w:t>：</w:t>
            </w:r>
          </w:p>
        </w:tc>
        <w:tc>
          <w:tcPr>
            <w:tcW w:w="5899" w:type="dxa"/>
            <w:gridSpan w:val="4"/>
            <w:vAlign w:val="center"/>
          </w:tcPr>
          <w:p>
            <w:pPr>
              <w:jc w:val="center"/>
              <w:rPr>
                <w:rFonts w:ascii="仿宋_GB2312" w:hAnsi="仿宋_GB2312" w:eastAsia="仿宋_GB2312" w:cs="仿宋_GB2312"/>
                <w:sz w:val="28"/>
                <w:szCs w:val="28"/>
              </w:rPr>
            </w:pPr>
          </w:p>
        </w:tc>
        <w:tc>
          <w:tcPr>
            <w:tcW w:w="1533" w:type="dxa"/>
            <w:vAlign w:val="center"/>
          </w:tcPr>
          <w:p>
            <w:pPr>
              <w:jc w:val="center"/>
              <w:rPr>
                <w:rFonts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9" w:hRule="atLeast"/>
        </w:trPr>
        <w:tc>
          <w:tcPr>
            <w:tcW w:w="2147" w:type="dxa"/>
            <w:gridSpan w:val="2"/>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含税总价</w:t>
            </w:r>
            <w:r>
              <w:rPr>
                <w:rFonts w:hint="eastAsia" w:ascii="仿宋_GB2312" w:hAnsi="仿宋_GB2312" w:eastAsia="仿宋_GB2312" w:cs="仿宋_GB2312"/>
                <w:sz w:val="28"/>
                <w:szCs w:val="28"/>
              </w:rPr>
              <w:t>：</w:t>
            </w:r>
          </w:p>
        </w:tc>
        <w:tc>
          <w:tcPr>
            <w:tcW w:w="5899" w:type="dxa"/>
            <w:gridSpan w:val="4"/>
            <w:vAlign w:val="center"/>
          </w:tcPr>
          <w:p>
            <w:pPr>
              <w:jc w:val="center"/>
              <w:rPr>
                <w:rFonts w:ascii="仿宋_GB2312" w:hAnsi="仿宋_GB2312" w:eastAsia="仿宋_GB2312" w:cs="仿宋_GB2312"/>
                <w:sz w:val="28"/>
                <w:szCs w:val="28"/>
              </w:rPr>
            </w:pPr>
            <w:r>
              <w:rPr>
                <w:rFonts w:hint="eastAsia" w:ascii="仿宋_GB2312" w:hAnsi="??_GB2312" w:eastAsia="仿宋_GB2312" w:cs="宋体"/>
                <w:color w:val="000000" w:themeColor="text1"/>
                <w:kern w:val="0"/>
                <w:sz w:val="28"/>
                <w:szCs w:val="28"/>
                <w14:textFill>
                  <w14:solidFill>
                    <w14:schemeClr w14:val="tx1"/>
                  </w14:solidFill>
                </w14:textFill>
              </w:rPr>
              <w:t>税率</w:t>
            </w:r>
            <w:r>
              <w:rPr>
                <w:rFonts w:hint="eastAsia" w:ascii="仿宋_GB2312" w:hAnsi="??_GB2312" w:eastAsia="仿宋_GB2312" w:cs="宋体"/>
                <w:color w:val="000000" w:themeColor="text1"/>
                <w:kern w:val="0"/>
                <w:sz w:val="28"/>
                <w:szCs w:val="28"/>
                <w:u w:val="single"/>
                <w14:textFill>
                  <w14:solidFill>
                    <w14:schemeClr w14:val="tx1"/>
                  </w14:solidFill>
                </w14:textFill>
              </w:rPr>
              <w:t xml:space="preserve">      </w:t>
            </w:r>
            <w:r>
              <w:rPr>
                <w:rFonts w:hint="eastAsia" w:ascii="仿宋_GB2312" w:hAnsi="??_GB2312" w:eastAsia="仿宋_GB2312" w:cs="宋体"/>
                <w:color w:val="000000" w:themeColor="text1"/>
                <w:kern w:val="0"/>
                <w:sz w:val="28"/>
                <w:szCs w:val="28"/>
                <w14:textFill>
                  <w14:solidFill>
                    <w14:schemeClr w14:val="tx1"/>
                  </w14:solidFill>
                </w14:textFill>
              </w:rPr>
              <w:t>%</w:t>
            </w:r>
          </w:p>
        </w:tc>
        <w:tc>
          <w:tcPr>
            <w:tcW w:w="1533" w:type="dxa"/>
            <w:vAlign w:val="center"/>
          </w:tcPr>
          <w:p>
            <w:pPr>
              <w:jc w:val="center"/>
              <w:rPr>
                <w:rFonts w:ascii="仿宋_GB2312" w:hAnsi="仿宋_GB2312" w:eastAsia="仿宋_GB2312" w:cs="仿宋_GB2312"/>
                <w:sz w:val="28"/>
                <w:szCs w:val="28"/>
              </w:rPr>
            </w:pPr>
          </w:p>
        </w:tc>
      </w:tr>
    </w:tbl>
    <w:p>
      <w:pPr>
        <w:spacing w:line="360" w:lineRule="auto"/>
        <w:rPr>
          <w:rFonts w:ascii="宋体" w:hAnsi="宋体" w:cs="宋体"/>
          <w:sz w:val="24"/>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附件5 ：项目投入人员架构表</w:t>
      </w:r>
    </w:p>
    <w:p>
      <w:pPr>
        <w:spacing w:line="360" w:lineRule="auto"/>
        <w:rPr>
          <w:rFonts w:ascii="宋体" w:hAnsi="宋体" w:cs="宋体"/>
          <w:sz w:val="24"/>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附件6： 职业卫生管理协议书</w:t>
      </w:r>
    </w:p>
    <w:p>
      <w:pPr>
        <w:spacing w:line="360" w:lineRule="auto"/>
        <w:jc w:val="left"/>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职业卫生管理协议书</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pStyle w:val="19"/>
        <w:spacing w:before="0" w:beforeAutospacing="0" w:after="0" w:afterAutospacing="0" w:line="360" w:lineRule="auto"/>
        <w:ind w:firstLine="480" w:firstLineChars="200"/>
        <w:rPr>
          <w:rFonts w:cs="宋体"/>
          <w:color w:val="auto"/>
        </w:rPr>
      </w:pPr>
    </w:p>
    <w:p>
      <w:pPr>
        <w:pStyle w:val="19"/>
        <w:spacing w:before="0" w:beforeAutospacing="0" w:after="0" w:afterAutospacing="0" w:line="360" w:lineRule="auto"/>
        <w:ind w:firstLine="480" w:firstLineChars="200"/>
        <w:rPr>
          <w:rFonts w:cs="宋体"/>
          <w:color w:val="auto"/>
        </w:rPr>
      </w:pPr>
      <w:r>
        <w:rPr>
          <w:rFonts w:hint="eastAsia" w:cs="宋体"/>
          <w:color w:val="auto"/>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pStyle w:val="19"/>
        <w:spacing w:before="0" w:beforeAutospacing="0" w:after="0" w:afterAutospacing="0" w:line="360" w:lineRule="auto"/>
        <w:ind w:firstLine="360" w:firstLineChars="150"/>
        <w:rPr>
          <w:rFonts w:cs="宋体"/>
          <w:color w:val="auto"/>
        </w:rPr>
      </w:pPr>
      <w:r>
        <w:rPr>
          <w:rFonts w:hint="eastAsia" w:cs="宋体"/>
          <w:color w:val="auto"/>
        </w:rPr>
        <w:t>一、甲方的职业卫生管理责任</w:t>
      </w:r>
    </w:p>
    <w:p>
      <w:pPr>
        <w:pStyle w:val="19"/>
        <w:spacing w:before="0" w:beforeAutospacing="0" w:after="0" w:afterAutospacing="0" w:line="360" w:lineRule="auto"/>
        <w:ind w:firstLine="360" w:firstLineChars="150"/>
        <w:rPr>
          <w:rFonts w:cs="宋体"/>
          <w:color w:val="auto"/>
        </w:rPr>
      </w:pPr>
      <w:r>
        <w:rPr>
          <w:rFonts w:hint="eastAsia" w:cs="宋体"/>
          <w:color w:val="auto"/>
        </w:rPr>
        <w:t>1、甲方有权对乙方职业卫生安全进行监督、指导、检查，发现危害的问题的，及时督促整改。</w:t>
      </w:r>
    </w:p>
    <w:p>
      <w:pPr>
        <w:pStyle w:val="19"/>
        <w:spacing w:before="0" w:beforeAutospacing="0" w:after="0" w:afterAutospacing="0" w:line="360" w:lineRule="auto"/>
        <w:ind w:firstLine="360" w:firstLineChars="150"/>
        <w:rPr>
          <w:rFonts w:cs="宋体"/>
          <w:color w:val="auto"/>
        </w:rPr>
      </w:pPr>
      <w:r>
        <w:rPr>
          <w:rFonts w:hint="eastAsia" w:cs="宋体"/>
          <w:color w:val="auto"/>
        </w:rPr>
        <w:t>2、甲方应按照相关法律法规要求开展职业病危害因素定期检测或相关评价。</w:t>
      </w:r>
    </w:p>
    <w:p>
      <w:pPr>
        <w:pStyle w:val="19"/>
        <w:spacing w:before="0" w:beforeAutospacing="0" w:after="0" w:afterAutospacing="0" w:line="360" w:lineRule="auto"/>
        <w:ind w:firstLine="360" w:firstLineChars="150"/>
        <w:rPr>
          <w:rFonts w:cs="宋体"/>
          <w:color w:val="auto"/>
        </w:rPr>
      </w:pPr>
      <w:r>
        <w:rPr>
          <w:rFonts w:hint="eastAsia" w:cs="宋体"/>
          <w:color w:val="auto"/>
        </w:rPr>
        <w:t>3、甲方应在工作场所设置危害因素告知卡（牌）以及警示标识等。</w:t>
      </w:r>
    </w:p>
    <w:p>
      <w:pPr>
        <w:pStyle w:val="19"/>
        <w:spacing w:before="0" w:beforeAutospacing="0" w:after="0" w:afterAutospacing="0" w:line="360" w:lineRule="auto"/>
        <w:ind w:firstLine="360" w:firstLineChars="150"/>
        <w:rPr>
          <w:rFonts w:cs="宋体"/>
          <w:color w:val="auto"/>
        </w:rPr>
      </w:pPr>
      <w:r>
        <w:rPr>
          <w:rFonts w:hint="eastAsia" w:cs="宋体"/>
          <w:color w:val="auto"/>
        </w:rPr>
        <w:t>4、甲方有权监督乙方为劳动者发放符合国家职业卫生标准的防护用品，并督促其正确佩戴和使用。</w:t>
      </w:r>
    </w:p>
    <w:p>
      <w:pPr>
        <w:pStyle w:val="19"/>
        <w:spacing w:before="0" w:beforeAutospacing="0" w:after="0" w:afterAutospacing="0" w:line="360" w:lineRule="auto"/>
        <w:ind w:firstLine="360" w:firstLineChars="150"/>
        <w:rPr>
          <w:rFonts w:cs="宋体"/>
          <w:color w:val="auto"/>
        </w:rPr>
      </w:pPr>
      <w:r>
        <w:rPr>
          <w:rFonts w:hint="eastAsia" w:cs="宋体"/>
          <w:color w:val="auto"/>
        </w:rPr>
        <w:t>5、甲方有权查验乙方的职业卫生条件和相应资质证照。</w:t>
      </w:r>
    </w:p>
    <w:p>
      <w:pPr>
        <w:pStyle w:val="19"/>
        <w:spacing w:before="0" w:beforeAutospacing="0" w:after="0" w:afterAutospacing="0" w:line="360" w:lineRule="auto"/>
        <w:ind w:firstLine="360" w:firstLineChars="150"/>
        <w:rPr>
          <w:rFonts w:cs="宋体"/>
          <w:color w:val="auto"/>
        </w:rPr>
      </w:pPr>
      <w:r>
        <w:rPr>
          <w:rFonts w:hint="eastAsia" w:cs="宋体"/>
          <w:color w:val="auto"/>
        </w:rPr>
        <w:t>6、甲方有权责令职业卫生管理不到位、存在重大安全隐患或发生安全事故乙方限期退场，或者解除合同。</w:t>
      </w:r>
    </w:p>
    <w:p>
      <w:pPr>
        <w:pStyle w:val="19"/>
        <w:spacing w:before="0" w:beforeAutospacing="0" w:after="0" w:afterAutospacing="0" w:line="360" w:lineRule="auto"/>
        <w:ind w:firstLine="240" w:firstLineChars="100"/>
        <w:rPr>
          <w:rFonts w:cs="宋体"/>
          <w:color w:val="auto"/>
        </w:rPr>
      </w:pPr>
      <w:r>
        <w:rPr>
          <w:rFonts w:hint="eastAsia" w:cs="宋体"/>
          <w:color w:val="auto"/>
        </w:rPr>
        <w:t>二、乙方的职业卫生管理责任</w:t>
      </w:r>
    </w:p>
    <w:p>
      <w:pPr>
        <w:pStyle w:val="19"/>
        <w:spacing w:before="0" w:beforeAutospacing="0" w:after="0" w:afterAutospacing="0" w:line="360" w:lineRule="auto"/>
        <w:ind w:left="360"/>
        <w:rPr>
          <w:rFonts w:cs="宋体"/>
          <w:color w:val="auto"/>
        </w:rPr>
      </w:pPr>
      <w:r>
        <w:rPr>
          <w:rFonts w:hint="eastAsia" w:cs="宋体"/>
          <w:color w:val="auto"/>
        </w:rPr>
        <w:t>1、乙方应遵守有关职业病防治法律法规、规章规程及甲方依此制订的相关制度规定。</w:t>
      </w:r>
    </w:p>
    <w:p>
      <w:pPr>
        <w:pStyle w:val="19"/>
        <w:spacing w:before="0" w:beforeAutospacing="0" w:after="0" w:afterAutospacing="0" w:line="360" w:lineRule="auto"/>
        <w:ind w:left="360"/>
        <w:rPr>
          <w:rFonts w:cs="宋体"/>
          <w:color w:val="auto"/>
        </w:rPr>
      </w:pPr>
      <w:r>
        <w:rPr>
          <w:rFonts w:hint="eastAsia" w:cs="宋体"/>
          <w:color w:val="auto"/>
        </w:rPr>
        <w:t>2、乙方负责为劳动者提供上岗前、在岗期间、离岗职业病体检，并将体检报告留档备查。有职业禁忌症、疑似职业病或职业病诊断情形者，不得从事有害工作场所作业。</w:t>
      </w:r>
    </w:p>
    <w:p>
      <w:pPr>
        <w:pStyle w:val="19"/>
        <w:spacing w:before="0" w:beforeAutospacing="0" w:after="0" w:afterAutospacing="0" w:line="360" w:lineRule="auto"/>
        <w:ind w:left="360"/>
        <w:rPr>
          <w:rFonts w:cs="宋体"/>
          <w:color w:val="auto"/>
        </w:rPr>
      </w:pPr>
      <w:r>
        <w:rPr>
          <w:rFonts w:hint="eastAsia" w:cs="宋体"/>
          <w:color w:val="auto"/>
        </w:rPr>
        <w:t>4、乙方负责将工作场所职业危害告知劳动者并针对工作场所存在的危害因素种类及防护措施对劳动者实施岗前职业卫生教育培训，培训资料留档备查。</w:t>
      </w:r>
    </w:p>
    <w:p>
      <w:pPr>
        <w:pStyle w:val="19"/>
        <w:spacing w:before="0" w:beforeAutospacing="0" w:after="0" w:afterAutospacing="0" w:line="360" w:lineRule="auto"/>
        <w:ind w:left="360"/>
        <w:rPr>
          <w:rFonts w:cs="宋体"/>
          <w:color w:val="auto"/>
        </w:rPr>
      </w:pPr>
      <w:r>
        <w:rPr>
          <w:rFonts w:hint="eastAsia" w:cs="宋体"/>
          <w:color w:val="auto"/>
        </w:rPr>
        <w:t>5、乙方负责为劳动者提供符合个人防护用品选用规范要求的防护用品，并监督、督促其正确佩戴和使用。</w:t>
      </w:r>
    </w:p>
    <w:p>
      <w:pPr>
        <w:pStyle w:val="19"/>
        <w:spacing w:before="0" w:beforeAutospacing="0" w:after="0" w:afterAutospacing="0" w:line="360" w:lineRule="auto"/>
        <w:ind w:left="360"/>
        <w:rPr>
          <w:rFonts w:cs="宋体"/>
          <w:color w:val="auto"/>
        </w:rPr>
      </w:pPr>
      <w:r>
        <w:rPr>
          <w:rFonts w:hint="eastAsia" w:cs="宋体"/>
          <w:color w:val="auto"/>
        </w:rPr>
        <w:t>6、如发生职业卫生安全事故，乙方应根据事故应急救援预案组织施救，并负责向事故发生地安监部门、行业主管部门和广州市规定的相关政府部门报告，并同时上报甲方代表。</w:t>
      </w:r>
    </w:p>
    <w:p>
      <w:pPr>
        <w:pStyle w:val="19"/>
        <w:spacing w:before="0" w:beforeAutospacing="0" w:after="0" w:afterAutospacing="0" w:line="360" w:lineRule="auto"/>
        <w:ind w:firstLine="480" w:firstLineChars="200"/>
        <w:rPr>
          <w:rFonts w:cs="宋体"/>
          <w:color w:val="auto"/>
        </w:rPr>
      </w:pPr>
      <w:r>
        <w:rPr>
          <w:rFonts w:hint="eastAsia" w:cs="宋体"/>
          <w:color w:val="auto"/>
        </w:rPr>
        <w:t>甲方(盖章)                       乙方(盖章)</w:t>
      </w:r>
    </w:p>
    <w:p>
      <w:pPr>
        <w:pStyle w:val="19"/>
        <w:spacing w:before="0" w:beforeAutospacing="0" w:after="0" w:afterAutospacing="0" w:line="360" w:lineRule="auto"/>
        <w:ind w:firstLine="480" w:firstLineChars="200"/>
        <w:rPr>
          <w:rFonts w:cs="宋体"/>
          <w:color w:val="auto"/>
        </w:rPr>
      </w:pPr>
    </w:p>
    <w:p>
      <w:pPr>
        <w:pStyle w:val="19"/>
        <w:spacing w:before="0" w:beforeAutospacing="0" w:after="0" w:afterAutospacing="0" w:line="360" w:lineRule="auto"/>
        <w:ind w:left="1140" w:leftChars="200" w:hanging="720" w:hangingChars="300"/>
        <w:rPr>
          <w:rFonts w:cs="宋体"/>
          <w:color w:val="auto"/>
        </w:rPr>
      </w:pPr>
      <w:r>
        <w:rPr>
          <w:rFonts w:hint="eastAsia" w:cs="宋体"/>
          <w:color w:val="auto"/>
        </w:rPr>
        <w:t>甲方代表(签字) ：               乙方代表(签字)：                    年   月   日                             年   月   日</w:t>
      </w:r>
    </w:p>
    <w:p>
      <w:pPr>
        <w:pStyle w:val="3"/>
        <w:spacing w:line="360" w:lineRule="auto"/>
        <w:rPr>
          <w:rFonts w:ascii="宋体" w:hAnsi="宋体" w:eastAsia="宋体" w:cs="宋体"/>
          <w:sz w:val="24"/>
          <w:szCs w:val="24"/>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附件7：履约保函（模板）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工作日内无条件和不可改变地向贵单位支付最高金额不超过人民币元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sz w:val="28"/>
          <w:szCs w:val="28"/>
        </w:rPr>
      </w:pPr>
    </w:p>
    <w:p>
      <w:pPr>
        <w:pStyle w:val="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 xml:space="preserve">       </w:t>
      </w:r>
      <w:r>
        <w:rPr>
          <w:rFonts w:hint="eastAsia" w:ascii="仿宋_GB2312" w:hAnsi="仿宋_GB2312" w:eastAsia="仿宋_GB2312" w:cs="仿宋_GB2312"/>
          <w:b/>
          <w:spacing w:val="100"/>
          <w:w w:val="110"/>
          <w:kern w:val="0"/>
          <w:sz w:val="28"/>
          <w:szCs w:val="28"/>
        </w:rPr>
        <w:t>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hxuca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XESKLFgsOEPh+RKZjLP8vQ+1hj1&#10;5Hfh7EU0c62DDCb/sQoyFElPF0nFkAjDzflisbidLylheDZb3n1ZoIM41ct1H2L6Lpwh2Wio1K5/&#10;7CCkB51EsJDEbhyWoi8cf8Q03v97L1OITiu+VVoXJ7T7Rx3IEbDp2/KdU74J05b0Df26LOwAJ1ni&#10;BCFR41GNaNuS782N+Bp4Wr7/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Ahxuca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du5yM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Rs6p8SCwYY/HJIrmckiy9P7WGPU&#10;k9+FsxfRzLUOMpj8xyrIUCQ9XSQVQyIMN+eLxeJ2vqSE4dlsefdlgQ7iVC/XfYjpu3CGZKOhUrv+&#10;sYOQHnQSwUISu3FYir5w/BHTeP/vvUwhOq34VmldnNDuH3UgR8Cmb8t3TvkmTFvSN/TrsrADnGSJ&#10;E4REjUc1om1Lvjc34mvgafn+B5yJbSB2I4GCkMOgNgorKlYngH+znKSTR8UtPjSayRjBKdEC32W2&#10;SmQCpa+JREG1RV1zu8YGZSsN+wFhsrl3/IStPvig2g51nhXq+QRHqzTk/Azy7L72C+jL0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Ddu5yM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证明材料</w:t>
      </w:r>
      <w:r>
        <w:rPr>
          <w:rFonts w:hint="eastAsia" w:ascii="仿宋_GB2312" w:hAnsi="仿宋_GB2312" w:eastAsia="仿宋_GB2312" w:cs="仿宋_GB2312"/>
          <w:sz w:val="28"/>
          <w:szCs w:val="28"/>
        </w:rPr>
        <w:t>准确的和真实的。</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9"/>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6"/>
        <w:ind w:left="-539" w:leftChars="-257" w:firstLine="520"/>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6"/>
        <w:ind w:firstLine="520"/>
        <w:rPr>
          <w:rFonts w:ascii="仿宋_GB2312" w:hAnsi="仿宋_GB2312" w:eastAsia="仿宋_GB2312" w:cs="仿宋_GB2312"/>
        </w:rPr>
      </w:pPr>
    </w:p>
    <w:p>
      <w:pPr>
        <w:pStyle w:val="36"/>
        <w:ind w:firstLine="520"/>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36"/>
        <w:ind w:firstLine="520"/>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36"/>
        <w:ind w:firstLine="520"/>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 工程量清单</w:t>
      </w:r>
    </w:p>
    <w:p>
      <w:pPr>
        <w:jc w:val="center"/>
        <w:rPr>
          <w:b/>
          <w:sz w:val="44"/>
          <w:szCs w:val="44"/>
        </w:rPr>
      </w:pPr>
      <w:r>
        <w:rPr>
          <w:rFonts w:hint="eastAsia"/>
          <w:b/>
          <w:sz w:val="44"/>
          <w:szCs w:val="44"/>
        </w:rPr>
        <w:t>工程量清单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8"/>
        <w:gridCol w:w="1389"/>
        <w:gridCol w:w="2853"/>
        <w:gridCol w:w="846"/>
        <w:gridCol w:w="1066"/>
        <w:gridCol w:w="1134"/>
        <w:gridCol w:w="1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序号</w:t>
            </w:r>
          </w:p>
        </w:tc>
        <w:tc>
          <w:tcPr>
            <w:tcW w:w="1389" w:type="dxa"/>
            <w:vAlign w:val="center"/>
          </w:tcPr>
          <w:p>
            <w:pPr>
              <w:jc w:val="center"/>
              <w:rPr>
                <w:rFonts w:ascii="仿宋_GB2312" w:hAnsi="仿宋_GB2312" w:eastAsia="仿宋_GB2312" w:cs="仿宋_GB2312"/>
                <w:sz w:val="28"/>
                <w:szCs w:val="28"/>
              </w:rPr>
            </w:pPr>
            <w:r>
              <w:rPr>
                <w:rFonts w:hint="eastAsia"/>
                <w:sz w:val="20"/>
                <w:szCs w:val="20"/>
              </w:rPr>
              <w:t>项目名称</w:t>
            </w:r>
          </w:p>
        </w:tc>
        <w:tc>
          <w:tcPr>
            <w:tcW w:w="2853" w:type="dxa"/>
            <w:vAlign w:val="center"/>
          </w:tcPr>
          <w:p>
            <w:pPr>
              <w:jc w:val="center"/>
              <w:rPr>
                <w:rFonts w:ascii="仿宋_GB2312" w:hAnsi="仿宋_GB2312" w:eastAsia="仿宋_GB2312" w:cs="仿宋_GB2312"/>
                <w:sz w:val="28"/>
                <w:szCs w:val="28"/>
              </w:rPr>
            </w:pPr>
            <w:r>
              <w:rPr>
                <w:rFonts w:hint="eastAsia"/>
                <w:sz w:val="20"/>
                <w:szCs w:val="20"/>
              </w:rPr>
              <w:t>项目特征描述</w:t>
            </w:r>
          </w:p>
        </w:tc>
        <w:tc>
          <w:tcPr>
            <w:tcW w:w="846" w:type="dxa"/>
            <w:vAlign w:val="center"/>
          </w:tcPr>
          <w:p>
            <w:pPr>
              <w:jc w:val="center"/>
              <w:rPr>
                <w:rFonts w:ascii="仿宋_GB2312" w:hAnsi="仿宋_GB2312" w:eastAsia="仿宋_GB2312" w:cs="仿宋_GB2312"/>
                <w:sz w:val="28"/>
                <w:szCs w:val="28"/>
              </w:rPr>
            </w:pPr>
            <w:r>
              <w:rPr>
                <w:rFonts w:hint="eastAsia"/>
                <w:sz w:val="20"/>
                <w:szCs w:val="20"/>
              </w:rPr>
              <w:t>计量单位</w:t>
            </w:r>
          </w:p>
        </w:tc>
        <w:tc>
          <w:tcPr>
            <w:tcW w:w="1066" w:type="dxa"/>
            <w:vAlign w:val="center"/>
          </w:tcPr>
          <w:p>
            <w:pPr>
              <w:jc w:val="center"/>
              <w:rPr>
                <w:rFonts w:ascii="仿宋_GB2312" w:hAnsi="仿宋_GB2312" w:eastAsia="仿宋_GB2312" w:cs="仿宋_GB2312"/>
                <w:sz w:val="28"/>
                <w:szCs w:val="28"/>
              </w:rPr>
            </w:pPr>
            <w:r>
              <w:rPr>
                <w:rFonts w:hint="eastAsia"/>
                <w:sz w:val="20"/>
                <w:szCs w:val="20"/>
              </w:rPr>
              <w:t>工程量</w:t>
            </w:r>
          </w:p>
        </w:tc>
        <w:tc>
          <w:tcPr>
            <w:tcW w:w="1134" w:type="dxa"/>
            <w:vAlign w:val="center"/>
          </w:tcPr>
          <w:p>
            <w:pPr>
              <w:jc w:val="center"/>
              <w:rPr>
                <w:sz w:val="20"/>
                <w:szCs w:val="20"/>
              </w:rPr>
            </w:pPr>
            <w:r>
              <w:rPr>
                <w:rFonts w:hint="eastAsia"/>
                <w:sz w:val="20"/>
                <w:szCs w:val="20"/>
              </w:rPr>
              <w:t>综合单价</w:t>
            </w:r>
          </w:p>
        </w:tc>
        <w:tc>
          <w:tcPr>
            <w:tcW w:w="1533" w:type="dxa"/>
            <w:vAlign w:val="center"/>
          </w:tcPr>
          <w:p>
            <w:pPr>
              <w:jc w:val="center"/>
              <w:rPr>
                <w:sz w:val="20"/>
                <w:szCs w:val="20"/>
              </w:rPr>
            </w:pPr>
            <w:r>
              <w:rPr>
                <w:rFonts w:hint="eastAsia"/>
                <w:sz w:val="20"/>
                <w:szCs w:val="20"/>
              </w:rPr>
              <w:t>综合合价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p>
        </w:tc>
        <w:tc>
          <w:tcPr>
            <w:tcW w:w="1389" w:type="dxa"/>
            <w:vAlign w:val="center"/>
          </w:tcPr>
          <w:p>
            <w:pPr>
              <w:jc w:val="center"/>
              <w:rPr>
                <w:rFonts w:cs="Tahoma"/>
                <w:sz w:val="20"/>
                <w:szCs w:val="20"/>
              </w:rPr>
            </w:pPr>
            <w:r>
              <w:rPr>
                <w:rFonts w:hint="eastAsia" w:cs="Tahoma"/>
                <w:sz w:val="20"/>
                <w:szCs w:val="20"/>
              </w:rPr>
              <w:t>整个项目</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p>
        </w:tc>
        <w:tc>
          <w:tcPr>
            <w:tcW w:w="1066" w:type="dxa"/>
            <w:vAlign w:val="center"/>
          </w:tcPr>
          <w:p>
            <w:pPr>
              <w:jc w:val="center"/>
              <w:rPr>
                <w:rFonts w:cs="Tahoma"/>
                <w:sz w:val="20"/>
                <w:szCs w:val="20"/>
              </w:rPr>
            </w:pP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刮泥机拆除</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1.刮泥机拆除</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电缆拆除</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1.动力电缆拆除</w:t>
            </w:r>
            <w:r>
              <w:rPr>
                <w:rFonts w:hint="eastAsia" w:cs="Tahoma"/>
                <w:sz w:val="20"/>
                <w:szCs w:val="20"/>
              </w:rPr>
              <w:br w:type="textWrapping"/>
            </w:r>
            <w:r>
              <w:rPr>
                <w:rFonts w:hint="eastAsia" w:cs="Tahoma"/>
                <w:sz w:val="20"/>
                <w:szCs w:val="20"/>
              </w:rPr>
              <w:t>2.控制电缆拆除</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电缆安装</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1.动力电缆安装</w:t>
            </w:r>
            <w:r>
              <w:rPr>
                <w:rFonts w:hint="eastAsia" w:cs="Tahoma"/>
                <w:sz w:val="20"/>
                <w:szCs w:val="20"/>
              </w:rPr>
              <w:br w:type="textWrapping"/>
            </w:r>
            <w:r>
              <w:rPr>
                <w:rFonts w:hint="eastAsia" w:cs="Tahoma"/>
                <w:sz w:val="20"/>
                <w:szCs w:val="20"/>
              </w:rPr>
              <w:t>2.控制电缆安装</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刮吸泥机安装</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1.中心传动半桥式单管吸泥机主机（双侧吸泥管和桁架（D=50m，转速n=0.018rpm，N=0.55kW）齿轮箱铸铁油漆防腐，工作桥为不锈钢304，其它钢部件采用不锈钢304</w:t>
            </w:r>
            <w:r>
              <w:rPr>
                <w:rFonts w:hint="eastAsia" w:cs="Tahoma"/>
                <w:sz w:val="20"/>
                <w:szCs w:val="20"/>
              </w:rPr>
              <w:br w:type="textWrapping"/>
            </w:r>
            <w:r>
              <w:rPr>
                <w:rFonts w:hint="eastAsia" w:cs="Tahoma"/>
                <w:sz w:val="20"/>
                <w:szCs w:val="20"/>
              </w:rPr>
              <w:t>2.包含不锈钢304配套附件安装： 出水堰板、浮渣挡板、挡水裙板、配水孔管、折射板、排渣堰门、套筒阀</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刮泥机试运转</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1.刮泥机试运转</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p>
        </w:tc>
        <w:tc>
          <w:tcPr>
            <w:tcW w:w="1389" w:type="dxa"/>
            <w:vAlign w:val="center"/>
          </w:tcPr>
          <w:p>
            <w:pPr>
              <w:jc w:val="center"/>
              <w:rPr>
                <w:rFonts w:cs="Tahoma"/>
                <w:sz w:val="20"/>
                <w:szCs w:val="20"/>
              </w:rPr>
            </w:pPr>
            <w:r>
              <w:rPr>
                <w:rFonts w:hint="eastAsia" w:cs="Tahoma"/>
                <w:sz w:val="20"/>
                <w:szCs w:val="20"/>
              </w:rPr>
              <w:t>措施项目</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p>
        </w:tc>
        <w:tc>
          <w:tcPr>
            <w:tcW w:w="1066" w:type="dxa"/>
            <w:vAlign w:val="center"/>
          </w:tcPr>
          <w:p>
            <w:pPr>
              <w:jc w:val="center"/>
              <w:rPr>
                <w:rFonts w:cs="Tahoma"/>
                <w:sz w:val="20"/>
                <w:szCs w:val="20"/>
              </w:rPr>
            </w:pP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刮泥机更换增加措施费</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1.鼓风机通风 能力8(m3/min)15台班/台*4台</w:t>
            </w:r>
            <w:r>
              <w:rPr>
                <w:rFonts w:hint="eastAsia" w:cs="Tahoma"/>
                <w:sz w:val="20"/>
                <w:szCs w:val="20"/>
              </w:rPr>
              <w:br w:type="textWrapping"/>
            </w:r>
            <w:r>
              <w:rPr>
                <w:rFonts w:hint="eastAsia" w:cs="Tahoma"/>
                <w:sz w:val="20"/>
                <w:szCs w:val="20"/>
              </w:rPr>
              <w:t>2.气体检测15台班/台*4台</w:t>
            </w:r>
            <w:r>
              <w:rPr>
                <w:rFonts w:hint="eastAsia" w:cs="Tahoma"/>
                <w:sz w:val="20"/>
                <w:szCs w:val="20"/>
              </w:rPr>
              <w:br w:type="textWrapping"/>
            </w:r>
            <w:r>
              <w:rPr>
                <w:rFonts w:hint="eastAsia" w:cs="Tahoma"/>
                <w:sz w:val="20"/>
                <w:szCs w:val="20"/>
              </w:rPr>
              <w:t>3.记录员记录及现场监护人7工日/台*4台</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4</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起重机</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1.提升质量100t，5台班/台*4台</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台班</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20</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389" w:type="dxa"/>
            <w:vAlign w:val="center"/>
          </w:tcPr>
          <w:p>
            <w:pPr>
              <w:jc w:val="center"/>
              <w:rPr>
                <w:rFonts w:ascii="仿宋_GB2312" w:hAnsi="仿宋_GB2312" w:eastAsia="仿宋_GB2312" w:cs="仿宋_GB2312"/>
                <w:sz w:val="28"/>
                <w:szCs w:val="28"/>
              </w:rPr>
            </w:pPr>
            <w:r>
              <w:rPr>
                <w:rFonts w:hint="eastAsia" w:cs="Tahoma"/>
                <w:sz w:val="20"/>
                <w:szCs w:val="20"/>
              </w:rPr>
              <w:t>高层施工增加</w:t>
            </w:r>
          </w:p>
        </w:tc>
        <w:tc>
          <w:tcPr>
            <w:tcW w:w="2853" w:type="dxa"/>
            <w:vAlign w:val="center"/>
          </w:tcPr>
          <w:p>
            <w:pPr>
              <w:jc w:val="center"/>
              <w:rPr>
                <w:rFonts w:ascii="仿宋_GB2312" w:hAnsi="仿宋_GB2312" w:eastAsia="仿宋_GB2312" w:cs="仿宋_GB2312"/>
                <w:sz w:val="28"/>
                <w:szCs w:val="28"/>
              </w:rPr>
            </w:pPr>
            <w:r>
              <w:rPr>
                <w:rFonts w:hint="eastAsia" w:cs="Tahoma"/>
                <w:sz w:val="20"/>
                <w:szCs w:val="20"/>
              </w:rPr>
              <w:t>　</w:t>
            </w:r>
          </w:p>
        </w:tc>
        <w:tc>
          <w:tcPr>
            <w:tcW w:w="846" w:type="dxa"/>
            <w:vAlign w:val="center"/>
          </w:tcPr>
          <w:p>
            <w:pPr>
              <w:jc w:val="center"/>
              <w:rPr>
                <w:rFonts w:ascii="仿宋_GB2312" w:hAnsi="仿宋_GB2312" w:eastAsia="仿宋_GB2312" w:cs="仿宋_GB2312"/>
                <w:sz w:val="28"/>
                <w:szCs w:val="28"/>
              </w:rPr>
            </w:pPr>
            <w:r>
              <w:rPr>
                <w:rFonts w:hint="eastAsia" w:cs="Tahoma"/>
                <w:sz w:val="20"/>
                <w:szCs w:val="20"/>
              </w:rPr>
              <w:t>项</w:t>
            </w:r>
          </w:p>
        </w:tc>
        <w:tc>
          <w:tcPr>
            <w:tcW w:w="1066" w:type="dxa"/>
            <w:vAlign w:val="center"/>
          </w:tcPr>
          <w:p>
            <w:pPr>
              <w:jc w:val="center"/>
              <w:rPr>
                <w:rFonts w:ascii="仿宋_GB2312" w:hAnsi="仿宋_GB2312" w:eastAsia="仿宋_GB2312" w:cs="仿宋_GB2312"/>
                <w:sz w:val="28"/>
                <w:szCs w:val="28"/>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389" w:type="dxa"/>
            <w:vAlign w:val="center"/>
          </w:tcPr>
          <w:p>
            <w:pPr>
              <w:jc w:val="center"/>
              <w:rPr>
                <w:rFonts w:cs="Tahoma"/>
                <w:sz w:val="20"/>
                <w:szCs w:val="20"/>
              </w:rPr>
            </w:pPr>
            <w:r>
              <w:rPr>
                <w:rFonts w:hint="eastAsia" w:cs="Tahoma"/>
                <w:sz w:val="20"/>
                <w:szCs w:val="20"/>
              </w:rPr>
              <w:t>脚手架搭拆费</w:t>
            </w:r>
          </w:p>
        </w:tc>
        <w:tc>
          <w:tcPr>
            <w:tcW w:w="2853" w:type="dxa"/>
            <w:vAlign w:val="center"/>
          </w:tcPr>
          <w:p>
            <w:pPr>
              <w:jc w:val="center"/>
              <w:rPr>
                <w:rFonts w:cs="Tahoma"/>
                <w:sz w:val="20"/>
                <w:szCs w:val="20"/>
              </w:rPr>
            </w:pPr>
            <w:r>
              <w:rPr>
                <w:rFonts w:hint="eastAsia" w:cs="Tahoma"/>
                <w:sz w:val="20"/>
                <w:szCs w:val="20"/>
              </w:rPr>
              <w:t>　</w:t>
            </w:r>
          </w:p>
        </w:tc>
        <w:tc>
          <w:tcPr>
            <w:tcW w:w="846" w:type="dxa"/>
            <w:vAlign w:val="center"/>
          </w:tcPr>
          <w:p>
            <w:pPr>
              <w:jc w:val="center"/>
              <w:rPr>
                <w:rFonts w:cs="Tahoma"/>
                <w:sz w:val="20"/>
                <w:szCs w:val="20"/>
              </w:rPr>
            </w:pPr>
            <w:r>
              <w:rPr>
                <w:rFonts w:hint="eastAsia" w:cs="Tahoma"/>
                <w:sz w:val="20"/>
                <w:szCs w:val="20"/>
              </w:rPr>
              <w:t>项</w:t>
            </w:r>
          </w:p>
        </w:tc>
        <w:tc>
          <w:tcPr>
            <w:tcW w:w="1066" w:type="dxa"/>
            <w:vAlign w:val="center"/>
          </w:tcPr>
          <w:p>
            <w:pPr>
              <w:jc w:val="center"/>
              <w:rPr>
                <w:rFonts w:cs="Tahoma"/>
                <w:sz w:val="20"/>
                <w:szCs w:val="20"/>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p>
        </w:tc>
        <w:tc>
          <w:tcPr>
            <w:tcW w:w="1389" w:type="dxa"/>
            <w:vAlign w:val="center"/>
          </w:tcPr>
          <w:p>
            <w:pPr>
              <w:jc w:val="center"/>
              <w:rPr>
                <w:rFonts w:cs="Tahoma"/>
                <w:sz w:val="20"/>
                <w:szCs w:val="20"/>
              </w:rPr>
            </w:pPr>
            <w:r>
              <w:rPr>
                <w:rFonts w:hint="eastAsia" w:cs="Tahoma"/>
                <w:sz w:val="20"/>
                <w:szCs w:val="20"/>
              </w:rPr>
              <w:t>其它措施费</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p>
        </w:tc>
        <w:tc>
          <w:tcPr>
            <w:tcW w:w="1066" w:type="dxa"/>
            <w:vAlign w:val="center"/>
          </w:tcPr>
          <w:p>
            <w:pPr>
              <w:jc w:val="center"/>
              <w:rPr>
                <w:rFonts w:cs="Tahoma"/>
                <w:sz w:val="20"/>
                <w:szCs w:val="20"/>
              </w:rPr>
            </w:pP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4" w:hRule="atLeast"/>
        </w:trPr>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89" w:type="dxa"/>
            <w:vAlign w:val="center"/>
          </w:tcPr>
          <w:p>
            <w:pPr>
              <w:jc w:val="center"/>
              <w:rPr>
                <w:rFonts w:cs="Tahoma"/>
                <w:sz w:val="20"/>
                <w:szCs w:val="20"/>
              </w:rPr>
            </w:pPr>
            <w:r>
              <w:rPr>
                <w:rFonts w:hint="eastAsia" w:cs="Tahoma"/>
                <w:sz w:val="20"/>
                <w:szCs w:val="20"/>
              </w:rPr>
              <w:t>绿色施工安全防护措施费</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r>
              <w:rPr>
                <w:rFonts w:hint="eastAsia" w:cs="Tahoma"/>
                <w:sz w:val="20"/>
                <w:szCs w:val="20"/>
              </w:rPr>
              <w:t>项</w:t>
            </w:r>
          </w:p>
        </w:tc>
        <w:tc>
          <w:tcPr>
            <w:tcW w:w="1066" w:type="dxa"/>
            <w:vAlign w:val="center"/>
          </w:tcPr>
          <w:p>
            <w:pPr>
              <w:jc w:val="center"/>
              <w:rPr>
                <w:rFonts w:cs="Tahoma"/>
                <w:sz w:val="20"/>
                <w:szCs w:val="20"/>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5" w:hRule="atLeast"/>
        </w:trPr>
        <w:tc>
          <w:tcPr>
            <w:tcW w:w="758" w:type="dxa"/>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4"/>
              </w:rPr>
              <w:t>序号</w:t>
            </w:r>
          </w:p>
        </w:tc>
        <w:tc>
          <w:tcPr>
            <w:tcW w:w="1389" w:type="dxa"/>
            <w:vAlign w:val="center"/>
          </w:tcPr>
          <w:p>
            <w:pPr>
              <w:jc w:val="center"/>
              <w:rPr>
                <w:rFonts w:cs="Tahoma"/>
                <w:sz w:val="20"/>
                <w:szCs w:val="20"/>
              </w:rPr>
            </w:pPr>
            <w:r>
              <w:rPr>
                <w:rFonts w:hint="eastAsia"/>
                <w:sz w:val="20"/>
                <w:szCs w:val="20"/>
              </w:rPr>
              <w:t>项目名称</w:t>
            </w:r>
          </w:p>
        </w:tc>
        <w:tc>
          <w:tcPr>
            <w:tcW w:w="2853" w:type="dxa"/>
            <w:vAlign w:val="center"/>
          </w:tcPr>
          <w:p>
            <w:pPr>
              <w:jc w:val="center"/>
              <w:rPr>
                <w:rFonts w:cs="Tahoma"/>
                <w:sz w:val="20"/>
                <w:szCs w:val="20"/>
              </w:rPr>
            </w:pPr>
            <w:r>
              <w:rPr>
                <w:rFonts w:hint="eastAsia"/>
                <w:sz w:val="20"/>
                <w:szCs w:val="20"/>
              </w:rPr>
              <w:t>项目特征描述</w:t>
            </w:r>
          </w:p>
        </w:tc>
        <w:tc>
          <w:tcPr>
            <w:tcW w:w="846" w:type="dxa"/>
            <w:vAlign w:val="center"/>
          </w:tcPr>
          <w:p>
            <w:pPr>
              <w:jc w:val="center"/>
              <w:rPr>
                <w:rFonts w:cs="Tahoma"/>
                <w:sz w:val="20"/>
                <w:szCs w:val="20"/>
              </w:rPr>
            </w:pPr>
            <w:r>
              <w:rPr>
                <w:rFonts w:hint="eastAsia"/>
                <w:sz w:val="20"/>
                <w:szCs w:val="20"/>
              </w:rPr>
              <w:t>计量单位</w:t>
            </w:r>
          </w:p>
        </w:tc>
        <w:tc>
          <w:tcPr>
            <w:tcW w:w="1066" w:type="dxa"/>
            <w:vAlign w:val="center"/>
          </w:tcPr>
          <w:p>
            <w:pPr>
              <w:jc w:val="center"/>
              <w:rPr>
                <w:rFonts w:cs="Tahoma"/>
                <w:sz w:val="20"/>
                <w:szCs w:val="20"/>
              </w:rPr>
            </w:pPr>
            <w:r>
              <w:rPr>
                <w:rFonts w:hint="eastAsia"/>
                <w:sz w:val="20"/>
                <w:szCs w:val="20"/>
              </w:rPr>
              <w:t>工程量</w:t>
            </w:r>
          </w:p>
        </w:tc>
        <w:tc>
          <w:tcPr>
            <w:tcW w:w="1134" w:type="dxa"/>
            <w:vAlign w:val="center"/>
          </w:tcPr>
          <w:p>
            <w:pPr>
              <w:jc w:val="center"/>
              <w:rPr>
                <w:sz w:val="20"/>
                <w:szCs w:val="20"/>
              </w:rPr>
            </w:pPr>
            <w:r>
              <w:rPr>
                <w:rFonts w:hint="eastAsia"/>
                <w:sz w:val="20"/>
                <w:szCs w:val="20"/>
              </w:rPr>
              <w:t>综合单价</w:t>
            </w:r>
          </w:p>
        </w:tc>
        <w:tc>
          <w:tcPr>
            <w:tcW w:w="1533" w:type="dxa"/>
            <w:vAlign w:val="center"/>
          </w:tcPr>
          <w:p>
            <w:pPr>
              <w:jc w:val="center"/>
              <w:rPr>
                <w:sz w:val="20"/>
                <w:szCs w:val="20"/>
              </w:rPr>
            </w:pPr>
            <w:r>
              <w:rPr>
                <w:rFonts w:hint="eastAsia"/>
                <w:sz w:val="20"/>
                <w:szCs w:val="20"/>
              </w:rPr>
              <w:t>综合合价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89" w:type="dxa"/>
            <w:vAlign w:val="center"/>
          </w:tcPr>
          <w:p>
            <w:pPr>
              <w:jc w:val="center"/>
              <w:rPr>
                <w:rFonts w:cs="Tahoma"/>
                <w:sz w:val="20"/>
                <w:szCs w:val="20"/>
              </w:rPr>
            </w:pPr>
            <w:r>
              <w:rPr>
                <w:rFonts w:hint="eastAsia" w:cs="Tahoma"/>
                <w:sz w:val="20"/>
                <w:szCs w:val="20"/>
              </w:rPr>
              <w:t>地下（暗）室、设备及大口径管道内等特殊施工部位进行施工增加费</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r>
              <w:rPr>
                <w:rFonts w:hint="eastAsia" w:cs="Tahoma"/>
                <w:sz w:val="20"/>
                <w:szCs w:val="20"/>
              </w:rPr>
              <w:t>项</w:t>
            </w:r>
          </w:p>
        </w:tc>
        <w:tc>
          <w:tcPr>
            <w:tcW w:w="1066" w:type="dxa"/>
            <w:vAlign w:val="center"/>
          </w:tcPr>
          <w:p>
            <w:pPr>
              <w:jc w:val="center"/>
              <w:rPr>
                <w:rFonts w:cs="Tahoma"/>
                <w:sz w:val="20"/>
                <w:szCs w:val="20"/>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3" w:hRule="atLeast"/>
        </w:trPr>
        <w:tc>
          <w:tcPr>
            <w:tcW w:w="75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389" w:type="dxa"/>
            <w:vAlign w:val="center"/>
          </w:tcPr>
          <w:p>
            <w:pPr>
              <w:jc w:val="center"/>
              <w:rPr>
                <w:rFonts w:cs="Tahoma"/>
                <w:sz w:val="20"/>
                <w:szCs w:val="20"/>
              </w:rPr>
            </w:pPr>
            <w:r>
              <w:rPr>
                <w:rFonts w:hint="eastAsia" w:cs="Tahoma"/>
                <w:sz w:val="20"/>
                <w:szCs w:val="20"/>
              </w:rPr>
              <w:t>预算包干费</w:t>
            </w:r>
          </w:p>
        </w:tc>
        <w:tc>
          <w:tcPr>
            <w:tcW w:w="2853" w:type="dxa"/>
            <w:vAlign w:val="center"/>
          </w:tcPr>
          <w:p>
            <w:pPr>
              <w:jc w:val="center"/>
              <w:rPr>
                <w:rFonts w:cs="Tahoma"/>
                <w:sz w:val="20"/>
                <w:szCs w:val="20"/>
              </w:rPr>
            </w:pPr>
          </w:p>
        </w:tc>
        <w:tc>
          <w:tcPr>
            <w:tcW w:w="846" w:type="dxa"/>
            <w:vAlign w:val="center"/>
          </w:tcPr>
          <w:p>
            <w:pPr>
              <w:jc w:val="center"/>
              <w:rPr>
                <w:rFonts w:cs="Tahoma"/>
                <w:sz w:val="20"/>
                <w:szCs w:val="20"/>
              </w:rPr>
            </w:pPr>
            <w:r>
              <w:rPr>
                <w:rFonts w:hint="eastAsia" w:cs="Tahoma"/>
                <w:sz w:val="20"/>
                <w:szCs w:val="20"/>
              </w:rPr>
              <w:t>项</w:t>
            </w:r>
          </w:p>
        </w:tc>
        <w:tc>
          <w:tcPr>
            <w:tcW w:w="1066" w:type="dxa"/>
            <w:vAlign w:val="center"/>
          </w:tcPr>
          <w:p>
            <w:pPr>
              <w:jc w:val="center"/>
              <w:rPr>
                <w:rFonts w:cs="Tahoma"/>
                <w:sz w:val="20"/>
                <w:szCs w:val="20"/>
              </w:rPr>
            </w:pPr>
            <w:r>
              <w:rPr>
                <w:rFonts w:hint="eastAsia" w:cs="Tahoma"/>
                <w:sz w:val="20"/>
                <w:szCs w:val="20"/>
              </w:rPr>
              <w:t>1</w:t>
            </w:r>
          </w:p>
        </w:tc>
        <w:tc>
          <w:tcPr>
            <w:tcW w:w="1134" w:type="dxa"/>
            <w:vAlign w:val="center"/>
          </w:tcPr>
          <w:p>
            <w:pPr>
              <w:jc w:val="center"/>
              <w:rPr>
                <w:sz w:val="20"/>
                <w:szCs w:val="20"/>
              </w:rPr>
            </w:pPr>
          </w:p>
        </w:tc>
        <w:tc>
          <w:tcPr>
            <w:tcW w:w="1533" w:type="dxa"/>
            <w:vAlign w:val="center"/>
          </w:tcPr>
          <w:p>
            <w:pPr>
              <w:jc w:val="center"/>
              <w:rPr>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7" w:hRule="atLeast"/>
        </w:trPr>
        <w:tc>
          <w:tcPr>
            <w:tcW w:w="2147" w:type="dxa"/>
            <w:gridSpan w:val="2"/>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总</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价</w:t>
            </w:r>
            <w:r>
              <w:rPr>
                <w:rFonts w:hint="eastAsia" w:ascii="仿宋_GB2312" w:hAnsi="仿宋_GB2312" w:eastAsia="仿宋_GB2312" w:cs="仿宋_GB2312"/>
                <w:sz w:val="28"/>
                <w:szCs w:val="28"/>
              </w:rPr>
              <w:t>：</w:t>
            </w:r>
          </w:p>
        </w:tc>
        <w:tc>
          <w:tcPr>
            <w:tcW w:w="5899" w:type="dxa"/>
            <w:gridSpan w:val="4"/>
            <w:vAlign w:val="center"/>
          </w:tcPr>
          <w:p>
            <w:pPr>
              <w:jc w:val="center"/>
              <w:rPr>
                <w:rFonts w:ascii="仿宋_GB2312" w:hAnsi="仿宋_GB2312" w:eastAsia="仿宋_GB2312" w:cs="仿宋_GB2312"/>
                <w:sz w:val="28"/>
                <w:szCs w:val="28"/>
              </w:rPr>
            </w:pPr>
          </w:p>
        </w:tc>
        <w:tc>
          <w:tcPr>
            <w:tcW w:w="1533" w:type="dxa"/>
            <w:vAlign w:val="center"/>
          </w:tcPr>
          <w:p>
            <w:pPr>
              <w:jc w:val="center"/>
              <w:rPr>
                <w:rFonts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9" w:hRule="atLeast"/>
        </w:trPr>
        <w:tc>
          <w:tcPr>
            <w:tcW w:w="2147" w:type="dxa"/>
            <w:gridSpan w:val="2"/>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含税总价</w:t>
            </w:r>
            <w:r>
              <w:rPr>
                <w:rFonts w:hint="eastAsia" w:ascii="仿宋_GB2312" w:hAnsi="仿宋_GB2312" w:eastAsia="仿宋_GB2312" w:cs="仿宋_GB2312"/>
                <w:sz w:val="28"/>
                <w:szCs w:val="28"/>
              </w:rPr>
              <w:t>：</w:t>
            </w:r>
          </w:p>
        </w:tc>
        <w:tc>
          <w:tcPr>
            <w:tcW w:w="5899" w:type="dxa"/>
            <w:gridSpan w:val="4"/>
            <w:vAlign w:val="center"/>
          </w:tcPr>
          <w:p>
            <w:pPr>
              <w:jc w:val="center"/>
              <w:rPr>
                <w:rFonts w:ascii="仿宋_GB2312" w:hAnsi="仿宋_GB2312" w:eastAsia="仿宋_GB2312" w:cs="仿宋_GB2312"/>
                <w:sz w:val="28"/>
                <w:szCs w:val="28"/>
              </w:rPr>
            </w:pPr>
            <w:r>
              <w:rPr>
                <w:rFonts w:hint="eastAsia" w:ascii="仿宋_GB2312" w:hAnsi="??_GB2312" w:eastAsia="仿宋_GB2312" w:cs="宋体"/>
                <w:color w:val="000000" w:themeColor="text1"/>
                <w:kern w:val="0"/>
                <w:sz w:val="28"/>
                <w:szCs w:val="28"/>
                <w14:textFill>
                  <w14:solidFill>
                    <w14:schemeClr w14:val="tx1"/>
                  </w14:solidFill>
                </w14:textFill>
              </w:rPr>
              <w:t>税率</w:t>
            </w:r>
            <w:r>
              <w:rPr>
                <w:rFonts w:hint="eastAsia" w:ascii="仿宋_GB2312" w:hAnsi="??_GB2312" w:eastAsia="仿宋_GB2312" w:cs="宋体"/>
                <w:color w:val="000000" w:themeColor="text1"/>
                <w:kern w:val="0"/>
                <w:sz w:val="28"/>
                <w:szCs w:val="28"/>
                <w:u w:val="single"/>
                <w14:textFill>
                  <w14:solidFill>
                    <w14:schemeClr w14:val="tx1"/>
                  </w14:solidFill>
                </w14:textFill>
              </w:rPr>
              <w:t xml:space="preserve">      </w:t>
            </w:r>
            <w:r>
              <w:rPr>
                <w:rFonts w:hint="eastAsia" w:ascii="仿宋_GB2312" w:hAnsi="??_GB2312" w:eastAsia="仿宋_GB2312" w:cs="宋体"/>
                <w:color w:val="000000" w:themeColor="text1"/>
                <w:kern w:val="0"/>
                <w:sz w:val="28"/>
                <w:szCs w:val="28"/>
                <w14:textFill>
                  <w14:solidFill>
                    <w14:schemeClr w14:val="tx1"/>
                  </w14:solidFill>
                </w14:textFill>
              </w:rPr>
              <w:t>%</w:t>
            </w:r>
          </w:p>
        </w:tc>
        <w:tc>
          <w:tcPr>
            <w:tcW w:w="1533" w:type="dxa"/>
            <w:vAlign w:val="center"/>
          </w:tcPr>
          <w:p>
            <w:pPr>
              <w:jc w:val="center"/>
              <w:rPr>
                <w:rFonts w:ascii="仿宋_GB2312" w:hAnsi="仿宋_GB2312" w:eastAsia="仿宋_GB2312" w:cs="仿宋_GB2312"/>
                <w:sz w:val="28"/>
                <w:szCs w:val="28"/>
              </w:rPr>
            </w:pPr>
          </w:p>
        </w:tc>
      </w:tr>
    </w:tbl>
    <w:p>
      <w:pPr>
        <w:jc w:val="center"/>
        <w:rPr>
          <w:rFonts w:hint="eastAsia" w:ascii="仿宋_GB2312" w:hAnsi="仿宋_GB2312" w:eastAsia="仿宋_GB2312" w:cs="仿宋_GB2312"/>
          <w:b/>
          <w:sz w:val="28"/>
          <w:szCs w:val="28"/>
          <w:lang w:val="en-US" w:eastAsia="zh-CN"/>
        </w:rPr>
      </w:pPr>
    </w:p>
    <w:p>
      <w:pPr>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6 项目单位、人员相关证明材料</w:t>
      </w:r>
    </w:p>
    <w:p>
      <w:pPr>
        <w:jc w:val="center"/>
        <w:rPr>
          <w:rFonts w:ascii="仿宋_GB2312" w:hAnsi="仿宋_GB2312" w:eastAsia="仿宋_GB2312" w:cs="仿宋_GB2312"/>
          <w:b/>
          <w:sz w:val="28"/>
          <w:szCs w:val="28"/>
        </w:rPr>
      </w:pPr>
    </w:p>
    <w:p>
      <w:pPr>
        <w:spacing w:line="48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28"/>
          <w:szCs w:val="28"/>
          <w:lang w:val="en-US" w:eastAsia="zh-CN"/>
        </w:rPr>
        <w:t xml:space="preserve">7 </w:t>
      </w:r>
      <w:r>
        <w:rPr>
          <w:rFonts w:hint="eastAsia" w:ascii="仿宋_GB2312" w:hAnsi="仿宋_GB2312" w:eastAsia="仿宋_GB2312" w:cs="仿宋_GB2312"/>
          <w:b/>
          <w:sz w:val="32"/>
          <w:szCs w:val="32"/>
        </w:rPr>
        <w:t>现场踏勘委派书</w:t>
      </w:r>
    </w:p>
    <w:p>
      <w:pPr>
        <w:jc w:val="center"/>
        <w:rPr>
          <w:rFonts w:hint="default" w:ascii="仿宋_GB2312" w:hAnsi="仿宋_GB2312" w:eastAsia="仿宋_GB2312" w:cs="仿宋_GB2312"/>
          <w:b/>
          <w:sz w:val="28"/>
          <w:szCs w:val="28"/>
          <w:lang w:val="en-US" w:eastAsia="zh-CN"/>
        </w:rPr>
      </w:pPr>
    </w:p>
    <w:p>
      <w:pPr>
        <w:jc w:val="center"/>
        <w:rPr>
          <w:rFonts w:ascii="仿宋_GB2312" w:hAnsi="仿宋_GB2312" w:eastAsia="仿宋_GB2312" w:cs="仿宋_GB2312"/>
          <w:b/>
          <w:sz w:val="28"/>
          <w:szCs w:val="28"/>
        </w:rPr>
      </w:pPr>
    </w:p>
    <w:p>
      <w:pPr>
        <w:autoSpaceDE w:val="0"/>
        <w:autoSpaceDN w:val="0"/>
        <w:rPr>
          <w:rFonts w:ascii="仿宋_GB2312" w:hAnsi="仿宋_GB2312" w:eastAsia="仿宋_GB2312" w:cs="仿宋_GB2312"/>
          <w:sz w:val="28"/>
          <w:szCs w:val="28"/>
          <w:lang w:val="zh-CN"/>
        </w:rPr>
      </w:pPr>
    </w:p>
    <w:sectPr>
      <w:pgSz w:w="11907" w:h="16840"/>
      <w:pgMar w:top="1588" w:right="1021" w:bottom="777" w:left="567"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580EFC"/>
    <w:multiLevelType w:val="multilevel"/>
    <w:tmpl w:val="0D580EFC"/>
    <w:lvl w:ilvl="0" w:tentative="0">
      <w:start w:val="1"/>
      <w:numFmt w:val="lowerLetter"/>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
    <w:nsid w:val="1E846F9E"/>
    <w:multiLevelType w:val="multilevel"/>
    <w:tmpl w:val="1E846F9E"/>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598E72FE"/>
    <w:multiLevelType w:val="multilevel"/>
    <w:tmpl w:val="598E72FE"/>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DAA1B65"/>
    <w:multiLevelType w:val="multilevel"/>
    <w:tmpl w:val="5DAA1B65"/>
    <w:lvl w:ilvl="0" w:tentative="0">
      <w:start w:val="1"/>
      <w:numFmt w:val="decimal"/>
      <w:lvlText w:val="（%1）"/>
      <w:lvlJc w:val="left"/>
      <w:pPr>
        <w:tabs>
          <w:tab w:val="left" w:pos="1713"/>
        </w:tabs>
        <w:ind w:left="1713" w:hanging="720"/>
      </w:pPr>
      <w:rPr>
        <w:rFonts w:hint="default" w:ascii="宋体" w:hAnsi="宋体"/>
      </w:rPr>
    </w:lvl>
    <w:lvl w:ilvl="1" w:tentative="0">
      <w:start w:val="1"/>
      <w:numFmt w:val="japaneseCounting"/>
      <w:lvlText w:val="%2、"/>
      <w:lvlJc w:val="left"/>
      <w:pPr>
        <w:tabs>
          <w:tab w:val="left" w:pos="0"/>
        </w:tabs>
        <w:ind w:left="0" w:hanging="480"/>
      </w:pPr>
      <w:rPr>
        <w:rFonts w:hint="default"/>
      </w:rPr>
    </w:lvl>
    <w:lvl w:ilvl="2" w:tentative="0">
      <w:start w:val="1"/>
      <w:numFmt w:val="lowerRoman"/>
      <w:lvlText w:val="%3."/>
      <w:lvlJc w:val="right"/>
      <w:pPr>
        <w:ind w:left="360" w:hanging="420"/>
      </w:pPr>
    </w:lvl>
    <w:lvl w:ilvl="3" w:tentative="0">
      <w:start w:val="1"/>
      <w:numFmt w:val="decimal"/>
      <w:lvlText w:val="%4."/>
      <w:lvlJc w:val="left"/>
      <w:pPr>
        <w:ind w:left="780" w:hanging="420"/>
      </w:pPr>
    </w:lvl>
    <w:lvl w:ilvl="4" w:tentative="0">
      <w:start w:val="1"/>
      <w:numFmt w:val="lowerLetter"/>
      <w:lvlText w:val="%5)"/>
      <w:lvlJc w:val="left"/>
      <w:pPr>
        <w:ind w:left="1200" w:hanging="420"/>
      </w:pPr>
    </w:lvl>
    <w:lvl w:ilvl="5" w:tentative="0">
      <w:start w:val="1"/>
      <w:numFmt w:val="lowerRoman"/>
      <w:lvlText w:val="%6."/>
      <w:lvlJc w:val="right"/>
      <w:pPr>
        <w:ind w:left="1620" w:hanging="420"/>
      </w:pPr>
    </w:lvl>
    <w:lvl w:ilvl="6" w:tentative="0">
      <w:start w:val="1"/>
      <w:numFmt w:val="decimal"/>
      <w:lvlText w:val="%7."/>
      <w:lvlJc w:val="left"/>
      <w:pPr>
        <w:ind w:left="2040" w:hanging="420"/>
      </w:pPr>
    </w:lvl>
    <w:lvl w:ilvl="7" w:tentative="0">
      <w:start w:val="1"/>
      <w:numFmt w:val="lowerLetter"/>
      <w:lvlText w:val="%8)"/>
      <w:lvlJc w:val="left"/>
      <w:pPr>
        <w:ind w:left="2460" w:hanging="420"/>
      </w:pPr>
    </w:lvl>
    <w:lvl w:ilvl="8" w:tentative="0">
      <w:start w:val="1"/>
      <w:numFmt w:val="lowerRoman"/>
      <w:lvlText w:val="%9."/>
      <w:lvlJc w:val="right"/>
      <w:pPr>
        <w:ind w:left="2880" w:hanging="420"/>
      </w:pPr>
    </w:lvl>
  </w:abstractNum>
  <w:abstractNum w:abstractNumId="8">
    <w:nsid w:val="79296A2B"/>
    <w:multiLevelType w:val="multilevel"/>
    <w:tmpl w:val="79296A2B"/>
    <w:lvl w:ilvl="0" w:tentative="0">
      <w:start w:val="1"/>
      <w:numFmt w:val="decimal"/>
      <w:lvlText w:val="（%1）"/>
      <w:lvlJc w:val="left"/>
      <w:pPr>
        <w:tabs>
          <w:tab w:val="left" w:pos="1560"/>
        </w:tabs>
        <w:ind w:left="1560" w:hanging="720"/>
      </w:pPr>
      <w:rPr>
        <w:rFonts w:hint="default"/>
      </w:rPr>
    </w:lvl>
    <w:lvl w:ilvl="1" w:tentative="0">
      <w:start w:val="1"/>
      <w:numFmt w:val="japaneseCounting"/>
      <w:lvlText w:val="（%2）"/>
      <w:lvlJc w:val="left"/>
      <w:pPr>
        <w:tabs>
          <w:tab w:val="left" w:pos="1980"/>
        </w:tabs>
        <w:ind w:left="1980" w:hanging="720"/>
      </w:pPr>
      <w:rPr>
        <w:rFonts w:hint="default" w:ascii="宋体" w:hAnsi="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7"/>
  </w:num>
  <w:num w:numId="5">
    <w:abstractNumId w:val="8"/>
  </w:num>
  <w:num w:numId="6">
    <w:abstractNumId w:val="1"/>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53"/>
    <w:rsid w:val="000160F0"/>
    <w:rsid w:val="00027CF8"/>
    <w:rsid w:val="0003063C"/>
    <w:rsid w:val="00033E52"/>
    <w:rsid w:val="00037C52"/>
    <w:rsid w:val="00066159"/>
    <w:rsid w:val="00071CC7"/>
    <w:rsid w:val="00071E3E"/>
    <w:rsid w:val="00075ED5"/>
    <w:rsid w:val="0008389C"/>
    <w:rsid w:val="00097681"/>
    <w:rsid w:val="000978D8"/>
    <w:rsid w:val="000B204D"/>
    <w:rsid w:val="000B6A52"/>
    <w:rsid w:val="000B7568"/>
    <w:rsid w:val="000C3B28"/>
    <w:rsid w:val="000D4B69"/>
    <w:rsid w:val="000D5859"/>
    <w:rsid w:val="000F27B9"/>
    <w:rsid w:val="000F4536"/>
    <w:rsid w:val="000F4E16"/>
    <w:rsid w:val="00132FB9"/>
    <w:rsid w:val="001348FB"/>
    <w:rsid w:val="00140243"/>
    <w:rsid w:val="0015465F"/>
    <w:rsid w:val="00156C51"/>
    <w:rsid w:val="00166D8E"/>
    <w:rsid w:val="00172A27"/>
    <w:rsid w:val="0018732C"/>
    <w:rsid w:val="001A4672"/>
    <w:rsid w:val="001B2DEE"/>
    <w:rsid w:val="001B42FA"/>
    <w:rsid w:val="001B5AE4"/>
    <w:rsid w:val="001B6E9F"/>
    <w:rsid w:val="001C1760"/>
    <w:rsid w:val="001D5631"/>
    <w:rsid w:val="001F218D"/>
    <w:rsid w:val="001F7034"/>
    <w:rsid w:val="00204709"/>
    <w:rsid w:val="002065E9"/>
    <w:rsid w:val="002253C3"/>
    <w:rsid w:val="00225637"/>
    <w:rsid w:val="00225F8E"/>
    <w:rsid w:val="00231C52"/>
    <w:rsid w:val="00237FA0"/>
    <w:rsid w:val="00266AE2"/>
    <w:rsid w:val="0026733C"/>
    <w:rsid w:val="002A3E44"/>
    <w:rsid w:val="002A4B6F"/>
    <w:rsid w:val="002A73D0"/>
    <w:rsid w:val="002B0E57"/>
    <w:rsid w:val="002B4096"/>
    <w:rsid w:val="002B64E4"/>
    <w:rsid w:val="002C1443"/>
    <w:rsid w:val="002C600C"/>
    <w:rsid w:val="002E02C7"/>
    <w:rsid w:val="002E7E89"/>
    <w:rsid w:val="002F1E24"/>
    <w:rsid w:val="002F66BB"/>
    <w:rsid w:val="00301F22"/>
    <w:rsid w:val="0030318C"/>
    <w:rsid w:val="00303F37"/>
    <w:rsid w:val="00305B4B"/>
    <w:rsid w:val="003255DB"/>
    <w:rsid w:val="0032780F"/>
    <w:rsid w:val="00330381"/>
    <w:rsid w:val="00335C3F"/>
    <w:rsid w:val="00341199"/>
    <w:rsid w:val="00353AB3"/>
    <w:rsid w:val="00357CB5"/>
    <w:rsid w:val="003623C6"/>
    <w:rsid w:val="00370B9B"/>
    <w:rsid w:val="003A441B"/>
    <w:rsid w:val="003A5CAF"/>
    <w:rsid w:val="003C1BF5"/>
    <w:rsid w:val="003D2A80"/>
    <w:rsid w:val="003D683A"/>
    <w:rsid w:val="003E21FA"/>
    <w:rsid w:val="003E78EF"/>
    <w:rsid w:val="003F3168"/>
    <w:rsid w:val="003F49E7"/>
    <w:rsid w:val="003F6E52"/>
    <w:rsid w:val="00405B90"/>
    <w:rsid w:val="004432AE"/>
    <w:rsid w:val="004459CC"/>
    <w:rsid w:val="0044769E"/>
    <w:rsid w:val="004536B0"/>
    <w:rsid w:val="004541C7"/>
    <w:rsid w:val="00463FC1"/>
    <w:rsid w:val="0046571A"/>
    <w:rsid w:val="00480021"/>
    <w:rsid w:val="004A5F30"/>
    <w:rsid w:val="004C1FBE"/>
    <w:rsid w:val="004D3059"/>
    <w:rsid w:val="004D3279"/>
    <w:rsid w:val="004D4E03"/>
    <w:rsid w:val="004D5C89"/>
    <w:rsid w:val="004E19BA"/>
    <w:rsid w:val="004E3E05"/>
    <w:rsid w:val="004E48FA"/>
    <w:rsid w:val="004E6CB8"/>
    <w:rsid w:val="005164AC"/>
    <w:rsid w:val="0054544F"/>
    <w:rsid w:val="0055166C"/>
    <w:rsid w:val="00556CE9"/>
    <w:rsid w:val="00565D85"/>
    <w:rsid w:val="00571F67"/>
    <w:rsid w:val="0058148A"/>
    <w:rsid w:val="005943A4"/>
    <w:rsid w:val="00597E4B"/>
    <w:rsid w:val="005A12C3"/>
    <w:rsid w:val="005A6771"/>
    <w:rsid w:val="005B11C9"/>
    <w:rsid w:val="005D30F2"/>
    <w:rsid w:val="005E0ABC"/>
    <w:rsid w:val="005F1C5F"/>
    <w:rsid w:val="0060531F"/>
    <w:rsid w:val="00607FF2"/>
    <w:rsid w:val="0061344A"/>
    <w:rsid w:val="006234B3"/>
    <w:rsid w:val="00623FF8"/>
    <w:rsid w:val="00625B39"/>
    <w:rsid w:val="00626E24"/>
    <w:rsid w:val="00626EF8"/>
    <w:rsid w:val="00627DCE"/>
    <w:rsid w:val="00635D8B"/>
    <w:rsid w:val="00636E2A"/>
    <w:rsid w:val="006639C1"/>
    <w:rsid w:val="00664CAE"/>
    <w:rsid w:val="00680DEA"/>
    <w:rsid w:val="0068707F"/>
    <w:rsid w:val="00695968"/>
    <w:rsid w:val="006A0B17"/>
    <w:rsid w:val="006B61C1"/>
    <w:rsid w:val="006D7872"/>
    <w:rsid w:val="006E3AA2"/>
    <w:rsid w:val="006F141D"/>
    <w:rsid w:val="006F474C"/>
    <w:rsid w:val="00715441"/>
    <w:rsid w:val="00724782"/>
    <w:rsid w:val="007449DE"/>
    <w:rsid w:val="007623FD"/>
    <w:rsid w:val="00780A6D"/>
    <w:rsid w:val="00783376"/>
    <w:rsid w:val="00786DFA"/>
    <w:rsid w:val="007916DD"/>
    <w:rsid w:val="007A050B"/>
    <w:rsid w:val="007A38C4"/>
    <w:rsid w:val="007A5F86"/>
    <w:rsid w:val="007A7B5B"/>
    <w:rsid w:val="007C088B"/>
    <w:rsid w:val="007C600B"/>
    <w:rsid w:val="007C7F48"/>
    <w:rsid w:val="007D3EAB"/>
    <w:rsid w:val="007E16D7"/>
    <w:rsid w:val="0081291C"/>
    <w:rsid w:val="00817E46"/>
    <w:rsid w:val="00824DA0"/>
    <w:rsid w:val="008253C1"/>
    <w:rsid w:val="008306B2"/>
    <w:rsid w:val="00830F34"/>
    <w:rsid w:val="00831427"/>
    <w:rsid w:val="00860253"/>
    <w:rsid w:val="00872E01"/>
    <w:rsid w:val="00873D2A"/>
    <w:rsid w:val="00875DE4"/>
    <w:rsid w:val="0088650E"/>
    <w:rsid w:val="00891595"/>
    <w:rsid w:val="00895156"/>
    <w:rsid w:val="0089637B"/>
    <w:rsid w:val="00896467"/>
    <w:rsid w:val="008B44E2"/>
    <w:rsid w:val="008B6C61"/>
    <w:rsid w:val="008D0054"/>
    <w:rsid w:val="008D4E34"/>
    <w:rsid w:val="008D5537"/>
    <w:rsid w:val="008E2FC0"/>
    <w:rsid w:val="008E643F"/>
    <w:rsid w:val="008F684A"/>
    <w:rsid w:val="00907DDE"/>
    <w:rsid w:val="009106EF"/>
    <w:rsid w:val="00911A76"/>
    <w:rsid w:val="0094681E"/>
    <w:rsid w:val="009518D4"/>
    <w:rsid w:val="00953176"/>
    <w:rsid w:val="00960D5A"/>
    <w:rsid w:val="00962BAC"/>
    <w:rsid w:val="009711C7"/>
    <w:rsid w:val="009773AE"/>
    <w:rsid w:val="00987062"/>
    <w:rsid w:val="00995C5B"/>
    <w:rsid w:val="009B3A24"/>
    <w:rsid w:val="009C6222"/>
    <w:rsid w:val="009D7484"/>
    <w:rsid w:val="009E285E"/>
    <w:rsid w:val="009E30F5"/>
    <w:rsid w:val="009F0BC3"/>
    <w:rsid w:val="009F608A"/>
    <w:rsid w:val="009F6F80"/>
    <w:rsid w:val="00A05E5D"/>
    <w:rsid w:val="00A1158C"/>
    <w:rsid w:val="00A24600"/>
    <w:rsid w:val="00A3494D"/>
    <w:rsid w:val="00A42859"/>
    <w:rsid w:val="00A456DF"/>
    <w:rsid w:val="00A45E2D"/>
    <w:rsid w:val="00A52F10"/>
    <w:rsid w:val="00A54516"/>
    <w:rsid w:val="00A62CB6"/>
    <w:rsid w:val="00A656AF"/>
    <w:rsid w:val="00A961E7"/>
    <w:rsid w:val="00AA1C8C"/>
    <w:rsid w:val="00AA4B6D"/>
    <w:rsid w:val="00AF28D0"/>
    <w:rsid w:val="00B103DF"/>
    <w:rsid w:val="00B26903"/>
    <w:rsid w:val="00B36427"/>
    <w:rsid w:val="00B50B5E"/>
    <w:rsid w:val="00B672C3"/>
    <w:rsid w:val="00B67771"/>
    <w:rsid w:val="00B72ABE"/>
    <w:rsid w:val="00B73228"/>
    <w:rsid w:val="00B76080"/>
    <w:rsid w:val="00B80C26"/>
    <w:rsid w:val="00B82A56"/>
    <w:rsid w:val="00B91786"/>
    <w:rsid w:val="00BA0656"/>
    <w:rsid w:val="00BB619C"/>
    <w:rsid w:val="00BD1570"/>
    <w:rsid w:val="00BE399E"/>
    <w:rsid w:val="00BF4EC2"/>
    <w:rsid w:val="00C006B8"/>
    <w:rsid w:val="00C0361C"/>
    <w:rsid w:val="00C203C9"/>
    <w:rsid w:val="00C35F7A"/>
    <w:rsid w:val="00C411E2"/>
    <w:rsid w:val="00C60E44"/>
    <w:rsid w:val="00C64B23"/>
    <w:rsid w:val="00C6562D"/>
    <w:rsid w:val="00C6566A"/>
    <w:rsid w:val="00C65FF4"/>
    <w:rsid w:val="00C8096E"/>
    <w:rsid w:val="00C81BA3"/>
    <w:rsid w:val="00C919F6"/>
    <w:rsid w:val="00CA219A"/>
    <w:rsid w:val="00CA2E67"/>
    <w:rsid w:val="00CA4FB3"/>
    <w:rsid w:val="00CB3527"/>
    <w:rsid w:val="00CB5248"/>
    <w:rsid w:val="00CC5CAB"/>
    <w:rsid w:val="00CD2F1A"/>
    <w:rsid w:val="00CD32BA"/>
    <w:rsid w:val="00CE6D2A"/>
    <w:rsid w:val="00CF10D0"/>
    <w:rsid w:val="00CF2A16"/>
    <w:rsid w:val="00CF4084"/>
    <w:rsid w:val="00D04FCE"/>
    <w:rsid w:val="00D269D6"/>
    <w:rsid w:val="00D5782C"/>
    <w:rsid w:val="00D76466"/>
    <w:rsid w:val="00D81F73"/>
    <w:rsid w:val="00D86ACA"/>
    <w:rsid w:val="00D91336"/>
    <w:rsid w:val="00D94195"/>
    <w:rsid w:val="00DA75D8"/>
    <w:rsid w:val="00DB225F"/>
    <w:rsid w:val="00DB57F6"/>
    <w:rsid w:val="00DD4C3C"/>
    <w:rsid w:val="00DE327F"/>
    <w:rsid w:val="00E04431"/>
    <w:rsid w:val="00E14CAD"/>
    <w:rsid w:val="00E309E5"/>
    <w:rsid w:val="00E31348"/>
    <w:rsid w:val="00E52D90"/>
    <w:rsid w:val="00E53FFD"/>
    <w:rsid w:val="00E55449"/>
    <w:rsid w:val="00E606D6"/>
    <w:rsid w:val="00E77052"/>
    <w:rsid w:val="00EB09B3"/>
    <w:rsid w:val="00EB33AB"/>
    <w:rsid w:val="00ED2E70"/>
    <w:rsid w:val="00ED4E3E"/>
    <w:rsid w:val="00EF21BD"/>
    <w:rsid w:val="00EF3DD8"/>
    <w:rsid w:val="00EF5630"/>
    <w:rsid w:val="00F054F3"/>
    <w:rsid w:val="00F178C5"/>
    <w:rsid w:val="00F179BA"/>
    <w:rsid w:val="00F251D3"/>
    <w:rsid w:val="00F31DAD"/>
    <w:rsid w:val="00F46698"/>
    <w:rsid w:val="00F60173"/>
    <w:rsid w:val="00F60EA4"/>
    <w:rsid w:val="00F64026"/>
    <w:rsid w:val="00F65F17"/>
    <w:rsid w:val="00F710A1"/>
    <w:rsid w:val="00F75FBA"/>
    <w:rsid w:val="00F81522"/>
    <w:rsid w:val="00F84413"/>
    <w:rsid w:val="00F84E12"/>
    <w:rsid w:val="00F90BC0"/>
    <w:rsid w:val="00FB2E4D"/>
    <w:rsid w:val="00FD2FD9"/>
    <w:rsid w:val="03E57B1F"/>
    <w:rsid w:val="08576DA3"/>
    <w:rsid w:val="09172CE2"/>
    <w:rsid w:val="0CFB490D"/>
    <w:rsid w:val="108678F7"/>
    <w:rsid w:val="10B614D4"/>
    <w:rsid w:val="146D0647"/>
    <w:rsid w:val="14DA3847"/>
    <w:rsid w:val="156C0CEF"/>
    <w:rsid w:val="16AF361E"/>
    <w:rsid w:val="17803382"/>
    <w:rsid w:val="1B7A077B"/>
    <w:rsid w:val="1E7A0A35"/>
    <w:rsid w:val="1EC97ABA"/>
    <w:rsid w:val="23677743"/>
    <w:rsid w:val="26B9109D"/>
    <w:rsid w:val="2AC61AB4"/>
    <w:rsid w:val="2BA94213"/>
    <w:rsid w:val="2EDA3FB4"/>
    <w:rsid w:val="33BD7EFC"/>
    <w:rsid w:val="341A56DE"/>
    <w:rsid w:val="35ED5584"/>
    <w:rsid w:val="37E22CC2"/>
    <w:rsid w:val="3A6508CC"/>
    <w:rsid w:val="4081249A"/>
    <w:rsid w:val="42D2399F"/>
    <w:rsid w:val="48F53304"/>
    <w:rsid w:val="4A872FCF"/>
    <w:rsid w:val="4C58786B"/>
    <w:rsid w:val="4DDF399E"/>
    <w:rsid w:val="509D43B0"/>
    <w:rsid w:val="518C0F48"/>
    <w:rsid w:val="540D3AFC"/>
    <w:rsid w:val="547E674A"/>
    <w:rsid w:val="54895109"/>
    <w:rsid w:val="55402C9C"/>
    <w:rsid w:val="55CD3EDB"/>
    <w:rsid w:val="56647520"/>
    <w:rsid w:val="57662838"/>
    <w:rsid w:val="57881D16"/>
    <w:rsid w:val="5ADC42E6"/>
    <w:rsid w:val="5E105329"/>
    <w:rsid w:val="61D95614"/>
    <w:rsid w:val="65944F8F"/>
    <w:rsid w:val="6A257EB1"/>
    <w:rsid w:val="6A54607C"/>
    <w:rsid w:val="6D3815E8"/>
    <w:rsid w:val="6E5D177C"/>
    <w:rsid w:val="6EA81040"/>
    <w:rsid w:val="70212B4A"/>
    <w:rsid w:val="72F93CAC"/>
    <w:rsid w:val="746349E5"/>
    <w:rsid w:val="7736000F"/>
    <w:rsid w:val="77EF0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4"/>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link w:val="32"/>
    <w:qFormat/>
    <w:uiPriority w:val="0"/>
    <w:pPr>
      <w:spacing w:after="120"/>
    </w:p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link w:val="30"/>
    <w:qFormat/>
    <w:uiPriority w:val="0"/>
    <w:rPr>
      <w:rFonts w:ascii="宋体" w:hAnsi="Courier New" w:cs="Courier New"/>
      <w:szCs w:val="21"/>
    </w:rPr>
  </w:style>
  <w:style w:type="paragraph" w:styleId="13">
    <w:name w:val="Body Text Indent 2"/>
    <w:basedOn w:val="1"/>
    <w:link w:val="47"/>
    <w:qFormat/>
    <w:uiPriority w:val="0"/>
    <w:pPr>
      <w:spacing w:after="120" w:line="480" w:lineRule="auto"/>
      <w:ind w:left="420" w:leftChars="200"/>
    </w:pPr>
  </w:style>
  <w:style w:type="paragraph" w:styleId="14">
    <w:name w:val="Balloon Text"/>
    <w:basedOn w:val="1"/>
    <w:link w:val="33"/>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link w:val="31"/>
    <w:qFormat/>
    <w:uiPriority w:val="0"/>
    <w:pPr>
      <w:spacing w:after="120"/>
      <w:ind w:left="420" w:leftChars="200"/>
    </w:pPr>
    <w:rPr>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itle"/>
    <w:basedOn w:val="1"/>
    <w:next w:val="1"/>
    <w:link w:val="28"/>
    <w:qFormat/>
    <w:uiPriority w:val="0"/>
    <w:pPr>
      <w:spacing w:before="240" w:after="60"/>
      <w:jc w:val="center"/>
      <w:outlineLvl w:val="0"/>
    </w:pPr>
    <w:rPr>
      <w:rFonts w:ascii="Cambria" w:hAnsi="Cambria"/>
      <w:b/>
      <w:bCs/>
      <w:sz w:val="32"/>
      <w:szCs w:val="32"/>
    </w:rPr>
  </w:style>
  <w:style w:type="table" w:styleId="23">
    <w:name w:val="Table Grid"/>
    <w:basedOn w:val="22"/>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customStyle="1" w:styleId="28">
    <w:name w:val="标题 Char"/>
    <w:basedOn w:val="24"/>
    <w:link w:val="21"/>
    <w:qFormat/>
    <w:uiPriority w:val="0"/>
    <w:rPr>
      <w:rFonts w:ascii="Cambria" w:hAnsi="Cambria" w:cs="Times New Roman"/>
      <w:b/>
      <w:bCs/>
      <w:sz w:val="32"/>
      <w:szCs w:val="32"/>
    </w:rPr>
  </w:style>
  <w:style w:type="character" w:customStyle="1" w:styleId="29">
    <w:name w:val="标题 1 Char"/>
    <w:basedOn w:val="24"/>
    <w:link w:val="2"/>
    <w:qFormat/>
    <w:uiPriority w:val="0"/>
    <w:rPr>
      <w:b/>
      <w:bCs/>
      <w:kern w:val="44"/>
      <w:sz w:val="44"/>
      <w:szCs w:val="44"/>
    </w:rPr>
  </w:style>
  <w:style w:type="character" w:customStyle="1" w:styleId="30">
    <w:name w:val="纯文本 Char"/>
    <w:basedOn w:val="24"/>
    <w:link w:val="12"/>
    <w:qFormat/>
    <w:uiPriority w:val="0"/>
    <w:rPr>
      <w:rFonts w:ascii="宋体" w:hAnsi="Courier New" w:cs="Courier New"/>
      <w:sz w:val="21"/>
      <w:szCs w:val="21"/>
    </w:rPr>
  </w:style>
  <w:style w:type="character" w:customStyle="1" w:styleId="31">
    <w:name w:val="正文文本缩进 3 Char"/>
    <w:basedOn w:val="24"/>
    <w:link w:val="18"/>
    <w:qFormat/>
    <w:uiPriority w:val="0"/>
    <w:rPr>
      <w:sz w:val="16"/>
      <w:szCs w:val="16"/>
    </w:rPr>
  </w:style>
  <w:style w:type="character" w:customStyle="1" w:styleId="32">
    <w:name w:val="正文文本 Char"/>
    <w:basedOn w:val="24"/>
    <w:link w:val="10"/>
    <w:qFormat/>
    <w:uiPriority w:val="0"/>
    <w:rPr>
      <w:sz w:val="21"/>
    </w:rPr>
  </w:style>
  <w:style w:type="character" w:customStyle="1" w:styleId="33">
    <w:name w:val="批注框文本 Char"/>
    <w:basedOn w:val="24"/>
    <w:link w:val="14"/>
    <w:qFormat/>
    <w:uiPriority w:val="0"/>
    <w:rPr>
      <w:sz w:val="18"/>
      <w:szCs w:val="18"/>
    </w:rPr>
  </w:style>
  <w:style w:type="character" w:customStyle="1" w:styleId="34">
    <w:name w:val="批注文字 Char"/>
    <w:basedOn w:val="24"/>
    <w:link w:val="8"/>
    <w:qFormat/>
    <w:uiPriority w:val="0"/>
    <w:rPr>
      <w:sz w:val="21"/>
    </w:rPr>
  </w:style>
  <w:style w:type="paragraph" w:customStyle="1" w:styleId="3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6">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7">
    <w:name w:val="表格文字"/>
    <w:basedOn w:val="1"/>
    <w:qFormat/>
    <w:uiPriority w:val="0"/>
    <w:pPr>
      <w:spacing w:before="25" w:after="25"/>
      <w:jc w:val="left"/>
    </w:pPr>
    <w:rPr>
      <w:bCs/>
      <w:spacing w:val="10"/>
      <w:kern w:val="0"/>
      <w:sz w:val="24"/>
      <w:szCs w:val="20"/>
    </w:rPr>
  </w:style>
  <w:style w:type="paragraph" w:customStyle="1" w:styleId="3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0">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41">
    <w:name w:val="题注4"/>
    <w:basedOn w:val="1"/>
    <w:next w:val="7"/>
    <w:qFormat/>
    <w:uiPriority w:val="0"/>
    <w:pPr>
      <w:ind w:left="-132" w:leftChars="-64" w:right="-105" w:rightChars="-50" w:hanging="2"/>
      <w:jc w:val="center"/>
    </w:pPr>
    <w:rPr>
      <w:b/>
      <w:color w:val="FF0000"/>
      <w:szCs w:val="21"/>
      <w:lang w:val="en-GB"/>
    </w:rPr>
  </w:style>
  <w:style w:type="paragraph" w:customStyle="1" w:styleId="42">
    <w:name w:val="Char Char2 Char"/>
    <w:basedOn w:val="1"/>
    <w:qFormat/>
    <w:uiPriority w:val="0"/>
  </w:style>
  <w:style w:type="paragraph" w:customStyle="1" w:styleId="43">
    <w:name w:val="Char"/>
    <w:basedOn w:val="1"/>
    <w:qFormat/>
    <w:uiPriority w:val="0"/>
    <w:pPr>
      <w:spacing w:line="480" w:lineRule="exact"/>
    </w:pPr>
    <w:rPr>
      <w:sz w:val="24"/>
    </w:rPr>
  </w:style>
  <w:style w:type="paragraph" w:customStyle="1" w:styleId="44">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45">
    <w:name w:val="Char Char Char Char"/>
    <w:basedOn w:val="1"/>
    <w:qFormat/>
    <w:uiPriority w:val="0"/>
  </w:style>
  <w:style w:type="paragraph" w:styleId="4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正文文本缩进 2 Char"/>
    <w:basedOn w:val="24"/>
    <w:link w:val="13"/>
    <w:qFormat/>
    <w:uiPriority w:val="0"/>
    <w:rPr>
      <w:kern w:val="2"/>
      <w:sz w:val="21"/>
      <w:szCs w:val="24"/>
    </w:rPr>
  </w:style>
  <w:style w:type="paragraph" w:customStyle="1" w:styleId="48">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9">
    <w:name w:val="List Paragraph"/>
    <w:basedOn w:val="1"/>
    <w:qFormat/>
    <w:uiPriority w:val="34"/>
    <w:pPr>
      <w:ind w:firstLine="420" w:firstLineChars="200"/>
    </w:pPr>
    <w:rPr>
      <w:rFonts w:ascii="Calibri" w:hAnsi="Calibri"/>
      <w:szCs w:val="22"/>
    </w:rPr>
  </w:style>
  <w:style w:type="paragraph" w:customStyle="1" w:styleId="5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425"/>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6212</Words>
  <Characters>35412</Characters>
  <Lines>295</Lines>
  <Paragraphs>83</Paragraphs>
  <TotalTime>0</TotalTime>
  <ScaleCrop>false</ScaleCrop>
  <LinksUpToDate>false</LinksUpToDate>
  <CharactersWithSpaces>41541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2018-07-11T08:02:00Z</dcterms:created>
  <dc:creator>李继能</dc:creator>
  <cp:lastModifiedBy>LIN</cp:lastModifiedBy>
  <cp:lastPrinted>2020-07-14T09:35:00Z</cp:lastPrinted>
  <dcterms:modified xsi:type="dcterms:W3CDTF">2020-11-27T02:03:46Z</dcterms:modified>
  <dc:title>询价文件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