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项目编号：XE-</w:t>
      </w:r>
      <w:r>
        <w:rPr>
          <w:rFonts w:hint="eastAsia" w:ascii="仿宋" w:hAnsi="仿宋" w:eastAsia="仿宋" w:cs="仿宋_GB2312"/>
          <w:b/>
          <w:bCs/>
          <w:sz w:val="28"/>
          <w:szCs w:val="28"/>
          <w:lang w:val="en-US" w:eastAsia="zh-CN"/>
        </w:rPr>
        <w:t>20201124-4</w:t>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w:t>
      </w:r>
      <w:r>
        <w:rPr>
          <w:rFonts w:hint="eastAsia" w:ascii="仿宋" w:hAnsi="仿宋" w:eastAsia="仿宋" w:cs="仿宋_GB2312"/>
          <w:b/>
          <w:bCs/>
          <w:sz w:val="28"/>
          <w:szCs w:val="28"/>
        </w:rPr>
        <w:t>大沙地分公司一期粗格栅技改项目</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24</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240" w:lineRule="auto"/>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240" w:lineRule="auto"/>
        <w:ind w:left="0" w:leftChars="0"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rPr>
        <w:t>大沙地分公司一期粗格栅技改项目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spacing w:line="240" w:lineRule="auto"/>
        <w:ind w:firstLine="560" w:firstLineChars="200"/>
        <w:rPr>
          <w:rFonts w:hint="default" w:ascii="仿宋" w:hAnsi="仿宋" w:eastAsia="仿宋" w:cs="仿宋"/>
          <w:sz w:val="28"/>
          <w:szCs w:val="28"/>
        </w:rPr>
      </w:pPr>
      <w:r>
        <w:rPr>
          <w:rFonts w:hint="eastAsia" w:ascii="仿宋" w:hAnsi="仿宋" w:eastAsia="仿宋" w:cs="仿宋"/>
          <w:sz w:val="28"/>
          <w:szCs w:val="28"/>
          <w:lang w:val="zh-CN"/>
        </w:rPr>
        <w:t>一、资金计划：</w:t>
      </w:r>
      <w:r>
        <w:rPr>
          <w:rFonts w:hint="eastAsia" w:ascii="仿宋" w:hAnsi="仿宋" w:eastAsia="仿宋" w:cs="仿宋"/>
          <w:sz w:val="28"/>
          <w:szCs w:val="28"/>
          <w:u w:val="none"/>
          <w:lang w:val="en-US" w:eastAsia="zh-CN"/>
        </w:rPr>
        <w:t>自筹资金</w:t>
      </w:r>
    </w:p>
    <w:p>
      <w:pPr>
        <w:autoSpaceDE w:val="0"/>
        <w:autoSpaceDN w:val="0"/>
        <w:spacing w:line="24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u w:val="none"/>
        </w:rPr>
        <w:t>XE-</w:t>
      </w:r>
      <w:r>
        <w:rPr>
          <w:rFonts w:hint="eastAsia" w:ascii="仿宋" w:hAnsi="仿宋" w:eastAsia="仿宋" w:cs="仿宋"/>
          <w:sz w:val="28"/>
          <w:szCs w:val="28"/>
          <w:u w:val="none"/>
          <w:lang w:val="en-US" w:eastAsia="zh-CN"/>
        </w:rPr>
        <w:t>20201124-4</w:t>
      </w:r>
    </w:p>
    <w:p>
      <w:pPr>
        <w:autoSpaceDE w:val="0"/>
        <w:autoSpaceDN w:val="0"/>
        <w:spacing w:line="240" w:lineRule="auto"/>
        <w:ind w:left="558" w:leftChars="266"/>
        <w:rPr>
          <w:rFonts w:hint="eastAsia"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rPr>
        <w:t>大沙地分公司一期粗格栅技改项目</w:t>
      </w:r>
    </w:p>
    <w:p>
      <w:pPr>
        <w:autoSpaceDE w:val="0"/>
        <w:autoSpaceDN w:val="0"/>
        <w:spacing w:line="240" w:lineRule="auto"/>
        <w:ind w:left="558" w:leftChars="266"/>
        <w:rPr>
          <w:rFonts w:hint="eastAsia" w:ascii="仿宋" w:hAnsi="仿宋" w:eastAsia="仿宋" w:cs="仿宋"/>
          <w:sz w:val="28"/>
          <w:szCs w:val="28"/>
          <w:u w:val="single"/>
        </w:rPr>
      </w:pPr>
      <w:r>
        <w:rPr>
          <w:rFonts w:hint="eastAsia" w:ascii="仿宋" w:hAnsi="仿宋" w:eastAsia="仿宋" w:cs="仿宋"/>
          <w:sz w:val="28"/>
          <w:szCs w:val="28"/>
          <w:lang w:val="zh-CN"/>
        </w:rPr>
        <w:t>四、最高限价：</w:t>
      </w:r>
      <w:r>
        <w:rPr>
          <w:rFonts w:hint="eastAsia" w:ascii="仿宋" w:hAnsi="仿宋" w:eastAsia="仿宋" w:cs="仿宋"/>
          <w:sz w:val="28"/>
          <w:szCs w:val="28"/>
          <w:u w:val="single"/>
          <w:lang w:val="zh-CN"/>
        </w:rPr>
        <w:t>1079664.08</w:t>
      </w:r>
      <w:r>
        <w:rPr>
          <w:rFonts w:hint="eastAsia" w:ascii="仿宋" w:hAnsi="仿宋" w:eastAsia="仿宋" w:cs="仿宋"/>
          <w:sz w:val="28"/>
          <w:szCs w:val="28"/>
          <w:u w:val="single"/>
        </w:rPr>
        <w:t>元（人民币）</w:t>
      </w:r>
    </w:p>
    <w:p>
      <w:pPr>
        <w:autoSpaceDE w:val="0"/>
        <w:autoSpaceDN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工程概况</w:t>
      </w:r>
      <w:r>
        <w:rPr>
          <w:rFonts w:hint="eastAsia" w:ascii="仿宋" w:hAnsi="仿宋" w:eastAsia="仿宋" w:cs="仿宋"/>
          <w:sz w:val="28"/>
          <w:szCs w:val="28"/>
          <w:lang w:eastAsia="zh-CN"/>
        </w:rPr>
        <w:t>）</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3台BLQ-2200钢丝绳牵引式粗格栅</w:t>
      </w:r>
      <w:r>
        <w:rPr>
          <w:rFonts w:hint="eastAsia" w:ascii="仿宋" w:hAnsi="仿宋" w:eastAsia="仿宋" w:cs="仿宋"/>
          <w:sz w:val="28"/>
          <w:szCs w:val="28"/>
          <w:lang w:val="zh-CN"/>
        </w:rPr>
        <w:t>，</w:t>
      </w:r>
      <w:r>
        <w:rPr>
          <w:rFonts w:hint="eastAsia" w:ascii="仿宋" w:hAnsi="仿宋" w:eastAsia="仿宋" w:cs="仿宋"/>
          <w:sz w:val="28"/>
          <w:szCs w:val="28"/>
          <w:lang w:val="zh-CN"/>
        </w:rPr>
        <w:t>已到设备大修期限。拟更换三台钢丝绳牵引式粗格栅。</w:t>
      </w:r>
      <w:r>
        <w:rPr>
          <w:rFonts w:hint="eastAsia" w:ascii="仿宋" w:hAnsi="仿宋" w:eastAsia="仿宋" w:cs="仿宋"/>
          <w:sz w:val="28"/>
          <w:szCs w:val="28"/>
        </w:rPr>
        <w:t>详见工程量清单。</w:t>
      </w:r>
      <w:r>
        <w:rPr>
          <w:rFonts w:hint="eastAsia" w:ascii="仿宋" w:hAnsi="仿宋" w:eastAsia="仿宋" w:cs="仿宋"/>
          <w:sz w:val="28"/>
          <w:szCs w:val="28"/>
          <w:lang w:val="en-US" w:eastAsia="zh-CN"/>
        </w:rPr>
        <w:t>粗格栅主要规格参数如下：</w:t>
      </w:r>
    </w:p>
    <w:tbl>
      <w:tblPr>
        <w:tblStyle w:val="15"/>
        <w:tblW w:w="0" w:type="auto"/>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28" w:type="dxa"/>
          <w:bottom w:w="0" w:type="dxa"/>
          <w:right w:w="28" w:type="dxa"/>
        </w:tblCellMar>
      </w:tblPr>
      <w:tblGrid>
        <w:gridCol w:w="555"/>
        <w:gridCol w:w="2592"/>
        <w:gridCol w:w="5145"/>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8292" w:type="dxa"/>
            <w:gridSpan w:val="3"/>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设备名称：</w:t>
            </w:r>
            <w:r>
              <w:rPr>
                <w:rFonts w:hint="eastAsia" w:ascii="仿宋" w:hAnsi="仿宋" w:eastAsia="仿宋" w:cs="仿宋"/>
                <w:sz w:val="28"/>
                <w:szCs w:val="28"/>
              </w:rPr>
              <w:t>钢丝绳牵引式粗格栅</w:t>
            </w:r>
            <w:r>
              <w:rPr>
                <w:rFonts w:hint="eastAsia" w:ascii="仿宋" w:hAnsi="仿宋" w:eastAsia="仿宋" w:cs="仿宋"/>
                <w:kern w:val="0"/>
                <w:sz w:val="24"/>
              </w:rPr>
              <w:t xml:space="preserve">                型号：</w:t>
            </w:r>
            <w:r>
              <w:rPr>
                <w:rFonts w:hint="eastAsia" w:ascii="仿宋" w:hAnsi="仿宋" w:eastAsia="仿宋" w:cs="仿宋"/>
                <w:sz w:val="28"/>
                <w:szCs w:val="28"/>
              </w:rPr>
              <w:t>BLQ-2200</w:t>
            </w:r>
          </w:p>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数量：3台</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3147" w:type="dxa"/>
            <w:gridSpan w:val="2"/>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        项    目</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工艺设备技术参数</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restart"/>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性</w:t>
            </w:r>
          </w:p>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能</w:t>
            </w:r>
          </w:p>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参</w:t>
            </w:r>
          </w:p>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数</w:t>
            </w: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格栅宽度（mm）</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2000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栅隙间距（mm）</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20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条栅厚度(mm) </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10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安装角度</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75</w:t>
            </w:r>
            <w:r>
              <w:rPr>
                <w:rFonts w:hint="eastAsia" w:ascii="仿宋" w:hAnsi="仿宋" w:eastAsia="仿宋" w:cs="仿宋"/>
                <w:kern w:val="0"/>
                <w:sz w:val="24"/>
              </w:rPr>
              <w:sym w:font="Symbol" w:char="F0B0"/>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trHeight w:val="217" w:hRule="atLeas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栅条有效长度（mm）</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10000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trHeight w:val="204" w:hRule="atLeas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卸料高度（mm）</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1500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restart"/>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材</w:t>
            </w:r>
          </w:p>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料</w:t>
            </w:r>
          </w:p>
          <w:p>
            <w:pPr>
              <w:adjustRightInd w:val="0"/>
              <w:spacing w:line="240" w:lineRule="auto"/>
              <w:jc w:val="center"/>
              <w:textAlignment w:val="baseline"/>
              <w:rPr>
                <w:rFonts w:hint="eastAsia" w:ascii="仿宋" w:hAnsi="仿宋" w:eastAsia="仿宋" w:cs="仿宋"/>
                <w:kern w:val="0"/>
                <w:sz w:val="24"/>
              </w:rPr>
            </w:pPr>
          </w:p>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机架</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SS304 δ=8mm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栅条</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SS304 δ=8mm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钢丝绳导轮</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石墨铜衬+尼龙</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钢丝绳</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SS304</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驱动减速机</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SEW止动电机</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开耙减速机</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SEW止动电机</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刮渣机构</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SS304 5#方管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开耙机构</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SS304 δ=16mm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绳筒轴</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45# ∅377×12</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耙斗</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  SS304 δ=16mm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挡水板</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SS304 δ=2mm </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水上支架</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SS304 100×00×4方管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导轨</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SS304 14#槽钢</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紧固件</w:t>
            </w:r>
          </w:p>
        </w:tc>
        <w:tc>
          <w:tcPr>
            <w:tcW w:w="5145" w:type="dxa"/>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不锈钢321（AISI）</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restart"/>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驱</w:t>
            </w:r>
          </w:p>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动</w:t>
            </w:r>
          </w:p>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机</w:t>
            </w: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绳牵引电机功率（KW）</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1.5</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张闭耙电机功率（KW）</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0.75</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齿耙运行速度</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6m/min</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电源</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380V  50HZ</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电机防护等级</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IP55</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电机绝缘等级</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F</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240" w:lineRule="auto"/>
              <w:jc w:val="center"/>
              <w:textAlignment w:val="baseline"/>
              <w:rPr>
                <w:rFonts w:hint="eastAsia" w:ascii="仿宋" w:hAnsi="仿宋" w:eastAsia="仿宋" w:cs="仿宋"/>
                <w:kern w:val="0"/>
                <w:sz w:val="24"/>
              </w:rPr>
            </w:pPr>
          </w:p>
        </w:tc>
        <w:tc>
          <w:tcPr>
            <w:tcW w:w="2592"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制造商</w:t>
            </w:r>
          </w:p>
        </w:tc>
        <w:tc>
          <w:tcPr>
            <w:tcW w:w="5145" w:type="dxa"/>
            <w:vAlign w:val="center"/>
          </w:tcPr>
          <w:p>
            <w:pPr>
              <w:adjustRightInd w:val="0"/>
              <w:spacing w:line="240" w:lineRule="auto"/>
              <w:jc w:val="center"/>
              <w:textAlignment w:val="baseline"/>
              <w:rPr>
                <w:rFonts w:hint="eastAsia" w:ascii="仿宋" w:hAnsi="仿宋" w:eastAsia="仿宋" w:cs="仿宋"/>
                <w:kern w:val="0"/>
                <w:sz w:val="24"/>
              </w:rPr>
            </w:pPr>
            <w:r>
              <w:rPr>
                <w:rFonts w:hint="eastAsia" w:ascii="仿宋" w:hAnsi="仿宋" w:eastAsia="仿宋" w:cs="仿宋"/>
                <w:kern w:val="0"/>
                <w:sz w:val="24"/>
              </w:rPr>
              <w:t>SEW R97</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Align w:val="center"/>
          </w:tcPr>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 说</w:t>
            </w:r>
          </w:p>
          <w:p>
            <w:pPr>
              <w:adjustRightInd w:val="0"/>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 明</w:t>
            </w:r>
          </w:p>
        </w:tc>
        <w:tc>
          <w:tcPr>
            <w:tcW w:w="7737" w:type="dxa"/>
            <w:gridSpan w:val="2"/>
            <w:vAlign w:val="center"/>
          </w:tcPr>
          <w:p>
            <w:pPr>
              <w:adjustRightInd w:val="0"/>
              <w:spacing w:line="240" w:lineRule="auto"/>
              <w:ind w:left="247" w:hanging="247" w:hangingChars="103"/>
              <w:textAlignment w:val="baseline"/>
              <w:rPr>
                <w:rFonts w:hint="eastAsia" w:ascii="仿宋" w:hAnsi="仿宋" w:eastAsia="仿宋" w:cs="仿宋"/>
                <w:kern w:val="0"/>
                <w:sz w:val="24"/>
              </w:rPr>
            </w:pPr>
            <w:r>
              <w:rPr>
                <w:rFonts w:hint="eastAsia" w:ascii="仿宋" w:hAnsi="仿宋" w:eastAsia="仿宋" w:cs="仿宋"/>
                <w:kern w:val="0"/>
                <w:sz w:val="24"/>
              </w:rPr>
              <w:t>供应商提供的</w:t>
            </w:r>
            <w:r>
              <w:rPr>
                <w:rFonts w:hint="eastAsia" w:ascii="仿宋" w:hAnsi="仿宋" w:eastAsia="仿宋" w:cs="仿宋"/>
                <w:sz w:val="28"/>
                <w:szCs w:val="28"/>
              </w:rPr>
              <w:t>钢丝绳牵引式粗格栅</w:t>
            </w:r>
            <w:r>
              <w:rPr>
                <w:rFonts w:hint="eastAsia" w:ascii="仿宋" w:hAnsi="仿宋" w:eastAsia="仿宋" w:cs="仿宋"/>
                <w:kern w:val="0"/>
                <w:sz w:val="24"/>
              </w:rPr>
              <w:t>均为成套装置,包括控制柜户外型304,防护等级IP55、电器元件施耐德。</w:t>
            </w:r>
          </w:p>
        </w:tc>
      </w:tr>
    </w:tbl>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autoSpaceDE w:val="0"/>
        <w:autoSpaceDN w:val="0"/>
        <w:spacing w:line="240" w:lineRule="auto"/>
        <w:ind w:firstLine="560" w:firstLineChars="200"/>
        <w:rPr>
          <w:rFonts w:hint="default" w:ascii="仿宋" w:hAnsi="仿宋" w:eastAsia="仿宋" w:cs="仿宋"/>
          <w:sz w:val="28"/>
          <w:szCs w:val="28"/>
          <w:u w:val="single"/>
          <w:lang w:val="en-US"/>
        </w:rPr>
      </w:pPr>
      <w:r>
        <w:rPr>
          <w:rFonts w:hint="default" w:ascii="仿宋" w:hAnsi="仿宋" w:eastAsia="仿宋" w:cs="仿宋"/>
          <w:sz w:val="28"/>
          <w:szCs w:val="28"/>
          <w:u w:val="single"/>
          <w:lang w:val="en-US"/>
        </w:rPr>
        <w:t>1、报价单位应为在中华人民共和国境内的法人或者其他组织，具有独立法人资格，且能开具增值税专用发票。</w:t>
      </w:r>
    </w:p>
    <w:p>
      <w:pPr>
        <w:autoSpaceDE w:val="0"/>
        <w:autoSpaceDN w:val="0"/>
        <w:spacing w:line="240" w:lineRule="auto"/>
        <w:ind w:firstLine="560" w:firstLineChars="200"/>
        <w:rPr>
          <w:rFonts w:hint="default" w:ascii="仿宋" w:hAnsi="仿宋" w:eastAsia="仿宋" w:cs="仿宋"/>
          <w:sz w:val="28"/>
          <w:szCs w:val="28"/>
          <w:u w:val="single"/>
          <w:lang w:val="en-US"/>
        </w:rPr>
      </w:pPr>
      <w:r>
        <w:rPr>
          <w:rFonts w:hint="default" w:ascii="仿宋" w:hAnsi="仿宋" w:eastAsia="仿宋" w:cs="仿宋"/>
          <w:sz w:val="28"/>
          <w:szCs w:val="28"/>
          <w:u w:val="single"/>
          <w:lang w:val="en-US"/>
        </w:rPr>
        <w:t>2、具备机电工程施工总承包三级（或以上级别资质）或建筑机电安装工程专业承包三级（或以上级别资质），具有建设主管部门颁发的《安全生产许可证》并在有效期内。</w:t>
      </w:r>
    </w:p>
    <w:p>
      <w:pPr>
        <w:autoSpaceDE w:val="0"/>
        <w:autoSpaceDN w:val="0"/>
        <w:spacing w:line="240" w:lineRule="auto"/>
        <w:ind w:firstLine="560" w:firstLineChars="200"/>
        <w:rPr>
          <w:rFonts w:hint="default" w:ascii="仿宋" w:hAnsi="仿宋" w:eastAsia="仿宋" w:cs="仿宋"/>
          <w:sz w:val="28"/>
          <w:szCs w:val="28"/>
          <w:u w:val="single"/>
          <w:lang w:val="en-US"/>
        </w:rPr>
      </w:pPr>
      <w:r>
        <w:rPr>
          <w:rFonts w:hint="default" w:ascii="仿宋" w:hAnsi="仿宋" w:eastAsia="仿宋" w:cs="仿宋"/>
          <w:sz w:val="28"/>
          <w:szCs w:val="28"/>
          <w:u w:val="single"/>
          <w:lang w:val="en-US"/>
        </w:rPr>
        <w:t>3、担任本工程项目负责人的人员</w:t>
      </w:r>
      <w:r>
        <w:rPr>
          <w:rFonts w:hint="eastAsia" w:ascii="仿宋" w:hAnsi="仿宋" w:eastAsia="仿宋" w:cs="仿宋"/>
          <w:sz w:val="28"/>
          <w:szCs w:val="28"/>
          <w:u w:val="single"/>
          <w:lang w:val="en-US" w:eastAsia="zh-CN"/>
        </w:rPr>
        <w:t>需满足以下条件之一</w:t>
      </w:r>
      <w:r>
        <w:rPr>
          <w:rFonts w:hint="default" w:ascii="仿宋" w:hAnsi="仿宋" w:eastAsia="仿宋" w:cs="仿宋"/>
          <w:sz w:val="28"/>
          <w:szCs w:val="28"/>
          <w:u w:val="single"/>
          <w:lang w:val="en-US"/>
        </w:rPr>
        <w:t>：</w:t>
      </w:r>
    </w:p>
    <w:p>
      <w:pPr>
        <w:autoSpaceDE w:val="0"/>
        <w:autoSpaceDN w:val="0"/>
        <w:spacing w:line="240" w:lineRule="auto"/>
        <w:ind w:firstLine="560" w:firstLineChars="200"/>
        <w:rPr>
          <w:rFonts w:hint="default" w:ascii="仿宋" w:hAnsi="仿宋" w:eastAsia="仿宋" w:cs="仿宋"/>
          <w:sz w:val="28"/>
          <w:szCs w:val="28"/>
          <w:u w:val="single"/>
          <w:lang w:val="en-US"/>
        </w:rPr>
      </w:pPr>
      <w:r>
        <w:rPr>
          <w:rFonts w:hint="eastAsia" w:ascii="仿宋" w:hAnsi="仿宋" w:eastAsia="仿宋" w:cs="仿宋"/>
          <w:sz w:val="28"/>
          <w:szCs w:val="28"/>
          <w:u w:val="single"/>
          <w:lang w:val="en-US" w:eastAsia="zh-CN"/>
        </w:rPr>
        <w:t>（1）</w:t>
      </w:r>
      <w:r>
        <w:rPr>
          <w:rFonts w:hint="default" w:ascii="仿宋" w:hAnsi="仿宋" w:eastAsia="仿宋" w:cs="仿宋"/>
          <w:sz w:val="28"/>
          <w:szCs w:val="28"/>
          <w:u w:val="single"/>
          <w:lang w:val="en-US"/>
        </w:rPr>
        <w:t>机电工程专业二级</w:t>
      </w:r>
      <w:r>
        <w:rPr>
          <w:rFonts w:hint="eastAsia" w:ascii="仿宋" w:hAnsi="仿宋" w:eastAsia="仿宋" w:cs="仿宋"/>
          <w:sz w:val="28"/>
          <w:szCs w:val="28"/>
          <w:u w:val="single"/>
          <w:lang w:val="en-US" w:eastAsia="zh-CN"/>
        </w:rPr>
        <w:t>（或</w:t>
      </w:r>
      <w:r>
        <w:rPr>
          <w:rFonts w:hint="default" w:ascii="仿宋" w:hAnsi="仿宋" w:eastAsia="仿宋" w:cs="仿宋"/>
          <w:sz w:val="28"/>
          <w:szCs w:val="28"/>
          <w:u w:val="single"/>
          <w:lang w:val="en-US"/>
        </w:rPr>
        <w:t>以上级别</w:t>
      </w:r>
      <w:r>
        <w:rPr>
          <w:rFonts w:hint="eastAsia" w:ascii="仿宋" w:hAnsi="仿宋" w:eastAsia="仿宋" w:cs="仿宋"/>
          <w:sz w:val="28"/>
          <w:szCs w:val="28"/>
          <w:u w:val="single"/>
          <w:lang w:val="en-US" w:eastAsia="zh-CN"/>
        </w:rPr>
        <w:t>）</w:t>
      </w:r>
    </w:p>
    <w:p>
      <w:pPr>
        <w:autoSpaceDE w:val="0"/>
        <w:autoSpaceDN w:val="0"/>
        <w:spacing w:line="240" w:lineRule="auto"/>
        <w:ind w:firstLine="560" w:firstLineChars="200"/>
        <w:rPr>
          <w:rFonts w:hint="default" w:ascii="仿宋" w:hAnsi="仿宋" w:eastAsia="仿宋" w:cs="仿宋"/>
          <w:sz w:val="28"/>
          <w:szCs w:val="28"/>
          <w:u w:val="single"/>
          <w:lang w:val="en-US"/>
        </w:rPr>
      </w:pPr>
      <w:r>
        <w:rPr>
          <w:rFonts w:hint="eastAsia" w:ascii="仿宋" w:hAnsi="仿宋" w:eastAsia="仿宋" w:cs="仿宋"/>
          <w:sz w:val="28"/>
          <w:szCs w:val="28"/>
          <w:u w:val="single"/>
          <w:lang w:val="en-US" w:eastAsia="zh-CN"/>
        </w:rPr>
        <w:t>（2）</w:t>
      </w:r>
      <w:r>
        <w:rPr>
          <w:rFonts w:hint="default" w:ascii="仿宋" w:hAnsi="仿宋" w:eastAsia="仿宋" w:cs="仿宋"/>
          <w:sz w:val="28"/>
          <w:szCs w:val="28"/>
          <w:u w:val="single"/>
          <w:lang w:val="en-US"/>
        </w:rPr>
        <w:t>建筑工程专业二级</w:t>
      </w:r>
      <w:r>
        <w:rPr>
          <w:rFonts w:hint="eastAsia" w:ascii="仿宋" w:hAnsi="仿宋" w:eastAsia="仿宋" w:cs="仿宋"/>
          <w:sz w:val="28"/>
          <w:szCs w:val="28"/>
          <w:u w:val="single"/>
          <w:lang w:val="en-US" w:eastAsia="zh-CN"/>
        </w:rPr>
        <w:t>（或</w:t>
      </w:r>
      <w:r>
        <w:rPr>
          <w:rFonts w:hint="default" w:ascii="仿宋" w:hAnsi="仿宋" w:eastAsia="仿宋" w:cs="仿宋"/>
          <w:sz w:val="28"/>
          <w:szCs w:val="28"/>
          <w:u w:val="single"/>
          <w:lang w:val="en-US"/>
        </w:rPr>
        <w:t>以上级别</w:t>
      </w:r>
      <w:r>
        <w:rPr>
          <w:rFonts w:hint="eastAsia" w:ascii="仿宋" w:hAnsi="仿宋" w:eastAsia="仿宋" w:cs="仿宋"/>
          <w:sz w:val="28"/>
          <w:szCs w:val="28"/>
          <w:u w:val="single"/>
          <w:lang w:val="en-US" w:eastAsia="zh-CN"/>
        </w:rPr>
        <w:t>）</w:t>
      </w:r>
      <w:r>
        <w:rPr>
          <w:rFonts w:hint="default" w:ascii="仿宋" w:hAnsi="仿宋" w:eastAsia="仿宋" w:cs="仿宋"/>
          <w:sz w:val="28"/>
          <w:szCs w:val="28"/>
          <w:u w:val="single"/>
          <w:lang w:val="en-US"/>
        </w:rPr>
        <w:t>的注册建造师</w:t>
      </w:r>
    </w:p>
    <w:p>
      <w:pPr>
        <w:autoSpaceDE w:val="0"/>
        <w:autoSpaceDN w:val="0"/>
        <w:spacing w:line="240" w:lineRule="auto"/>
        <w:ind w:firstLine="560" w:firstLineChars="200"/>
        <w:rPr>
          <w:rFonts w:hint="default" w:ascii="仿宋" w:hAnsi="仿宋" w:eastAsia="仿宋" w:cs="仿宋"/>
          <w:sz w:val="28"/>
          <w:szCs w:val="28"/>
          <w:u w:val="single"/>
          <w:lang w:val="en-US"/>
        </w:rPr>
      </w:pPr>
      <w:r>
        <w:rPr>
          <w:rFonts w:hint="eastAsia" w:ascii="仿宋" w:hAnsi="仿宋" w:eastAsia="仿宋" w:cs="仿宋"/>
          <w:sz w:val="28"/>
          <w:szCs w:val="28"/>
          <w:u w:val="single"/>
          <w:lang w:val="en-US" w:eastAsia="zh-CN"/>
        </w:rPr>
        <w:t>（3）</w:t>
      </w:r>
      <w:r>
        <w:rPr>
          <w:rFonts w:hint="default" w:ascii="仿宋" w:hAnsi="仿宋" w:eastAsia="仿宋" w:cs="仿宋"/>
          <w:sz w:val="28"/>
          <w:szCs w:val="28"/>
          <w:u w:val="single"/>
          <w:lang w:val="en-US"/>
        </w:rPr>
        <w:t>具备小型项目负责人资质</w:t>
      </w:r>
    </w:p>
    <w:p>
      <w:pPr>
        <w:autoSpaceDE w:val="0"/>
        <w:autoSpaceDN w:val="0"/>
        <w:spacing w:line="240" w:lineRule="auto"/>
        <w:ind w:firstLine="560" w:firstLineChars="200"/>
        <w:rPr>
          <w:rFonts w:hint="default" w:ascii="仿宋" w:hAnsi="仿宋" w:eastAsia="仿宋" w:cs="仿宋"/>
          <w:sz w:val="28"/>
          <w:szCs w:val="28"/>
          <w:u w:val="single"/>
          <w:lang w:val="en-US"/>
        </w:rPr>
      </w:pPr>
      <w:r>
        <w:rPr>
          <w:rFonts w:hint="default" w:ascii="仿宋" w:hAnsi="仿宋" w:eastAsia="仿宋" w:cs="仿宋"/>
          <w:sz w:val="28"/>
          <w:szCs w:val="28"/>
          <w:u w:val="single"/>
          <w:lang w:val="en-US"/>
        </w:rPr>
        <w:t>持有项目负责人安全生产考核合格证（B类）；专职安全人员须具有在有效期内的安全考核合格证书（C类），项目负责人和安全员不为同一人。</w:t>
      </w:r>
    </w:p>
    <w:p>
      <w:pPr>
        <w:autoSpaceDE w:val="0"/>
        <w:autoSpaceDN w:val="0"/>
        <w:snapToGrid/>
        <w:spacing w:line="240" w:lineRule="auto"/>
        <w:ind w:firstLine="560" w:firstLineChars="200"/>
        <w:rPr>
          <w:rFonts w:hint="eastAsia" w:ascii="仿宋" w:hAnsi="仿宋" w:eastAsia="仿宋" w:cs="仿宋"/>
          <w:color w:val="000000"/>
          <w:sz w:val="28"/>
          <w:szCs w:val="28"/>
        </w:rPr>
      </w:pPr>
      <w:r>
        <w:rPr>
          <w:rFonts w:hint="default" w:ascii="仿宋" w:hAnsi="仿宋" w:eastAsia="仿宋" w:cs="仿宋"/>
          <w:sz w:val="28"/>
          <w:szCs w:val="28"/>
          <w:u w:val="single"/>
          <w:lang w:val="en-US"/>
        </w:rPr>
        <w:t>4、2017年1月1日至今，最少具有一项类似施工业绩，并提供相关证明文件（合同复印件，加盖单位公章）。</w:t>
      </w:r>
    </w:p>
    <w:p>
      <w:pPr>
        <w:autoSpaceDE w:val="0"/>
        <w:autoSpaceDN w:val="0"/>
        <w:snapToGrid/>
        <w:spacing w:line="24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七、现场踏勘(答疑会)时间、地点（也可由报价人自行踏勘现场）：</w:t>
      </w:r>
    </w:p>
    <w:p>
      <w:pPr>
        <w:autoSpaceDE w:val="0"/>
        <w:autoSpaceDN w:val="0"/>
        <w:snapToGrid/>
        <w:spacing w:line="24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1. 现场踏勘(答疑会)集合时间：2020年11月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10时00分</w:t>
      </w:r>
    </w:p>
    <w:p>
      <w:pPr>
        <w:autoSpaceDE w:val="0"/>
        <w:autoSpaceDN w:val="0"/>
        <w:snapToGrid/>
        <w:spacing w:line="24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 现场踏勘(答疑会)集合地点：广州市净水有限公司大沙地分公司。</w:t>
      </w:r>
    </w:p>
    <w:p>
      <w:pPr>
        <w:autoSpaceDE w:val="0"/>
        <w:autoSpaceDN w:val="0"/>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现场踏勘要求：报价单位凭借《现场踏勘书》踏勘现场，完全了解项目地点、环境、内容和要求，结合现场实际情况，在递交报价响应文件时出具《现场踏勘书》</w:t>
      </w:r>
      <w:r>
        <w:rPr>
          <w:rFonts w:hint="eastAsia" w:ascii="仿宋" w:hAnsi="仿宋" w:eastAsia="仿宋" w:cs="仿宋"/>
          <w:sz w:val="28"/>
          <w:szCs w:val="28"/>
          <w:lang w:eastAsia="zh-CN"/>
        </w:rPr>
        <w:t>。</w:t>
      </w:r>
    </w:p>
    <w:p>
      <w:pPr>
        <w:autoSpaceDE w:val="0"/>
        <w:autoSpaceDN w:val="0"/>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八、询价文件的获取：</w:t>
      </w:r>
      <w:r>
        <w:rPr>
          <w:rFonts w:hint="eastAsia" w:ascii="仿宋_GB2312" w:eastAsia="仿宋_GB2312" w:cs="仿宋_GB2312"/>
          <w:color w:val="000000"/>
          <w:sz w:val="28"/>
          <w:szCs w:val="28"/>
          <w:lang w:bidi="ar-SA"/>
        </w:rPr>
        <w:t>在2020年</w:t>
      </w:r>
      <w:r>
        <w:rPr>
          <w:rFonts w:hint="eastAsia" w:ascii="仿宋_GB2312" w:eastAsia="仿宋_GB2312" w:cs="仿宋_GB2312"/>
          <w:color w:val="000000"/>
          <w:sz w:val="28"/>
          <w:szCs w:val="28"/>
          <w:lang w:val="en-US" w:eastAsia="zh-CN" w:bidi="ar-SA"/>
        </w:rPr>
        <w:t>12</w:t>
      </w:r>
      <w:r>
        <w:rPr>
          <w:rFonts w:hint="eastAsia" w:ascii="仿宋_GB2312" w:eastAsia="仿宋_GB2312" w:cs="仿宋_GB2312"/>
          <w:color w:val="000000"/>
          <w:sz w:val="28"/>
          <w:szCs w:val="28"/>
          <w:lang w:bidi="ar-SA"/>
        </w:rPr>
        <w:t>月</w:t>
      </w:r>
      <w:r>
        <w:rPr>
          <w:rFonts w:hint="eastAsia" w:ascii="仿宋_GB2312" w:eastAsia="仿宋_GB2312" w:cs="仿宋_GB2312"/>
          <w:color w:val="000000"/>
          <w:sz w:val="28"/>
          <w:szCs w:val="28"/>
          <w:lang w:val="en-US" w:eastAsia="zh-CN" w:bidi="ar-SA"/>
        </w:rPr>
        <w:t>2</w:t>
      </w:r>
      <w:r>
        <w:rPr>
          <w:rFonts w:hint="eastAsia" w:ascii="仿宋_GB2312" w:eastAsia="仿宋_GB2312" w:cs="仿宋_GB2312"/>
          <w:color w:val="000000"/>
          <w:sz w:val="28"/>
          <w:szCs w:val="28"/>
          <w:lang w:bidi="ar-SA"/>
        </w:rPr>
        <w:t>日1</w:t>
      </w:r>
      <w:r>
        <w:rPr>
          <w:rFonts w:hint="eastAsia" w:ascii="仿宋_GB2312" w:eastAsia="仿宋_GB2312" w:cs="仿宋_GB2312"/>
          <w:color w:val="000000"/>
          <w:sz w:val="28"/>
          <w:szCs w:val="28"/>
          <w:lang w:val="en-US" w:eastAsia="zh-CN" w:bidi="ar-SA"/>
        </w:rPr>
        <w:t>5</w:t>
      </w:r>
      <w:r>
        <w:rPr>
          <w:rFonts w:hint="eastAsia" w:ascii="仿宋_GB2312" w:eastAsia="仿宋_GB2312" w:cs="仿宋_GB2312"/>
          <w:color w:val="000000"/>
          <w:sz w:val="28"/>
          <w:szCs w:val="28"/>
          <w:lang w:bidi="ar-SA"/>
        </w:rPr>
        <w:t>时00分前，在广州市净水有限公司门户网站免费下载。</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九、询价响应文件递交时间：2020年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分；询价响应文件截止时间：2020年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pacing w:line="240" w:lineRule="auto"/>
        <w:ind w:firstLine="588" w:firstLineChars="210"/>
        <w:rPr>
          <w:rFonts w:ascii="仿宋" w:hAnsi="仿宋" w:eastAsia="仿宋" w:cs="仿宋"/>
          <w:sz w:val="28"/>
          <w:szCs w:val="28"/>
        </w:rPr>
      </w:pPr>
      <w:r>
        <w:rPr>
          <w:rFonts w:hint="eastAsia" w:ascii="仿宋" w:hAnsi="仿宋" w:eastAsia="仿宋" w:cs="仿宋"/>
          <w:sz w:val="28"/>
          <w:szCs w:val="28"/>
        </w:rPr>
        <w:t>十、评审时间：</w:t>
      </w:r>
      <w:r>
        <w:rPr>
          <w:rFonts w:hint="eastAsia" w:ascii="仿宋" w:hAnsi="仿宋" w:eastAsia="仿宋" w:cs="仿宋"/>
          <w:sz w:val="28"/>
          <w:szCs w:val="28"/>
          <w:lang w:val="en-US" w:eastAsia="zh-CN"/>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pacing w:line="240" w:lineRule="auto"/>
        <w:ind w:firstLine="588" w:firstLineChars="210"/>
        <w:rPr>
          <w:rFonts w:ascii="仿宋" w:hAnsi="仿宋" w:eastAsia="仿宋" w:cs="仿宋"/>
          <w:sz w:val="28"/>
          <w:szCs w:val="28"/>
        </w:rPr>
      </w:pPr>
      <w:r>
        <w:rPr>
          <w:rFonts w:hint="eastAsia" w:ascii="仿宋" w:hAnsi="仿宋" w:eastAsia="仿宋" w:cs="仿宋"/>
          <w:sz w:val="28"/>
          <w:szCs w:val="28"/>
        </w:rPr>
        <w:t>十一、评审地点：</w:t>
      </w:r>
      <w:r>
        <w:rPr>
          <w:rFonts w:hint="eastAsia" w:ascii="仿宋" w:hAnsi="仿宋" w:eastAsia="仿宋" w:cs="仿宋"/>
          <w:color w:val="000000"/>
          <w:sz w:val="28"/>
          <w:szCs w:val="28"/>
        </w:rPr>
        <w:t xml:space="preserve">广州市净水有限公司六楼招标办 </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十二、</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snapToGrid/>
        <w:spacing w:line="240" w:lineRule="auto"/>
        <w:ind w:firstLine="588" w:firstLineChars="210"/>
        <w:rPr>
          <w:rFonts w:hint="eastAsia"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spacing w:line="240" w:lineRule="auto"/>
        <w:ind w:firstLine="0" w:firstLine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联系地址：广州市天河区临江大道501号            </w:t>
      </w:r>
    </w:p>
    <w:p>
      <w:pPr>
        <w:snapToGrid/>
        <w:spacing w:line="240" w:lineRule="auto"/>
        <w:ind w:firstLine="630" w:firstLineChars="225"/>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黄工</w:t>
      </w:r>
      <w:r>
        <w:rPr>
          <w:rFonts w:hint="eastAsia" w:ascii="仿宋" w:hAnsi="仿宋" w:eastAsia="仿宋" w:cs="仿宋"/>
          <w:kern w:val="0"/>
          <w:sz w:val="28"/>
          <w:szCs w:val="28"/>
        </w:rPr>
        <w:t xml:space="preserve">             联系方式：</w:t>
      </w:r>
      <w:r>
        <w:rPr>
          <w:rFonts w:hint="eastAsia" w:ascii="仿宋" w:hAnsi="仿宋" w:eastAsia="仿宋" w:cs="仿宋"/>
          <w:kern w:val="0"/>
          <w:sz w:val="28"/>
          <w:szCs w:val="28"/>
          <w:lang w:val="en-US" w:eastAsia="zh-CN"/>
        </w:rPr>
        <w:t>020-62315524</w:t>
      </w:r>
    </w:p>
    <w:p>
      <w:pPr>
        <w:spacing w:line="240" w:lineRule="auto"/>
        <w:ind w:firstLine="4340" w:firstLineChars="1550"/>
        <w:rPr>
          <w:rFonts w:hint="eastAsia" w:ascii="仿宋" w:hAnsi="仿宋" w:eastAsia="仿宋" w:cs="仿宋"/>
          <w:sz w:val="28"/>
          <w:szCs w:val="28"/>
        </w:rPr>
      </w:pPr>
      <w:r>
        <w:rPr>
          <w:rFonts w:hint="eastAsia" w:ascii="仿宋" w:hAnsi="仿宋" w:eastAsia="仿宋" w:cs="仿宋"/>
          <w:sz w:val="28"/>
          <w:szCs w:val="28"/>
        </w:rPr>
        <w:t xml:space="preserve">       </w:t>
      </w:r>
    </w:p>
    <w:p>
      <w:pPr>
        <w:spacing w:line="240" w:lineRule="auto"/>
        <w:ind w:firstLine="5600" w:firstLineChars="2000"/>
        <w:rPr>
          <w:rFonts w:ascii="仿宋" w:hAnsi="仿宋" w:eastAsia="仿宋" w:cs="仿宋"/>
          <w:sz w:val="28"/>
          <w:szCs w:val="28"/>
        </w:rPr>
      </w:pPr>
      <w:r>
        <w:rPr>
          <w:rFonts w:hint="eastAsia" w:ascii="仿宋" w:hAnsi="仿宋" w:eastAsia="仿宋" w:cs="仿宋"/>
          <w:sz w:val="28"/>
          <w:szCs w:val="28"/>
        </w:rPr>
        <w:t>广州市净水有限公司</w:t>
      </w:r>
    </w:p>
    <w:p>
      <w:pPr>
        <w:spacing w:line="240" w:lineRule="auto"/>
        <w:ind w:firstLine="5600" w:firstLineChars="20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p>
    <w:p>
      <w:pPr>
        <w:ind w:firstLine="5600" w:firstLineChars="2000"/>
        <w:rPr>
          <w:rFonts w:hint="eastAsia" w:ascii="仿宋" w:hAnsi="仿宋" w:eastAsia="仿宋" w:cs="仿宋"/>
          <w:sz w:val="28"/>
          <w:szCs w:val="28"/>
        </w:rPr>
        <w:sectPr>
          <w:headerReference r:id="rId3" w:type="default"/>
          <w:footerReference r:id="rId4" w:type="default"/>
          <w:footerReference r:id="rId5" w:type="even"/>
          <w:pgSz w:w="11906" w:h="16838"/>
          <w:pgMar w:top="1134" w:right="1531" w:bottom="1134" w:left="1531" w:header="851" w:footer="992" w:gutter="0"/>
          <w:cols w:space="720" w:num="1"/>
          <w:docGrid w:type="linesAndChars" w:linePitch="312" w:charSpace="0"/>
        </w:sectPr>
      </w:pPr>
    </w:p>
    <w:p>
      <w:pPr>
        <w:spacing w:line="48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w:t>
      </w:r>
    </w:p>
    <w:p>
      <w:pPr>
        <w:spacing w:line="48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现场踏勘委派书</w:t>
      </w:r>
    </w:p>
    <w:p>
      <w:pPr>
        <w:spacing w:line="360" w:lineRule="auto"/>
        <w:rPr>
          <w:rFonts w:ascii="宋体" w:hAnsi="宋体"/>
          <w:szCs w:val="21"/>
        </w:rPr>
      </w:pP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致：广州市净水有限公司</w:t>
      </w:r>
    </w:p>
    <w:p>
      <w:pPr>
        <w:spacing w:line="360" w:lineRule="auto"/>
        <w:rPr>
          <w:rFonts w:ascii="宋体" w:hAnsi="宋体"/>
          <w:szCs w:val="21"/>
        </w:rPr>
      </w:pPr>
    </w:p>
    <w:p>
      <w:pPr>
        <w:spacing w:line="360" w:lineRule="auto"/>
        <w:ind w:firstLine="542" w:firstLineChars="200"/>
        <w:rPr>
          <w:rFonts w:ascii="仿宋" w:hAnsi="仿宋" w:eastAsia="仿宋" w:cs="仿宋"/>
          <w:kern w:val="0"/>
          <w:sz w:val="28"/>
          <w:szCs w:val="28"/>
        </w:rPr>
      </w:pPr>
      <w:r>
        <w:rPr>
          <w:rFonts w:hint="eastAsia" w:ascii="仿宋" w:hAnsi="仿宋" w:eastAsia="仿宋" w:cs="仿宋"/>
          <w:kern w:val="0"/>
          <w:sz w:val="28"/>
          <w:szCs w:val="28"/>
        </w:rPr>
        <w:t>我公司（单位</w:t>
      </w:r>
      <w:r>
        <w:rPr>
          <w:rFonts w:hint="eastAsia" w:ascii="仿宋" w:hAnsi="仿宋" w:eastAsia="仿宋" w:cs="仿宋"/>
          <w:kern w:val="0"/>
          <w:sz w:val="28"/>
          <w:szCs w:val="28"/>
          <w:u w:val="single"/>
        </w:rPr>
        <w:t xml:space="preserve">）      （报价单位名称）     </w:t>
      </w:r>
      <w:r>
        <w:rPr>
          <w:rFonts w:hint="eastAsia" w:ascii="仿宋" w:hAnsi="仿宋" w:eastAsia="仿宋" w:cs="仿宋"/>
          <w:kern w:val="0"/>
          <w:sz w:val="28"/>
          <w:szCs w:val="28"/>
        </w:rPr>
        <w:t>现委派</w:t>
      </w:r>
      <w:r>
        <w:rPr>
          <w:rFonts w:hint="eastAsia" w:ascii="仿宋" w:hAnsi="仿宋" w:eastAsia="仿宋" w:cs="仿宋"/>
          <w:kern w:val="0"/>
          <w:sz w:val="28"/>
          <w:szCs w:val="28"/>
          <w:u w:val="single"/>
        </w:rPr>
        <w:t xml:space="preserve">    （姓名、职务、身份证号）    </w:t>
      </w:r>
      <w:r>
        <w:rPr>
          <w:rFonts w:hint="eastAsia" w:ascii="仿宋" w:hAnsi="仿宋" w:eastAsia="仿宋" w:cs="仿宋"/>
          <w:kern w:val="0"/>
          <w:sz w:val="28"/>
          <w:szCs w:val="28"/>
        </w:rPr>
        <w:t>处理</w:t>
      </w:r>
      <w:r>
        <w:rPr>
          <w:rFonts w:hint="eastAsia" w:ascii="仿宋" w:hAnsi="仿宋" w:eastAsia="仿宋" w:cs="仿宋"/>
          <w:kern w:val="0"/>
          <w:sz w:val="28"/>
          <w:szCs w:val="28"/>
          <w:u w:val="single"/>
        </w:rPr>
        <w:t xml:space="preserve">  </w:t>
      </w:r>
      <w:r>
        <w:rPr>
          <w:rFonts w:hint="eastAsia" w:ascii="仿宋" w:hAnsi="仿宋" w:eastAsia="仿宋" w:cs="仿宋_GB2312"/>
          <w:sz w:val="28"/>
          <w:szCs w:val="28"/>
          <w:u w:val="single"/>
        </w:rPr>
        <w:t>大沙地分公司一期粗格栅技改项目</w:t>
      </w:r>
      <w:r>
        <w:rPr>
          <w:rFonts w:hint="eastAsia" w:ascii="仿宋_GB2312" w:hAnsi="仿宋_GB2312" w:eastAsia="仿宋_GB2312" w:cs="仿宋_GB2312"/>
          <w:bCs/>
          <w:sz w:val="28"/>
          <w:szCs w:val="28"/>
          <w:u w:val="single"/>
        </w:rPr>
        <w:t xml:space="preserve"> </w:t>
      </w:r>
      <w:r>
        <w:rPr>
          <w:rFonts w:hint="eastAsia" w:ascii="仿宋" w:hAnsi="仿宋" w:eastAsia="仿宋" w:cs="仿宋"/>
          <w:kern w:val="0"/>
          <w:sz w:val="28"/>
          <w:szCs w:val="28"/>
        </w:rPr>
        <w:t xml:space="preserve"> ，项目编号：XXXXXXX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的现场踏勘事宜。</w:t>
      </w:r>
    </w:p>
    <w:p>
      <w:pPr>
        <w:spacing w:line="360" w:lineRule="auto"/>
        <w:rPr>
          <w:rFonts w:ascii="仿宋" w:hAnsi="仿宋" w:eastAsia="仿宋" w:cs="仿宋"/>
          <w:kern w:val="0"/>
          <w:sz w:val="28"/>
          <w:szCs w:val="28"/>
        </w:rPr>
      </w:pPr>
    </w:p>
    <w:p>
      <w:pPr>
        <w:spacing w:line="360" w:lineRule="auto"/>
        <w:ind w:firstLine="542" w:firstLineChars="200"/>
        <w:rPr>
          <w:rFonts w:ascii="仿宋" w:hAnsi="仿宋" w:eastAsia="仿宋" w:cs="仿宋"/>
          <w:kern w:val="0"/>
          <w:sz w:val="28"/>
          <w:szCs w:val="28"/>
        </w:rPr>
      </w:pPr>
      <w:r>
        <w:rPr>
          <w:rFonts w:hint="eastAsia" w:ascii="仿宋" w:hAnsi="仿宋" w:eastAsia="仿宋" w:cs="仿宋"/>
          <w:kern w:val="0"/>
          <w:sz w:val="28"/>
          <w:szCs w:val="28"/>
        </w:rPr>
        <w:t>特此声明！</w:t>
      </w:r>
    </w:p>
    <w:p>
      <w:pPr>
        <w:spacing w:line="360" w:lineRule="auto"/>
        <w:ind w:firstLine="542" w:firstLineChars="200"/>
        <w:rPr>
          <w:rFonts w:ascii="仿宋" w:hAnsi="仿宋" w:eastAsia="仿宋" w:cs="仿宋"/>
          <w:kern w:val="0"/>
          <w:sz w:val="28"/>
          <w:szCs w:val="28"/>
        </w:rPr>
      </w:pPr>
    </w:p>
    <w:p>
      <w:pPr>
        <w:spacing w:line="360" w:lineRule="auto"/>
        <w:ind w:firstLine="542" w:firstLineChars="200"/>
        <w:rPr>
          <w:rFonts w:ascii="仿宋" w:hAnsi="仿宋" w:eastAsia="仿宋" w:cs="仿宋"/>
          <w:kern w:val="0"/>
          <w:sz w:val="28"/>
          <w:szCs w:val="28"/>
        </w:rPr>
      </w:pPr>
    </w:p>
    <w:p>
      <w:pPr>
        <w:spacing w:line="360" w:lineRule="auto"/>
        <w:ind w:firstLine="542" w:firstLineChars="200"/>
        <w:rPr>
          <w:rFonts w:ascii="仿宋" w:hAnsi="仿宋" w:eastAsia="仿宋" w:cs="仿宋"/>
          <w:kern w:val="0"/>
          <w:sz w:val="28"/>
          <w:szCs w:val="28"/>
        </w:rPr>
      </w:pPr>
      <w:r>
        <w:rPr>
          <w:rFonts w:hint="eastAsia" w:ascii="仿宋" w:hAnsi="仿宋" w:eastAsia="仿宋" w:cs="仿宋"/>
          <w:kern w:val="0"/>
          <w:sz w:val="28"/>
          <w:szCs w:val="28"/>
        </w:rPr>
        <w:t xml:space="preserve">报价单位法定代表人（或法定代表人授权代表）签字：                   </w:t>
      </w:r>
    </w:p>
    <w:p>
      <w:pPr>
        <w:spacing w:line="360" w:lineRule="auto"/>
        <w:ind w:firstLine="542" w:firstLineChars="200"/>
        <w:rPr>
          <w:rFonts w:ascii="仿宋" w:hAnsi="仿宋" w:eastAsia="仿宋" w:cs="仿宋"/>
          <w:kern w:val="0"/>
          <w:sz w:val="28"/>
          <w:szCs w:val="28"/>
        </w:rPr>
      </w:pPr>
      <w:r>
        <w:rPr>
          <w:rFonts w:hint="eastAsia" w:ascii="仿宋" w:hAnsi="仿宋" w:eastAsia="仿宋" w:cs="仿宋"/>
          <w:kern w:val="0"/>
          <w:sz w:val="28"/>
          <w:szCs w:val="28"/>
        </w:rPr>
        <w:t xml:space="preserve">报价单位名称（签章）：                        </w:t>
      </w:r>
    </w:p>
    <w:p>
      <w:pPr>
        <w:spacing w:line="360" w:lineRule="auto"/>
        <w:ind w:firstLine="542" w:firstLineChars="200"/>
        <w:rPr>
          <w:rFonts w:ascii="仿宋" w:hAnsi="仿宋" w:eastAsia="仿宋" w:cs="仿宋"/>
          <w:kern w:val="0"/>
          <w:sz w:val="28"/>
          <w:szCs w:val="28"/>
        </w:rPr>
      </w:pPr>
      <w:r>
        <w:rPr>
          <w:rFonts w:hint="eastAsia" w:ascii="仿宋" w:hAnsi="仿宋" w:eastAsia="仿宋" w:cs="仿宋"/>
          <w:kern w:val="0"/>
          <w:sz w:val="28"/>
          <w:szCs w:val="28"/>
        </w:rPr>
        <w:t>日期：   年   月   日</w:t>
      </w:r>
    </w:p>
    <w:p>
      <w:pPr>
        <w:spacing w:line="360" w:lineRule="auto"/>
        <w:ind w:firstLine="542" w:firstLineChars="200"/>
        <w:rPr>
          <w:rFonts w:ascii="仿宋" w:hAnsi="仿宋" w:eastAsia="仿宋" w:cs="仿宋"/>
          <w:kern w:val="0"/>
          <w:sz w:val="28"/>
          <w:szCs w:val="28"/>
        </w:rPr>
      </w:pPr>
    </w:p>
    <w:p>
      <w:pPr>
        <w:spacing w:line="360" w:lineRule="auto"/>
        <w:ind w:firstLine="542" w:firstLineChars="200"/>
        <w:rPr>
          <w:rFonts w:ascii="仿宋" w:hAnsi="仿宋" w:eastAsia="仿宋" w:cs="仿宋"/>
          <w:kern w:val="0"/>
          <w:sz w:val="28"/>
          <w:szCs w:val="28"/>
        </w:rPr>
      </w:pPr>
      <w:r>
        <w:rPr>
          <w:rFonts w:hint="eastAsia" w:ascii="仿宋" w:hAnsi="仿宋" w:eastAsia="仿宋" w:cs="仿宋"/>
          <w:kern w:val="0"/>
          <w:sz w:val="28"/>
          <w:szCs w:val="28"/>
        </w:rPr>
        <w:t>承办单位：广州市净水有限公司大沙地分公司</w:t>
      </w:r>
    </w:p>
    <w:p>
      <w:pPr>
        <w:spacing w:line="360" w:lineRule="auto"/>
        <w:ind w:firstLine="542" w:firstLineChars="200"/>
        <w:rPr>
          <w:rFonts w:ascii="仿宋" w:hAnsi="仿宋" w:eastAsia="仿宋" w:cs="仿宋"/>
          <w:kern w:val="0"/>
          <w:sz w:val="28"/>
          <w:szCs w:val="28"/>
        </w:rPr>
      </w:pPr>
      <w:r>
        <w:rPr>
          <w:rFonts w:hint="eastAsia" w:ascii="仿宋" w:hAnsi="仿宋" w:eastAsia="仿宋" w:cs="仿宋"/>
          <w:kern w:val="0"/>
          <w:sz w:val="28"/>
          <w:szCs w:val="28"/>
        </w:rPr>
        <w:t>联系人：陈工                         联系电话：020-82367828</w:t>
      </w:r>
    </w:p>
    <w:p>
      <w:pPr>
        <w:pStyle w:val="8"/>
        <w:adjustRightInd w:val="0"/>
        <w:snapToGrid w:val="0"/>
        <w:spacing w:line="300" w:lineRule="auto"/>
        <w:jc w:val="center"/>
        <w:rPr>
          <w:rFonts w:ascii="仿宋" w:hAnsi="仿宋" w:eastAsia="仿宋" w:cs="仿宋_GB2312"/>
          <w:b/>
          <w:sz w:val="28"/>
          <w:szCs w:val="28"/>
          <w:lang w:val="zh-CN"/>
        </w:rPr>
      </w:pPr>
    </w:p>
    <w:p>
      <w:pPr>
        <w:pStyle w:val="8"/>
        <w:adjustRightInd w:val="0"/>
        <w:snapToGrid w:val="0"/>
        <w:spacing w:line="300" w:lineRule="auto"/>
        <w:jc w:val="center"/>
        <w:rPr>
          <w:rFonts w:ascii="仿宋" w:hAnsi="仿宋" w:eastAsia="仿宋" w:cs="仿宋_GB2312"/>
          <w:b/>
          <w:sz w:val="28"/>
          <w:szCs w:val="28"/>
          <w:lang w:val="zh-CN"/>
        </w:rPr>
      </w:pPr>
    </w:p>
    <w:p>
      <w:pPr>
        <w:pStyle w:val="8"/>
        <w:adjustRightInd w:val="0"/>
        <w:snapToGrid w:val="0"/>
        <w:spacing w:line="300" w:lineRule="auto"/>
        <w:jc w:val="center"/>
        <w:rPr>
          <w:rFonts w:ascii="仿宋" w:hAnsi="仿宋" w:eastAsia="仿宋" w:cs="仿宋_GB2312"/>
          <w:b/>
          <w:sz w:val="28"/>
          <w:szCs w:val="28"/>
          <w:lang w:val="zh-CN"/>
        </w:rPr>
      </w:pPr>
    </w:p>
    <w:p>
      <w:pPr>
        <w:pStyle w:val="8"/>
        <w:adjustRightInd w:val="0"/>
        <w:snapToGrid w:val="0"/>
        <w:spacing w:line="300" w:lineRule="auto"/>
        <w:jc w:val="center"/>
        <w:rPr>
          <w:rFonts w:ascii="仿宋" w:hAnsi="仿宋" w:eastAsia="仿宋" w:cs="仿宋_GB2312"/>
          <w:b/>
          <w:sz w:val="28"/>
          <w:szCs w:val="28"/>
          <w:lang w:val="zh-CN"/>
        </w:rPr>
      </w:pPr>
    </w:p>
    <w:p>
      <w:pPr>
        <w:pStyle w:val="8"/>
        <w:adjustRightInd w:val="0"/>
        <w:snapToGrid w:val="0"/>
        <w:spacing w:line="300" w:lineRule="auto"/>
        <w:jc w:val="center"/>
        <w:rPr>
          <w:rFonts w:ascii="仿宋" w:hAnsi="仿宋" w:eastAsia="仿宋" w:cs="仿宋_GB2312"/>
          <w:b/>
          <w:sz w:val="28"/>
          <w:szCs w:val="28"/>
          <w:lang w:val="zh-CN"/>
        </w:rPr>
      </w:pPr>
    </w:p>
    <w:p>
      <w:pPr>
        <w:pStyle w:val="8"/>
        <w:adjustRightInd w:val="0"/>
        <w:snapToGrid w:val="0"/>
        <w:spacing w:line="300" w:lineRule="auto"/>
        <w:jc w:val="center"/>
        <w:rPr>
          <w:rFonts w:ascii="仿宋" w:hAnsi="仿宋" w:eastAsia="仿宋" w:cs="仿宋_GB2312"/>
          <w:b/>
          <w:sz w:val="28"/>
          <w:szCs w:val="28"/>
          <w:lang w:val="zh-CN"/>
        </w:rPr>
      </w:pPr>
    </w:p>
    <w:p>
      <w:pPr>
        <w:pStyle w:val="8"/>
        <w:adjustRightInd w:val="0"/>
        <w:snapToGrid w:val="0"/>
        <w:spacing w:line="300" w:lineRule="auto"/>
        <w:jc w:val="both"/>
        <w:rPr>
          <w:rFonts w:ascii="仿宋" w:hAnsi="仿宋" w:eastAsia="仿宋" w:cs="仿宋_GB2312"/>
          <w:b/>
          <w:sz w:val="28"/>
          <w:szCs w:val="28"/>
          <w:lang w:val="zh-CN"/>
        </w:r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ind w:firstLine="542" w:firstLineChars="200"/>
        <w:rPr>
          <w:rFonts w:hint="eastAsia" w:ascii="仿宋" w:hAnsi="仿宋" w:eastAsia="仿宋" w:cs="仿宋"/>
          <w:sz w:val="28"/>
          <w:szCs w:val="28"/>
        </w:rPr>
      </w:pPr>
      <w:r>
        <w:rPr>
          <w:rFonts w:hint="eastAsia" w:ascii="仿宋" w:hAnsi="仿宋" w:eastAsia="仿宋" w:cs="仿宋"/>
          <w:sz w:val="28"/>
          <w:szCs w:val="28"/>
        </w:rPr>
        <w:t>3台BLQ-2200钢丝绳牵引式粗格栅，已到设备大修期限</w:t>
      </w:r>
      <w:r>
        <w:rPr>
          <w:rFonts w:hint="eastAsia" w:ascii="仿宋" w:hAnsi="仿宋" w:eastAsia="仿宋" w:cs="仿宋"/>
          <w:sz w:val="28"/>
          <w:szCs w:val="28"/>
          <w:lang w:eastAsia="zh-CN"/>
        </w:rPr>
        <w:t>，</w:t>
      </w:r>
      <w:r>
        <w:rPr>
          <w:rFonts w:hint="eastAsia" w:ascii="仿宋" w:hAnsi="仿宋" w:eastAsia="仿宋" w:cs="仿宋"/>
          <w:sz w:val="28"/>
          <w:szCs w:val="28"/>
        </w:rPr>
        <w:t>因此需对一期粗格栅进行改造，拟更换三台钢丝绳牵引式粗格栅。</w:t>
      </w:r>
    </w:p>
    <w:p>
      <w:pPr>
        <w:ind w:firstLine="560"/>
        <w:rPr>
          <w:rFonts w:hint="eastAsia" w:ascii="仿宋" w:hAnsi="仿宋" w:eastAsia="仿宋" w:cs="仿宋"/>
          <w:sz w:val="28"/>
          <w:szCs w:val="28"/>
        </w:rPr>
      </w:pPr>
    </w:p>
    <w:p>
      <w:pPr>
        <w:pStyle w:val="8"/>
        <w:numPr>
          <w:ilvl w:val="0"/>
          <w:numId w:val="2"/>
        </w:numPr>
        <w:adjustRightInd w:val="0"/>
        <w:snapToGrid w:val="0"/>
        <w:spacing w:line="300" w:lineRule="auto"/>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8"/>
        <w:adjustRightInd w:val="0"/>
        <w:snapToGrid w:val="0"/>
        <w:spacing w:line="360" w:lineRule="auto"/>
        <w:ind w:left="272" w:firstLine="542" w:firstLineChars="200"/>
        <w:rPr>
          <w:rFonts w:hint="eastAsia" w:ascii="仿宋" w:hAnsi="仿宋" w:eastAsia="仿宋" w:cs="仿宋"/>
          <w:b/>
          <w:sz w:val="28"/>
          <w:szCs w:val="28"/>
        </w:rPr>
      </w:pPr>
      <w:r>
        <w:rPr>
          <w:rFonts w:hint="eastAsia" w:ascii="仿宋" w:hAnsi="仿宋" w:eastAsia="仿宋" w:cs="仿宋"/>
          <w:sz w:val="28"/>
          <w:szCs w:val="28"/>
          <w:u w:val="single"/>
          <w:lang w:val="en-US" w:eastAsia="zh-CN"/>
        </w:rPr>
        <w:t>大沙地分公司</w:t>
      </w:r>
      <w:r>
        <w:rPr>
          <w:rFonts w:hint="eastAsia" w:ascii="仿宋" w:hAnsi="仿宋" w:eastAsia="仿宋" w:cs="仿宋"/>
          <w:sz w:val="28"/>
          <w:szCs w:val="28"/>
          <w:u w:val="single"/>
        </w:rPr>
        <w:t>一期粗格栅技改项目</w:t>
      </w:r>
      <w:r>
        <w:rPr>
          <w:rFonts w:hint="eastAsia" w:ascii="仿宋" w:hAnsi="仿宋" w:eastAsia="仿宋" w:cs="仿宋"/>
          <w:sz w:val="28"/>
          <w:szCs w:val="28"/>
          <w:lang w:val="en-US" w:eastAsia="zh-CN"/>
        </w:rPr>
        <w:t>,</w:t>
      </w:r>
      <w:r>
        <w:rPr>
          <w:rFonts w:hint="eastAsia" w:ascii="仿宋" w:hAnsi="仿宋" w:eastAsia="仿宋" w:cs="仿宋"/>
          <w:sz w:val="28"/>
          <w:szCs w:val="28"/>
        </w:rPr>
        <w:t>包括但不限于以下内容：</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1）护栏拆除、除臭罩拆除、井口盖板移动；</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2）电力电缆头拆除、限位开关电缆头拆除，旧粗格栅吊机吊起；</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3）新钢丝绳格栅吊起安装，安装时用膨胀螺栓固定，格栅及导轨主体分成2段制作，现场连接；装钢丝绳夹时，调整使两侧钢丝绳等长，中间钢丝绳略松，以保证齿耙运行时不产生歪斜现象；</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4）零配件安装、限位开关电缆头安装、电力电缆头安装；</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5）减速机、限位开关、程序系统送配电装置系统调试；安装调试结束后除污机耙斗提升、撇渣、开耙、耙斗下降等动作准确可靠，各具有相对运动的部件（除撇渣板外）应保证足够的侧隙，不允许发生碰撞现象。</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6）格栅池上部分框架用透明耐力板围挡，机械部分设置检修门；</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7）井口盖板及护栏恢复。</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项目实施竣工后设备应能保证有效避免出现类似故障隐患，设备能达到使用标准。</w:t>
      </w:r>
    </w:p>
    <w:p>
      <w:pPr>
        <w:adjustRightInd w:val="0"/>
        <w:spacing w:line="360" w:lineRule="atLeast"/>
        <w:ind w:firstLine="0" w:firstLineChars="0"/>
        <w:jc w:val="center"/>
        <w:textAlignment w:val="baseline"/>
        <w:rPr>
          <w:rFonts w:hint="eastAsia" w:ascii="仿宋" w:hAnsi="仿宋" w:eastAsia="仿宋" w:cs="仿宋"/>
          <w:b/>
          <w:bCs/>
          <w:w w:val="90"/>
          <w:kern w:val="0"/>
          <w:sz w:val="32"/>
          <w:szCs w:val="32"/>
        </w:rPr>
      </w:pPr>
      <w:r>
        <w:rPr>
          <w:rFonts w:hint="eastAsia" w:ascii="仿宋" w:hAnsi="仿宋" w:eastAsia="仿宋" w:cs="仿宋"/>
          <w:b/>
          <w:bCs/>
          <w:w w:val="90"/>
          <w:kern w:val="0"/>
          <w:sz w:val="32"/>
          <w:szCs w:val="32"/>
        </w:rPr>
        <w:t>主要技术规格数据表</w:t>
      </w:r>
    </w:p>
    <w:tbl>
      <w:tblPr>
        <w:tblStyle w:val="15"/>
        <w:tblW w:w="0" w:type="auto"/>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28" w:type="dxa"/>
          <w:bottom w:w="0" w:type="dxa"/>
          <w:right w:w="28" w:type="dxa"/>
        </w:tblCellMar>
      </w:tblPr>
      <w:tblGrid>
        <w:gridCol w:w="555"/>
        <w:gridCol w:w="2592"/>
        <w:gridCol w:w="5145"/>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8292" w:type="dxa"/>
            <w:gridSpan w:val="3"/>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设备名称：</w:t>
            </w:r>
            <w:r>
              <w:rPr>
                <w:rFonts w:hint="eastAsia" w:ascii="仿宋" w:hAnsi="仿宋" w:eastAsia="仿宋" w:cs="仿宋"/>
                <w:sz w:val="28"/>
                <w:szCs w:val="28"/>
              </w:rPr>
              <w:t>钢丝绳牵引式粗格栅</w:t>
            </w:r>
            <w:r>
              <w:rPr>
                <w:rFonts w:hint="eastAsia" w:ascii="仿宋" w:hAnsi="仿宋" w:eastAsia="仿宋" w:cs="仿宋"/>
                <w:kern w:val="0"/>
                <w:sz w:val="24"/>
              </w:rPr>
              <w:t xml:space="preserve">                型号：</w:t>
            </w:r>
            <w:r>
              <w:rPr>
                <w:rFonts w:hint="eastAsia" w:ascii="仿宋" w:hAnsi="仿宋" w:eastAsia="仿宋" w:cs="仿宋"/>
                <w:sz w:val="28"/>
                <w:szCs w:val="28"/>
              </w:rPr>
              <w:t>BLQ-2200</w:t>
            </w:r>
          </w:p>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数量：3台</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3147" w:type="dxa"/>
            <w:gridSpan w:val="2"/>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 xml:space="preserve">        项    目</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工艺设备技术参数</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restart"/>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性</w:t>
            </w:r>
          </w:p>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能</w:t>
            </w:r>
          </w:p>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参</w:t>
            </w:r>
          </w:p>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数</w:t>
            </w: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格栅宽度（mm）</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2000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栅隙间距（mm）</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20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 xml:space="preserve">条栅厚度(mm) </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10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安装角度</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75</w:t>
            </w:r>
            <w:r>
              <w:rPr>
                <w:rFonts w:hint="eastAsia" w:ascii="仿宋" w:hAnsi="仿宋" w:eastAsia="仿宋" w:cs="仿宋"/>
                <w:kern w:val="0"/>
                <w:sz w:val="24"/>
              </w:rPr>
              <w:sym w:font="Symbol" w:char="F0B0"/>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trHeight w:val="217" w:hRule="atLeas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栅条有效长度（mm）</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10000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trHeight w:val="204" w:hRule="atLeas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卸料高度（mm）</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1500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restart"/>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材</w:t>
            </w:r>
          </w:p>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料</w:t>
            </w:r>
          </w:p>
          <w:p>
            <w:pPr>
              <w:adjustRightInd w:val="0"/>
              <w:spacing w:line="360" w:lineRule="atLeast"/>
              <w:jc w:val="center"/>
              <w:textAlignment w:val="baseline"/>
              <w:rPr>
                <w:rFonts w:hint="eastAsia" w:ascii="仿宋" w:hAnsi="仿宋" w:eastAsia="仿宋" w:cs="仿宋"/>
                <w:kern w:val="0"/>
                <w:sz w:val="24"/>
              </w:rPr>
            </w:pPr>
          </w:p>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机架</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SS304 δ=8mm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栅条</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SS304 δ=8mm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钢丝绳导轮</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石墨铜衬+尼龙</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钢丝绳</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SS304</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驱动减速机</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SEW止动电机</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开耙减速机</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SEW止动电机</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刮渣机构</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SS304 5#方管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开耙机构</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SS304 δ=16mm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绳筒轴</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45# ∅377×12</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耙斗</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  SS304 δ=16mm</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挡水板</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 xml:space="preserve">SS304 δ=2mm </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水上支架</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SS304 100×00×4方管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导轨</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SS304 14#槽钢</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紧固件</w:t>
            </w:r>
          </w:p>
        </w:tc>
        <w:tc>
          <w:tcPr>
            <w:tcW w:w="5145" w:type="dxa"/>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不锈钢321（AISI）</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restart"/>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驱</w:t>
            </w:r>
          </w:p>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动</w:t>
            </w:r>
          </w:p>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机</w:t>
            </w: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绳牵引电机功率（KW）</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1.5</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张闭耙电机功率（KW）</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0.75</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齿耙运行速度</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6m/min</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电源</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380V  50HZ</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电机防护等级</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IP55</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电机绝缘等级</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F</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Merge w:val="continue"/>
            <w:vAlign w:val="center"/>
          </w:tcPr>
          <w:p>
            <w:pPr>
              <w:adjustRightInd w:val="0"/>
              <w:spacing w:line="360" w:lineRule="atLeast"/>
              <w:jc w:val="center"/>
              <w:textAlignment w:val="baseline"/>
              <w:rPr>
                <w:rFonts w:hint="eastAsia" w:ascii="仿宋" w:hAnsi="仿宋" w:eastAsia="仿宋" w:cs="仿宋"/>
                <w:kern w:val="0"/>
                <w:sz w:val="24"/>
              </w:rPr>
            </w:pPr>
          </w:p>
        </w:tc>
        <w:tc>
          <w:tcPr>
            <w:tcW w:w="2592"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制造商</w:t>
            </w:r>
          </w:p>
        </w:tc>
        <w:tc>
          <w:tcPr>
            <w:tcW w:w="5145" w:type="dxa"/>
            <w:vAlign w:val="center"/>
          </w:tcPr>
          <w:p>
            <w:pPr>
              <w:adjustRightInd w:val="0"/>
              <w:spacing w:line="360" w:lineRule="atLeast"/>
              <w:jc w:val="center"/>
              <w:textAlignment w:val="baseline"/>
              <w:rPr>
                <w:rFonts w:hint="eastAsia" w:ascii="仿宋" w:hAnsi="仿宋" w:eastAsia="仿宋" w:cs="仿宋"/>
                <w:kern w:val="0"/>
                <w:sz w:val="24"/>
              </w:rPr>
            </w:pPr>
            <w:r>
              <w:rPr>
                <w:rFonts w:hint="eastAsia" w:ascii="仿宋" w:hAnsi="仿宋" w:eastAsia="仿宋" w:cs="仿宋"/>
                <w:kern w:val="0"/>
                <w:sz w:val="24"/>
              </w:rPr>
              <w:t>SEW R97</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28" w:type="dxa"/>
            <w:bottom w:w="0" w:type="dxa"/>
            <w:right w:w="28" w:type="dxa"/>
          </w:tblCellMar>
        </w:tblPrEx>
        <w:trPr>
          <w:cantSplit/>
          <w:jc w:val="center"/>
        </w:trPr>
        <w:tc>
          <w:tcPr>
            <w:tcW w:w="555" w:type="dxa"/>
            <w:vAlign w:val="center"/>
          </w:tcPr>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 xml:space="preserve"> 说</w:t>
            </w:r>
          </w:p>
          <w:p>
            <w:pPr>
              <w:adjustRightInd w:val="0"/>
              <w:spacing w:line="360" w:lineRule="atLeast"/>
              <w:textAlignment w:val="baseline"/>
              <w:rPr>
                <w:rFonts w:hint="eastAsia" w:ascii="仿宋" w:hAnsi="仿宋" w:eastAsia="仿宋" w:cs="仿宋"/>
                <w:kern w:val="0"/>
                <w:sz w:val="24"/>
              </w:rPr>
            </w:pPr>
            <w:r>
              <w:rPr>
                <w:rFonts w:hint="eastAsia" w:ascii="仿宋" w:hAnsi="仿宋" w:eastAsia="仿宋" w:cs="仿宋"/>
                <w:kern w:val="0"/>
                <w:sz w:val="24"/>
              </w:rPr>
              <w:t xml:space="preserve"> 明</w:t>
            </w:r>
          </w:p>
        </w:tc>
        <w:tc>
          <w:tcPr>
            <w:tcW w:w="7737" w:type="dxa"/>
            <w:gridSpan w:val="2"/>
            <w:vAlign w:val="center"/>
          </w:tcPr>
          <w:p>
            <w:pPr>
              <w:adjustRightInd w:val="0"/>
              <w:spacing w:line="360" w:lineRule="atLeast"/>
              <w:ind w:left="247" w:hanging="238" w:hangingChars="103"/>
              <w:textAlignment w:val="baseline"/>
              <w:rPr>
                <w:rFonts w:hint="eastAsia" w:ascii="仿宋" w:hAnsi="仿宋" w:eastAsia="仿宋" w:cs="仿宋"/>
                <w:kern w:val="0"/>
                <w:sz w:val="24"/>
              </w:rPr>
            </w:pPr>
            <w:r>
              <w:rPr>
                <w:rFonts w:hint="eastAsia" w:ascii="仿宋" w:hAnsi="仿宋" w:eastAsia="仿宋" w:cs="仿宋"/>
                <w:kern w:val="0"/>
                <w:sz w:val="24"/>
              </w:rPr>
              <w:t>供应商提供的</w:t>
            </w:r>
            <w:r>
              <w:rPr>
                <w:rFonts w:hint="eastAsia" w:ascii="仿宋" w:hAnsi="仿宋" w:eastAsia="仿宋" w:cs="仿宋"/>
                <w:sz w:val="28"/>
                <w:szCs w:val="28"/>
              </w:rPr>
              <w:t>钢丝绳牵引式粗格栅</w:t>
            </w:r>
            <w:r>
              <w:rPr>
                <w:rFonts w:hint="eastAsia" w:ascii="仿宋" w:hAnsi="仿宋" w:eastAsia="仿宋" w:cs="仿宋"/>
                <w:kern w:val="0"/>
                <w:sz w:val="24"/>
              </w:rPr>
              <w:t>均为成套装置,包括控制柜户外型304,防护等级IP55、电器元件施耐德。</w:t>
            </w:r>
          </w:p>
        </w:tc>
      </w:tr>
    </w:tbl>
    <w:p>
      <w:pPr>
        <w:pStyle w:val="8"/>
        <w:adjustRightInd w:val="0"/>
        <w:snapToGrid w:val="0"/>
        <w:spacing w:line="300" w:lineRule="exact"/>
        <w:rPr>
          <w:rFonts w:ascii="仿宋" w:hAnsi="仿宋" w:eastAsia="仿宋" w:cs="仿宋_GB2312"/>
          <w:b/>
          <w:sz w:val="28"/>
          <w:szCs w:val="28"/>
          <w:lang w:val="zh-CN"/>
        </w:rPr>
      </w:pPr>
    </w:p>
    <w:p>
      <w:pPr>
        <w:pStyle w:val="8"/>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ind w:firstLine="542"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sz w:val="28"/>
          <w:szCs w:val="28"/>
        </w:rPr>
        <w:t xml:space="preserve"> </w:t>
      </w:r>
      <w:r>
        <w:rPr>
          <w:rFonts w:hint="eastAsia" w:ascii="仿宋" w:hAnsi="仿宋" w:eastAsia="仿宋" w:cs="仿宋"/>
          <w:bCs/>
          <w:sz w:val="28"/>
          <w:szCs w:val="28"/>
        </w:rPr>
        <w:t>工期：签订合同后10个月完成。(具体施工日期及工期调整根据大沙地分公司实际计划时间而定)</w:t>
      </w:r>
    </w:p>
    <w:p>
      <w:pPr>
        <w:tabs>
          <w:tab w:val="left" w:pos="3618"/>
        </w:tabs>
        <w:autoSpaceDE w:val="0"/>
        <w:autoSpaceDN w:val="0"/>
        <w:ind w:left="560"/>
        <w:rPr>
          <w:rFonts w:hint="eastAsia" w:ascii="仿宋" w:hAnsi="仿宋" w:eastAsia="仿宋" w:cs="仿宋_GB2312"/>
          <w:color w:val="000000"/>
          <w:sz w:val="28"/>
          <w:szCs w:val="28"/>
        </w:rPr>
      </w:pPr>
      <w:r>
        <w:rPr>
          <w:rFonts w:hint="eastAsia" w:ascii="仿宋" w:hAnsi="仿宋" w:eastAsia="仿宋" w:cs="仿宋_GB2312"/>
          <w:color w:val="000000"/>
          <w:sz w:val="28"/>
          <w:szCs w:val="28"/>
        </w:rPr>
        <w:t>2.质量要求：</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1)使用的各种材料必须符合设计和规范要求。</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2)各种构件在运输过程中必须有可靠的保护措施。构件外观表面无明显的凹面和损伤。焊疤、飞溅物、毛刺应清理干净。</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3)必须用合格焊工。焊接、防锈、安装精度必须合格。</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3.安全文明施工要求：</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安全管理协议书》，自觉遵守公司安全生产相关的管理制度，承担安全主体责任。</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4.总包及分包规定：不允许分包、转包。</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5.保修期（保养期）：质保期为项目完成经验收合格之日起1年。</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6.询价人将自承包商履行完合同义务之日起二十个工作日内组织验收，验收要求、验收标准及方法如下：</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（1）项目完成之后，其使用性能应达到设计和规范及设备技术要求。</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（2）其工艺控制要求应达到设计和生产使用功能并与原来的系统相匹配。</w:t>
      </w:r>
    </w:p>
    <w:p>
      <w:pPr>
        <w:autoSpaceDE w:val="0"/>
        <w:autoSpaceDN w:val="0"/>
        <w:ind w:left="560" w:leftChars="279"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（3）设备和系统安装精度和调试记录应符合设备标准值，设备相关测试数据和运行参数必须达标，并能保证设备安全无故障运行。</w:t>
      </w:r>
    </w:p>
    <w:p>
      <w:pPr>
        <w:autoSpaceDE w:val="0"/>
        <w:autoSpaceDN w:val="0"/>
        <w:ind w:left="560"/>
        <w:rPr>
          <w:rFonts w:ascii="仿宋" w:hAnsi="仿宋" w:eastAsia="仿宋" w:cs="仿宋"/>
          <w:color w:val="000000"/>
          <w:sz w:val="28"/>
          <w:szCs w:val="28"/>
        </w:rPr>
      </w:pPr>
      <w:r>
        <w:rPr>
          <w:rFonts w:hint="eastAsia" w:ascii="仿宋" w:hAnsi="仿宋" w:eastAsia="仿宋" w:cs="仿宋"/>
          <w:color w:val="000000"/>
          <w:sz w:val="28"/>
          <w:szCs w:val="28"/>
        </w:rPr>
        <w:t>3.付款方式：</w:t>
      </w:r>
    </w:p>
    <w:p>
      <w:pPr>
        <w:autoSpaceDE w:val="0"/>
        <w:autoSpaceDN w:val="0"/>
        <w:ind w:left="560"/>
        <w:rPr>
          <w:rFonts w:hint="eastAsia" w:ascii="仿宋" w:hAnsi="仿宋" w:eastAsia="仿宋" w:cs="仿宋_GB2312"/>
          <w:color w:val="000000"/>
          <w:sz w:val="28"/>
          <w:szCs w:val="28"/>
        </w:rPr>
      </w:pPr>
      <w:r>
        <w:rPr>
          <w:rFonts w:hint="eastAsia" w:ascii="仿宋" w:hAnsi="仿宋" w:eastAsia="仿宋" w:cs="仿宋_GB2312"/>
          <w:color w:val="000000"/>
          <w:sz w:val="28"/>
          <w:szCs w:val="28"/>
        </w:rPr>
        <w:t>（1）合同签定后且收到乙方开具的相应金额增值税专用发票</w:t>
      </w:r>
      <w:r>
        <w:rPr>
          <w:rFonts w:hint="eastAsia" w:ascii="仿宋" w:hAnsi="仿宋" w:eastAsia="仿宋" w:cs="仿宋_GB2312"/>
          <w:color w:val="000000"/>
          <w:sz w:val="28"/>
          <w:szCs w:val="28"/>
          <w:lang w:val="en-US" w:eastAsia="zh-CN"/>
        </w:rPr>
        <w:t>10个工作日</w:t>
      </w:r>
      <w:r>
        <w:rPr>
          <w:rFonts w:hint="eastAsia" w:ascii="仿宋" w:hAnsi="仿宋" w:eastAsia="仿宋" w:cs="仿宋_GB2312"/>
          <w:color w:val="000000"/>
          <w:sz w:val="28"/>
          <w:szCs w:val="28"/>
        </w:rPr>
        <w:t>内，甲方按合同总价的30%作为预付款支付给乙方。</w:t>
      </w:r>
    </w:p>
    <w:p>
      <w:pPr>
        <w:autoSpaceDE w:val="0"/>
        <w:autoSpaceDN w:val="0"/>
        <w:ind w:left="560"/>
        <w:rPr>
          <w:rFonts w:hint="eastAsia" w:ascii="仿宋" w:hAnsi="仿宋" w:eastAsia="仿宋" w:cs="仿宋_GB2312"/>
          <w:color w:val="000000"/>
          <w:sz w:val="28"/>
          <w:szCs w:val="28"/>
        </w:rPr>
      </w:pPr>
      <w:r>
        <w:rPr>
          <w:rFonts w:hint="eastAsia" w:ascii="仿宋" w:hAnsi="仿宋" w:eastAsia="仿宋" w:cs="仿宋_GB2312"/>
          <w:color w:val="000000"/>
          <w:sz w:val="28"/>
          <w:szCs w:val="28"/>
        </w:rPr>
        <w:t>（2）工程总体验收合格后收到乙方开具的相应金额增值税专用发票</w:t>
      </w:r>
      <w:r>
        <w:rPr>
          <w:rFonts w:hint="eastAsia" w:ascii="仿宋" w:hAnsi="仿宋" w:eastAsia="仿宋" w:cs="仿宋_GB2312"/>
          <w:color w:val="000000"/>
          <w:sz w:val="28"/>
          <w:szCs w:val="28"/>
          <w:lang w:val="en-US" w:eastAsia="zh-CN"/>
        </w:rPr>
        <w:t>15</w:t>
      </w:r>
      <w:r>
        <w:rPr>
          <w:rFonts w:hint="eastAsia" w:ascii="仿宋" w:hAnsi="仿宋" w:eastAsia="仿宋" w:cs="仿宋_GB2312"/>
          <w:color w:val="000000"/>
          <w:sz w:val="28"/>
          <w:szCs w:val="28"/>
        </w:rPr>
        <w:t>天内，甲方支付合同总价的50％给乙方。</w:t>
      </w:r>
    </w:p>
    <w:p>
      <w:pPr>
        <w:autoSpaceDE w:val="0"/>
        <w:autoSpaceDN w:val="0"/>
        <w:ind w:left="560"/>
        <w:rPr>
          <w:rFonts w:hint="eastAsia" w:ascii="仿宋" w:hAnsi="仿宋" w:eastAsia="仿宋" w:cs="仿宋_GB2312"/>
          <w:color w:val="000000"/>
          <w:sz w:val="28"/>
          <w:szCs w:val="28"/>
        </w:rPr>
      </w:pPr>
      <w:r>
        <w:rPr>
          <w:rFonts w:hint="eastAsia" w:ascii="仿宋" w:hAnsi="仿宋" w:eastAsia="仿宋" w:cs="仿宋_GB2312"/>
          <w:color w:val="000000"/>
          <w:sz w:val="28"/>
          <w:szCs w:val="28"/>
        </w:rPr>
        <w:t>（3）工程项目结算终审后收到乙方开具的相应金额增值税专用发票，甲方支付至结算价的95%给乙方。</w:t>
      </w:r>
    </w:p>
    <w:p>
      <w:pPr>
        <w:autoSpaceDE w:val="0"/>
        <w:autoSpaceDN w:val="0"/>
        <w:ind w:left="560"/>
        <w:rPr>
          <w:rFonts w:hint="eastAsia" w:ascii="仿宋" w:hAnsi="仿宋" w:eastAsia="仿宋" w:cs="仿宋_GB2312"/>
          <w:color w:val="000000"/>
          <w:sz w:val="28"/>
          <w:szCs w:val="28"/>
        </w:rPr>
      </w:pPr>
      <w:r>
        <w:rPr>
          <w:rFonts w:hint="eastAsia" w:ascii="仿宋" w:hAnsi="仿宋" w:eastAsia="仿宋" w:cs="仿宋_GB2312"/>
          <w:color w:val="000000"/>
          <w:sz w:val="28"/>
          <w:szCs w:val="28"/>
        </w:rPr>
        <w:t>（4）1年质保期到期后收到乙方开具的相应金额收据，甲方无息支付结算总价的5％（质保金）的余款给乙方。</w:t>
      </w:r>
    </w:p>
    <w:p>
      <w:pPr>
        <w:autoSpaceDE w:val="0"/>
        <w:autoSpaceDN w:val="0"/>
        <w:ind w:left="536" w:leftChars="267"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付款方式采用支票、网银转账两种形式。</w:t>
      </w:r>
    </w:p>
    <w:p>
      <w:pPr>
        <w:autoSpaceDE w:val="0"/>
        <w:autoSpaceDN w:val="0"/>
        <w:ind w:left="560"/>
        <w:rPr>
          <w:rFonts w:hint="eastAsia" w:ascii="仿宋_GB2312" w:hAnsi="仿宋_GB2312" w:eastAsia="仿宋_GB2312" w:cs="仿宋_GB2312"/>
          <w:b/>
          <w:color w:val="000000"/>
          <w:sz w:val="28"/>
          <w:szCs w:val="28"/>
          <w:lang w:val="zh-CN"/>
        </w:rPr>
      </w:pPr>
      <w:r>
        <w:rPr>
          <w:rFonts w:hint="eastAsia" w:ascii="仿宋" w:hAnsi="仿宋" w:eastAsia="仿宋" w:cs="仿宋"/>
          <w:color w:val="000000"/>
          <w:sz w:val="28"/>
          <w:szCs w:val="28"/>
        </w:rPr>
        <w:t>4.承包方式：</w:t>
      </w:r>
      <w:r>
        <w:rPr>
          <w:rFonts w:hint="eastAsia" w:ascii="仿宋" w:hAnsi="仿宋" w:eastAsia="仿宋" w:cs="仿宋"/>
          <w:color w:val="000000" w:themeColor="text1"/>
          <w:sz w:val="28"/>
          <w:szCs w:val="28"/>
          <w14:textFill>
            <w14:solidFill>
              <w14:schemeClr w14:val="tx1"/>
            </w14:solidFill>
          </w14:textFill>
        </w:rPr>
        <w:t>单价包干</w:t>
      </w:r>
      <w:r>
        <w:rPr>
          <w:rFonts w:hint="eastAsia" w:ascii="仿宋" w:hAnsi="仿宋" w:eastAsia="仿宋" w:cs="仿宋"/>
          <w:color w:val="000000"/>
          <w:sz w:val="28"/>
          <w:szCs w:val="28"/>
          <w:lang w:val="zh-CN"/>
        </w:rPr>
        <w:t>。</w:t>
      </w:r>
    </w:p>
    <w:p>
      <w:pPr>
        <w:autoSpaceDE w:val="0"/>
        <w:autoSpaceDN w:val="0"/>
        <w:ind w:firstLine="542" w:firstLineChars="200"/>
        <w:rPr>
          <w:rFonts w:hint="eastAsia" w:ascii="仿宋" w:hAnsi="仿宋" w:eastAsia="仿宋" w:cs="仿宋"/>
          <w:color w:val="FF0000"/>
          <w:sz w:val="28"/>
          <w:szCs w:val="28"/>
        </w:rPr>
      </w:pPr>
      <w:r>
        <w:rPr>
          <w:rFonts w:hint="eastAsia" w:ascii="仿宋" w:hAnsi="仿宋" w:eastAsia="仿宋" w:cs="仿宋"/>
          <w:sz w:val="28"/>
          <w:szCs w:val="28"/>
        </w:rPr>
        <w:t>综合单价：询价响应文件包含总价及综合单价时，综合单价为合同单价。合同单价在询价文件及施工合同约定的风险范围之内不可调整。</w:t>
      </w: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560"/>
        <w:rPr>
          <w:rFonts w:ascii="仿宋" w:hAnsi="仿宋" w:eastAsia="仿宋" w:cs="仿宋_GB2312"/>
          <w:sz w:val="28"/>
          <w:szCs w:val="28"/>
        </w:rPr>
      </w:pPr>
    </w:p>
    <w:p>
      <w:pPr>
        <w:tabs>
          <w:tab w:val="center" w:pos="5156"/>
        </w:tabs>
        <w:autoSpaceDE w:val="0"/>
        <w:autoSpaceDN w:val="0"/>
        <w:ind w:left="0"/>
        <w:rPr>
          <w:rFonts w:ascii="仿宋_GB2312" w:hAnsi="仿宋_GB2312" w:eastAsia="仿宋_GB2312" w:cs="仿宋_GB2312"/>
          <w:b/>
          <w:sz w:val="28"/>
          <w:szCs w:val="28"/>
          <w:lang w:val="zh-CN"/>
        </w:rPr>
      </w:pPr>
      <w:r>
        <w:rPr>
          <w:rFonts w:ascii="仿宋" w:hAnsi="仿宋" w:eastAsia="仿宋" w:cs="仿宋_GB2312"/>
          <w:sz w:val="28"/>
          <w:szCs w:val="28"/>
        </w:rPr>
        <w:tab/>
      </w:r>
    </w:p>
    <w:p>
      <w:pPr>
        <w:pStyle w:val="8"/>
        <w:adjustRightInd w:val="0"/>
        <w:snapToGrid w:val="0"/>
        <w:spacing w:line="300" w:lineRule="auto"/>
        <w:jc w:val="cente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br w:type="textWrapping"/>
      </w:r>
    </w:p>
    <w:p>
      <w:pPr>
        <w:pStyle w:val="8"/>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8"/>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8"/>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8"/>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8"/>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一、概念释义</w:t>
      </w:r>
    </w:p>
    <w:p>
      <w:pPr>
        <w:pStyle w:val="8"/>
        <w:adjustRightInd w:val="0"/>
        <w:snapToGrid w:val="0"/>
        <w:spacing w:line="300" w:lineRule="auto"/>
        <w:ind w:left="542" w:hanging="542"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color w:val="000000"/>
          <w:kern w:val="0"/>
          <w:sz w:val="28"/>
          <w:szCs w:val="28"/>
        </w:rPr>
      </w:pPr>
      <w:r>
        <w:rPr>
          <w:rFonts w:hint="eastAsia" w:ascii="仿宋" w:hAnsi="仿宋" w:eastAsia="仿宋" w:cs="仿宋_GB2312"/>
          <w:color w:val="000000"/>
          <w:sz w:val="28"/>
          <w:szCs w:val="28"/>
        </w:rPr>
        <w:t>2.合格的报价单位:</w:t>
      </w:r>
      <w:r>
        <w:rPr>
          <w:rFonts w:hint="eastAsia" w:ascii="仿宋" w:hAnsi="仿宋" w:eastAsia="仿宋" w:cs="仿宋_GB2312"/>
          <w:color w:val="000000"/>
          <w:kern w:val="0"/>
          <w:sz w:val="28"/>
          <w:szCs w:val="28"/>
        </w:rPr>
        <w:t>符合询价文件规定资格</w:t>
      </w:r>
      <w:r>
        <w:rPr>
          <w:rFonts w:hint="eastAsia" w:ascii="仿宋" w:hAnsi="仿宋" w:eastAsia="仿宋" w:cs="仿宋_GB2312"/>
          <w:color w:val="000000"/>
          <w:sz w:val="28"/>
          <w:szCs w:val="28"/>
          <w:lang w:val="zh-CN"/>
        </w:rPr>
        <w:t>要求</w:t>
      </w:r>
      <w:r>
        <w:rPr>
          <w:rFonts w:hint="eastAsia" w:ascii="仿宋" w:hAnsi="仿宋" w:eastAsia="仿宋" w:cs="仿宋_GB2312"/>
          <w:color w:val="000000"/>
          <w:kern w:val="0"/>
          <w:sz w:val="28"/>
          <w:szCs w:val="28"/>
        </w:rPr>
        <w:t>的报价单位。</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3.“承包人”是指经法定程序确认并授以合同的报价单位。</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二、询价文件</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 询价文件的构成</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6.1询价文件包括但不限于下列文件:</w:t>
      </w:r>
    </w:p>
    <w:p>
      <w:pPr>
        <w:pStyle w:val="8"/>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1）报价邀请函</w:t>
      </w:r>
    </w:p>
    <w:p>
      <w:pPr>
        <w:pStyle w:val="8"/>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2) 项目内容</w:t>
      </w:r>
    </w:p>
    <w:p>
      <w:pPr>
        <w:pStyle w:val="8"/>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3) 报价单位须知</w:t>
      </w:r>
    </w:p>
    <w:p>
      <w:pPr>
        <w:pStyle w:val="8"/>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4) 合同书格式</w:t>
      </w:r>
    </w:p>
    <w:p>
      <w:pPr>
        <w:pStyle w:val="8"/>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5) 询价响应文件格式</w:t>
      </w:r>
    </w:p>
    <w:p>
      <w:pPr>
        <w:pStyle w:val="8"/>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7. 询价文件的澄清或修改</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三、询价响应文件的编制和数量</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8．询价响应费用</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9．报价的语言及计量</w:t>
      </w:r>
    </w:p>
    <w:p>
      <w:pPr>
        <w:pStyle w:val="8"/>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10．询价响应文件的构成</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11. 询价响应文件编制</w:t>
      </w:r>
    </w:p>
    <w:p>
      <w:pPr>
        <w:spacing w:line="300" w:lineRule="auto"/>
        <w:ind w:left="610" w:hanging="610" w:hangingChars="225"/>
        <w:rPr>
          <w:rFonts w:ascii="仿宋" w:hAnsi="仿宋" w:eastAsia="仿宋" w:cs="仿宋_GB2312"/>
          <w:color w:val="000000"/>
          <w:sz w:val="28"/>
          <w:szCs w:val="28"/>
        </w:rPr>
      </w:pPr>
      <w:r>
        <w:rPr>
          <w:rFonts w:hint="eastAsia" w:ascii="仿宋" w:hAnsi="仿宋" w:eastAsia="仿宋" w:cs="仿宋_GB2312"/>
          <w:color w:val="000000"/>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13.1本项目不接受联合体参加报价。</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14. 报价单位资格证明文件</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15. 报价有效期</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15.1询价响应文件应在</w:t>
      </w:r>
      <w:r>
        <w:rPr>
          <w:rFonts w:hint="eastAsia" w:ascii="仿宋" w:hAnsi="仿宋" w:eastAsia="仿宋" w:cs="仿宋_GB2312"/>
          <w:color w:val="000000"/>
          <w:sz w:val="28"/>
          <w:szCs w:val="28"/>
          <w:lang w:val="en-US" w:eastAsia="zh-CN"/>
        </w:rPr>
        <w:t>拆封</w:t>
      </w:r>
      <w:r>
        <w:rPr>
          <w:rFonts w:hint="eastAsia" w:ascii="仿宋" w:hAnsi="仿宋" w:eastAsia="仿宋" w:cs="仿宋_GB2312"/>
          <w:color w:val="000000"/>
          <w:sz w:val="28"/>
          <w:szCs w:val="28"/>
        </w:rPr>
        <w:t>之日起</w:t>
      </w:r>
      <w:r>
        <w:rPr>
          <w:rFonts w:hint="eastAsia" w:ascii="仿宋" w:hAnsi="仿宋" w:eastAsia="仿宋" w:cs="仿宋_GB2312"/>
          <w:color w:val="000000"/>
          <w:sz w:val="28"/>
          <w:szCs w:val="28"/>
          <w:u w:val="single"/>
        </w:rPr>
        <w:t>90</w:t>
      </w:r>
      <w:r>
        <w:rPr>
          <w:rFonts w:hint="eastAsia" w:ascii="仿宋" w:hAnsi="仿宋" w:eastAsia="仿宋"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16.1 报价单位应编制询价响应文件一式</w:t>
      </w:r>
      <w:r>
        <w:rPr>
          <w:rFonts w:hint="eastAsia" w:ascii="仿宋" w:hAnsi="仿宋" w:eastAsia="仿宋" w:cs="仿宋_GB2312"/>
          <w:color w:val="000000"/>
          <w:kern w:val="0"/>
          <w:sz w:val="28"/>
          <w:szCs w:val="28"/>
          <w:u w:val="single"/>
        </w:rPr>
        <w:t>2</w:t>
      </w:r>
      <w:r>
        <w:rPr>
          <w:rFonts w:hint="eastAsia" w:ascii="仿宋" w:hAnsi="仿宋" w:eastAsia="仿宋" w:cs="仿宋_GB2312"/>
          <w:color w:val="000000"/>
          <w:kern w:val="0"/>
          <w:sz w:val="28"/>
          <w:szCs w:val="28"/>
        </w:rPr>
        <w:t>份，其中正本一份和副本一</w:t>
      </w:r>
      <w:r>
        <w:rPr>
          <w:rFonts w:hint="eastAsia" w:ascii="仿宋" w:hAnsi="仿宋" w:eastAsia="仿宋" w:cs="仿宋_GB2312"/>
          <w:color w:val="000000"/>
          <w:kern w:val="0"/>
          <w:sz w:val="28"/>
          <w:szCs w:val="28"/>
          <w:u w:val="single"/>
        </w:rPr>
        <w:t xml:space="preserve"> </w:t>
      </w:r>
      <w:r>
        <w:rPr>
          <w:rFonts w:hint="eastAsia" w:ascii="仿宋" w:hAnsi="仿宋" w:eastAsia="仿宋"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sz w:val="28"/>
          <w:szCs w:val="28"/>
        </w:rPr>
      </w:pPr>
      <w:r>
        <w:rPr>
          <w:rFonts w:hint="eastAsia" w:ascii="仿宋" w:hAnsi="仿宋" w:eastAsia="仿宋" w:cs="仿宋_GB2312"/>
          <w:b/>
          <w:color w:val="000000"/>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sz w:val="28"/>
          <w:szCs w:val="28"/>
        </w:rPr>
      </w:pPr>
      <w:r>
        <w:rPr>
          <w:rFonts w:hint="eastAsia" w:ascii="仿宋" w:hAnsi="仿宋" w:eastAsia="仿宋" w:cs="仿宋_GB2312"/>
          <w:color w:val="000000"/>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五、评审</w:t>
      </w:r>
    </w:p>
    <w:p>
      <w:pPr>
        <w:pStyle w:val="8"/>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 xml:space="preserve">20.1 </w:t>
      </w:r>
      <w:r>
        <w:rPr>
          <w:rFonts w:hint="eastAsia" w:ascii="仿宋" w:hAnsi="仿宋" w:eastAsia="仿宋" w:cs="仿宋_GB2312"/>
          <w:color w:val="000000"/>
          <w:kern w:val="0"/>
          <w:sz w:val="28"/>
          <w:szCs w:val="28"/>
        </w:rPr>
        <w:t>评审由</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21.1参加询价的报价单位</w:t>
      </w:r>
      <w:r>
        <w:rPr>
          <w:rFonts w:hint="eastAsia" w:ascii="仿宋" w:hAnsi="仿宋" w:eastAsia="仿宋" w:cs="仿宋_GB2312"/>
          <w:color w:val="000000"/>
          <w:kern w:val="0"/>
          <w:sz w:val="28"/>
          <w:szCs w:val="28"/>
          <w:lang w:val="en-US" w:eastAsia="zh-CN"/>
        </w:rPr>
        <w:t>经自行报名</w:t>
      </w:r>
      <w:r>
        <w:rPr>
          <w:rFonts w:hint="eastAsia" w:ascii="仿宋" w:hAnsi="仿宋" w:eastAsia="仿宋" w:cs="仿宋_GB2312"/>
          <w:color w:val="000000"/>
          <w:kern w:val="0"/>
          <w:sz w:val="28"/>
          <w:szCs w:val="28"/>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kern w:val="0"/>
          <w:sz w:val="28"/>
          <w:szCs w:val="28"/>
        </w:rPr>
      </w:pPr>
      <w:r>
        <w:rPr>
          <w:rFonts w:hint="eastAsia" w:ascii="仿宋" w:hAnsi="仿宋" w:eastAsia="仿宋" w:cs="仿宋_GB2312"/>
          <w:color w:val="000000"/>
          <w:kern w:val="0"/>
          <w:sz w:val="28"/>
          <w:szCs w:val="28"/>
        </w:rPr>
        <w:t xml:space="preserve">21.4  </w:t>
      </w:r>
      <w:r>
        <w:rPr>
          <w:rFonts w:hint="eastAsia" w:ascii="仿宋" w:hAnsi="仿宋" w:eastAsia="仿宋" w:cs="仿宋_GB2312"/>
          <w:b/>
          <w:bCs/>
          <w:color w:val="00000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22.3超过最高限价的报价将被拒绝。</w:t>
      </w:r>
    </w:p>
    <w:p>
      <w:pPr>
        <w:spacing w:line="25" w:lineRule="atLeast"/>
        <w:rPr>
          <w:rFonts w:ascii="仿宋" w:hAnsi="仿宋" w:eastAsia="仿宋" w:cs="仿宋_GB2312"/>
          <w:b/>
          <w:color w:val="000000"/>
          <w:sz w:val="28"/>
          <w:szCs w:val="28"/>
        </w:rPr>
      </w:pPr>
      <w:r>
        <w:rPr>
          <w:rFonts w:hint="eastAsia" w:ascii="仿宋" w:hAnsi="仿宋" w:eastAsia="仿宋" w:cs="仿宋_GB2312"/>
          <w:b/>
          <w:color w:val="000000"/>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23.2承包人确定后，询价人</w:t>
      </w:r>
      <w:r>
        <w:rPr>
          <w:rFonts w:hint="eastAsia" w:ascii="仿宋" w:hAnsi="仿宋" w:eastAsia="仿宋" w:cs="仿宋_GB2312"/>
          <w:color w:val="000000"/>
          <w:kern w:val="0"/>
          <w:sz w:val="28"/>
          <w:szCs w:val="28"/>
        </w:rPr>
        <w:t>向承包人发出《发包通知书》，</w:t>
      </w:r>
      <w:r>
        <w:rPr>
          <w:rFonts w:hint="eastAsia" w:ascii="仿宋" w:hAnsi="仿宋" w:eastAsia="仿宋" w:cs="仿宋_GB2312"/>
          <w:color w:val="000000"/>
          <w:sz w:val="28"/>
          <w:szCs w:val="28"/>
        </w:rPr>
        <w:t>对承包人和询价人具有同等法律效力</w:t>
      </w:r>
      <w:r>
        <w:rPr>
          <w:rFonts w:hint="eastAsia" w:ascii="仿宋" w:hAnsi="仿宋" w:eastAsia="仿宋" w:cs="仿宋_GB2312"/>
          <w:color w:val="000000"/>
          <w:kern w:val="0"/>
          <w:sz w:val="28"/>
          <w:szCs w:val="28"/>
        </w:rPr>
        <w:t>。</w:t>
      </w:r>
    </w:p>
    <w:p>
      <w:pPr>
        <w:pStyle w:val="8"/>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七、 合同的订立和履行</w:t>
      </w:r>
    </w:p>
    <w:p>
      <w:pPr>
        <w:autoSpaceDE w:val="0"/>
        <w:autoSpaceDN w:val="0"/>
        <w:adjustRightInd w:val="0"/>
        <w:snapToGrid w:val="0"/>
        <w:spacing w:line="300" w:lineRule="auto"/>
        <w:ind w:right="32"/>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sz w:val="28"/>
          <w:szCs w:val="28"/>
        </w:rPr>
      </w:pPr>
      <w:r>
        <w:rPr>
          <w:rFonts w:hint="eastAsia" w:ascii="仿宋" w:hAnsi="仿宋" w:eastAsia="仿宋"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25.2 承包人因不可抗力或者自身原因不能履行承包合同的，询价人</w:t>
      </w:r>
      <w:r>
        <w:rPr>
          <w:rFonts w:hint="eastAsia" w:ascii="仿宋" w:hAnsi="仿宋" w:eastAsia="仿宋" w:cs="仿宋_GB2312"/>
          <w:color w:val="000000"/>
          <w:sz w:val="28"/>
          <w:szCs w:val="28"/>
        </w:rPr>
        <w:t>可以与排位在承包人之后第一位的成交候选报价单位签订承包</w:t>
      </w:r>
      <w:r>
        <w:rPr>
          <w:rFonts w:hint="eastAsia" w:ascii="仿宋" w:hAnsi="仿宋" w:eastAsia="仿宋"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26. 如果报价人认为询价文件或询价过程或询价结果使其权益受到损害的，可向询价人提出书面质疑。询价人应在3天内给与答复。</w:t>
      </w:r>
    </w:p>
    <w:p>
      <w:pPr>
        <w:rPr>
          <w:rFonts w:hint="eastAsia" w:ascii="仿宋_GB2312" w:hAnsi="仿宋_GB2312" w:eastAsia="仿宋_GB2312" w:cs="仿宋_GB2312"/>
          <w:b/>
          <w:bCs/>
          <w:color w:val="000000"/>
          <w:sz w:val="28"/>
          <w:szCs w:val="28"/>
        </w:rPr>
      </w:pPr>
      <w:bookmarkStart w:id="0" w:name="_Toc152042358"/>
      <w:bookmarkStart w:id="1" w:name="_Toc152045581"/>
      <w:bookmarkStart w:id="2" w:name="_Toc247085739"/>
      <w:bookmarkStart w:id="3" w:name="_Toc144974548"/>
      <w:bookmarkStart w:id="4" w:name="_Toc179632599"/>
      <w:bookmarkStart w:id="5" w:name="_Toc371433002"/>
    </w:p>
    <w:p>
      <w:pPr>
        <w:rPr>
          <w:rFonts w:hint="eastAsia" w:ascii="仿宋_GB2312" w:hAnsi="仿宋_GB2312" w:eastAsia="仿宋_GB2312" w:cs="仿宋_GB2312"/>
          <w:b/>
          <w:bCs/>
          <w:color w:val="000000"/>
          <w:sz w:val="28"/>
          <w:szCs w:val="28"/>
        </w:rPr>
      </w:pPr>
    </w:p>
    <w:p>
      <w:pPr>
        <w:rPr>
          <w:rFonts w:hint="eastAsia" w:ascii="仿宋_GB2312" w:hAnsi="仿宋_GB2312" w:eastAsia="仿宋_GB2312" w:cs="仿宋_GB2312"/>
          <w:b/>
          <w:bCs/>
          <w:color w:val="000000"/>
          <w:sz w:val="28"/>
          <w:szCs w:val="28"/>
        </w:rPr>
      </w:pPr>
    </w:p>
    <w:p>
      <w:pPr>
        <w:rPr>
          <w:rFonts w:hint="eastAsia" w:ascii="仿宋_GB2312" w:hAnsi="仿宋_GB2312" w:eastAsia="仿宋_GB2312" w:cs="仿宋_GB2312"/>
          <w:b/>
          <w:bCs/>
          <w:color w:val="000000"/>
          <w:sz w:val="28"/>
          <w:szCs w:val="28"/>
        </w:rPr>
      </w:pPr>
    </w:p>
    <w:p>
      <w:pPr>
        <w:rPr>
          <w:rFonts w:hint="eastAsia" w:ascii="仿宋_GB2312" w:hAnsi="仿宋_GB2312" w:eastAsia="仿宋_GB2312" w:cs="仿宋_GB2312"/>
          <w:b/>
          <w:bCs/>
          <w:color w:val="000000"/>
          <w:sz w:val="28"/>
          <w:szCs w:val="28"/>
        </w:rPr>
      </w:pPr>
    </w:p>
    <w:p>
      <w:pPr>
        <w:rPr>
          <w:rFonts w:hint="eastAsia" w:ascii="仿宋_GB2312" w:hAnsi="仿宋_GB2312" w:eastAsia="仿宋_GB2312" w:cs="仿宋_GB2312"/>
          <w:b/>
          <w:bCs/>
          <w:color w:val="000000"/>
          <w:sz w:val="28"/>
          <w:szCs w:val="28"/>
        </w:rPr>
      </w:pPr>
    </w:p>
    <w:p>
      <w:pPr>
        <w:rPr>
          <w:rFonts w:hint="eastAsia" w:ascii="仿宋_GB2312" w:hAnsi="仿宋_GB2312" w:eastAsia="仿宋_GB2312" w:cs="仿宋_GB2312"/>
          <w:b/>
          <w:bCs/>
          <w:color w:val="000000"/>
          <w:sz w:val="28"/>
          <w:szCs w:val="28"/>
        </w:rPr>
      </w:pPr>
    </w:p>
    <w:p>
      <w:pPr>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附件一</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报价记录表</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广州市净水有限公司大沙地分公司一期粗格栅技改项目 </w:t>
      </w:r>
      <w:r>
        <w:rPr>
          <w:rFonts w:hint="eastAsia" w:ascii="仿宋_GB2312" w:hAnsi="仿宋_GB2312" w:eastAsia="仿宋_GB2312" w:cs="仿宋_GB2312"/>
          <w:color w:val="000000"/>
          <w:sz w:val="28"/>
          <w:szCs w:val="28"/>
        </w:rPr>
        <w:t>报价记录表</w:t>
      </w:r>
    </w:p>
    <w:p>
      <w:pPr>
        <w:spacing w:line="500" w:lineRule="exact"/>
        <w:ind w:firstLine="3317"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jc w:val="lef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u w:val="single"/>
          <w:lang w:val="en-US" w:eastAsia="zh-CN"/>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记录人：</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u w:val="single"/>
        </w:rPr>
        <w:t xml:space="preserve">                </w:t>
      </w:r>
    </w:p>
    <w:p>
      <w:pPr>
        <w:spacing w:line="440" w:lineRule="exact"/>
        <w:jc w:val="right"/>
        <w:rPr>
          <w:rFonts w:ascii="仿宋_GB2312" w:hAnsi="仿宋_GB2312" w:eastAsia="仿宋_GB2312" w:cs="仿宋_GB2312"/>
          <w:color w:val="000000"/>
          <w:u w:val="single"/>
        </w:rPr>
      </w:pP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 w:hAnsi="仿宋" w:eastAsia="仿宋" w:cs="仿宋_GB2312"/>
          <w:color w:val="000000"/>
          <w:sz w:val="28"/>
          <w:szCs w:val="28"/>
        </w:rPr>
      </w:pPr>
      <w:r>
        <w:rPr>
          <w:rFonts w:hint="eastAsia" w:ascii="仿宋_GB2312" w:hAnsi="仿宋_GB2312" w:eastAsia="仿宋_GB2312"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155" w:hanging="1155" w:hangingChars="500"/>
        <w:rPr>
          <w:rFonts w:ascii="仿宋" w:hAnsi="仿宋" w:eastAsia="仿宋"/>
          <w:color w:val="000000"/>
          <w:sz w:val="24"/>
        </w:rPr>
      </w:pPr>
      <w:r>
        <w:rPr>
          <w:rFonts w:hint="eastAsia" w:ascii="仿宋" w:hAnsi="仿宋" w:eastAsia="仿宋"/>
          <w:color w:val="000000"/>
          <w:sz w:val="24"/>
        </w:rPr>
        <w:t xml:space="preserve">项目名称: </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color w:val="000000"/>
          <w:sz w:val="28"/>
          <w:szCs w:val="28"/>
          <w:u w:val="single"/>
        </w:rPr>
        <w:t>广州市净水有限公司大沙地分公司一期粗格栅技改项目</w:t>
      </w:r>
      <w:r>
        <w:rPr>
          <w:rFonts w:hint="eastAsia" w:ascii="仿宋_GB2312" w:hAnsi="仿宋_GB2312" w:eastAsia="仿宋_GB2312" w:cs="仿宋_GB2312"/>
          <w:b/>
          <w:bCs/>
          <w:color w:val="000000"/>
          <w:sz w:val="28"/>
          <w:szCs w:val="28"/>
          <w:u w:val="single"/>
        </w:rPr>
        <w:t xml:space="preserve">  </w:t>
      </w:r>
      <w:r>
        <w:rPr>
          <w:rFonts w:hint="eastAsia" w:ascii="仿宋" w:hAnsi="仿宋" w:eastAsia="仿宋"/>
          <w:color w:val="000000"/>
          <w:sz w:val="24"/>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000000"/>
                <w:szCs w:val="21"/>
              </w:rPr>
            </w:pPr>
          </w:p>
        </w:tc>
      </w:tr>
    </w:tbl>
    <w:p>
      <w:pPr>
        <w:ind w:left="804" w:hanging="804"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4"/>
        </w:numPr>
        <w:ind w:firstLine="603"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ind w:left="0" w:firstLine="0" w:firstLineChars="0"/>
        <w:rPr>
          <w:rFonts w:hint="eastAsia"/>
        </w:rPr>
      </w:pPr>
    </w:p>
    <w:p>
      <w:pPr>
        <w:ind w:left="0" w:firstLine="0" w:firstLineChars="0"/>
        <w:rPr>
          <w:rFonts w:hint="eastAsia"/>
        </w:rPr>
      </w:pPr>
    </w:p>
    <w:p>
      <w:pPr>
        <w:rPr>
          <w:rFonts w:ascii="仿宋_GB2312" w:hAnsi="仿宋_GB2312" w:eastAsia="仿宋_GB2312"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 [20</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 第 [</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 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STSong-Light" w:eastAsia="仿宋_GB2312" w:cs="STSong-Light"/>
          <w:b/>
          <w:bCs/>
          <w:color w:val="000000"/>
          <w:kern w:val="0"/>
          <w:sz w:val="32"/>
          <w:szCs w:val="32"/>
          <w:u w:val="single"/>
        </w:rPr>
        <w:t>大沙地分公司一期粗格栅技改</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 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第四部分 合同书格式</w:t>
      </w:r>
    </w:p>
    <w:p>
      <w:pPr>
        <w:jc w:val="center"/>
        <w:rPr>
          <w:rFonts w:ascii="仿宋_GB2312" w:hAnsi="仿宋_GB2312" w:eastAsia="仿宋_GB2312" w:cs="仿宋_GB2312"/>
          <w:b/>
          <w:color w:val="000000"/>
          <w:sz w:val="28"/>
          <w:szCs w:val="28"/>
        </w:rPr>
      </w:pPr>
    </w:p>
    <w:p>
      <w:pPr>
        <w:jc w:val="right"/>
        <w:rPr>
          <w:rFonts w:ascii="仿宋_GB2312" w:hAnsi="仿宋_GB2312" w:eastAsia="仿宋_GB2312" w:cs="仿宋_GB2312"/>
          <w:bCs/>
          <w:sz w:val="28"/>
          <w:szCs w:val="28"/>
        </w:rPr>
      </w:pPr>
      <w:r>
        <w:rPr>
          <w:rFonts w:hint="eastAsia" w:ascii="宋体" w:hAnsi="宋体"/>
          <w:b/>
          <w:szCs w:val="21"/>
        </w:rPr>
        <w:t>2020年</w:t>
      </w:r>
      <w:r>
        <w:rPr>
          <w:rFonts w:ascii="宋体" w:hAnsi="宋体"/>
          <w:b/>
          <w:szCs w:val="21"/>
        </w:rPr>
        <w:t>10</w:t>
      </w:r>
      <w:r>
        <w:rPr>
          <w:rFonts w:hint="eastAsia" w:ascii="宋体" w:hAnsi="宋体"/>
          <w:b/>
          <w:szCs w:val="21"/>
        </w:rPr>
        <w:t>月版</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 大沙地分公司一期粗格栅技改项目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sz w:val="24"/>
          <w:u w:val="single"/>
        </w:rPr>
      </w:pPr>
      <w:r>
        <w:rPr>
          <w:rFonts w:hint="eastAsia" w:ascii="宋体" w:hAnsi="宋体" w:cs="宋体"/>
          <w:b/>
          <w:sz w:val="30"/>
        </w:rPr>
        <w:t>签约地点：广州市</w:t>
      </w: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 xml:space="preserve">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w:t>
      </w:r>
      <w:r>
        <w:rPr>
          <w:rFonts w:hint="eastAsia" w:ascii="宋体" w:hAnsi="宋体" w:cs="宋体"/>
          <w:sz w:val="24"/>
          <w:u w:val="single"/>
        </w:rPr>
        <w:t>大沙地分公司一期粗格栅技改项目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广州市净水有限公司大沙地分公司</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对大沙地分公司一期三台粗格栅进行更换（详见工程量清单）</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color w:val="000000" w:themeColor="text1"/>
          <w:sz w:val="24"/>
          <w:bdr w:val="single" w:color="auto" w:sz="4" w:space="0"/>
          <w14:textFill>
            <w14:solidFill>
              <w14:schemeClr w14:val="tx1"/>
            </w14:solidFill>
          </w14:textFill>
        </w:rPr>
      </w:pPr>
      <w:r>
        <w:rPr>
          <w:rFonts w:ascii="宋体" w:hAnsi="宋体" w:cs="宋体"/>
          <w:color w:val="000000" w:themeColor="text1"/>
          <w:sz w:val="24"/>
          <w14:textFill>
            <w14:solidFill>
              <w14:schemeClr w14:val="tx1"/>
            </w14:solidFill>
          </w14:textFill>
        </w:rPr>
        <w:t>4.1</w:t>
      </w:r>
      <w:r>
        <w:rPr>
          <w:rFonts w:hint="eastAsia" w:ascii="宋体" w:hAnsi="宋体" w:cs="宋体"/>
          <w:color w:val="000000" w:themeColor="text1"/>
          <w:sz w:val="24"/>
          <w14:textFill>
            <w14:solidFill>
              <w14:schemeClr w14:val="tx1"/>
            </w14:solidFill>
          </w14:textFill>
        </w:rPr>
        <w:t>合同价款按以下</w:t>
      </w:r>
      <w:r>
        <w:rPr>
          <w:rFonts w:ascii="宋体" w:hAnsi="宋体" w:cs="宋体"/>
          <w:color w:val="auto"/>
          <w:sz w:val="24"/>
          <w:u w:val="single"/>
        </w:rPr>
        <w:t xml:space="preserve"> </w:t>
      </w:r>
      <w:r>
        <w:rPr>
          <w:rFonts w:hint="eastAsia" w:ascii="宋体" w:hAnsi="宋体" w:cs="宋体"/>
          <w:color w:val="auto"/>
          <w:sz w:val="24"/>
          <w:u w:val="single"/>
        </w:rPr>
        <w:t>（1）</w:t>
      </w:r>
      <w:r>
        <w:rPr>
          <w:rFonts w:ascii="宋体" w:hAnsi="宋体" w:cs="宋体"/>
          <w:color w:val="auto"/>
          <w:sz w:val="24"/>
          <w:u w:val="single"/>
        </w:rPr>
        <w:t xml:space="preserve"> </w:t>
      </w:r>
      <w:r>
        <w:rPr>
          <w:rFonts w:hint="eastAsia" w:ascii="宋体" w:hAnsi="宋体" w:cs="宋体"/>
          <w:color w:val="000000" w:themeColor="text1"/>
          <w:sz w:val="24"/>
          <w14:textFill>
            <w14:solidFill>
              <w14:schemeClr w14:val="tx1"/>
            </w14:solidFill>
          </w14:textFill>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 xml:space="preserve">暂定10个月 </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lang w:val="en-US" w:eastAsia="zh-CN"/>
        </w:rPr>
        <w:t>15</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30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6.2</w:t>
      </w:r>
      <w:r>
        <w:rPr>
          <w:rFonts w:hint="eastAsia" w:ascii="宋体" w:hAnsi="宋体" w:cs="宋体"/>
          <w:color w:val="000000" w:themeColor="text1"/>
          <w:sz w:val="24"/>
          <w14:textFill>
            <w14:solidFill>
              <w14:schemeClr w14:val="tx1"/>
            </w14:solidFill>
          </w14:textFill>
        </w:rPr>
        <w:t>施工用水用电采用以下</w:t>
      </w:r>
      <w:r>
        <w:rPr>
          <w:rFonts w:ascii="宋体" w:hAnsi="宋体" w:cs="宋体"/>
          <w:color w:val="auto"/>
          <w:sz w:val="24"/>
          <w:u w:val="single"/>
        </w:rPr>
        <w:t xml:space="preserve"> </w:t>
      </w:r>
      <w:r>
        <w:rPr>
          <w:rFonts w:hint="eastAsia" w:ascii="宋体" w:hAnsi="宋体" w:cs="宋体"/>
          <w:color w:val="auto"/>
          <w:sz w:val="24"/>
          <w:u w:val="single"/>
        </w:rPr>
        <w:t>（1）</w:t>
      </w:r>
      <w:r>
        <w:rPr>
          <w:rFonts w:ascii="宋体" w:hAnsi="宋体" w:cs="宋体"/>
          <w:color w:val="auto"/>
          <w:sz w:val="24"/>
          <w:u w:val="single"/>
        </w:rPr>
        <w:t xml:space="preserve">  </w:t>
      </w:r>
      <w:r>
        <w:rPr>
          <w:rFonts w:hint="eastAsia" w:ascii="宋体" w:hAnsi="宋体" w:cs="宋体"/>
          <w:color w:val="000000" w:themeColor="text1"/>
          <w:sz w:val="24"/>
          <w14:textFill>
            <w14:solidFill>
              <w14:schemeClr w14:val="tx1"/>
            </w14:solidFill>
          </w14:textFill>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8"/>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00FE"/>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8"/>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Ansi="宋体" w:cs="宋体"/>
          <w:sz w:val="24"/>
          <w:szCs w:val="24"/>
          <w:u w:val="single"/>
        </w:rPr>
        <w:t xml:space="preserve"> </w:t>
      </w:r>
      <w:r>
        <w:rPr>
          <w:rFonts w:hint="eastAsia" w:hAnsi="宋体" w:cs="宋体"/>
          <w:sz w:val="24"/>
          <w:szCs w:val="24"/>
          <w:u w:val="single"/>
          <w:lang w:val="en-US" w:eastAsia="zh-CN"/>
        </w:rPr>
        <w:t>50</w:t>
      </w:r>
      <w:r>
        <w:rPr>
          <w:rFonts w:hAnsi="宋体" w:cs="宋体"/>
          <w:sz w:val="24"/>
          <w:szCs w:val="24"/>
          <w:u w:val="single"/>
        </w:rPr>
        <w:t xml:space="preserve"> </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u w:val="single"/>
        </w:rPr>
        <w:t>95%</w:t>
      </w:r>
      <w:r>
        <w:rPr>
          <w:rFonts w:hint="eastAsia" w:ascii="宋体" w:hAnsi="宋体" w:cs="宋体"/>
          <w:sz w:val="24"/>
        </w:rPr>
        <w:t>。</w:t>
      </w:r>
    </w:p>
    <w:p>
      <w:pPr>
        <w:spacing w:line="384" w:lineRule="auto"/>
        <w:ind w:firstLine="480" w:firstLineChars="200"/>
        <w:outlineLvl w:val="1"/>
        <w:rPr>
          <w:rFonts w:hAnsi="宋体" w:cs="宋体"/>
          <w:sz w:val="24"/>
        </w:rPr>
      </w:pPr>
      <w:r>
        <w:rPr>
          <w:rFonts w:hint="eastAsia" w:ascii="宋体" w:hAnsi="宋体" w:cs="宋体"/>
          <w:bCs/>
          <w:sz w:val="24"/>
        </w:rPr>
        <w:t xml:space="preserve">    </w:t>
      </w: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p>
    <w:p>
      <w:pPr>
        <w:spacing w:line="384" w:lineRule="auto"/>
        <w:ind w:firstLine="960" w:firstLineChars="4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ascii="宋体" w:hAnsi="宋体" w:cs="宋体"/>
          <w:sz w:val="24"/>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4"/>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4"/>
        <w:spacing w:before="0" w:beforeAutospacing="0" w:after="0" w:afterAutospacing="0" w:line="360" w:lineRule="auto"/>
        <w:ind w:firstLine="480"/>
      </w:pPr>
      <w:r>
        <w:rPr>
          <w:rFonts w:hint="eastAsia"/>
        </w:rPr>
        <w:t>（1）符合甲方要求（详见附件7保函格式）的银行独立保函，</w:t>
      </w:r>
    </w:p>
    <w:p>
      <w:pPr>
        <w:pStyle w:val="14"/>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4"/>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bdr w:val="single" w:color="auto" w:sz="4" w:space="0"/>
        </w:rPr>
        <w:t xml:space="preserve">     </w:t>
      </w:r>
      <w:r>
        <w:rPr>
          <w:rFonts w:hint="eastAsia" w:asciiTheme="minorEastAsia" w:hAnsiTheme="minorEastAsia" w:eastAsiaTheme="minorEastAsia" w:cstheme="minorEastAsia"/>
          <w:bCs/>
          <w:sz w:val="24"/>
          <w:bdr w:val="single" w:color="auto" w:sz="4" w:space="0"/>
        </w:rPr>
        <w:t xml:space="preserve"> </w:t>
      </w:r>
    </w:p>
    <w:p>
      <w:pPr>
        <w:pStyle w:val="8"/>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156" w:afterLines="50" w:line="384" w:lineRule="auto"/>
        <w:ind w:firstLine="482" w:firstLineChars="200"/>
        <w:jc w:val="left"/>
        <w:rPr>
          <w:rFonts w:ascii="宋体" w:hAnsi="宋体" w:cs="宋体"/>
          <w:b/>
          <w:bCs/>
          <w:sz w:val="24"/>
        </w:rPr>
      </w:pPr>
      <w:bookmarkStart w:id="6" w:name="_Toc518992994"/>
      <w:bookmarkStart w:id="7" w:name="_Toc520190034"/>
      <w:bookmarkStart w:id="8" w:name="_Toc474245220"/>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w:t>
      </w:r>
      <w:r>
        <w:rPr>
          <w:rFonts w:hint="eastAsia" w:ascii="宋体" w:hAnsi="宋体" w:cs="宋体"/>
          <w:kern w:val="0"/>
          <w:sz w:val="24"/>
          <w:u w:val="single"/>
          <w:lang w:val="en-US" w:eastAsia="zh-CN"/>
        </w:rPr>
        <w:t>壹</w:t>
      </w:r>
      <w:r>
        <w:rPr>
          <w:rFonts w:ascii="宋体" w:hAnsi="宋体" w:cs="宋体"/>
          <w:kern w:val="0"/>
          <w:sz w:val="24"/>
          <w:u w:val="single"/>
          <w:lang w:val="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9" w:name="_Toc107446862"/>
      <w:bookmarkStart w:id="10" w:name="_Toc107447255"/>
      <w:bookmarkStart w:id="11" w:name="_Toc518993000"/>
      <w:bookmarkStart w:id="12" w:name="_Toc474245226"/>
      <w:bookmarkStart w:id="13" w:name="_Toc520190040"/>
      <w:bookmarkStart w:id="14" w:name="_Toc306350467"/>
      <w:bookmarkStart w:id="15" w:name="_Toc19692"/>
      <w:bookmarkStart w:id="16" w:name="_Toc183666531"/>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306350468"/>
      <w:bookmarkStart w:id="18" w:name="_Toc12010"/>
      <w:bookmarkStart w:id="19"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18172294"/>
      <w:bookmarkStart w:id="21" w:name="_Toc107446864"/>
      <w:bookmarkStart w:id="22" w:name="_Toc518993001"/>
      <w:bookmarkStart w:id="23" w:name="_Toc520190041"/>
      <w:bookmarkStart w:id="24" w:name="_Toc107447257"/>
      <w:bookmarkStart w:id="25" w:name="_Toc47424522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306350469"/>
      <w:bookmarkStart w:id="27"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474245229"/>
      <w:bookmarkStart w:id="29" w:name="_Toc518993003"/>
      <w:bookmarkStart w:id="30"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31" w:name="_Toc107446871"/>
      <w:bookmarkStart w:id="32" w:name="_Toc107447264"/>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p>
    <w:p>
      <w:pPr>
        <w:spacing w:line="384" w:lineRule="auto"/>
        <w:rPr>
          <w:rFonts w:ascii="宋体" w:hAnsi="宋体" w:cs="宋体"/>
          <w:sz w:val="24"/>
        </w:rPr>
      </w:pPr>
    </w:p>
    <w:p>
      <w:pPr>
        <w:spacing w:line="384" w:lineRule="auto"/>
        <w:ind w:firstLine="0" w:firstLineChars="0"/>
        <w:rPr>
          <w:rFonts w:hint="eastAsia" w:ascii="宋体" w:hAnsi="宋体" w:cs="宋体"/>
          <w:sz w:val="24"/>
        </w:rPr>
      </w:pPr>
      <w:r>
        <w:rPr>
          <w:rFonts w:hint="eastAsia" w:ascii="宋体" w:hAnsi="宋体" w:cs="宋体"/>
          <w:sz w:val="24"/>
        </w:rPr>
        <w:t>附件：</w:t>
      </w:r>
    </w:p>
    <w:p>
      <w:pPr>
        <w:numPr>
          <w:ilvl w:val="0"/>
          <w:numId w:val="6"/>
        </w:numPr>
        <w:spacing w:line="384" w:lineRule="auto"/>
        <w:ind w:firstLine="0" w:firstLineChars="0"/>
        <w:rPr>
          <w:rFonts w:hint="eastAsia" w:ascii="宋体" w:hAnsi="宋体" w:cs="宋体"/>
          <w:sz w:val="24"/>
        </w:rPr>
      </w:pPr>
      <w:r>
        <w:rPr>
          <w:rFonts w:hint="eastAsia" w:ascii="宋体" w:hAnsi="宋体" w:cs="宋体"/>
          <w:sz w:val="24"/>
        </w:rPr>
        <w:t>发包通知书</w:t>
      </w:r>
    </w:p>
    <w:p>
      <w:pPr>
        <w:numPr>
          <w:ilvl w:val="0"/>
          <w:numId w:val="6"/>
        </w:numPr>
        <w:spacing w:line="384" w:lineRule="auto"/>
        <w:ind w:firstLine="0" w:firstLineChars="0"/>
        <w:rPr>
          <w:rFonts w:ascii="宋体" w:hAnsi="宋体" w:cs="宋体"/>
          <w:sz w:val="24"/>
        </w:rPr>
      </w:pPr>
      <w:r>
        <w:rPr>
          <w:rFonts w:hint="eastAsia" w:ascii="宋体" w:hAnsi="宋体" w:cs="宋体"/>
          <w:sz w:val="24"/>
        </w:rPr>
        <w:t>廉洁协议</w:t>
      </w:r>
    </w:p>
    <w:p>
      <w:pPr>
        <w:numPr>
          <w:ilvl w:val="0"/>
          <w:numId w:val="6"/>
        </w:numPr>
        <w:spacing w:line="384" w:lineRule="auto"/>
        <w:rPr>
          <w:rFonts w:ascii="宋体" w:hAnsi="宋体" w:cs="宋体"/>
          <w:sz w:val="24"/>
        </w:rPr>
      </w:pPr>
      <w:r>
        <w:rPr>
          <w:rFonts w:hint="eastAsia" w:ascii="宋体" w:hAnsi="宋体" w:cs="宋体"/>
          <w:sz w:val="24"/>
        </w:rPr>
        <w:t>安全管理协议书</w:t>
      </w:r>
    </w:p>
    <w:p>
      <w:pPr>
        <w:numPr>
          <w:ilvl w:val="0"/>
          <w:numId w:val="6"/>
        </w:numPr>
        <w:spacing w:line="384" w:lineRule="auto"/>
        <w:rPr>
          <w:rFonts w:ascii="宋体" w:hAnsi="宋体" w:cs="宋体"/>
          <w:sz w:val="24"/>
        </w:rPr>
      </w:pP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numPr>
          <w:ilvl w:val="0"/>
          <w:numId w:val="6"/>
        </w:numPr>
        <w:spacing w:line="384" w:lineRule="auto"/>
        <w:rPr>
          <w:rFonts w:ascii="宋体" w:hAnsi="宋体" w:cs="宋体"/>
          <w:sz w:val="24"/>
        </w:rPr>
      </w:pPr>
      <w:r>
        <w:rPr>
          <w:rFonts w:hint="eastAsia" w:ascii="宋体" w:hAnsi="宋体" w:cs="宋体"/>
          <w:sz w:val="24"/>
        </w:rPr>
        <w:t>项目投入人员架构表</w:t>
      </w:r>
    </w:p>
    <w:p>
      <w:pPr>
        <w:numPr>
          <w:ilvl w:val="0"/>
          <w:numId w:val="6"/>
        </w:num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职业卫生管理协议书</w:t>
      </w:r>
    </w:p>
    <w:p>
      <w:pPr>
        <w:spacing w:line="384" w:lineRule="auto"/>
        <w:rPr>
          <w:rFonts w:ascii="宋体" w:hAnsi="宋体" w:cs="宋体"/>
          <w:sz w:val="24"/>
        </w:rPr>
      </w:pPr>
      <w:r>
        <w:rPr>
          <w:rFonts w:ascii="宋体" w:hAnsi="宋体" w:cs="宋体"/>
          <w:sz w:val="24"/>
        </w:rPr>
        <w:t xml:space="preserve">     </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360" w:lineRule="auto"/>
        <w:jc w:val="right"/>
        <w:rPr>
          <w:rFonts w:hint="eastAsia" w:ascii="宋体" w:hAnsi="宋体"/>
          <w:b/>
          <w:color w:val="auto"/>
          <w:sz w:val="18"/>
          <w:szCs w:val="18"/>
        </w:rPr>
      </w:pPr>
      <w:bookmarkStart w:id="33" w:name="_Toc387080836"/>
      <w:bookmarkStart w:id="34" w:name="_Toc389815339"/>
      <w:bookmarkStart w:id="35" w:name="_Toc389815031"/>
      <w:r>
        <w:rPr>
          <w:rFonts w:hint="eastAsia" w:ascii="宋体" w:hAnsi="宋体"/>
          <w:b/>
          <w:color w:val="auto"/>
          <w:sz w:val="32"/>
          <w:szCs w:val="32"/>
        </w:rPr>
        <w:t xml:space="preserve">               </w:t>
      </w:r>
      <w:r>
        <w:rPr>
          <w:rFonts w:hint="eastAsia" w:ascii="宋体" w:hAnsi="宋体"/>
          <w:b/>
          <w:color w:val="auto"/>
          <w:sz w:val="18"/>
          <w:szCs w:val="18"/>
        </w:rPr>
        <w:t xml:space="preserve"> 2020年10月版</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（合同名称）+（合同编号）</w:t>
      </w:r>
      <w:r>
        <w:rPr>
          <w:rFonts w:hint="eastAsia" w:ascii="宋体" w:hAnsi="宋体"/>
          <w:color w:val="auto"/>
          <w:sz w:val="24"/>
        </w:rPr>
        <w:t>合同的附件，并具有同等的法律效力，本协议自双方签字盖章之日起生效，与主合同同时终止。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本协议一式捌份，甲方伍份，乙方三份。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28"/>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tabs>
          <w:tab w:val="left" w:pos="4170"/>
        </w:tabs>
        <w:spacing w:line="360" w:lineRule="auto"/>
        <w:rPr>
          <w:rFonts w:ascii="宋体" w:hAnsi="宋体"/>
          <w:color w:val="auto"/>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ascii="宋体" w:hAnsi="宋体"/>
          <w:color w:val="auto"/>
          <w:sz w:val="24"/>
        </w:rPr>
        <w:tab/>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33"/>
      <w:bookmarkEnd w:id="34"/>
      <w:bookmarkEnd w:id="35"/>
      <w:r>
        <w:rPr>
          <w:rFonts w:hint="eastAsia" w:ascii="宋体" w:hAnsi="宋体" w:cs="宋体"/>
          <w:b/>
          <w:szCs w:val="21"/>
        </w:rPr>
        <w:t>安全管理协议书</w:t>
      </w:r>
    </w:p>
    <w:p>
      <w:pPr>
        <w:spacing w:line="360" w:lineRule="auto"/>
        <w:jc w:val="center"/>
        <w:rPr>
          <w:rFonts w:ascii="宋体" w:hAnsi="宋体" w:cs="宋体"/>
          <w:b/>
          <w:bCs/>
          <w:sz w:val="24"/>
        </w:rPr>
      </w:pPr>
    </w:p>
    <w:p>
      <w:pPr>
        <w:spacing w:line="336" w:lineRule="auto"/>
        <w:jc w:val="center"/>
        <w:rPr>
          <w:rFonts w:ascii="宋体" w:hAnsi="宋体" w:cs="宋体"/>
          <w:b/>
          <w:bCs/>
          <w:sz w:val="28"/>
          <w:szCs w:val="28"/>
        </w:rPr>
      </w:pPr>
      <w:r>
        <w:rPr>
          <w:rFonts w:hint="eastAsia" w:ascii="宋体" w:hAnsi="宋体" w:cs="宋体"/>
          <w:b/>
          <w:bCs/>
          <w:sz w:val="28"/>
          <w:szCs w:val="28"/>
        </w:rPr>
        <w:t>安全管理协议书</w:t>
      </w:r>
    </w:p>
    <w:p>
      <w:pPr>
        <w:spacing w:line="336" w:lineRule="auto"/>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36" w:lineRule="auto"/>
        <w:ind w:firstLine="480" w:firstLineChars="200"/>
        <w:jc w:val="left"/>
        <w:rPr>
          <w:rStyle w:val="18"/>
          <w:rFonts w:ascii="宋体" w:hAnsi="宋体" w:cs="宋体"/>
          <w:b w:val="0"/>
          <w:u w:val="single"/>
        </w:rPr>
      </w:pPr>
      <w:bookmarkStart w:id="36" w:name="_Toc21391"/>
      <w:r>
        <w:rPr>
          <w:rFonts w:hint="eastAsia" w:ascii="宋体" w:hAnsi="宋体" w:cs="宋体"/>
          <w:sz w:val="24"/>
        </w:rPr>
        <w:t xml:space="preserve">乙方: </w:t>
      </w:r>
      <w:r>
        <w:rPr>
          <w:rFonts w:hint="eastAsia" w:ascii="宋体" w:hAnsi="宋体" w:cs="宋体"/>
          <w:sz w:val="24"/>
          <w:u w:val="single"/>
        </w:rPr>
        <w:t xml:space="preserve">  </w:t>
      </w:r>
      <w:r>
        <w:rPr>
          <w:rStyle w:val="18"/>
          <w:rFonts w:hint="eastAsia" w:ascii="宋体" w:hAnsi="宋体" w:cs="宋体"/>
          <w:u w:val="single"/>
        </w:rPr>
        <w:t xml:space="preserve">                                   </w:t>
      </w:r>
    </w:p>
    <w:bookmarkEnd w:id="36"/>
    <w:p>
      <w:pPr>
        <w:adjustRightInd w:val="0"/>
        <w:snapToGrid w:val="0"/>
        <w:spacing w:line="336" w:lineRule="auto"/>
        <w:ind w:firstLine="480" w:firstLineChars="200"/>
        <w:jc w:val="left"/>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numPr>
          <w:ilvl w:val="0"/>
          <w:numId w:val="7"/>
        </w:numPr>
        <w:adjustRightInd w:val="0"/>
        <w:snapToGrid w:val="0"/>
        <w:spacing w:line="336" w:lineRule="auto"/>
        <w:jc w:val="left"/>
        <w:rPr>
          <w:rFonts w:ascii="宋体" w:hAnsi="宋体" w:cs="宋体"/>
          <w:sz w:val="24"/>
        </w:rPr>
      </w:pPr>
      <w:r>
        <w:rPr>
          <w:rFonts w:hint="eastAsia" w:ascii="宋体" w:hAnsi="宋体" w:cs="宋体"/>
          <w:sz w:val="24"/>
        </w:rPr>
        <w:t>本协议与主协议的关系</w:t>
      </w:r>
    </w:p>
    <w:p>
      <w:pPr>
        <w:adjustRightInd w:val="0"/>
        <w:snapToGrid w:val="0"/>
        <w:spacing w:line="336" w:lineRule="auto"/>
        <w:ind w:left="105" w:firstLine="480" w:firstLineChars="200"/>
        <w:jc w:val="left"/>
        <w:rPr>
          <w:rFonts w:ascii="宋体" w:hAnsi="宋体" w:cs="宋体"/>
          <w:sz w:val="24"/>
        </w:rPr>
      </w:pPr>
      <w:r>
        <w:rPr>
          <w:rFonts w:hint="eastAsia" w:ascii="宋体" w:hAnsi="宋体" w:cs="宋体"/>
          <w:sz w:val="24"/>
        </w:rPr>
        <w:t>本协议作为</w:t>
      </w:r>
      <w:r>
        <w:rPr>
          <w:rFonts w:hint="eastAsia" w:ascii="宋体" w:hAnsi="宋体" w:cs="宋体"/>
          <w:bCs/>
          <w:sz w:val="24"/>
          <w:u w:val="single"/>
        </w:rPr>
        <w:t xml:space="preserve">                           </w:t>
      </w:r>
      <w:r>
        <w:rPr>
          <w:rFonts w:hint="eastAsia" w:ascii="宋体" w:hAnsi="宋体" w:cs="宋体"/>
          <w:sz w:val="24"/>
        </w:rPr>
        <w:t>的组成部分，与主合同具有同等法律效力。</w:t>
      </w:r>
    </w:p>
    <w:p>
      <w:pPr>
        <w:adjustRightInd w:val="0"/>
        <w:snapToGrid w:val="0"/>
        <w:spacing w:line="336" w:lineRule="auto"/>
        <w:jc w:val="left"/>
        <w:rPr>
          <w:rFonts w:ascii="宋体" w:hAnsi="宋体" w:cs="宋体"/>
          <w:sz w:val="24"/>
        </w:rPr>
      </w:pPr>
      <w:r>
        <w:rPr>
          <w:rFonts w:hint="eastAsia" w:ascii="宋体" w:hAnsi="宋体" w:cs="宋体"/>
          <w:sz w:val="24"/>
        </w:rPr>
        <w:t xml:space="preserve"> 二、甲乙双方的责任、权利和义务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（一）甲方的责任、权利和义务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1.贯彻落实国家、地方及甲方有关安全管理的法律法规和规章制度，对乙方承包作业的安全管理工作进行监督管理。</w:t>
      </w:r>
    </w:p>
    <w:p>
      <w:pPr>
        <w:adjustRightInd w:val="0"/>
        <w:snapToGrid w:val="0"/>
        <w:spacing w:line="336" w:lineRule="auto"/>
        <w:jc w:val="left"/>
        <w:rPr>
          <w:rFonts w:ascii="宋体" w:hAnsi="宋体" w:cs="宋体"/>
          <w:sz w:val="24"/>
        </w:rPr>
      </w:pPr>
      <w:r>
        <w:rPr>
          <w:rFonts w:hint="eastAsia" w:ascii="宋体" w:hAnsi="宋体" w:cs="宋体"/>
          <w:sz w:val="24"/>
        </w:rPr>
        <w:t>2.审查乙方安全资质，确保乙方具备与承包内容资质相一致的外协条件。</w:t>
      </w:r>
    </w:p>
    <w:p>
      <w:pPr>
        <w:adjustRightInd w:val="0"/>
        <w:snapToGrid w:val="0"/>
        <w:spacing w:line="336" w:lineRule="auto"/>
        <w:jc w:val="left"/>
        <w:rPr>
          <w:rFonts w:ascii="宋体" w:hAnsi="宋体" w:cs="宋体"/>
          <w:sz w:val="24"/>
        </w:rPr>
      </w:pPr>
      <w:r>
        <w:rPr>
          <w:rFonts w:hint="eastAsia" w:ascii="宋体" w:hAnsi="宋体" w:cs="宋体"/>
          <w:sz w:val="24"/>
        </w:rPr>
        <w:t>3.要求乙方建立健全承包作业的各项安全管理制度及标准，监督乙方制定相应的安全生产方案并严格落实。</w:t>
      </w:r>
    </w:p>
    <w:p>
      <w:pPr>
        <w:adjustRightInd w:val="0"/>
        <w:snapToGrid w:val="0"/>
        <w:spacing w:line="336" w:lineRule="auto"/>
        <w:jc w:val="left"/>
        <w:rPr>
          <w:rFonts w:ascii="宋体" w:hAnsi="宋体" w:cs="宋体"/>
          <w:sz w:val="24"/>
        </w:rPr>
      </w:pPr>
      <w:r>
        <w:rPr>
          <w:rFonts w:hint="eastAsia" w:ascii="宋体" w:hAnsi="宋体" w:cs="宋体"/>
          <w:sz w:val="24"/>
        </w:rPr>
        <w:t>4.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36" w:lineRule="auto"/>
        <w:jc w:val="left"/>
        <w:rPr>
          <w:rFonts w:ascii="宋体" w:hAnsi="宋体" w:cs="宋体"/>
          <w:sz w:val="24"/>
        </w:rPr>
      </w:pPr>
      <w:r>
        <w:rPr>
          <w:rFonts w:hint="eastAsia" w:ascii="宋体" w:hAnsi="宋体" w:cs="宋体"/>
          <w:sz w:val="24"/>
        </w:rPr>
        <w:t>5.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36" w:lineRule="auto"/>
        <w:jc w:val="left"/>
        <w:rPr>
          <w:rFonts w:ascii="宋体" w:hAnsi="宋体" w:cs="宋体"/>
          <w:sz w:val="24"/>
        </w:rPr>
      </w:pPr>
      <w:r>
        <w:rPr>
          <w:rFonts w:hint="eastAsia" w:ascii="宋体" w:hAnsi="宋体" w:cs="宋体"/>
          <w:sz w:val="24"/>
        </w:rPr>
        <w:t>（二）乙方的责任、权利和义务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36" w:lineRule="auto"/>
        <w:jc w:val="left"/>
        <w:rPr>
          <w:rFonts w:ascii="宋体" w:hAnsi="宋体" w:cs="宋体"/>
          <w:sz w:val="24"/>
        </w:rPr>
      </w:pPr>
      <w:r>
        <w:rPr>
          <w:rFonts w:hint="eastAsia" w:ascii="宋体" w:hAnsi="宋体" w:cs="宋体"/>
          <w:sz w:val="24"/>
        </w:rPr>
        <w:t>2.严格按照资质范围进行作业，不得进行超资质范围的技术服务作业，不得将所承担的承包项目再次转包。</w:t>
      </w:r>
    </w:p>
    <w:p>
      <w:pPr>
        <w:adjustRightInd w:val="0"/>
        <w:snapToGrid w:val="0"/>
        <w:spacing w:line="336" w:lineRule="auto"/>
        <w:jc w:val="left"/>
        <w:rPr>
          <w:rFonts w:ascii="宋体" w:hAnsi="宋体" w:cs="宋体"/>
          <w:sz w:val="24"/>
        </w:rPr>
      </w:pPr>
      <w:r>
        <w:rPr>
          <w:rFonts w:hint="eastAsia" w:ascii="宋体" w:hAnsi="宋体" w:cs="宋体"/>
          <w:sz w:val="24"/>
        </w:rPr>
        <w:t>3.乙方特种作业人员必须持有效证件上岗；新录用人员不得单独操作，须经相关安全、技能培训合格，取得特种作业资格证后方可单独操作。</w:t>
      </w:r>
    </w:p>
    <w:p>
      <w:pPr>
        <w:adjustRightInd w:val="0"/>
        <w:snapToGrid w:val="0"/>
        <w:spacing w:line="336" w:lineRule="auto"/>
        <w:jc w:val="left"/>
        <w:rPr>
          <w:rFonts w:ascii="宋体" w:hAnsi="宋体" w:cs="宋体"/>
          <w:sz w:val="24"/>
        </w:rPr>
      </w:pPr>
      <w:r>
        <w:rPr>
          <w:rFonts w:hint="eastAsia" w:ascii="宋体" w:hAnsi="宋体" w:cs="宋体"/>
          <w:sz w:val="24"/>
        </w:rPr>
        <w:t>4.接受甲方对安全管理工作的监督检查，服从甲方管理，对甲方口头提出或书面签发提出的隐患整改通知单应按照规定要求进行处理。</w:t>
      </w:r>
    </w:p>
    <w:p>
      <w:pPr>
        <w:adjustRightInd w:val="0"/>
        <w:snapToGrid w:val="0"/>
        <w:spacing w:line="336" w:lineRule="auto"/>
        <w:jc w:val="left"/>
        <w:rPr>
          <w:rFonts w:ascii="宋体" w:hAnsi="宋体" w:cs="宋体"/>
          <w:sz w:val="24"/>
        </w:rPr>
      </w:pPr>
      <w:r>
        <w:rPr>
          <w:rFonts w:hint="eastAsia" w:ascii="宋体" w:hAnsi="宋体" w:cs="宋体"/>
          <w:sz w:val="24"/>
        </w:rPr>
        <w:t>5.对自行携带和使用的设备负有安全管理和维护保养的全部责任，并符合相关标准。使（租）用大型机械设备时，应在使用前向甲方备案。</w:t>
      </w:r>
    </w:p>
    <w:p>
      <w:pPr>
        <w:adjustRightInd w:val="0"/>
        <w:snapToGrid w:val="0"/>
        <w:spacing w:line="336" w:lineRule="auto"/>
        <w:jc w:val="left"/>
        <w:rPr>
          <w:rFonts w:ascii="宋体" w:hAnsi="宋体" w:cs="宋体"/>
          <w:sz w:val="24"/>
        </w:rPr>
      </w:pPr>
      <w:r>
        <w:rPr>
          <w:rFonts w:hint="eastAsia" w:ascii="宋体" w:hAnsi="宋体" w:cs="宋体"/>
          <w:sz w:val="24"/>
        </w:rPr>
        <w:t>6.乙方必须统一组织、严格管理，不得随意换人、加人和顶替，若需换人、加人必须向甲方提出申请，并履行书面手续。</w:t>
      </w:r>
    </w:p>
    <w:p>
      <w:pPr>
        <w:adjustRightInd w:val="0"/>
        <w:snapToGrid w:val="0"/>
        <w:spacing w:line="336" w:lineRule="auto"/>
        <w:jc w:val="left"/>
        <w:rPr>
          <w:rFonts w:ascii="宋体" w:hAnsi="宋体" w:cs="宋体"/>
          <w:sz w:val="24"/>
        </w:rPr>
      </w:pPr>
      <w:r>
        <w:rPr>
          <w:rFonts w:hint="eastAsia" w:ascii="宋体" w:hAnsi="宋体" w:cs="宋体"/>
          <w:sz w:val="24"/>
        </w:rPr>
        <w:t>7.在有毒有害、化学危险品、粉尘、噪音、高温环境、有限空间中作业施工必须按照甲方相应管理规定执行。</w:t>
      </w:r>
    </w:p>
    <w:p>
      <w:pPr>
        <w:adjustRightInd w:val="0"/>
        <w:snapToGrid w:val="0"/>
        <w:spacing w:line="336" w:lineRule="auto"/>
        <w:jc w:val="left"/>
        <w:rPr>
          <w:rFonts w:ascii="宋体" w:hAnsi="宋体" w:cs="宋体"/>
          <w:sz w:val="24"/>
        </w:rPr>
      </w:pPr>
      <w:r>
        <w:rPr>
          <w:rFonts w:hint="eastAsia" w:ascii="宋体" w:hAnsi="宋体" w:cs="宋体"/>
          <w:sz w:val="24"/>
        </w:rPr>
        <w:t>8.乙方必须组织人员进行内部安全教育，并参加我公司安全交底，确认知悉并签订安全承诺书后方可进入现场作业。</w:t>
      </w:r>
    </w:p>
    <w:p>
      <w:pPr>
        <w:adjustRightInd w:val="0"/>
        <w:snapToGrid w:val="0"/>
        <w:spacing w:line="336" w:lineRule="auto"/>
        <w:jc w:val="left"/>
        <w:rPr>
          <w:rFonts w:ascii="宋体" w:hAnsi="宋体" w:cs="宋体"/>
          <w:sz w:val="24"/>
        </w:rPr>
      </w:pPr>
      <w:r>
        <w:rPr>
          <w:rFonts w:hint="eastAsia" w:ascii="宋体" w:hAnsi="宋体" w:cs="宋体"/>
          <w:sz w:val="24"/>
        </w:rPr>
        <w:t xml:space="preserve">三、协议内容                                                </w:t>
      </w:r>
    </w:p>
    <w:p>
      <w:pPr>
        <w:adjustRightInd w:val="0"/>
        <w:snapToGrid w:val="0"/>
        <w:spacing w:line="336" w:lineRule="auto"/>
        <w:jc w:val="left"/>
        <w:rPr>
          <w:rFonts w:ascii="宋体" w:hAnsi="宋体" w:cs="宋体"/>
          <w:sz w:val="24"/>
        </w:rPr>
      </w:pPr>
      <w:r>
        <w:rPr>
          <w:rFonts w:hint="eastAsia" w:ascii="宋体" w:hAnsi="宋体" w:cs="宋体"/>
          <w:sz w:val="24"/>
        </w:rPr>
        <w:t>1.甲乙双方均具有独立法人资格，按照责任权利对等的原则，乙方对承包的技术服务工作实行自主管理，负主体责任，甲方对乙方承包的工作实施监督管理。</w:t>
      </w:r>
    </w:p>
    <w:p>
      <w:pPr>
        <w:adjustRightInd w:val="0"/>
        <w:snapToGrid w:val="0"/>
        <w:spacing w:line="336" w:lineRule="auto"/>
        <w:jc w:val="left"/>
        <w:rPr>
          <w:rFonts w:ascii="宋体" w:hAnsi="宋体" w:cs="宋体"/>
          <w:sz w:val="24"/>
        </w:rPr>
      </w:pPr>
      <w:r>
        <w:rPr>
          <w:rFonts w:hint="eastAsia" w:ascii="宋体" w:hAnsi="宋体" w:cs="宋体"/>
          <w:sz w:val="24"/>
        </w:rPr>
        <w:t>2.乙方必须向甲方提供安全资质以待审查，审查合格后方可办理进厂手续。</w:t>
      </w:r>
    </w:p>
    <w:p>
      <w:pPr>
        <w:adjustRightInd w:val="0"/>
        <w:snapToGrid w:val="0"/>
        <w:spacing w:line="336" w:lineRule="auto"/>
        <w:jc w:val="left"/>
        <w:rPr>
          <w:rFonts w:ascii="宋体" w:hAnsi="宋体" w:cs="宋体"/>
          <w:sz w:val="24"/>
        </w:rPr>
      </w:pPr>
      <w:r>
        <w:rPr>
          <w:rFonts w:hint="eastAsia" w:ascii="宋体" w:hAnsi="宋体" w:cs="宋体"/>
          <w:sz w:val="24"/>
        </w:rPr>
        <w:t>3.乙方应根据岗位需要以及作业人员数量按50:1的比例配备相应的专（兼）职安全管理人员（不足50人时，至少配备1名），进行现场安全管理以及生产作业过程中的协调、联系。</w:t>
      </w:r>
    </w:p>
    <w:p>
      <w:pPr>
        <w:adjustRightInd w:val="0"/>
        <w:snapToGrid w:val="0"/>
        <w:spacing w:line="336" w:lineRule="auto"/>
        <w:jc w:val="left"/>
        <w:rPr>
          <w:rFonts w:ascii="宋体" w:hAnsi="宋体" w:cs="宋体"/>
          <w:sz w:val="24"/>
        </w:rPr>
      </w:pPr>
      <w:r>
        <w:rPr>
          <w:rFonts w:hint="eastAsia" w:ascii="宋体" w:hAnsi="宋体" w:cs="宋体"/>
          <w:sz w:val="24"/>
        </w:rPr>
        <w:t>4.乙方必须严格按照国家相关规定雇佣作业人员，同时满足甲方用工条件。</w:t>
      </w:r>
    </w:p>
    <w:p>
      <w:pPr>
        <w:adjustRightInd w:val="0"/>
        <w:snapToGrid w:val="0"/>
        <w:spacing w:line="336" w:lineRule="auto"/>
        <w:jc w:val="left"/>
        <w:rPr>
          <w:rFonts w:ascii="宋体" w:hAnsi="宋体" w:cs="宋体"/>
          <w:sz w:val="24"/>
        </w:rPr>
      </w:pPr>
      <w:r>
        <w:rPr>
          <w:rFonts w:hint="eastAsia" w:ascii="宋体" w:hAnsi="宋体" w:cs="宋体"/>
          <w:sz w:val="24"/>
        </w:rPr>
        <w:t>5.乙方应遵照国家相关法律标准对作业人员进行必要的安全教育培训，使其知识和能力与岗位要求相匹配，并满足甲方相关要求。</w:t>
      </w:r>
    </w:p>
    <w:p>
      <w:pPr>
        <w:adjustRightInd w:val="0"/>
        <w:snapToGrid w:val="0"/>
        <w:spacing w:line="336" w:lineRule="auto"/>
        <w:jc w:val="left"/>
        <w:rPr>
          <w:rFonts w:ascii="宋体" w:hAnsi="宋体" w:cs="宋体"/>
          <w:sz w:val="24"/>
        </w:rPr>
      </w:pPr>
      <w:r>
        <w:rPr>
          <w:rFonts w:hint="eastAsia" w:ascii="宋体" w:hAnsi="宋体" w:cs="宋体"/>
          <w:sz w:val="24"/>
        </w:rPr>
        <w:t>6.乙方每次作业前必须做好安全交底工作，现场负责人要定期对现场进行检查，消除隐患。</w:t>
      </w:r>
    </w:p>
    <w:p>
      <w:pPr>
        <w:adjustRightInd w:val="0"/>
        <w:snapToGrid w:val="0"/>
        <w:spacing w:line="336" w:lineRule="auto"/>
        <w:jc w:val="left"/>
        <w:rPr>
          <w:rFonts w:ascii="宋体" w:hAnsi="宋体" w:cs="宋体"/>
          <w:sz w:val="24"/>
        </w:rPr>
      </w:pPr>
      <w:r>
        <w:rPr>
          <w:rFonts w:hint="eastAsia" w:ascii="宋体" w:hAnsi="宋体" w:cs="宋体"/>
          <w:sz w:val="24"/>
        </w:rPr>
        <w:t>7.甲方提供的设备、设施、器材、工具等，乙方负责全面管理，由于乙方人员的检查、维护、操作、保管等原因造成的非正常损坏，承担经济责任。</w:t>
      </w:r>
    </w:p>
    <w:p>
      <w:pPr>
        <w:adjustRightInd w:val="0"/>
        <w:snapToGrid w:val="0"/>
        <w:spacing w:line="336" w:lineRule="auto"/>
        <w:jc w:val="left"/>
        <w:rPr>
          <w:rFonts w:ascii="宋体" w:hAnsi="宋体" w:cs="宋体"/>
          <w:sz w:val="24"/>
        </w:rPr>
      </w:pPr>
      <w:r>
        <w:rPr>
          <w:rFonts w:hint="eastAsia" w:ascii="宋体" w:hAnsi="宋体" w:cs="宋体"/>
          <w:sz w:val="24"/>
        </w:rPr>
        <w:t>8.乙方必须为其从业人员配备劳动防护用品并确保正确使用。</w:t>
      </w:r>
    </w:p>
    <w:p>
      <w:pPr>
        <w:adjustRightInd w:val="0"/>
        <w:snapToGrid w:val="0"/>
        <w:spacing w:line="336" w:lineRule="auto"/>
        <w:jc w:val="left"/>
        <w:rPr>
          <w:rFonts w:ascii="宋体" w:hAnsi="宋体" w:cs="宋体"/>
          <w:sz w:val="24"/>
        </w:rPr>
      </w:pPr>
      <w:r>
        <w:rPr>
          <w:rFonts w:hint="eastAsia" w:ascii="宋体" w:hAnsi="宋体" w:cs="宋体"/>
          <w:sz w:val="24"/>
        </w:rPr>
        <w:t>9.乙方作业人员应在技术服务工作区域内活动，不得进入甲方或第三方生产作业现场，同时对技术服务工作区域安全文明生产管理工作负责。</w:t>
      </w:r>
    </w:p>
    <w:p>
      <w:pPr>
        <w:adjustRightInd w:val="0"/>
        <w:snapToGrid w:val="0"/>
        <w:spacing w:line="336" w:lineRule="auto"/>
        <w:jc w:val="left"/>
        <w:rPr>
          <w:rFonts w:ascii="宋体" w:hAnsi="宋体" w:cs="宋体"/>
          <w:sz w:val="24"/>
        </w:rPr>
      </w:pPr>
      <w:r>
        <w:rPr>
          <w:rFonts w:hint="eastAsia" w:ascii="宋体" w:hAnsi="宋体" w:cs="宋体"/>
          <w:sz w:val="24"/>
        </w:rPr>
        <w:t>10.甲方有权随时对乙方进行安全工作检查，制止违章作业，对违反甲方安全规定的行为有权对乙方进行经济处罚，或根据具体情况责令乙方停工整顿。</w:t>
      </w:r>
    </w:p>
    <w:p>
      <w:pPr>
        <w:adjustRightInd w:val="0"/>
        <w:snapToGrid w:val="0"/>
        <w:spacing w:line="336" w:lineRule="auto"/>
        <w:jc w:val="left"/>
        <w:rPr>
          <w:rFonts w:ascii="宋体" w:hAnsi="宋体" w:cs="宋体"/>
          <w:sz w:val="24"/>
        </w:rPr>
      </w:pPr>
      <w:r>
        <w:rPr>
          <w:rFonts w:hint="eastAsia" w:ascii="宋体" w:hAnsi="宋体" w:cs="宋体"/>
          <w:sz w:val="24"/>
        </w:rPr>
        <w:t>11.发生紧急情况时，乙方必须服从甲方统一调度指挥。</w:t>
      </w:r>
    </w:p>
    <w:p>
      <w:pPr>
        <w:adjustRightInd w:val="0"/>
        <w:snapToGrid w:val="0"/>
        <w:spacing w:line="336" w:lineRule="auto"/>
        <w:jc w:val="left"/>
        <w:rPr>
          <w:rFonts w:ascii="宋体" w:hAnsi="宋体" w:cs="宋体"/>
          <w:sz w:val="24"/>
        </w:rPr>
      </w:pPr>
      <w:r>
        <w:rPr>
          <w:rFonts w:hint="eastAsia" w:ascii="宋体" w:hAnsi="宋体" w:cs="宋体"/>
          <w:sz w:val="24"/>
        </w:rPr>
        <w:t>12.乙方应严格履行安全管理协议，遵守甲方各项管理规定，服从管理，否则视为违约，违约金参照甲方管理制度相关标准执行。</w:t>
      </w:r>
    </w:p>
    <w:p>
      <w:pPr>
        <w:adjustRightInd w:val="0"/>
        <w:snapToGrid w:val="0"/>
        <w:spacing w:line="336" w:lineRule="auto"/>
        <w:jc w:val="left"/>
        <w:rPr>
          <w:rFonts w:ascii="宋体" w:hAnsi="宋体" w:cs="宋体"/>
          <w:sz w:val="24"/>
        </w:rPr>
      </w:pPr>
      <w:r>
        <w:rPr>
          <w:rFonts w:hint="eastAsia" w:ascii="宋体" w:hAnsi="宋体" w:cs="宋体"/>
          <w:sz w:val="24"/>
        </w:rPr>
        <w:t>四、事故责任</w:t>
      </w:r>
    </w:p>
    <w:p>
      <w:pPr>
        <w:adjustRightInd w:val="0"/>
        <w:snapToGrid w:val="0"/>
        <w:spacing w:line="336" w:lineRule="auto"/>
        <w:jc w:val="left"/>
        <w:rPr>
          <w:rFonts w:ascii="宋体" w:hAnsi="宋体" w:cs="宋体"/>
          <w:sz w:val="24"/>
        </w:rPr>
      </w:pPr>
      <w:r>
        <w:rPr>
          <w:rFonts w:hint="eastAsia" w:ascii="宋体" w:hAnsi="宋体" w:cs="宋体"/>
          <w:sz w:val="24"/>
        </w:rPr>
        <w:t>1.在乙方承包范围内，由于乙方责任发生生产安全事故时，造成的甲方、乙方或者第三方人身伤害事故，乙方负全部责任。</w:t>
      </w:r>
    </w:p>
    <w:p>
      <w:pPr>
        <w:adjustRightInd w:val="0"/>
        <w:snapToGrid w:val="0"/>
        <w:spacing w:line="336" w:lineRule="auto"/>
        <w:jc w:val="left"/>
        <w:rPr>
          <w:rFonts w:ascii="宋体" w:hAnsi="宋体" w:cs="宋体"/>
          <w:sz w:val="24"/>
        </w:rPr>
      </w:pPr>
      <w:r>
        <w:rPr>
          <w:rFonts w:hint="eastAsia" w:ascii="宋体" w:hAnsi="宋体" w:cs="宋体"/>
          <w:sz w:val="24"/>
        </w:rPr>
        <w:t>2.乙方人员在甲方非承包区域遭受意外伤害的，乙方负全部责任。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3.乙方人员违规进入甲方或第三方承包区域，造成事故的，乙方负全部事故责任；乙方人员遭受人身伤害的，乙方负全部责任。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36" w:lineRule="auto"/>
        <w:jc w:val="left"/>
        <w:rPr>
          <w:rFonts w:ascii="宋体" w:hAnsi="宋体" w:cs="宋体"/>
          <w:sz w:val="24"/>
        </w:rPr>
      </w:pPr>
      <w:r>
        <w:rPr>
          <w:rFonts w:hint="eastAsia" w:ascii="宋体" w:hAnsi="宋体" w:cs="宋体"/>
          <w:sz w:val="24"/>
        </w:rPr>
        <w:t>5.乙方在甲方生产区域内发生生产安全事故后，必须在第一时间向甲方报告，迟报或者隐瞒不报生产安全事故，承担事故的全部责任。甲方提供救援服务并协助处理善后事宜。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36" w:lineRule="auto"/>
        <w:jc w:val="left"/>
        <w:rPr>
          <w:rFonts w:ascii="宋体" w:hAnsi="宋体" w:cs="宋体"/>
          <w:sz w:val="24"/>
        </w:rPr>
      </w:pPr>
      <w:r>
        <w:rPr>
          <w:rFonts w:hint="eastAsia" w:ascii="宋体" w:hAnsi="宋体" w:cs="宋体"/>
          <w:sz w:val="24"/>
        </w:rPr>
        <w:t>6.乙方各类人员在甲方生产区域内发生人身伤害事故和其他事故，由乙方负责调查、处理和统计上报，并报甲方安全监督部门备案。</w:t>
      </w:r>
    </w:p>
    <w:p>
      <w:pPr>
        <w:adjustRightInd w:val="0"/>
        <w:snapToGrid w:val="0"/>
        <w:spacing w:line="336" w:lineRule="auto"/>
        <w:jc w:val="left"/>
        <w:rPr>
          <w:rFonts w:ascii="宋体" w:hAnsi="宋体" w:cs="宋体"/>
          <w:sz w:val="24"/>
        </w:rPr>
      </w:pPr>
    </w:p>
    <w:p>
      <w:pPr>
        <w:pStyle w:val="29"/>
        <w:spacing w:line="336" w:lineRule="auto"/>
        <w:rPr>
          <w:rFonts w:ascii="宋体" w:hAnsi="宋体" w:cs="宋体"/>
          <w:sz w:val="24"/>
        </w:rPr>
      </w:pPr>
      <w:r>
        <w:rPr>
          <w:rFonts w:hint="eastAsia" w:ascii="宋体" w:hAnsi="宋体" w:cs="宋体"/>
          <w:sz w:val="24"/>
        </w:rPr>
        <w:t>五、补充条款：</w:t>
      </w:r>
      <w:r>
        <w:rPr>
          <w:rFonts w:hint="eastAsia" w:ascii="宋体" w:hAnsi="宋体" w:cs="宋体"/>
          <w:sz w:val="24"/>
          <w:u w:val="single"/>
        </w:rPr>
        <w:t xml:space="preserve">         /       </w:t>
      </w:r>
      <w:r>
        <w:rPr>
          <w:rFonts w:hint="eastAsia" w:ascii="宋体" w:hAnsi="宋体" w:cs="宋体"/>
          <w:sz w:val="24"/>
        </w:rPr>
        <w:t>。</w:t>
      </w:r>
    </w:p>
    <w:p>
      <w:pPr>
        <w:adjustRightInd w:val="0"/>
        <w:snapToGrid w:val="0"/>
        <w:spacing w:line="336" w:lineRule="auto"/>
        <w:jc w:val="left"/>
        <w:rPr>
          <w:rFonts w:ascii="宋体" w:hAnsi="宋体" w:cs="宋体"/>
          <w:sz w:val="24"/>
        </w:rPr>
      </w:pPr>
      <w:r>
        <w:rPr>
          <w:rFonts w:hint="eastAsia" w:ascii="宋体" w:hAnsi="宋体" w:cs="宋体"/>
          <w:sz w:val="24"/>
        </w:rPr>
        <w:t>六、附则</w:t>
      </w: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36" w:lineRule="auto"/>
        <w:rPr>
          <w:rFonts w:ascii="宋体" w:hAnsi="宋体" w:cs="宋体"/>
          <w:sz w:val="24"/>
        </w:rPr>
      </w:pPr>
    </w:p>
    <w:p>
      <w:pPr>
        <w:adjustRightInd w:val="0"/>
        <w:snapToGrid w:val="0"/>
        <w:spacing w:line="336" w:lineRule="auto"/>
        <w:ind w:left="1330" w:leftChars="5" w:hanging="1320" w:hangingChars="550"/>
        <w:rPr>
          <w:rFonts w:ascii="宋体" w:hAnsi="宋体" w:cs="宋体"/>
          <w:sz w:val="24"/>
        </w:rPr>
      </w:pPr>
      <w:r>
        <w:rPr>
          <w:rFonts w:hint="eastAsia" w:ascii="宋体" w:hAnsi="宋体" w:cs="宋体"/>
          <w:sz w:val="24"/>
        </w:rPr>
        <w:t xml:space="preserve">   甲方代表 （章）：                             乙方代表（章）：                                                           　　              　　　　　　　</w:t>
      </w:r>
    </w:p>
    <w:p>
      <w:pPr>
        <w:adjustRightInd w:val="0"/>
        <w:snapToGrid w:val="0"/>
        <w:spacing w:line="336" w:lineRule="auto"/>
        <w:rPr>
          <w:rFonts w:ascii="宋体" w:hAnsi="宋体" w:cs="宋体"/>
          <w:sz w:val="24"/>
        </w:rPr>
      </w:pPr>
      <w:r>
        <w:rPr>
          <w:rFonts w:hint="eastAsia" w:ascii="宋体" w:hAnsi="宋体" w:cs="宋体"/>
          <w:sz w:val="24"/>
        </w:rPr>
        <w:t xml:space="preserve">      年 　月　  日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p>
    <w:p>
      <w:pPr>
        <w:spacing w:line="360" w:lineRule="auto"/>
        <w:rPr>
          <w:rFonts w:ascii="宋体" w:hAnsi="宋体" w:cs="宋体"/>
          <w:sz w:val="24"/>
        </w:rPr>
      </w:pPr>
    </w:p>
    <w:p>
      <w:pPr>
        <w:jc w:val="center"/>
        <w:rPr>
          <w:b/>
          <w:sz w:val="44"/>
          <w:szCs w:val="44"/>
        </w:rPr>
      </w:pPr>
      <w:r>
        <w:rPr>
          <w:rFonts w:hint="eastAsia"/>
          <w:b/>
          <w:sz w:val="44"/>
          <w:szCs w:val="44"/>
        </w:rPr>
        <w:t>工程量清单</w:t>
      </w:r>
    </w:p>
    <w:tbl>
      <w:tblPr>
        <w:tblStyle w:val="15"/>
        <w:tblW w:w="5309" w:type="pct"/>
        <w:tblInd w:w="0" w:type="dxa"/>
        <w:tblLayout w:type="autofit"/>
        <w:tblCellMar>
          <w:top w:w="0" w:type="dxa"/>
          <w:left w:w="0" w:type="dxa"/>
          <w:bottom w:w="0" w:type="dxa"/>
          <w:right w:w="0" w:type="dxa"/>
        </w:tblCellMar>
      </w:tblPr>
      <w:tblGrid>
        <w:gridCol w:w="754"/>
        <w:gridCol w:w="2252"/>
        <w:gridCol w:w="3032"/>
        <w:gridCol w:w="934"/>
        <w:gridCol w:w="706"/>
        <w:gridCol w:w="217"/>
        <w:gridCol w:w="239"/>
        <w:gridCol w:w="974"/>
        <w:gridCol w:w="865"/>
      </w:tblGrid>
      <w:tr>
        <w:tblPrEx>
          <w:tblCellMar>
            <w:top w:w="0" w:type="dxa"/>
            <w:left w:w="0" w:type="dxa"/>
            <w:bottom w:w="0" w:type="dxa"/>
            <w:right w:w="0" w:type="dxa"/>
          </w:tblCellMar>
        </w:tblPrEx>
        <w:trPr>
          <w:trHeight w:val="570" w:hRule="atLeast"/>
        </w:trPr>
        <w:tc>
          <w:tcPr>
            <w:tcW w:w="3849" w:type="pct"/>
            <w:gridSpan w:val="5"/>
            <w:tcBorders>
              <w:top w:val="nil"/>
              <w:left w:val="nil"/>
              <w:bottom w:val="nil"/>
              <w:right w:val="nil"/>
            </w:tcBorders>
            <w:shd w:val="clear" w:color="FFFFFF" w:fill="FFFFFF"/>
            <w:tcMar>
              <w:top w:w="15" w:type="dxa"/>
              <w:left w:w="15" w:type="dxa"/>
              <w:right w:w="15" w:type="dxa"/>
            </w:tcMar>
            <w:vAlign w:val="bottom"/>
          </w:tcPr>
          <w:p>
            <w:pPr>
              <w:widowControl/>
              <w:jc w:val="left"/>
              <w:textAlignment w:val="bottom"/>
              <w:rPr>
                <w:rFonts w:ascii="宋体" w:hAnsi="宋体" w:cs="宋体"/>
                <w:color w:val="000000"/>
                <w:sz w:val="20"/>
              </w:rPr>
            </w:pPr>
            <w:r>
              <w:rPr>
                <w:rFonts w:hint="eastAsia" w:ascii="宋体" w:hAnsi="宋体" w:cs="宋体"/>
                <w:color w:val="000000"/>
                <w:kern w:val="0"/>
                <w:sz w:val="20"/>
              </w:rPr>
              <w:t>工程名称：大沙地分公司一期粗格栅技改项目</w:t>
            </w:r>
          </w:p>
        </w:tc>
        <w:tc>
          <w:tcPr>
            <w:tcW w:w="109" w:type="pct"/>
            <w:tcBorders>
              <w:top w:val="nil"/>
              <w:left w:val="nil"/>
              <w:bottom w:val="nil"/>
              <w:right w:val="nil"/>
            </w:tcBorders>
            <w:shd w:val="clear" w:color="FFFFFF" w:fill="FFFFFF"/>
            <w:tcMar>
              <w:top w:w="15" w:type="dxa"/>
              <w:left w:w="15" w:type="dxa"/>
              <w:right w:w="15" w:type="dxa"/>
            </w:tcMar>
            <w:vAlign w:val="bottom"/>
          </w:tcPr>
          <w:p>
            <w:pPr>
              <w:jc w:val="center"/>
              <w:rPr>
                <w:rFonts w:ascii="宋体" w:hAnsi="宋体" w:cs="宋体"/>
                <w:color w:val="000000"/>
                <w:sz w:val="20"/>
              </w:rPr>
            </w:pPr>
          </w:p>
        </w:tc>
        <w:tc>
          <w:tcPr>
            <w:tcW w:w="120" w:type="pct"/>
            <w:tcBorders>
              <w:top w:val="nil"/>
              <w:left w:val="nil"/>
              <w:bottom w:val="nil"/>
              <w:right w:val="nil"/>
            </w:tcBorders>
            <w:shd w:val="clear" w:color="FFFFFF" w:fill="FFFFFF"/>
            <w:tcMar>
              <w:top w:w="15" w:type="dxa"/>
              <w:left w:w="15" w:type="dxa"/>
              <w:right w:w="15" w:type="dxa"/>
            </w:tcMar>
            <w:vAlign w:val="bottom"/>
          </w:tcPr>
          <w:p>
            <w:pPr>
              <w:jc w:val="right"/>
              <w:rPr>
                <w:rFonts w:ascii="宋体" w:hAnsi="宋体" w:cs="宋体"/>
                <w:color w:val="000000"/>
                <w:sz w:val="20"/>
              </w:rPr>
            </w:pPr>
          </w:p>
        </w:tc>
        <w:tc>
          <w:tcPr>
            <w:tcW w:w="488" w:type="pct"/>
            <w:tcBorders>
              <w:top w:val="nil"/>
              <w:left w:val="nil"/>
              <w:bottom w:val="nil"/>
              <w:right w:val="nil"/>
            </w:tcBorders>
            <w:shd w:val="clear" w:color="FFFFFF" w:fill="FFFFFF"/>
            <w:tcMar>
              <w:top w:w="15" w:type="dxa"/>
              <w:left w:w="15" w:type="dxa"/>
              <w:right w:w="15" w:type="dxa"/>
            </w:tcMar>
            <w:vAlign w:val="bottom"/>
          </w:tcPr>
          <w:p>
            <w:pPr>
              <w:jc w:val="right"/>
              <w:rPr>
                <w:rFonts w:ascii="宋体" w:hAnsi="宋体" w:cs="宋体"/>
                <w:color w:val="000000"/>
                <w:sz w:val="20"/>
              </w:rPr>
            </w:pPr>
          </w:p>
        </w:tc>
        <w:tc>
          <w:tcPr>
            <w:tcW w:w="433" w:type="pct"/>
            <w:tcBorders>
              <w:top w:val="nil"/>
              <w:left w:val="nil"/>
              <w:bottom w:val="nil"/>
              <w:right w:val="nil"/>
            </w:tcBorders>
            <w:shd w:val="clear" w:color="FFFFFF" w:fill="FFFFFF"/>
            <w:tcMar>
              <w:top w:w="15" w:type="dxa"/>
              <w:left w:w="15" w:type="dxa"/>
              <w:right w:w="15" w:type="dxa"/>
            </w:tcMar>
            <w:vAlign w:val="bottom"/>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37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序号</w:t>
            </w:r>
          </w:p>
        </w:tc>
        <w:tc>
          <w:tcPr>
            <w:tcW w:w="112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项目名称</w:t>
            </w:r>
          </w:p>
        </w:tc>
        <w:tc>
          <w:tcPr>
            <w:tcW w:w="152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项目特征描述</w:t>
            </w:r>
          </w:p>
        </w:tc>
        <w:tc>
          <w:tcPr>
            <w:tcW w:w="46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单位</w:t>
            </w:r>
          </w:p>
        </w:tc>
        <w:tc>
          <w:tcPr>
            <w:tcW w:w="581"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工程数量</w:t>
            </w:r>
          </w:p>
        </w:tc>
        <w:tc>
          <w:tcPr>
            <w:tcW w:w="48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综合单价</w:t>
            </w:r>
          </w:p>
        </w:tc>
        <w:tc>
          <w:tcPr>
            <w:tcW w:w="43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综合总价</w:t>
            </w:r>
          </w:p>
        </w:tc>
      </w:tr>
      <w:tr>
        <w:tblPrEx>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护栏拆除、安装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1.护栏拆除、安装</w:t>
            </w: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除臭罩拆除、安装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1.除臭罩拆除、安装</w:t>
            </w: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套</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井口盖板移动及恢复</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1.井口盖板移动及恢复</w:t>
            </w: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粗格栅更换</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1.粗格栅拆除、安装，格栅宽度2m（地下室内施工，人工费增加30%）</w:t>
            </w: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套</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启闭机拆除、安装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1.启闭机拆除、安装</w:t>
            </w: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电力电缆头拆除、安装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1.电力电缆头拆除、安装</w:t>
            </w: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限位开关电缆头拆除、安装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1.限位开关电缆头拆除、安装</w:t>
            </w: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84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1129"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送配电装置系统调试</w:t>
            </w:r>
          </w:p>
        </w:tc>
        <w:tc>
          <w:tcPr>
            <w:tcW w:w="1520"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1、减速机、限位开关、程序系统送配电装置系统调试</w:t>
            </w:r>
          </w:p>
        </w:tc>
        <w:tc>
          <w:tcPr>
            <w:tcW w:w="468"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系统</w:t>
            </w:r>
          </w:p>
        </w:tc>
        <w:tc>
          <w:tcPr>
            <w:tcW w:w="581" w:type="pct"/>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其他措施费</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龙门架与10吨手动葫芦辅助格栅拆除、安装搭</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次</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鼓风机</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污水泵</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气体检测仪</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记录员记录及现场监护人</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工日</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汽车式起重机</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汽车式起重机</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高层施工增加</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脚手架搭拆费</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8"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112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综合钢脚手架搭拆 高度(m以内) 12.5</w:t>
            </w:r>
          </w:p>
        </w:tc>
        <w:tc>
          <w:tcPr>
            <w:tcW w:w="1520" w:type="pct"/>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100m2</w:t>
            </w:r>
          </w:p>
        </w:tc>
        <w:tc>
          <w:tcPr>
            <w:tcW w:w="581"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8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rPr>
          <w:rFonts w:ascii="宋体" w:hAnsi="宋体" w:cs="宋体"/>
          <w:b/>
          <w:bCs/>
          <w:szCs w:val="21"/>
        </w:rPr>
      </w:pPr>
    </w:p>
    <w:p>
      <w:pPr>
        <w:spacing w:line="360" w:lineRule="auto"/>
        <w:jc w:val="left"/>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ascii="宋体" w:hAnsi="宋体" w:cs="宋体"/>
          <w:b/>
          <w:bCs/>
          <w:szCs w:val="21"/>
        </w:rPr>
      </w:pPr>
      <w:bookmarkStart w:id="37" w:name="_GoBack"/>
      <w:bookmarkEnd w:id="37"/>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职业卫生管理协议书</w:t>
      </w:r>
    </w:p>
    <w:p>
      <w:pPr>
        <w:spacing w:line="360" w:lineRule="auto"/>
        <w:jc w:val="left"/>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职业卫生管理协议书</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pStyle w:val="14"/>
        <w:spacing w:before="0" w:beforeAutospacing="0" w:after="0" w:afterAutospacing="0" w:line="360" w:lineRule="auto"/>
        <w:ind w:firstLine="480" w:firstLineChars="200"/>
        <w:rPr>
          <w:rFonts w:cs="宋体"/>
          <w:color w:val="auto"/>
        </w:rPr>
      </w:pPr>
    </w:p>
    <w:p>
      <w:pPr>
        <w:pStyle w:val="14"/>
        <w:spacing w:before="0" w:beforeAutospacing="0" w:after="0" w:afterAutospacing="0" w:line="360" w:lineRule="auto"/>
        <w:ind w:firstLine="480" w:firstLineChars="200"/>
        <w:rPr>
          <w:rFonts w:cs="宋体"/>
          <w:color w:val="auto"/>
        </w:rPr>
      </w:pPr>
      <w:r>
        <w:rPr>
          <w:rFonts w:hint="eastAsia" w:cs="宋体"/>
          <w:color w:val="auto"/>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pStyle w:val="14"/>
        <w:spacing w:before="0" w:beforeAutospacing="0" w:after="0" w:afterAutospacing="0" w:line="360" w:lineRule="auto"/>
        <w:ind w:firstLine="360" w:firstLineChars="150"/>
        <w:rPr>
          <w:rFonts w:cs="宋体"/>
          <w:color w:val="auto"/>
        </w:rPr>
      </w:pPr>
      <w:r>
        <w:rPr>
          <w:rFonts w:hint="eastAsia" w:cs="宋体"/>
          <w:color w:val="auto"/>
        </w:rPr>
        <w:t>一、甲方的职业卫生管理责任</w:t>
      </w:r>
    </w:p>
    <w:p>
      <w:pPr>
        <w:pStyle w:val="14"/>
        <w:spacing w:before="0" w:beforeAutospacing="0" w:after="0" w:afterAutospacing="0" w:line="360" w:lineRule="auto"/>
        <w:ind w:firstLine="360" w:firstLineChars="150"/>
        <w:rPr>
          <w:rFonts w:cs="宋体"/>
          <w:color w:val="auto"/>
        </w:rPr>
      </w:pPr>
      <w:r>
        <w:rPr>
          <w:rFonts w:hint="eastAsia" w:cs="宋体"/>
          <w:color w:val="auto"/>
        </w:rPr>
        <w:t>1、甲方有权对乙方职业卫生安全进行监督、指导、检查，发现危害的问题的，及时督促整改。</w:t>
      </w:r>
    </w:p>
    <w:p>
      <w:pPr>
        <w:pStyle w:val="14"/>
        <w:spacing w:before="0" w:beforeAutospacing="0" w:after="0" w:afterAutospacing="0" w:line="360" w:lineRule="auto"/>
        <w:ind w:firstLine="360" w:firstLineChars="150"/>
        <w:rPr>
          <w:rFonts w:cs="宋体"/>
          <w:color w:val="auto"/>
        </w:rPr>
      </w:pPr>
      <w:r>
        <w:rPr>
          <w:rFonts w:hint="eastAsia" w:cs="宋体"/>
          <w:color w:val="auto"/>
        </w:rPr>
        <w:t>2、甲方应按照相关法律法规要求开展职业病危害因素定期检测或相关评价。</w:t>
      </w:r>
    </w:p>
    <w:p>
      <w:pPr>
        <w:pStyle w:val="14"/>
        <w:spacing w:before="0" w:beforeAutospacing="0" w:after="0" w:afterAutospacing="0" w:line="360" w:lineRule="auto"/>
        <w:ind w:firstLine="360" w:firstLineChars="150"/>
        <w:rPr>
          <w:rFonts w:cs="宋体"/>
          <w:color w:val="auto"/>
        </w:rPr>
      </w:pPr>
      <w:r>
        <w:rPr>
          <w:rFonts w:hint="eastAsia" w:cs="宋体"/>
          <w:color w:val="auto"/>
        </w:rPr>
        <w:t>3、甲方应在工作场所设置危害因素告知卡（牌）以及警示标识等。</w:t>
      </w:r>
    </w:p>
    <w:p>
      <w:pPr>
        <w:pStyle w:val="14"/>
        <w:spacing w:before="0" w:beforeAutospacing="0" w:after="0" w:afterAutospacing="0" w:line="360" w:lineRule="auto"/>
        <w:ind w:firstLine="360" w:firstLineChars="150"/>
        <w:rPr>
          <w:rFonts w:cs="宋体"/>
          <w:color w:val="auto"/>
        </w:rPr>
      </w:pPr>
      <w:r>
        <w:rPr>
          <w:rFonts w:hint="eastAsia" w:cs="宋体"/>
          <w:color w:val="auto"/>
        </w:rPr>
        <w:t>4、甲方有权监督乙方为劳动者发放符合国家职业卫生标准的防护用品，并督促其正确佩戴和使用。</w:t>
      </w:r>
    </w:p>
    <w:p>
      <w:pPr>
        <w:pStyle w:val="14"/>
        <w:spacing w:before="0" w:beforeAutospacing="0" w:after="0" w:afterAutospacing="0" w:line="360" w:lineRule="auto"/>
        <w:ind w:firstLine="360" w:firstLineChars="150"/>
        <w:rPr>
          <w:rFonts w:cs="宋体"/>
          <w:color w:val="auto"/>
        </w:rPr>
      </w:pPr>
      <w:r>
        <w:rPr>
          <w:rFonts w:hint="eastAsia" w:cs="宋体"/>
          <w:color w:val="auto"/>
        </w:rPr>
        <w:t>5、甲方有权查验乙方的职业卫生条件和相应资质证照。</w:t>
      </w:r>
    </w:p>
    <w:p>
      <w:pPr>
        <w:pStyle w:val="14"/>
        <w:spacing w:before="0" w:beforeAutospacing="0" w:after="0" w:afterAutospacing="0" w:line="360" w:lineRule="auto"/>
        <w:ind w:firstLine="360" w:firstLineChars="150"/>
        <w:rPr>
          <w:rFonts w:cs="宋体"/>
          <w:color w:val="auto"/>
        </w:rPr>
      </w:pPr>
      <w:r>
        <w:rPr>
          <w:rFonts w:hint="eastAsia" w:cs="宋体"/>
          <w:color w:val="auto"/>
        </w:rPr>
        <w:t>6、甲方有权责令职业卫生管理不到位、存在重大安全隐患或发生安全事故乙方限期退场，或者解除合同。</w:t>
      </w:r>
    </w:p>
    <w:p>
      <w:pPr>
        <w:pStyle w:val="14"/>
        <w:spacing w:before="0" w:beforeAutospacing="0" w:after="0" w:afterAutospacing="0" w:line="360" w:lineRule="auto"/>
        <w:ind w:firstLine="240" w:firstLineChars="100"/>
        <w:rPr>
          <w:rFonts w:cs="宋体"/>
          <w:color w:val="auto"/>
        </w:rPr>
      </w:pPr>
      <w:r>
        <w:rPr>
          <w:rFonts w:hint="eastAsia" w:cs="宋体"/>
          <w:color w:val="auto"/>
        </w:rPr>
        <w:t>二、乙方的职业卫生管理责任</w:t>
      </w:r>
    </w:p>
    <w:p>
      <w:pPr>
        <w:pStyle w:val="14"/>
        <w:spacing w:before="0" w:beforeAutospacing="0" w:after="0" w:afterAutospacing="0" w:line="360" w:lineRule="auto"/>
        <w:ind w:left="360"/>
        <w:rPr>
          <w:rFonts w:cs="宋体"/>
          <w:color w:val="auto"/>
        </w:rPr>
      </w:pPr>
      <w:r>
        <w:rPr>
          <w:rFonts w:hint="eastAsia" w:cs="宋体"/>
          <w:color w:val="auto"/>
        </w:rPr>
        <w:t>1、乙方应遵守有关职业病防治法律法规、规章规程及甲方依此制订的相关制度规定。</w:t>
      </w:r>
    </w:p>
    <w:p>
      <w:pPr>
        <w:pStyle w:val="14"/>
        <w:spacing w:before="0" w:beforeAutospacing="0" w:after="0" w:afterAutospacing="0" w:line="360" w:lineRule="auto"/>
        <w:ind w:left="360"/>
        <w:rPr>
          <w:rFonts w:cs="宋体"/>
          <w:color w:val="auto"/>
        </w:rPr>
      </w:pPr>
      <w:r>
        <w:rPr>
          <w:rFonts w:hint="eastAsia" w:cs="宋体"/>
          <w:color w:val="auto"/>
        </w:rPr>
        <w:t>2、乙方负责为劳动者提供上岗前、在岗期间、离岗职业病体检，并将体检报告留档备查。有职业禁忌症、疑似职业病或职业病诊断情形者，不得从事有害工作场所作业。</w:t>
      </w:r>
    </w:p>
    <w:p>
      <w:pPr>
        <w:pStyle w:val="14"/>
        <w:spacing w:before="0" w:beforeAutospacing="0" w:after="0" w:afterAutospacing="0" w:line="360" w:lineRule="auto"/>
        <w:ind w:left="360"/>
        <w:rPr>
          <w:rFonts w:cs="宋体"/>
          <w:color w:val="auto"/>
        </w:rPr>
      </w:pPr>
      <w:r>
        <w:rPr>
          <w:rFonts w:hint="eastAsia" w:cs="宋体"/>
          <w:color w:val="auto"/>
        </w:rPr>
        <w:t>4、乙方负责将工作场所职业危害告知劳动者并针对工作场所存在的危害因素种类及防护措施对劳动者实施岗前职业卫生教育培训，培训资料留档备查。</w:t>
      </w:r>
    </w:p>
    <w:p>
      <w:pPr>
        <w:pStyle w:val="14"/>
        <w:spacing w:before="0" w:beforeAutospacing="0" w:after="0" w:afterAutospacing="0" w:line="360" w:lineRule="auto"/>
        <w:ind w:left="360"/>
        <w:rPr>
          <w:rFonts w:cs="宋体"/>
          <w:color w:val="auto"/>
        </w:rPr>
      </w:pPr>
      <w:r>
        <w:rPr>
          <w:rFonts w:hint="eastAsia" w:cs="宋体"/>
          <w:color w:val="auto"/>
        </w:rPr>
        <w:t>5、乙方负责为劳动者提供符合个人防护用品选用规范要求的防护用品，并监督、督促其正确佩戴和使用。</w:t>
      </w:r>
    </w:p>
    <w:p>
      <w:pPr>
        <w:pStyle w:val="14"/>
        <w:spacing w:before="0" w:beforeAutospacing="0" w:after="0" w:afterAutospacing="0" w:line="360" w:lineRule="auto"/>
        <w:ind w:left="360"/>
        <w:rPr>
          <w:rFonts w:cs="宋体"/>
          <w:color w:val="auto"/>
        </w:rPr>
      </w:pPr>
      <w:r>
        <w:rPr>
          <w:rFonts w:hint="eastAsia" w:cs="宋体"/>
          <w:color w:val="auto"/>
        </w:rPr>
        <w:t>6、如发生职业卫生安全事故，乙方应根据事故应急救援预案组织施救，并负责向事故发生地安监部门、行业主管部门和广州市规定的相关政府部门报告，并同时上报甲方代表。</w:t>
      </w:r>
    </w:p>
    <w:p>
      <w:pPr>
        <w:pStyle w:val="14"/>
        <w:spacing w:before="0" w:beforeAutospacing="0" w:after="0" w:afterAutospacing="0" w:line="360" w:lineRule="auto"/>
        <w:ind w:firstLine="480" w:firstLineChars="200"/>
        <w:rPr>
          <w:rFonts w:cs="宋体"/>
          <w:color w:val="auto"/>
        </w:rPr>
      </w:pPr>
      <w:r>
        <w:rPr>
          <w:rFonts w:hint="eastAsia" w:cs="宋体"/>
          <w:color w:val="auto"/>
        </w:rPr>
        <w:t>甲方(盖章)                       乙方(盖章)</w:t>
      </w:r>
    </w:p>
    <w:p>
      <w:pPr>
        <w:pStyle w:val="14"/>
        <w:spacing w:before="0" w:beforeAutospacing="0" w:after="0" w:afterAutospacing="0" w:line="360" w:lineRule="auto"/>
        <w:ind w:firstLine="480" w:firstLineChars="200"/>
        <w:rPr>
          <w:rFonts w:cs="宋体"/>
          <w:color w:val="auto"/>
        </w:rPr>
      </w:pPr>
    </w:p>
    <w:p>
      <w:pPr>
        <w:pStyle w:val="14"/>
        <w:spacing w:before="0" w:beforeAutospacing="0" w:after="0" w:afterAutospacing="0" w:line="360" w:lineRule="auto"/>
        <w:ind w:left="1140" w:leftChars="200" w:hanging="720" w:hangingChars="300"/>
        <w:rPr>
          <w:rFonts w:hint="eastAsia" w:cs="宋体"/>
          <w:color w:val="auto"/>
        </w:rPr>
      </w:pPr>
      <w:r>
        <w:rPr>
          <w:rFonts w:hint="eastAsia" w:cs="宋体"/>
          <w:color w:val="auto"/>
        </w:rPr>
        <w:t xml:space="preserve">甲方代表(签字) ：               乙方代表(签字)：                   </w:t>
      </w:r>
    </w:p>
    <w:p>
      <w:pPr>
        <w:pStyle w:val="14"/>
        <w:spacing w:before="0" w:beforeAutospacing="0" w:after="0" w:afterAutospacing="0" w:line="360" w:lineRule="auto"/>
        <w:ind w:left="1140" w:leftChars="200" w:hanging="720" w:hangingChars="300"/>
        <w:rPr>
          <w:rFonts w:cs="宋体"/>
          <w:color w:val="auto"/>
        </w:rPr>
      </w:pPr>
      <w:r>
        <w:rPr>
          <w:rFonts w:hint="eastAsia" w:cs="宋体"/>
          <w:color w:val="auto"/>
        </w:rPr>
        <w:t xml:space="preserve"> 年   月   日                             年   月   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8"/>
        <w:tabs>
          <w:tab w:val="left" w:pos="1260"/>
        </w:tabs>
        <w:jc w:val="center"/>
        <w:rPr>
          <w:rFonts w:ascii="仿宋_GB2312" w:hAnsi="仿宋_GB2312" w:eastAsia="仿宋_GB2312" w:cs="仿宋_GB2312"/>
          <w:b/>
          <w:kern w:val="0"/>
          <w:sz w:val="28"/>
          <w:szCs w:val="28"/>
        </w:rPr>
      </w:pPr>
    </w:p>
    <w:p>
      <w:pPr>
        <w:pStyle w:val="8"/>
        <w:tabs>
          <w:tab w:val="left" w:pos="1260"/>
        </w:tabs>
        <w:jc w:val="center"/>
        <w:rPr>
          <w:rFonts w:hint="eastAsia"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single"/>
        </w:rPr>
        <w:t xml:space="preserve"> 广州市净水有限公司大沙地分公司一期粗格栅技改项目</w:t>
      </w:r>
    </w:p>
    <w:p>
      <w:pPr>
        <w:pStyle w:val="8"/>
        <w:jc w:val="center"/>
        <w:rPr>
          <w:rFonts w:ascii="仿宋_GB2312" w:hAnsi="仿宋_GB2312" w:eastAsia="仿宋_GB2312" w:cs="仿宋_GB2312"/>
          <w:b/>
          <w:sz w:val="28"/>
          <w:szCs w:val="28"/>
        </w:rPr>
      </w:pPr>
    </w:p>
    <w:p>
      <w:pPr>
        <w:pStyle w:val="8"/>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8"/>
        <w:jc w:val="center"/>
        <w:rPr>
          <w:rFonts w:ascii="仿宋_GB2312" w:hAnsi="仿宋_GB2312" w:eastAsia="仿宋_GB2312" w:cs="仿宋_GB2312"/>
          <w:b/>
          <w:sz w:val="28"/>
          <w:szCs w:val="28"/>
        </w:rPr>
      </w:pPr>
    </w:p>
    <w:p>
      <w:pPr>
        <w:pStyle w:val="8"/>
        <w:jc w:val="center"/>
        <w:rPr>
          <w:rFonts w:ascii="仿宋_GB2312" w:hAnsi="仿宋_GB2312" w:eastAsia="仿宋_GB2312" w:cs="仿宋_GB2312"/>
          <w:b/>
          <w:sz w:val="28"/>
          <w:szCs w:val="28"/>
        </w:rPr>
      </w:pPr>
    </w:p>
    <w:p>
      <w:pPr>
        <w:pStyle w:val="8"/>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7"/>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8"/>
        <w:ind w:firstLine="843" w:firstLineChars="300"/>
        <w:rPr>
          <w:rFonts w:ascii="仿宋_GB2312" w:hAnsi="仿宋_GB2312" w:eastAsia="仿宋_GB2312" w:cs="仿宋_GB2312"/>
          <w:b/>
          <w:sz w:val="28"/>
          <w:szCs w:val="28"/>
        </w:rPr>
      </w:pPr>
    </w:p>
    <w:p>
      <w:pPr>
        <w:pStyle w:val="8"/>
        <w:ind w:firstLine="843" w:firstLineChars="300"/>
        <w:rPr>
          <w:rFonts w:ascii="仿宋_GB2312" w:hAnsi="仿宋_GB2312" w:eastAsia="仿宋_GB2312" w:cs="仿宋_GB2312"/>
          <w:b/>
          <w:sz w:val="28"/>
          <w:szCs w:val="28"/>
        </w:rPr>
      </w:pPr>
    </w:p>
    <w:p>
      <w:pPr>
        <w:pStyle w:val="8"/>
        <w:ind w:firstLine="843" w:firstLineChars="300"/>
        <w:rPr>
          <w:rFonts w:ascii="仿宋_GB2312" w:hAnsi="仿宋_GB2312" w:eastAsia="仿宋_GB2312" w:cs="仿宋_GB2312"/>
          <w:b/>
          <w:sz w:val="28"/>
          <w:szCs w:val="28"/>
        </w:rPr>
      </w:pPr>
    </w:p>
    <w:p>
      <w:pPr>
        <w:pStyle w:val="8"/>
        <w:ind w:firstLine="843" w:firstLineChars="300"/>
        <w:rPr>
          <w:rFonts w:ascii="仿宋_GB2312" w:hAnsi="仿宋_GB2312" w:eastAsia="仿宋_GB2312" w:cs="仿宋_GB2312"/>
          <w:b/>
          <w:sz w:val="28"/>
          <w:szCs w:val="28"/>
        </w:rPr>
      </w:pPr>
    </w:p>
    <w:p>
      <w:pPr>
        <w:pStyle w:val="8"/>
        <w:ind w:firstLine="843" w:firstLineChars="300"/>
        <w:rPr>
          <w:rFonts w:ascii="仿宋_GB2312" w:hAnsi="仿宋_GB2312" w:eastAsia="仿宋_GB2312" w:cs="仿宋_GB2312"/>
          <w:b/>
          <w:sz w:val="28"/>
          <w:szCs w:val="28"/>
        </w:rPr>
      </w:pPr>
    </w:p>
    <w:p>
      <w:pPr>
        <w:pStyle w:val="8"/>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_x0000_s1026" o:spid="_x0000_s1026" o:spt="176" type="#_x0000_t176" style="position:absolute;left:0pt;margin-left:127.5pt;margin-top:1.6pt;height:124.75pt;width:183.75pt;z-index:25166233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Wcr9rXAAAACQEAAA8AAAAAAAAAAQAgAAAAIgAAAGRycy9kb3ducmV2LnhtbFBLAQIU&#10;ABQAAAAIAIdO4kDi/nFOLQIAAF4EAAAOAAAAAAAAAAEAIAAAACY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_x0000_s1026" o:spid="_x0000_s1026" o:spt="176" type="#_x0000_t176" style="position:absolute;left:0pt;margin-left:126pt;margin-top:3.8pt;height:124.75pt;width:183.75pt;z-index:251664384;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2yb8rXAAAACQEAAA8AAAAAAAAAAQAgAAAAIgAAAGRycy9kb3ducmV2LnhtbFBLAQIU&#10;ABQAAAAIAIdO4kBRv+vfLQIAAF4EAAAOAAAAAAAAAAEAIAAAACY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autoSpaceDE/>
        <w:autoSpaceDN/>
        <w:adjustRightInd/>
        <w:spacing w:line="480" w:lineRule="exact"/>
        <w:ind w:left="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证明材料</w:t>
      </w:r>
      <w:r>
        <w:rPr>
          <w:rFonts w:hint="eastAsia" w:ascii="仿宋_GB2312" w:hAnsi="仿宋_GB2312" w:eastAsia="仿宋_GB2312" w:cs="仿宋_GB2312"/>
          <w:sz w:val="28"/>
          <w:szCs w:val="28"/>
        </w:rPr>
        <w:t xml:space="preserve">是准确的和真实的。 </w:t>
      </w:r>
    </w:p>
    <w:p>
      <w:pPr>
        <w:spacing w:line="4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3"/>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1"/>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1"/>
        <w:ind w:firstLine="496"/>
        <w:rPr>
          <w:rFonts w:ascii="仿宋_GB2312" w:hAnsi="仿宋_GB2312" w:eastAsia="仿宋_GB2312" w:cs="仿宋_GB2312"/>
        </w:rPr>
      </w:pPr>
    </w:p>
    <w:p>
      <w:pPr>
        <w:pStyle w:val="21"/>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1"/>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21"/>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val="0"/>
        <w:snapToGrid w:val="0"/>
        <w:spacing w:line="300" w:lineRule="auto"/>
        <w:rPr>
          <w:rFonts w:hint="eastAsia" w:ascii="仿宋_GB2312" w:hAnsi="仿宋_GB2312" w:eastAsia="仿宋_GB2312" w:cs="仿宋_GB2312"/>
          <w:sz w:val="28"/>
          <w:szCs w:val="28"/>
          <w:lang w:val="en-US" w:eastAsia="zh-CN"/>
        </w:rPr>
      </w:pPr>
    </w:p>
    <w:p>
      <w:pPr>
        <w:adjustRightInd/>
        <w:snapToGrid/>
        <w:spacing w:line="240" w:lineRule="auto"/>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 工程量清单</w:t>
      </w:r>
    </w:p>
    <w:p>
      <w:pPr>
        <w:jc w:val="center"/>
        <w:rPr>
          <w:b/>
          <w:sz w:val="44"/>
          <w:szCs w:val="44"/>
        </w:rPr>
      </w:pPr>
      <w:r>
        <w:rPr>
          <w:rFonts w:hint="eastAsia"/>
          <w:b/>
          <w:sz w:val="44"/>
          <w:szCs w:val="44"/>
        </w:rPr>
        <w:t>工程量清单</w:t>
      </w:r>
    </w:p>
    <w:tbl>
      <w:tblPr>
        <w:tblStyle w:val="15"/>
        <w:tblW w:w="5309" w:type="pct"/>
        <w:tblInd w:w="0" w:type="dxa"/>
        <w:tblLayout w:type="autofit"/>
        <w:tblCellMar>
          <w:top w:w="0" w:type="dxa"/>
          <w:left w:w="0" w:type="dxa"/>
          <w:bottom w:w="0" w:type="dxa"/>
          <w:right w:w="0" w:type="dxa"/>
        </w:tblCellMar>
      </w:tblPr>
      <w:tblGrid>
        <w:gridCol w:w="784"/>
        <w:gridCol w:w="2347"/>
        <w:gridCol w:w="3159"/>
        <w:gridCol w:w="971"/>
        <w:gridCol w:w="740"/>
        <w:gridCol w:w="224"/>
        <w:gridCol w:w="247"/>
        <w:gridCol w:w="1014"/>
        <w:gridCol w:w="901"/>
      </w:tblGrid>
      <w:tr>
        <w:tblPrEx>
          <w:tblCellMar>
            <w:top w:w="0" w:type="dxa"/>
            <w:left w:w="0" w:type="dxa"/>
            <w:bottom w:w="0" w:type="dxa"/>
            <w:right w:w="0" w:type="dxa"/>
          </w:tblCellMar>
        </w:tblPrEx>
        <w:trPr>
          <w:trHeight w:val="570" w:hRule="atLeast"/>
        </w:trPr>
        <w:tc>
          <w:tcPr>
            <w:tcW w:w="3849" w:type="pct"/>
            <w:gridSpan w:val="5"/>
            <w:tcBorders>
              <w:top w:val="nil"/>
              <w:left w:val="nil"/>
              <w:bottom w:val="nil"/>
              <w:right w:val="nil"/>
            </w:tcBorders>
            <w:shd w:val="clear" w:color="FFFFFF" w:fill="FFFFFF"/>
            <w:tcMar>
              <w:top w:w="15" w:type="dxa"/>
              <w:left w:w="15" w:type="dxa"/>
              <w:right w:w="15" w:type="dxa"/>
            </w:tcMar>
            <w:vAlign w:val="bottom"/>
          </w:tcPr>
          <w:p>
            <w:pPr>
              <w:widowControl/>
              <w:jc w:val="left"/>
              <w:textAlignment w:val="bottom"/>
              <w:rPr>
                <w:rFonts w:ascii="宋体" w:hAnsi="宋体" w:cs="宋体"/>
                <w:color w:val="000000"/>
                <w:sz w:val="20"/>
              </w:rPr>
            </w:pPr>
            <w:r>
              <w:rPr>
                <w:rFonts w:hint="eastAsia" w:ascii="宋体" w:hAnsi="宋体" w:cs="宋体"/>
                <w:color w:val="000000"/>
                <w:kern w:val="0"/>
                <w:sz w:val="20"/>
              </w:rPr>
              <w:t>工程名称：大沙地分公司一期粗格栅技改项目</w:t>
            </w:r>
          </w:p>
        </w:tc>
        <w:tc>
          <w:tcPr>
            <w:tcW w:w="108" w:type="pct"/>
            <w:tcBorders>
              <w:top w:val="nil"/>
              <w:left w:val="nil"/>
              <w:bottom w:val="nil"/>
              <w:right w:val="nil"/>
            </w:tcBorders>
            <w:shd w:val="clear" w:color="FFFFFF" w:fill="FFFFFF"/>
            <w:tcMar>
              <w:top w:w="15" w:type="dxa"/>
              <w:left w:w="15" w:type="dxa"/>
              <w:right w:w="15" w:type="dxa"/>
            </w:tcMar>
            <w:vAlign w:val="bottom"/>
          </w:tcPr>
          <w:p>
            <w:pPr>
              <w:jc w:val="center"/>
              <w:rPr>
                <w:rFonts w:ascii="宋体" w:hAnsi="宋体" w:cs="宋体"/>
                <w:color w:val="000000"/>
                <w:sz w:val="20"/>
              </w:rPr>
            </w:pPr>
          </w:p>
        </w:tc>
        <w:tc>
          <w:tcPr>
            <w:tcW w:w="119" w:type="pct"/>
            <w:tcBorders>
              <w:top w:val="nil"/>
              <w:left w:val="nil"/>
              <w:bottom w:val="nil"/>
              <w:right w:val="nil"/>
            </w:tcBorders>
            <w:shd w:val="clear" w:color="FFFFFF" w:fill="FFFFFF"/>
            <w:tcMar>
              <w:top w:w="15" w:type="dxa"/>
              <w:left w:w="15" w:type="dxa"/>
              <w:right w:w="15" w:type="dxa"/>
            </w:tcMar>
            <w:vAlign w:val="bottom"/>
          </w:tcPr>
          <w:p>
            <w:pPr>
              <w:jc w:val="right"/>
              <w:rPr>
                <w:rFonts w:ascii="宋体" w:hAnsi="宋体" w:cs="宋体"/>
                <w:color w:val="000000"/>
                <w:sz w:val="20"/>
              </w:rPr>
            </w:pPr>
          </w:p>
        </w:tc>
        <w:tc>
          <w:tcPr>
            <w:tcW w:w="488" w:type="pct"/>
            <w:tcBorders>
              <w:top w:val="nil"/>
              <w:left w:val="nil"/>
              <w:bottom w:val="nil"/>
              <w:right w:val="nil"/>
            </w:tcBorders>
            <w:shd w:val="clear" w:color="FFFFFF" w:fill="FFFFFF"/>
            <w:tcMar>
              <w:top w:w="15" w:type="dxa"/>
              <w:left w:w="15" w:type="dxa"/>
              <w:right w:w="15" w:type="dxa"/>
            </w:tcMar>
            <w:vAlign w:val="bottom"/>
          </w:tcPr>
          <w:p>
            <w:pPr>
              <w:jc w:val="right"/>
              <w:rPr>
                <w:rFonts w:ascii="宋体" w:hAnsi="宋体" w:cs="宋体"/>
                <w:color w:val="000000"/>
                <w:sz w:val="20"/>
              </w:rPr>
            </w:pPr>
          </w:p>
        </w:tc>
        <w:tc>
          <w:tcPr>
            <w:tcW w:w="433" w:type="pct"/>
            <w:tcBorders>
              <w:top w:val="nil"/>
              <w:left w:val="nil"/>
              <w:bottom w:val="nil"/>
              <w:right w:val="nil"/>
            </w:tcBorders>
            <w:shd w:val="clear" w:color="FFFFFF" w:fill="FFFFFF"/>
            <w:tcMar>
              <w:top w:w="15" w:type="dxa"/>
              <w:left w:w="15" w:type="dxa"/>
              <w:right w:w="15" w:type="dxa"/>
            </w:tcMar>
            <w:vAlign w:val="bottom"/>
          </w:tcPr>
          <w:p>
            <w:pPr>
              <w:jc w:val="right"/>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37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序号</w:t>
            </w:r>
          </w:p>
        </w:tc>
        <w:tc>
          <w:tcPr>
            <w:tcW w:w="112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项目名称</w:t>
            </w:r>
          </w:p>
        </w:tc>
        <w:tc>
          <w:tcPr>
            <w:tcW w:w="152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项目特征描述</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单位</w:t>
            </w:r>
          </w:p>
        </w:tc>
        <w:tc>
          <w:tcPr>
            <w:tcW w:w="582"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工程数量</w:t>
            </w:r>
          </w:p>
        </w:tc>
        <w:tc>
          <w:tcPr>
            <w:tcW w:w="48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综合单价</w:t>
            </w:r>
          </w:p>
        </w:tc>
        <w:tc>
          <w:tcPr>
            <w:tcW w:w="43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综合总价</w:t>
            </w:r>
          </w:p>
        </w:tc>
      </w:tr>
      <w:tr>
        <w:tblPrEx>
          <w:tblCellMar>
            <w:top w:w="0" w:type="dxa"/>
            <w:left w:w="0" w:type="dxa"/>
            <w:bottom w:w="0" w:type="dxa"/>
            <w:right w:w="0" w:type="dxa"/>
          </w:tblCellMar>
        </w:tblPrEx>
        <w:trPr>
          <w:trHeight w:val="36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护栏拆除、安装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1.护栏拆除、安装</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除臭罩拆除、安装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1.除臭罩拆除、安装</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套</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井口盖板移动及恢复</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1.井口盖板移动及恢复</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粗格栅更换</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1.粗格栅拆除、安装，格栅宽度2m（地下室内施工，人工费增加30%）</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套</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启闭机拆除、安装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1.启闭机拆除、安装</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电力电缆头拆除、安装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1.电力电缆头拆除、安装</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限位开关电缆头拆除、安装</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1.限位开关电缆头拆除、安装</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84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1129"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送配电装置系统调试</w:t>
            </w:r>
          </w:p>
        </w:tc>
        <w:tc>
          <w:tcPr>
            <w:tcW w:w="1520"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1、减速机、限位开关、程序系统送配电装置系统调试</w:t>
            </w:r>
          </w:p>
        </w:tc>
        <w:tc>
          <w:tcPr>
            <w:tcW w:w="467"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系统</w:t>
            </w:r>
          </w:p>
        </w:tc>
        <w:tc>
          <w:tcPr>
            <w:tcW w:w="582" w:type="pct"/>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其他措施费</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龙门架与10吨手动葫芦辅助格栅拆除、安装搭</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次</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鼓风机</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污水泵</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气体检测仪</w:t>
            </w:r>
          </w:p>
        </w:tc>
        <w:tc>
          <w:tcPr>
            <w:tcW w:w="15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记录员记录及现场监护人</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工日</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汽车式起重机</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汽车式起重机</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台班</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高层施工增加</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脚手架搭拆费</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wBefore w:w="0" w:type="auto"/>
          <w:wAfter w:w="0" w:type="auto"/>
          <w:trHeight w:val="500" w:hRule="atLeast"/>
        </w:trPr>
        <w:tc>
          <w:tcPr>
            <w:tcW w:w="37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11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综合钢脚手架搭拆 高度(m以内) 12.5</w:t>
            </w:r>
          </w:p>
        </w:tc>
        <w:tc>
          <w:tcPr>
            <w:tcW w:w="1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 w:hAnsi="??" w:eastAsia="??" w:cs="??"/>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100m2</w:t>
            </w:r>
          </w:p>
        </w:tc>
        <w:tc>
          <w:tcPr>
            <w:tcW w:w="58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r>
        <w:tblPrEx>
          <w:tblCellMar>
            <w:top w:w="0" w:type="dxa"/>
            <w:left w:w="0" w:type="dxa"/>
            <w:bottom w:w="0" w:type="dxa"/>
            <w:right w:w="0" w:type="dxa"/>
          </w:tblCellMar>
        </w:tblPrEx>
        <w:trPr>
          <w:trHeight w:val="500" w:hRule="atLeast"/>
        </w:trPr>
        <w:tc>
          <w:tcPr>
            <w:tcW w:w="377"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cs="宋体"/>
                <w:color w:val="000000"/>
                <w:kern w:val="0"/>
                <w:sz w:val="20"/>
                <w:lang w:val="en-US" w:eastAsia="zh-CN"/>
              </w:rPr>
              <w:t>合计</w:t>
            </w:r>
          </w:p>
        </w:tc>
        <w:tc>
          <w:tcPr>
            <w:tcW w:w="264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default" w:ascii="??" w:hAnsi="??" w:eastAsia="宋体" w:cs="??"/>
                <w:color w:val="000000"/>
                <w:sz w:val="18"/>
                <w:szCs w:val="18"/>
                <w:lang w:val="en-US" w:eastAsia="zh-CN"/>
              </w:rPr>
            </w:pPr>
            <w:r>
              <w:rPr>
                <w:rFonts w:hint="eastAsia" w:ascii="??" w:hAnsi="??" w:eastAsia="宋体" w:cs="??"/>
                <w:color w:val="000000"/>
                <w:sz w:val="18"/>
                <w:szCs w:val="18"/>
                <w:lang w:val="en-US" w:eastAsia="zh-CN"/>
              </w:rPr>
              <w:t>含税</w:t>
            </w:r>
            <w:r>
              <w:rPr>
                <w:rFonts w:hint="eastAsia" w:ascii="??" w:hAnsi="??" w:eastAsia="宋体" w:cs="??"/>
                <w:color w:val="000000"/>
                <w:sz w:val="18"/>
                <w:szCs w:val="18"/>
                <w:u w:val="single"/>
                <w:lang w:val="en-US" w:eastAsia="zh-CN"/>
              </w:rPr>
              <w:t xml:space="preserve">  </w:t>
            </w:r>
            <w:r>
              <w:rPr>
                <w:rFonts w:hint="eastAsia" w:ascii="??" w:hAnsi="??" w:eastAsia="宋体" w:cs="??"/>
                <w:color w:val="000000"/>
                <w:sz w:val="18"/>
                <w:szCs w:val="18"/>
                <w:lang w:val="en-US" w:eastAsia="zh-CN"/>
              </w:rPr>
              <w:t>%</w:t>
            </w:r>
          </w:p>
        </w:tc>
        <w:tc>
          <w:tcPr>
            <w:tcW w:w="46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582"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8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c>
          <w:tcPr>
            <w:tcW w:w="43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rPr>
            </w:pPr>
          </w:p>
        </w:tc>
      </w:tr>
    </w:tbl>
    <w:p>
      <w:pPr>
        <w:adjustRightInd w:val="0"/>
        <w:snapToGrid w:val="0"/>
        <w:spacing w:line="300" w:lineRule="auto"/>
        <w:rPr>
          <w:rFonts w:hint="eastAsia" w:ascii="仿宋_GB2312" w:hAnsi="仿宋_GB2312" w:eastAsia="仿宋_GB2312" w:cs="仿宋_GB2312"/>
          <w:sz w:val="28"/>
          <w:szCs w:val="28"/>
          <w:lang w:val="en-US" w:eastAsia="zh-CN"/>
        </w:rPr>
      </w:pPr>
    </w:p>
    <w:p>
      <w:pPr>
        <w:adjustRightInd/>
        <w:snapToGrid/>
        <w:spacing w:line="240" w:lineRule="auto"/>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 本项目单位、人员相关证明材料</w:t>
      </w:r>
    </w:p>
    <w:p>
      <w:pPr>
        <w:adjustRightInd/>
        <w:snapToGrid/>
        <w:spacing w:line="240" w:lineRule="auto"/>
        <w:jc w:val="center"/>
        <w:rPr>
          <w:rFonts w:hint="eastAsia" w:ascii="仿宋_GB2312" w:hAnsi="仿宋_GB2312" w:eastAsia="仿宋_GB2312" w:cs="仿宋_GB2312"/>
          <w:b/>
          <w:sz w:val="28"/>
          <w:szCs w:val="28"/>
          <w:lang w:val="en-US" w:eastAsia="zh-CN"/>
        </w:rPr>
      </w:pPr>
    </w:p>
    <w:p>
      <w:pPr>
        <w:adjustRightInd/>
        <w:snapToGrid/>
        <w:spacing w:line="240" w:lineRule="auto"/>
        <w:jc w:val="center"/>
      </w:pPr>
      <w:r>
        <w:rPr>
          <w:rFonts w:hint="eastAsia" w:ascii="仿宋_GB2312" w:hAnsi="仿宋_GB2312" w:eastAsia="仿宋_GB2312" w:cs="仿宋_GB2312"/>
          <w:b/>
          <w:sz w:val="28"/>
          <w:szCs w:val="28"/>
          <w:lang w:val="en-US" w:eastAsia="zh-CN"/>
        </w:rPr>
        <w:t xml:space="preserve">6 </w:t>
      </w:r>
      <w:r>
        <w:rPr>
          <w:rFonts w:hint="eastAsia" w:ascii="仿宋_GB2312" w:hAnsi="仿宋_GB2312" w:eastAsia="仿宋_GB2312" w:cs="仿宋_GB2312"/>
          <w:b/>
          <w:sz w:val="28"/>
          <w:szCs w:val="28"/>
        </w:rPr>
        <w:t>现场踏勘委派书</w:t>
      </w:r>
      <w:bookmarkEnd w:id="0"/>
      <w:bookmarkEnd w:id="1"/>
      <w:bookmarkEnd w:id="2"/>
      <w:bookmarkEnd w:id="3"/>
      <w:bookmarkEnd w:id="4"/>
      <w:bookmarkEnd w:id="5"/>
    </w:p>
    <w:sectPr>
      <w:headerReference r:id="rId11" w:type="default"/>
      <w:footerReference r:id="rId12" w:type="default"/>
      <w:pgSz w:w="11907" w:h="16840"/>
      <w:pgMar w:top="567" w:right="1021" w:bottom="777" w:left="1134" w:header="737" w:footer="454"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46</w: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47</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EA0343"/>
    <w:multiLevelType w:val="singleLevel"/>
    <w:tmpl w:val="30EA0343"/>
    <w:lvl w:ilvl="0" w:tentative="0">
      <w:start w:val="1"/>
      <w:numFmt w:val="decimal"/>
      <w:lvlText w:val="%1."/>
      <w:lvlJc w:val="left"/>
      <w:pPr>
        <w:tabs>
          <w:tab w:val="left" w:pos="312"/>
        </w:tabs>
      </w:pPr>
    </w:lvl>
  </w:abstractNum>
  <w:abstractNum w:abstractNumId="3">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563FA"/>
    <w:rsid w:val="000755EB"/>
    <w:rsid w:val="000E18AB"/>
    <w:rsid w:val="000F4476"/>
    <w:rsid w:val="001033F4"/>
    <w:rsid w:val="00113C90"/>
    <w:rsid w:val="001573AC"/>
    <w:rsid w:val="00167BB6"/>
    <w:rsid w:val="00170F56"/>
    <w:rsid w:val="00172A27"/>
    <w:rsid w:val="0018657F"/>
    <w:rsid w:val="001972A5"/>
    <w:rsid w:val="00213AE2"/>
    <w:rsid w:val="0022260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0697E"/>
    <w:rsid w:val="00410FFE"/>
    <w:rsid w:val="00414C19"/>
    <w:rsid w:val="004E7CF2"/>
    <w:rsid w:val="00520A3B"/>
    <w:rsid w:val="005255BD"/>
    <w:rsid w:val="00527E41"/>
    <w:rsid w:val="00592274"/>
    <w:rsid w:val="005B127B"/>
    <w:rsid w:val="005C0D4B"/>
    <w:rsid w:val="005E0A68"/>
    <w:rsid w:val="005E2C03"/>
    <w:rsid w:val="005F3B1A"/>
    <w:rsid w:val="005F5E2D"/>
    <w:rsid w:val="00611396"/>
    <w:rsid w:val="00621CAD"/>
    <w:rsid w:val="00663714"/>
    <w:rsid w:val="006A4BAF"/>
    <w:rsid w:val="006B062A"/>
    <w:rsid w:val="006B5BEE"/>
    <w:rsid w:val="00754D07"/>
    <w:rsid w:val="00755775"/>
    <w:rsid w:val="00760BA5"/>
    <w:rsid w:val="007A691D"/>
    <w:rsid w:val="007B4EC7"/>
    <w:rsid w:val="007F6D27"/>
    <w:rsid w:val="00855717"/>
    <w:rsid w:val="00870CE2"/>
    <w:rsid w:val="0087285C"/>
    <w:rsid w:val="008B642B"/>
    <w:rsid w:val="008D0175"/>
    <w:rsid w:val="008F55E6"/>
    <w:rsid w:val="008F7374"/>
    <w:rsid w:val="0090201C"/>
    <w:rsid w:val="00951057"/>
    <w:rsid w:val="009529B1"/>
    <w:rsid w:val="00964E4F"/>
    <w:rsid w:val="00982CDA"/>
    <w:rsid w:val="009D0A4A"/>
    <w:rsid w:val="009E7E94"/>
    <w:rsid w:val="00A51E44"/>
    <w:rsid w:val="00A648D7"/>
    <w:rsid w:val="00A8461C"/>
    <w:rsid w:val="00AE0316"/>
    <w:rsid w:val="00B52256"/>
    <w:rsid w:val="00B857E9"/>
    <w:rsid w:val="00BD3A21"/>
    <w:rsid w:val="00BE7BA7"/>
    <w:rsid w:val="00BF7E39"/>
    <w:rsid w:val="00CF4C91"/>
    <w:rsid w:val="00CF7EFD"/>
    <w:rsid w:val="00D4562B"/>
    <w:rsid w:val="00D465F0"/>
    <w:rsid w:val="00D62E29"/>
    <w:rsid w:val="00D911C8"/>
    <w:rsid w:val="00DE1E3F"/>
    <w:rsid w:val="00E11164"/>
    <w:rsid w:val="00E25222"/>
    <w:rsid w:val="00E253BE"/>
    <w:rsid w:val="00E44886"/>
    <w:rsid w:val="00E62F88"/>
    <w:rsid w:val="00E8657E"/>
    <w:rsid w:val="00E97087"/>
    <w:rsid w:val="00EA1CE3"/>
    <w:rsid w:val="00EB3419"/>
    <w:rsid w:val="00F20965"/>
    <w:rsid w:val="00F3648A"/>
    <w:rsid w:val="00F368B2"/>
    <w:rsid w:val="00F44B81"/>
    <w:rsid w:val="00F52DE0"/>
    <w:rsid w:val="00FB4623"/>
    <w:rsid w:val="00FE6BC6"/>
    <w:rsid w:val="01C95D5C"/>
    <w:rsid w:val="026D72B2"/>
    <w:rsid w:val="027A5F7E"/>
    <w:rsid w:val="028D2BCD"/>
    <w:rsid w:val="031E2BA5"/>
    <w:rsid w:val="03366955"/>
    <w:rsid w:val="039145EA"/>
    <w:rsid w:val="03E46974"/>
    <w:rsid w:val="03F97C93"/>
    <w:rsid w:val="047E03EB"/>
    <w:rsid w:val="05087E50"/>
    <w:rsid w:val="05105099"/>
    <w:rsid w:val="064C5937"/>
    <w:rsid w:val="06D12D93"/>
    <w:rsid w:val="06F253F2"/>
    <w:rsid w:val="074932B5"/>
    <w:rsid w:val="07DF75F9"/>
    <w:rsid w:val="0903312C"/>
    <w:rsid w:val="09036FEC"/>
    <w:rsid w:val="093D5CE8"/>
    <w:rsid w:val="0953488A"/>
    <w:rsid w:val="09B207F9"/>
    <w:rsid w:val="0AB240DE"/>
    <w:rsid w:val="0B021542"/>
    <w:rsid w:val="0B856175"/>
    <w:rsid w:val="0BED09F6"/>
    <w:rsid w:val="0C567B5F"/>
    <w:rsid w:val="0C864131"/>
    <w:rsid w:val="0D1D465B"/>
    <w:rsid w:val="0E1C5C2D"/>
    <w:rsid w:val="0E42173F"/>
    <w:rsid w:val="0E42287A"/>
    <w:rsid w:val="0E6E15A9"/>
    <w:rsid w:val="0E871FE6"/>
    <w:rsid w:val="0EB42EFB"/>
    <w:rsid w:val="0F2A77EA"/>
    <w:rsid w:val="0F6F2A5A"/>
    <w:rsid w:val="0F8D020F"/>
    <w:rsid w:val="0F99435D"/>
    <w:rsid w:val="0FDF5E8D"/>
    <w:rsid w:val="107170EA"/>
    <w:rsid w:val="10C703F1"/>
    <w:rsid w:val="10CC50F1"/>
    <w:rsid w:val="11A021F8"/>
    <w:rsid w:val="11F83771"/>
    <w:rsid w:val="12190D59"/>
    <w:rsid w:val="126A354D"/>
    <w:rsid w:val="127B38B7"/>
    <w:rsid w:val="12A44C80"/>
    <w:rsid w:val="12B32700"/>
    <w:rsid w:val="133B489F"/>
    <w:rsid w:val="138F7780"/>
    <w:rsid w:val="13CB1138"/>
    <w:rsid w:val="1457366A"/>
    <w:rsid w:val="14E57AA8"/>
    <w:rsid w:val="156E33B1"/>
    <w:rsid w:val="16085B10"/>
    <w:rsid w:val="160B6F1A"/>
    <w:rsid w:val="160F269A"/>
    <w:rsid w:val="1665668F"/>
    <w:rsid w:val="16732FEB"/>
    <w:rsid w:val="169B4E08"/>
    <w:rsid w:val="176E7480"/>
    <w:rsid w:val="183D518D"/>
    <w:rsid w:val="187F72BD"/>
    <w:rsid w:val="188A37FF"/>
    <w:rsid w:val="189249C1"/>
    <w:rsid w:val="18A12CF5"/>
    <w:rsid w:val="18A93985"/>
    <w:rsid w:val="194C5F03"/>
    <w:rsid w:val="19705A43"/>
    <w:rsid w:val="19BF3A72"/>
    <w:rsid w:val="1A7B222B"/>
    <w:rsid w:val="1A7E1B2D"/>
    <w:rsid w:val="1B1A3F27"/>
    <w:rsid w:val="1B4656AC"/>
    <w:rsid w:val="1B4A13AB"/>
    <w:rsid w:val="1B686F47"/>
    <w:rsid w:val="1C2A7CCE"/>
    <w:rsid w:val="1C3133F7"/>
    <w:rsid w:val="1C364B4D"/>
    <w:rsid w:val="1E5828D6"/>
    <w:rsid w:val="1E8A1A2E"/>
    <w:rsid w:val="1EAB5F63"/>
    <w:rsid w:val="1F516372"/>
    <w:rsid w:val="1FD430C8"/>
    <w:rsid w:val="2034796A"/>
    <w:rsid w:val="20E33285"/>
    <w:rsid w:val="20F22B3B"/>
    <w:rsid w:val="21616E99"/>
    <w:rsid w:val="219A569B"/>
    <w:rsid w:val="22551E62"/>
    <w:rsid w:val="22554604"/>
    <w:rsid w:val="22E970BD"/>
    <w:rsid w:val="22F83CF0"/>
    <w:rsid w:val="230D1610"/>
    <w:rsid w:val="233E2B4B"/>
    <w:rsid w:val="23A52A88"/>
    <w:rsid w:val="24121125"/>
    <w:rsid w:val="249E6AF2"/>
    <w:rsid w:val="24CB148A"/>
    <w:rsid w:val="24E63459"/>
    <w:rsid w:val="250B3654"/>
    <w:rsid w:val="26105858"/>
    <w:rsid w:val="269221D6"/>
    <w:rsid w:val="269C0568"/>
    <w:rsid w:val="26AE4F35"/>
    <w:rsid w:val="272712E9"/>
    <w:rsid w:val="27563635"/>
    <w:rsid w:val="27567996"/>
    <w:rsid w:val="279416F5"/>
    <w:rsid w:val="27B45138"/>
    <w:rsid w:val="28511FD7"/>
    <w:rsid w:val="297901AA"/>
    <w:rsid w:val="299E5E4C"/>
    <w:rsid w:val="29FE2599"/>
    <w:rsid w:val="2A1F7FEF"/>
    <w:rsid w:val="2B52084C"/>
    <w:rsid w:val="2BB36041"/>
    <w:rsid w:val="2BCA23E3"/>
    <w:rsid w:val="2CA230C3"/>
    <w:rsid w:val="2CF055C9"/>
    <w:rsid w:val="2D6119E0"/>
    <w:rsid w:val="2D6B0F14"/>
    <w:rsid w:val="2D6E4A8C"/>
    <w:rsid w:val="2D731141"/>
    <w:rsid w:val="2E455EA8"/>
    <w:rsid w:val="2E604732"/>
    <w:rsid w:val="2E824699"/>
    <w:rsid w:val="2EC64439"/>
    <w:rsid w:val="2EFD41DD"/>
    <w:rsid w:val="2F3D404D"/>
    <w:rsid w:val="2FC956EC"/>
    <w:rsid w:val="2FDA6411"/>
    <w:rsid w:val="308974AE"/>
    <w:rsid w:val="30CA0185"/>
    <w:rsid w:val="30CC543D"/>
    <w:rsid w:val="316E0789"/>
    <w:rsid w:val="31A553F3"/>
    <w:rsid w:val="31A95373"/>
    <w:rsid w:val="32071292"/>
    <w:rsid w:val="325B51AB"/>
    <w:rsid w:val="32BA4F39"/>
    <w:rsid w:val="32C72E66"/>
    <w:rsid w:val="33766BFC"/>
    <w:rsid w:val="33DF49C4"/>
    <w:rsid w:val="34C76A9E"/>
    <w:rsid w:val="352765C3"/>
    <w:rsid w:val="37152C21"/>
    <w:rsid w:val="37490ACF"/>
    <w:rsid w:val="37CC2C4A"/>
    <w:rsid w:val="383E7601"/>
    <w:rsid w:val="392F3EDF"/>
    <w:rsid w:val="39463FF2"/>
    <w:rsid w:val="3952199A"/>
    <w:rsid w:val="39704948"/>
    <w:rsid w:val="397B67AA"/>
    <w:rsid w:val="399246DF"/>
    <w:rsid w:val="39B543D9"/>
    <w:rsid w:val="39CB19BE"/>
    <w:rsid w:val="39DD52FC"/>
    <w:rsid w:val="39EC5A6E"/>
    <w:rsid w:val="3AD305BE"/>
    <w:rsid w:val="3AF37754"/>
    <w:rsid w:val="3B484C6B"/>
    <w:rsid w:val="3B8E0546"/>
    <w:rsid w:val="3CA44430"/>
    <w:rsid w:val="3D3B2862"/>
    <w:rsid w:val="3E094D90"/>
    <w:rsid w:val="3E3402C7"/>
    <w:rsid w:val="3E6904F3"/>
    <w:rsid w:val="3E871696"/>
    <w:rsid w:val="3F34383F"/>
    <w:rsid w:val="413E2384"/>
    <w:rsid w:val="415E1BCB"/>
    <w:rsid w:val="41B33875"/>
    <w:rsid w:val="425262AA"/>
    <w:rsid w:val="42F243A6"/>
    <w:rsid w:val="42FD0DB5"/>
    <w:rsid w:val="43714570"/>
    <w:rsid w:val="43A36D24"/>
    <w:rsid w:val="43B70100"/>
    <w:rsid w:val="43D40E0A"/>
    <w:rsid w:val="447D031F"/>
    <w:rsid w:val="44C2005E"/>
    <w:rsid w:val="44F43918"/>
    <w:rsid w:val="45C42302"/>
    <w:rsid w:val="46F021FA"/>
    <w:rsid w:val="46F6477A"/>
    <w:rsid w:val="472D4499"/>
    <w:rsid w:val="47BA13F7"/>
    <w:rsid w:val="482249DB"/>
    <w:rsid w:val="489719BE"/>
    <w:rsid w:val="48972F45"/>
    <w:rsid w:val="48B664E9"/>
    <w:rsid w:val="48DF209C"/>
    <w:rsid w:val="49242A94"/>
    <w:rsid w:val="494A0758"/>
    <w:rsid w:val="49A10D62"/>
    <w:rsid w:val="4A0465FC"/>
    <w:rsid w:val="4B134819"/>
    <w:rsid w:val="4B3B2888"/>
    <w:rsid w:val="4BE91217"/>
    <w:rsid w:val="4CF67A34"/>
    <w:rsid w:val="4CFF6CAE"/>
    <w:rsid w:val="4DB53509"/>
    <w:rsid w:val="4DBD1546"/>
    <w:rsid w:val="4DF57B76"/>
    <w:rsid w:val="4E0C3F18"/>
    <w:rsid w:val="4E3605DF"/>
    <w:rsid w:val="4E9D08DA"/>
    <w:rsid w:val="4EE16063"/>
    <w:rsid w:val="4EF41616"/>
    <w:rsid w:val="4F064CFC"/>
    <w:rsid w:val="4F0B744A"/>
    <w:rsid w:val="4F105D44"/>
    <w:rsid w:val="4F29163B"/>
    <w:rsid w:val="4F301721"/>
    <w:rsid w:val="5081087D"/>
    <w:rsid w:val="50AD50A0"/>
    <w:rsid w:val="51440F23"/>
    <w:rsid w:val="51A32C5C"/>
    <w:rsid w:val="51A61200"/>
    <w:rsid w:val="51ED3672"/>
    <w:rsid w:val="527715AB"/>
    <w:rsid w:val="53211D72"/>
    <w:rsid w:val="533217BE"/>
    <w:rsid w:val="53BE0D58"/>
    <w:rsid w:val="54084CC3"/>
    <w:rsid w:val="54B12AE5"/>
    <w:rsid w:val="54C93027"/>
    <w:rsid w:val="54D610E1"/>
    <w:rsid w:val="5507345A"/>
    <w:rsid w:val="553F3DCF"/>
    <w:rsid w:val="55BE0512"/>
    <w:rsid w:val="55D60C16"/>
    <w:rsid w:val="55E8379E"/>
    <w:rsid w:val="560F58BD"/>
    <w:rsid w:val="574427FE"/>
    <w:rsid w:val="574F54DA"/>
    <w:rsid w:val="57E33072"/>
    <w:rsid w:val="589E0A1B"/>
    <w:rsid w:val="58D564F8"/>
    <w:rsid w:val="58DB2AF3"/>
    <w:rsid w:val="58E709BB"/>
    <w:rsid w:val="595C75AF"/>
    <w:rsid w:val="5AD77F1A"/>
    <w:rsid w:val="5AFD207E"/>
    <w:rsid w:val="5BB167FD"/>
    <w:rsid w:val="5BE80ED6"/>
    <w:rsid w:val="5BEE5055"/>
    <w:rsid w:val="5C16058C"/>
    <w:rsid w:val="5CF37990"/>
    <w:rsid w:val="5DC938FC"/>
    <w:rsid w:val="5DEC21F4"/>
    <w:rsid w:val="5E312AC1"/>
    <w:rsid w:val="5E333907"/>
    <w:rsid w:val="5E5E3960"/>
    <w:rsid w:val="5EE434E0"/>
    <w:rsid w:val="5F5F4654"/>
    <w:rsid w:val="5F8D7DD2"/>
    <w:rsid w:val="5FB03C18"/>
    <w:rsid w:val="60144F33"/>
    <w:rsid w:val="601F7600"/>
    <w:rsid w:val="60492D11"/>
    <w:rsid w:val="608E0FDB"/>
    <w:rsid w:val="61185FB9"/>
    <w:rsid w:val="61593612"/>
    <w:rsid w:val="61AF5B7B"/>
    <w:rsid w:val="61CC5623"/>
    <w:rsid w:val="62370206"/>
    <w:rsid w:val="62D51295"/>
    <w:rsid w:val="631E589B"/>
    <w:rsid w:val="633A397E"/>
    <w:rsid w:val="64033431"/>
    <w:rsid w:val="64527A05"/>
    <w:rsid w:val="64857BEC"/>
    <w:rsid w:val="659C7A0C"/>
    <w:rsid w:val="65F46148"/>
    <w:rsid w:val="66007D67"/>
    <w:rsid w:val="663F0B50"/>
    <w:rsid w:val="67C66D98"/>
    <w:rsid w:val="68B5312A"/>
    <w:rsid w:val="68F93C89"/>
    <w:rsid w:val="6901220C"/>
    <w:rsid w:val="692A3677"/>
    <w:rsid w:val="69431E2D"/>
    <w:rsid w:val="694D7944"/>
    <w:rsid w:val="69995C7A"/>
    <w:rsid w:val="69C61397"/>
    <w:rsid w:val="6A7F5BF3"/>
    <w:rsid w:val="6B6A7FA5"/>
    <w:rsid w:val="6BD80712"/>
    <w:rsid w:val="6C105A58"/>
    <w:rsid w:val="6C8557DE"/>
    <w:rsid w:val="6D095C70"/>
    <w:rsid w:val="6D274549"/>
    <w:rsid w:val="6D2759AB"/>
    <w:rsid w:val="6D33484A"/>
    <w:rsid w:val="6D4B1F5D"/>
    <w:rsid w:val="6D8238A7"/>
    <w:rsid w:val="6DA057F4"/>
    <w:rsid w:val="6DBB4F6D"/>
    <w:rsid w:val="6E8F7310"/>
    <w:rsid w:val="6F302E4E"/>
    <w:rsid w:val="6F483FA1"/>
    <w:rsid w:val="6F94773B"/>
    <w:rsid w:val="6FA06629"/>
    <w:rsid w:val="6FE02AE6"/>
    <w:rsid w:val="70D9271B"/>
    <w:rsid w:val="70FB4C15"/>
    <w:rsid w:val="715635CF"/>
    <w:rsid w:val="729921EA"/>
    <w:rsid w:val="730A5557"/>
    <w:rsid w:val="732E3907"/>
    <w:rsid w:val="73361DBD"/>
    <w:rsid w:val="733D7502"/>
    <w:rsid w:val="73D16993"/>
    <w:rsid w:val="742C5717"/>
    <w:rsid w:val="747855C0"/>
    <w:rsid w:val="74D9620E"/>
    <w:rsid w:val="75011284"/>
    <w:rsid w:val="75200B56"/>
    <w:rsid w:val="75435570"/>
    <w:rsid w:val="755C1260"/>
    <w:rsid w:val="75BE6E05"/>
    <w:rsid w:val="76143845"/>
    <w:rsid w:val="775A0E21"/>
    <w:rsid w:val="77732CE3"/>
    <w:rsid w:val="77740DF5"/>
    <w:rsid w:val="779F49FF"/>
    <w:rsid w:val="77FC040C"/>
    <w:rsid w:val="781A002A"/>
    <w:rsid w:val="7832110C"/>
    <w:rsid w:val="78CA3C80"/>
    <w:rsid w:val="796075AF"/>
    <w:rsid w:val="7A026DB8"/>
    <w:rsid w:val="7A832FCE"/>
    <w:rsid w:val="7AC97607"/>
    <w:rsid w:val="7B1227F8"/>
    <w:rsid w:val="7B5C55A2"/>
    <w:rsid w:val="7C00467F"/>
    <w:rsid w:val="7C42096C"/>
    <w:rsid w:val="7CCA67C3"/>
    <w:rsid w:val="7D601C7C"/>
    <w:rsid w:val="7D72325C"/>
    <w:rsid w:val="7D9D7924"/>
    <w:rsid w:val="7DC23698"/>
    <w:rsid w:val="7DDE038D"/>
    <w:rsid w:val="7E6150E3"/>
    <w:rsid w:val="7E9633BF"/>
    <w:rsid w:val="7EC906AE"/>
    <w:rsid w:val="7EEB22B1"/>
    <w:rsid w:val="7F04016F"/>
    <w:rsid w:val="7F0A7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6"/>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30"/>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rFonts w:eastAsia="宋体"/>
      <w:b/>
      <w:bCs/>
      <w:kern w:val="2"/>
      <w:sz w:val="24"/>
      <w:szCs w:val="24"/>
      <w:lang w:val="en-US" w:eastAsia="zh-CN" w:bidi="ar-SA"/>
    </w:rPr>
  </w:style>
  <w:style w:type="character" w:styleId="19">
    <w:name w:val="page number"/>
    <w:basedOn w:val="17"/>
    <w:unhideWhenUsed/>
    <w:qFormat/>
    <w:uiPriority w:val="99"/>
  </w:style>
  <w:style w:type="character" w:styleId="20">
    <w:name w:val="Hyperlink"/>
    <w:basedOn w:val="17"/>
    <w:unhideWhenUsed/>
    <w:qFormat/>
    <w:uiPriority w:val="99"/>
    <w:rPr>
      <w:color w:val="0000FF"/>
      <w:u w:val="single"/>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7"/>
    <w:link w:val="11"/>
    <w:qFormat/>
    <w:uiPriority w:val="99"/>
    <w:rPr>
      <w:sz w:val="18"/>
    </w:rPr>
  </w:style>
  <w:style w:type="character" w:customStyle="1" w:styleId="25">
    <w:name w:val="页眉 Char"/>
    <w:link w:val="12"/>
    <w:qFormat/>
    <w:uiPriority w:val="0"/>
    <w:rPr>
      <w:kern w:val="2"/>
      <w:sz w:val="18"/>
    </w:rPr>
  </w:style>
  <w:style w:type="character" w:customStyle="1" w:styleId="26">
    <w:name w:val="纯文本 Char"/>
    <w:basedOn w:val="17"/>
    <w:link w:val="8"/>
    <w:qFormat/>
    <w:uiPriority w:val="0"/>
    <w:rPr>
      <w:rFonts w:ascii="宋体" w:hAnsi="Courier New" w:cs="Courier New"/>
      <w:sz w:val="21"/>
      <w:szCs w:val="21"/>
    </w:rPr>
  </w:style>
  <w:style w:type="paragraph" w:customStyle="1" w:styleId="27">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28">
    <w:name w:val="List Paragraph"/>
    <w:basedOn w:val="1"/>
    <w:qFormat/>
    <w:uiPriority w:val="99"/>
    <w:pPr>
      <w:ind w:firstLine="420" w:firstLineChars="200"/>
    </w:pPr>
    <w:rPr>
      <w:rFonts w:ascii="Calibri" w:hAnsi="Calibri"/>
      <w:szCs w:val="22"/>
    </w:r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批注框文本 Char"/>
    <w:basedOn w:val="17"/>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47</Pages>
  <Words>3865</Words>
  <Characters>22032</Characters>
  <Lines>183</Lines>
  <Paragraphs>51</Paragraphs>
  <TotalTime>15</TotalTime>
  <ScaleCrop>false</ScaleCrop>
  <LinksUpToDate>false</LinksUpToDate>
  <CharactersWithSpaces>25846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LIN</cp:lastModifiedBy>
  <cp:lastPrinted>2020-11-11T01:57:00Z</cp:lastPrinted>
  <dcterms:modified xsi:type="dcterms:W3CDTF">2020-11-24T08:15:41Z</dcterms:modified>
  <dc:title>询价文件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