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 w:hAnsi="仿宋" w:eastAsia="仿宋" w:cs="仿宋_GB2312"/>
          <w:b/>
          <w:color w:val="000000" w:themeColor="text1"/>
          <w:kern w:val="0"/>
          <w14:textFill>
            <w14:solidFill>
              <w14:schemeClr w14:val="tx1"/>
            </w14:solidFill>
          </w14:textFill>
        </w:rPr>
      </w:pPr>
    </w:p>
    <w:p>
      <w:pPr>
        <w:rPr>
          <w:rFonts w:ascii="仿宋" w:hAnsi="仿宋" w:eastAsia="仿宋" w:cs="仿宋_GB2312"/>
          <w:b/>
          <w:color w:val="000000" w:themeColor="text1"/>
          <w:kern w:val="0"/>
          <w14:textFill>
            <w14:solidFill>
              <w14:schemeClr w14:val="tx1"/>
            </w14:solidFill>
          </w14:textFill>
        </w:rPr>
      </w:pPr>
    </w:p>
    <w:p>
      <w:pPr>
        <w:spacing w:line="360" w:lineRule="auto"/>
        <w:jc w:val="center"/>
        <w:rPr>
          <w:rFonts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sz w:val="72"/>
          <w14:textFill>
            <w14:solidFill>
              <w14:schemeClr w14:val="tx1"/>
            </w14:solidFill>
          </w14:textFill>
        </w:rPr>
        <w:t>询价文件</w:t>
      </w: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jc w:val="left"/>
        <w:rPr>
          <w:rFonts w:ascii="仿宋" w:hAnsi="仿宋" w:eastAsia="仿宋" w:cs="仿宋_GB2312"/>
          <w:b/>
          <w:bCs/>
          <w:color w:val="000000" w:themeColor="text1"/>
          <w14:textFill>
            <w14:solidFill>
              <w14:schemeClr w14:val="tx1"/>
            </w14:solidFill>
          </w14:textFill>
        </w:rPr>
      </w:pPr>
    </w:p>
    <w:p>
      <w:pPr>
        <w:spacing w:line="500" w:lineRule="exact"/>
        <w:ind w:firstLine="411" w:firstLineChars="147"/>
        <w:jc w:val="left"/>
        <w:rPr>
          <w:rFonts w:hint="default" w:ascii="仿宋" w:hAnsi="仿宋" w:eastAsia="仿宋" w:cs="仿宋_GB2312"/>
          <w:b/>
          <w:bCs/>
          <w:color w:val="000000" w:themeColor="text1"/>
          <w:sz w:val="28"/>
          <w:szCs w:val="28"/>
          <w:lang w:val="en-US" w:eastAsia="zh-CN"/>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XE-20201113-1</w:t>
      </w:r>
    </w:p>
    <w:p>
      <w:pPr>
        <w:spacing w:line="500" w:lineRule="exact"/>
        <w:ind w:left="1787" w:leftChars="197" w:hanging="1374" w:hangingChars="491"/>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项目名称：广州市净水有限公司石井净</w:t>
      </w:r>
      <w:r>
        <w:rPr>
          <w:rFonts w:hint="eastAsia" w:ascii="仿宋" w:hAnsi="仿宋" w:eastAsia="仿宋" w:cs="仿宋_GB2312"/>
          <w:b/>
          <w:bCs/>
          <w:color w:val="000000" w:themeColor="text1"/>
          <w:sz w:val="28"/>
          <w:szCs w:val="28"/>
          <w:lang w:val="en-US" w:eastAsia="zh-CN"/>
          <w14:textFill>
            <w14:solidFill>
              <w14:schemeClr w14:val="tx1"/>
            </w14:solidFill>
          </w14:textFill>
        </w:rPr>
        <w:t>水</w:t>
      </w:r>
      <w:r>
        <w:rPr>
          <w:rFonts w:hint="eastAsia" w:ascii="仿宋" w:hAnsi="仿宋" w:eastAsia="仿宋" w:cs="仿宋_GB2312"/>
          <w:b/>
          <w:bCs/>
          <w:color w:val="000000" w:themeColor="text1"/>
          <w:sz w:val="28"/>
          <w:szCs w:val="28"/>
          <w14:textFill>
            <w14:solidFill>
              <w14:schemeClr w14:val="tx1"/>
            </w14:solidFill>
          </w14:textFill>
        </w:rPr>
        <w:t>分公司关于2020年办公楼一楼全息沙盘项目</w:t>
      </w:r>
    </w:p>
    <w:p>
      <w:pPr>
        <w:spacing w:line="500" w:lineRule="exact"/>
        <w:ind w:left="1787" w:leftChars="197" w:hanging="1374" w:hangingChars="491"/>
        <w:jc w:val="left"/>
        <w:rPr>
          <w:rFonts w:ascii="仿宋" w:hAnsi="仿宋" w:eastAsia="仿宋" w:cs="仿宋_GB2312"/>
          <w:b/>
          <w:bCs/>
          <w:color w:val="000000" w:themeColor="text1"/>
          <w:sz w:val="28"/>
          <w:szCs w:val="28"/>
          <w14:textFill>
            <w14:solidFill>
              <w14:schemeClr w14:val="tx1"/>
            </w14:solidFill>
          </w14:textFill>
        </w:rPr>
      </w:pPr>
    </w:p>
    <w:p>
      <w:pPr>
        <w:spacing w:line="500" w:lineRule="exact"/>
        <w:ind w:left="1444" w:leftChars="197" w:hanging="1031" w:hangingChars="491"/>
        <w:jc w:val="left"/>
        <w:rPr>
          <w:rFonts w:ascii="仿宋" w:hAnsi="仿宋" w:eastAsia="仿宋" w:cs="仿宋_GB2312"/>
          <w:b/>
          <w:bCs/>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w:instrText>
      </w:r>
      <w:r>
        <w:rPr>
          <w:rFonts w:hint="eastAsia"/>
          <w:color w:val="000000" w:themeColor="text1"/>
          <w14:textFill>
            <w14:solidFill>
              <w14:schemeClr w14:val="tx1"/>
            </w14:solidFill>
          </w14:textFill>
        </w:rPr>
        <w:instrText xml:space="preserve">项目名称</w:instrText>
      </w:r>
      <w:r>
        <w:rPr>
          <w:color w:val="000000" w:themeColor="text1"/>
          <w14:textFill>
            <w14:solidFill>
              <w14:schemeClr w14:val="tx1"/>
            </w14:solidFill>
          </w14:textFill>
        </w:rPr>
        <w:instrText xml:space="preserve">  \* MERGEFORMAT </w:instrText>
      </w:r>
      <w:r>
        <w:rPr>
          <w:color w:val="000000" w:themeColor="text1"/>
          <w14:textFill>
            <w14:solidFill>
              <w14:schemeClr w14:val="tx1"/>
            </w14:solidFill>
          </w14:textFill>
        </w:rPr>
        <w:fldChar w:fldCharType="end"/>
      </w:r>
    </w:p>
    <w:p>
      <w:pPr>
        <w:spacing w:line="500" w:lineRule="exact"/>
        <w:jc w:val="center"/>
        <w:rPr>
          <w:rFonts w:ascii="仿宋" w:hAnsi="仿宋" w:eastAsia="仿宋" w:cs="仿宋_GB2312"/>
          <w:b/>
          <w:bCs/>
          <w:color w:val="000000" w:themeColor="text1"/>
          <w:sz w:val="32"/>
          <w:szCs w:val="32"/>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sz w:val="72"/>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both"/>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广州市净水有限公司编制</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ascii="仿宋" w:hAnsi="仿宋" w:eastAsia="仿宋" w:cs="仿宋_GB2312"/>
          <w:b/>
          <w:bCs/>
          <w:color w:val="000000" w:themeColor="text1"/>
          <w:sz w:val="28"/>
          <w14:textFill>
            <w14:solidFill>
              <w14:schemeClr w14:val="tx1"/>
            </w14:solidFill>
          </w14:textFill>
        </w:rPr>
        <w:t>2020年</w:t>
      </w:r>
      <w:r>
        <w:rPr>
          <w:rFonts w:hint="eastAsia" w:ascii="仿宋" w:hAnsi="仿宋" w:eastAsia="仿宋" w:cs="仿宋_GB2312"/>
          <w:b/>
          <w:bCs/>
          <w:color w:val="000000" w:themeColor="text1"/>
          <w:sz w:val="28"/>
          <w:lang w:val="en-US" w:eastAsia="zh-CN"/>
          <w14:textFill>
            <w14:solidFill>
              <w14:schemeClr w14:val="tx1"/>
            </w14:solidFill>
          </w14:textFill>
        </w:rPr>
        <w:t>11</w:t>
      </w:r>
      <w:r>
        <w:rPr>
          <w:rFonts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13</w:t>
      </w:r>
      <w:r>
        <w:rPr>
          <w:rFonts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w:t>
      </w:r>
      <w:r>
        <w:rPr>
          <w:rFonts w:hint="eastAsia" w:ascii="仿宋" w:hAnsi="仿宋" w:eastAsia="仿宋" w:cs="仿宋_GB2312"/>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bCs/>
          <w:color w:val="000000" w:themeColor="text1"/>
          <w:sz w:val="28"/>
          <w:szCs w:val="28"/>
          <w14:textFill>
            <w14:solidFill>
              <w14:schemeClr w14:val="tx1"/>
            </w14:solidFill>
          </w14:textFill>
        </w:rPr>
        <w:t>录</w:t>
      </w:r>
      <w:r>
        <w:rPr>
          <w:rFonts w:ascii="仿宋" w:hAnsi="仿宋" w:eastAsia="仿宋" w:cs="仿宋_GB2312"/>
          <w:b/>
          <w:bCs/>
          <w:caps/>
          <w:color w:val="000000" w:themeColor="text1"/>
          <w:sz w:val="28"/>
          <w:szCs w:val="28"/>
          <w14:textFill>
            <w14:solidFill>
              <w14:schemeClr w14:val="tx1"/>
            </w14:solidFill>
          </w14:textFill>
        </w:rPr>
        <w:br w:type="textWrapping"/>
      </w:r>
    </w:p>
    <w:p>
      <w:pPr>
        <w:pStyle w:val="17"/>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ind w:firstLine="560" w:firstLineChars="200"/>
        <w:jc w:val="left"/>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w:t>
      </w:r>
      <w:r>
        <w:rPr>
          <w:rFonts w:hint="eastAsia" w:ascii="仿宋" w:hAnsi="仿宋" w:eastAsia="仿宋" w:cs="仿宋_GB2312"/>
          <w:color w:val="000000" w:themeColor="text1"/>
          <w:sz w:val="28"/>
          <w:szCs w:val="28"/>
          <w:lang w:val="zh-CN"/>
          <w14:textFill>
            <w14:solidFill>
              <w14:schemeClr w14:val="tx1"/>
            </w14:solidFill>
          </w14:textFill>
        </w:rPr>
        <w:t>公司对</w:t>
      </w:r>
      <w:r>
        <w:rPr>
          <w:rFonts w:hint="eastAsia" w:ascii="仿宋" w:hAnsi="仿宋" w:eastAsia="仿宋" w:cs="仿宋_GB2312"/>
          <w:color w:val="000000" w:themeColor="text1"/>
          <w:sz w:val="28"/>
          <w:szCs w:val="28"/>
          <w:u w:val="single"/>
          <w:lang w:val="zh-CN"/>
          <w14:textFill>
            <w14:solidFill>
              <w14:schemeClr w14:val="tx1"/>
            </w14:solidFill>
          </w14:textFill>
        </w:rPr>
        <w:t>石井净</w:t>
      </w:r>
      <w:r>
        <w:rPr>
          <w:rFonts w:hint="eastAsia" w:ascii="仿宋" w:hAnsi="仿宋" w:eastAsia="仿宋" w:cs="仿宋_GB2312"/>
          <w:color w:val="000000" w:themeColor="text1"/>
          <w:sz w:val="28"/>
          <w:szCs w:val="28"/>
          <w:u w:val="single"/>
          <w:lang w:val="en-US" w:eastAsia="zh-CN"/>
          <w14:textFill>
            <w14:solidFill>
              <w14:schemeClr w14:val="tx1"/>
            </w14:solidFill>
          </w14:textFill>
        </w:rPr>
        <w:t>水</w:t>
      </w:r>
      <w:r>
        <w:rPr>
          <w:rFonts w:hint="eastAsia" w:ascii="仿宋" w:hAnsi="仿宋" w:eastAsia="仿宋" w:cs="仿宋_GB2312"/>
          <w:color w:val="000000" w:themeColor="text1"/>
          <w:sz w:val="28"/>
          <w:szCs w:val="28"/>
          <w:u w:val="single"/>
          <w:lang w:val="zh-CN"/>
          <w14:textFill>
            <w14:solidFill>
              <w14:schemeClr w14:val="tx1"/>
            </w14:solidFill>
          </w14:textFill>
        </w:rPr>
        <w:t>分公司关于</w:t>
      </w:r>
      <w:r>
        <w:rPr>
          <w:rFonts w:ascii="仿宋" w:hAnsi="仿宋" w:eastAsia="仿宋" w:cs="仿宋_GB2312"/>
          <w:color w:val="000000" w:themeColor="text1"/>
          <w:sz w:val="28"/>
          <w:szCs w:val="28"/>
          <w:u w:val="single"/>
          <w:lang w:val="zh-CN"/>
          <w14:textFill>
            <w14:solidFill>
              <w14:schemeClr w14:val="tx1"/>
            </w14:solidFill>
          </w14:textFill>
        </w:rPr>
        <w:t>2020年</w:t>
      </w:r>
      <w:r>
        <w:rPr>
          <w:rFonts w:hint="eastAsia" w:ascii="仿宋" w:hAnsi="仿宋" w:eastAsia="仿宋" w:cs="仿宋_GB2312"/>
          <w:color w:val="000000" w:themeColor="text1"/>
          <w:sz w:val="28"/>
          <w:szCs w:val="28"/>
          <w:u w:val="single"/>
          <w:lang w:val="zh-CN"/>
          <w14:textFill>
            <w14:solidFill>
              <w14:schemeClr w14:val="tx1"/>
            </w14:solidFill>
          </w14:textFill>
        </w:rPr>
        <w:t>办公楼一楼全息沙盘项目</w:t>
      </w:r>
      <w:r>
        <w:rPr>
          <w:rFonts w:hint="eastAsia" w:ascii="仿宋" w:hAnsi="仿宋" w:eastAsia="仿宋" w:cs="仿宋_GB2312"/>
          <w:color w:val="000000" w:themeColor="text1"/>
          <w:sz w:val="28"/>
          <w:szCs w:val="28"/>
          <w:lang w:val="zh-CN"/>
          <w14:textFill>
            <w14:solidFill>
              <w14:schemeClr w14:val="tx1"/>
            </w14:solidFill>
          </w14:textFill>
        </w:rPr>
        <w:t>进</w:t>
      </w:r>
      <w:r>
        <w:rPr>
          <w:rFonts w:hint="eastAsia" w:ascii="仿宋" w:hAnsi="仿宋" w:eastAsia="仿宋" w:cs="仿宋_GB2312"/>
          <w:color w:val="000000" w:themeColor="text1"/>
          <w:sz w:val="28"/>
          <w:szCs w:val="28"/>
          <w14:textFill>
            <w14:solidFill>
              <w14:schemeClr w14:val="tx1"/>
            </w14:solidFill>
          </w14:textFill>
        </w:rPr>
        <w:t>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color w:val="000000" w:themeColor="text1"/>
          <w:sz w:val="28"/>
          <w:szCs w:val="28"/>
          <w:u w:val="single"/>
          <w14:textFill>
            <w14:solidFill>
              <w14:schemeClr w14:val="tx1"/>
            </w14:solidFill>
          </w14:textFill>
        </w:rPr>
        <w:t>45.783434</w:t>
      </w:r>
      <w:r>
        <w:rPr>
          <w:rFonts w:ascii="仿宋" w:hAnsi="仿宋" w:eastAsia="仿宋" w:cs="仿宋_GB2312"/>
          <w:color w:val="000000" w:themeColor="text1"/>
          <w:sz w:val="28"/>
          <w:szCs w:val="28"/>
          <w:u w:val="single"/>
          <w:lang w:val="zh-CN"/>
          <w14:textFill>
            <w14:solidFill>
              <w14:schemeClr w14:val="tx1"/>
            </w14:solidFill>
          </w14:textFill>
        </w:rPr>
        <w:t>万元</w:t>
      </w:r>
      <w:r>
        <w:rPr>
          <w:rFonts w:hint="eastAsia" w:ascii="仿宋" w:hAnsi="仿宋" w:eastAsia="仿宋" w:cs="仿宋_GB2312"/>
          <w:color w:val="000000" w:themeColor="text1"/>
          <w:sz w:val="28"/>
          <w:szCs w:val="28"/>
          <w:u w:val="single"/>
          <w:lang w:val="zh-CN"/>
          <w14:textFill>
            <w14:solidFill>
              <w14:schemeClr w14:val="tx1"/>
            </w14:solidFill>
          </w14:textFill>
        </w:rPr>
        <w:t>（人民币）</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color w:val="000000" w:themeColor="text1"/>
          <w:sz w:val="28"/>
          <w:szCs w:val="28"/>
          <w:u w:val="none"/>
          <w:lang w:val="en-US" w:eastAsia="zh-CN"/>
          <w14:textFill>
            <w14:solidFill>
              <w14:schemeClr w14:val="tx1"/>
            </w14:solidFill>
          </w14:textFill>
        </w:rPr>
        <w:t>XE-20201113-1</w:t>
      </w:r>
    </w:p>
    <w:p>
      <w:pPr>
        <w:autoSpaceDE w:val="0"/>
        <w:autoSpaceDN w:val="0"/>
        <w:ind w:left="2520" w:leftChars="267" w:hanging="1960" w:hangingChars="7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lang w:val="en-US" w:eastAsia="zh-CN"/>
          <w14:textFill>
            <w14:solidFill>
              <w14:schemeClr w14:val="tx1"/>
            </w14:solidFill>
          </w14:textFill>
        </w:rPr>
        <w:t>广州市净水有限公司</w:t>
      </w:r>
      <w:r>
        <w:rPr>
          <w:rFonts w:hint="eastAsia" w:ascii="仿宋" w:hAnsi="仿宋" w:eastAsia="仿宋" w:cs="仿宋_GB2312"/>
          <w:color w:val="000000" w:themeColor="text1"/>
          <w:sz w:val="28"/>
          <w:szCs w:val="28"/>
          <w:lang w:val="zh-CN"/>
          <w14:textFill>
            <w14:solidFill>
              <w14:schemeClr w14:val="tx1"/>
            </w14:solidFill>
          </w14:textFill>
        </w:rPr>
        <w:t>石井净</w:t>
      </w:r>
      <w:r>
        <w:rPr>
          <w:rFonts w:hint="eastAsia" w:ascii="仿宋" w:hAnsi="仿宋" w:eastAsia="仿宋" w:cs="仿宋_GB2312"/>
          <w:color w:val="000000" w:themeColor="text1"/>
          <w:sz w:val="28"/>
          <w:szCs w:val="28"/>
          <w:lang w:val="en-US" w:eastAsia="zh-CN"/>
          <w14:textFill>
            <w14:solidFill>
              <w14:schemeClr w14:val="tx1"/>
            </w14:solidFill>
          </w14:textFill>
        </w:rPr>
        <w:t>水</w:t>
      </w:r>
      <w:r>
        <w:rPr>
          <w:rFonts w:hint="eastAsia" w:ascii="仿宋" w:hAnsi="仿宋" w:eastAsia="仿宋" w:cs="仿宋_GB2312"/>
          <w:color w:val="000000" w:themeColor="text1"/>
          <w:sz w:val="28"/>
          <w:szCs w:val="28"/>
          <w:lang w:val="zh-CN"/>
          <w14:textFill>
            <w14:solidFill>
              <w14:schemeClr w14:val="tx1"/>
            </w14:solidFill>
          </w14:textFill>
        </w:rPr>
        <w:t>分公司关于2020年办公楼一楼全息沙盘项目</w:t>
      </w:r>
    </w:p>
    <w:p>
      <w:pPr>
        <w:ind w:firstLine="560" w:firstLineChars="200"/>
        <w:rPr>
          <w:rFonts w:ascii="宋体" w:hAnsi="宋体" w:cs="宋体"/>
          <w:color w:val="000000" w:themeColor="text1"/>
          <w:kern w:val="0"/>
          <w:sz w:val="22"/>
          <w:szCs w:val="22"/>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hint="eastAsia" w:ascii="仿宋" w:hAnsi="仿宋" w:eastAsia="仿宋" w:cs="仿宋_GB2312"/>
          <w:color w:val="000000" w:themeColor="text1"/>
          <w:sz w:val="28"/>
          <w:szCs w:val="28"/>
          <w:u w:val="single"/>
          <w14:textFill>
            <w14:solidFill>
              <w14:schemeClr w14:val="tx1"/>
            </w14:solidFill>
          </w14:textFill>
        </w:rPr>
        <w:t>45.783434</w:t>
      </w:r>
      <w:r>
        <w:rPr>
          <w:rFonts w:ascii="仿宋" w:hAnsi="仿宋" w:eastAsia="仿宋" w:cs="仿宋_GB2312"/>
          <w:color w:val="000000" w:themeColor="text1"/>
          <w:sz w:val="28"/>
          <w:szCs w:val="28"/>
          <w:u w:val="single"/>
          <w:lang w:val="zh-CN"/>
          <w14:textFill>
            <w14:solidFill>
              <w14:schemeClr w14:val="tx1"/>
            </w14:solidFill>
          </w14:textFill>
        </w:rPr>
        <w:t>万元</w:t>
      </w:r>
      <w:r>
        <w:rPr>
          <w:rFonts w:hint="eastAsia" w:ascii="仿宋" w:hAnsi="仿宋" w:eastAsia="仿宋" w:cs="仿宋_GB2312"/>
          <w:color w:val="000000" w:themeColor="text1"/>
          <w:sz w:val="28"/>
          <w:szCs w:val="28"/>
          <w:u w:val="single"/>
          <w:lang w:val="zh-CN"/>
          <w14:textFill>
            <w14:solidFill>
              <w14:schemeClr w14:val="tx1"/>
            </w14:solidFill>
          </w14:textFill>
        </w:rPr>
        <w:t>（人民币）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项目内容及需求：(工程概况)</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（一）项目内容</w:t>
      </w:r>
    </w:p>
    <w:p>
      <w:pPr>
        <w:autoSpaceDE/>
        <w:autoSpaceDN/>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石井净分公司办公楼一楼全息沙盘项目，利用全息设备实现裸眼3D效果，立体呈现石井净水厂及其他新建净水厂的厂容厂貌、功能业态规划、治水流程、核心技术等内容，打造一个“科技感”的厂区环境，对办公楼一楼增设一个全息沙盘。</w:t>
      </w:r>
    </w:p>
    <w:tbl>
      <w:tblPr>
        <w:tblStyle w:val="22"/>
        <w:tblW w:w="11131" w:type="dxa"/>
        <w:tblInd w:w="-1447" w:type="dxa"/>
        <w:tblLayout w:type="fixed"/>
        <w:tblCellMar>
          <w:top w:w="0" w:type="dxa"/>
          <w:left w:w="0" w:type="dxa"/>
          <w:bottom w:w="0" w:type="dxa"/>
          <w:right w:w="0" w:type="dxa"/>
        </w:tblCellMar>
      </w:tblPr>
      <w:tblGrid>
        <w:gridCol w:w="1111"/>
        <w:gridCol w:w="996"/>
        <w:gridCol w:w="1320"/>
        <w:gridCol w:w="1020"/>
        <w:gridCol w:w="4656"/>
        <w:gridCol w:w="1044"/>
        <w:gridCol w:w="984"/>
      </w:tblGrid>
      <w:tr>
        <w:tblPrEx>
          <w:tblCellMar>
            <w:top w:w="0" w:type="dxa"/>
            <w:left w:w="0" w:type="dxa"/>
            <w:bottom w:w="0" w:type="dxa"/>
            <w:right w:w="0" w:type="dxa"/>
          </w:tblCellMar>
        </w:tblPrEx>
        <w:trPr>
          <w:trHeight w:val="420" w:hRule="atLeast"/>
        </w:trPr>
        <w:tc>
          <w:tcPr>
            <w:tcW w:w="1111"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产品名称</w:t>
            </w:r>
          </w:p>
        </w:tc>
        <w:tc>
          <w:tcPr>
            <w:tcW w:w="99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设备内容</w:t>
            </w:r>
          </w:p>
        </w:tc>
        <w:tc>
          <w:tcPr>
            <w:tcW w:w="132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项目名称</w:t>
            </w:r>
          </w:p>
        </w:tc>
        <w:tc>
          <w:tcPr>
            <w:tcW w:w="102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品牌型号</w:t>
            </w:r>
          </w:p>
        </w:tc>
        <w:tc>
          <w:tcPr>
            <w:tcW w:w="465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技术参数</w:t>
            </w:r>
          </w:p>
        </w:tc>
        <w:tc>
          <w:tcPr>
            <w:tcW w:w="104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数量</w:t>
            </w:r>
          </w:p>
        </w:tc>
        <w:tc>
          <w:tcPr>
            <w:tcW w:w="98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单位</w:t>
            </w:r>
          </w:p>
        </w:tc>
      </w:tr>
      <w:tr>
        <w:tblPrEx>
          <w:tblCellMar>
            <w:top w:w="0" w:type="dxa"/>
            <w:left w:w="0" w:type="dxa"/>
            <w:bottom w:w="0" w:type="dxa"/>
            <w:right w:w="0" w:type="dxa"/>
          </w:tblCellMar>
        </w:tblPrEx>
        <w:trPr>
          <w:trHeight w:val="2860" w:hRule="atLeast"/>
        </w:trPr>
        <w:tc>
          <w:tcPr>
            <w:tcW w:w="1111"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全息沙盘</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硬件设备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光源屏幕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屏幕比例  16:9</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屏幕分辨率 1920×1080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观看距离 3.0米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高清格式 1080p</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背光性能 直下式背光LED</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可视角度(水平0垂直) 178度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屏幕刷新频率 60Hz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屏幕对比度 1200:1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屏幕响应速度 6ms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图像性能 第6代画质引擎技术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台 </w:t>
            </w:r>
          </w:p>
        </w:tc>
      </w:tr>
      <w:tr>
        <w:tblPrEx>
          <w:tblCellMar>
            <w:top w:w="0" w:type="dxa"/>
            <w:left w:w="0" w:type="dxa"/>
            <w:bottom w:w="0" w:type="dxa"/>
            <w:right w:w="0" w:type="dxa"/>
          </w:tblCellMar>
        </w:tblPrEx>
        <w:trPr>
          <w:trHeight w:val="672"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专业屏幕控制器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四个画面可以显示不同画面，分别播放不同场景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台 </w:t>
            </w:r>
          </w:p>
        </w:tc>
      </w:tr>
      <w:tr>
        <w:tblPrEx>
          <w:tblCellMar>
            <w:top w:w="0" w:type="dxa"/>
            <w:left w:w="0" w:type="dxa"/>
            <w:bottom w:w="0" w:type="dxa"/>
            <w:right w:w="0" w:type="dxa"/>
          </w:tblCellMar>
        </w:tblPrEx>
        <w:trPr>
          <w:trHeight w:val="672"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内部钢结构焊接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规格：4#方钢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套 </w:t>
            </w:r>
          </w:p>
        </w:tc>
      </w:tr>
      <w:tr>
        <w:tblPrEx>
          <w:tblCellMar>
            <w:top w:w="0" w:type="dxa"/>
            <w:left w:w="0" w:type="dxa"/>
            <w:bottom w:w="0" w:type="dxa"/>
            <w:right w:w="0" w:type="dxa"/>
          </w:tblCellMar>
        </w:tblPrEx>
        <w:trPr>
          <w:trHeight w:val="672"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金字塔成像载体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特殊防爆全息金子塔玻璃，专业防爆处理，精工艺倒角处理。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套 </w:t>
            </w:r>
          </w:p>
        </w:tc>
      </w:tr>
      <w:tr>
        <w:tblPrEx>
          <w:tblCellMar>
            <w:top w:w="0" w:type="dxa"/>
            <w:left w:w="0" w:type="dxa"/>
            <w:bottom w:w="0" w:type="dxa"/>
            <w:right w:w="0" w:type="dxa"/>
          </w:tblCellMar>
        </w:tblPrEx>
        <w:trPr>
          <w:trHeight w:val="672"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全息膜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技术参数： 投影画面成像反光膜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 </w:t>
            </w:r>
          </w:p>
        </w:tc>
      </w:tr>
      <w:tr>
        <w:tblPrEx>
          <w:tblCellMar>
            <w:top w:w="0" w:type="dxa"/>
            <w:left w:w="0" w:type="dxa"/>
            <w:bottom w:w="0" w:type="dxa"/>
            <w:right w:w="0" w:type="dxa"/>
          </w:tblCellMar>
        </w:tblPrEx>
        <w:trPr>
          <w:trHeight w:val="672"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全息膜框架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技术参数：全息膜定制固定框架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 </w:t>
            </w:r>
          </w:p>
        </w:tc>
      </w:tr>
      <w:tr>
        <w:tblPrEx>
          <w:tblCellMar>
            <w:top w:w="0" w:type="dxa"/>
            <w:left w:w="0" w:type="dxa"/>
            <w:bottom w:w="0" w:type="dxa"/>
            <w:right w:w="0" w:type="dxa"/>
          </w:tblCellMar>
        </w:tblPrEx>
        <w:trPr>
          <w:trHeight w:val="672"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幕布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技术参数：高清融合大屏幕 </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 </w:t>
            </w:r>
          </w:p>
        </w:tc>
      </w:tr>
      <w:tr>
        <w:tblPrEx>
          <w:tblCellMar>
            <w:top w:w="0" w:type="dxa"/>
            <w:left w:w="0" w:type="dxa"/>
            <w:bottom w:w="0" w:type="dxa"/>
            <w:right w:w="0" w:type="dxa"/>
          </w:tblCellMar>
        </w:tblPrEx>
        <w:trPr>
          <w:trHeight w:val="2900"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工控机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1、CPU:  Intel 酷睿i7 8700，主频3.6GHz，4核8线程，支持内存64GB;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2、主板：B360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3、显卡：GeForce GTX1060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4、固态硬盘：SL300 128GB SATA3 读取速度510mb0s,写入速度350mb0s。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5、内存： 8GB DDR4 2400 ；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6、专用电源+工控机箱。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台 </w:t>
            </w:r>
          </w:p>
        </w:tc>
      </w:tr>
      <w:tr>
        <w:tblPrEx>
          <w:tblCellMar>
            <w:top w:w="0" w:type="dxa"/>
            <w:left w:w="0" w:type="dxa"/>
            <w:bottom w:w="0" w:type="dxa"/>
            <w:right w:w="0" w:type="dxa"/>
          </w:tblCellMar>
        </w:tblPrEx>
        <w:trPr>
          <w:trHeight w:val="672"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全息底座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定制 </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长宽高2.4*2.4*2.395 </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套 </w:t>
            </w:r>
          </w:p>
        </w:tc>
      </w:tr>
      <w:tr>
        <w:tblPrEx>
          <w:tblCellMar>
            <w:top w:w="0" w:type="dxa"/>
            <w:left w:w="0" w:type="dxa"/>
            <w:bottom w:w="0" w:type="dxa"/>
            <w:right w:w="0" w:type="dxa"/>
          </w:tblCellMar>
        </w:tblPrEx>
        <w:trPr>
          <w:trHeight w:val="900"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软件内容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影片文案创意策划</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定制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影片资料的收集和整理，进行策划、创意、故事情节编写、文案制作</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r>
      <w:tr>
        <w:tblPrEx>
          <w:tblCellMar>
            <w:top w:w="0" w:type="dxa"/>
            <w:left w:w="0" w:type="dxa"/>
            <w:bottom w:w="0" w:type="dxa"/>
            <w:right w:w="0" w:type="dxa"/>
          </w:tblCellMar>
        </w:tblPrEx>
        <w:trPr>
          <w:trHeight w:val="640" w:hRule="atLeast"/>
        </w:trPr>
        <w:tc>
          <w:tcPr>
            <w:tcW w:w="111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内容影片制作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定制</w:t>
            </w:r>
          </w:p>
        </w:tc>
        <w:tc>
          <w:tcPr>
            <w:tcW w:w="4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10个以内净水厂三维建模动态表现，分辨率1920*1080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180.00 </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秒</w:t>
            </w:r>
          </w:p>
        </w:tc>
      </w:tr>
    </w:tbl>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1.实地考察一楼大堂光线和空间环境，确定全息沙盘摆放位置和摆放尺寸；</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2.根据确定尺寸生产全息产品；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3.全息生产完成前一周进行现场布线，安装好供电插座，连接好网线；</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4.根据需求制作全息沙盘动画内容；</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5.全息设备现场安装和调试；</w:t>
      </w:r>
    </w:p>
    <w:p>
      <w:pPr>
        <w:autoSpaceDE w:val="0"/>
        <w:autoSpaceDN w:val="0"/>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6.施工完毕，清理现场。</w:t>
      </w:r>
    </w:p>
    <w:p>
      <w:pPr>
        <w:autoSpaceDE w:val="0"/>
        <w:autoSpaceDN w:val="0"/>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lang w:val="en-US" w:eastAsia="zh-CN"/>
          <w14:textFill>
            <w14:solidFill>
              <w14:schemeClr w14:val="tx1"/>
            </w14:solidFill>
          </w14:textFill>
        </w:rPr>
        <w:t>二</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项目需求</w:t>
      </w:r>
    </w:p>
    <w:p>
      <w:pPr>
        <w:autoSpaceDE w:val="0"/>
        <w:autoSpaceDN w:val="0"/>
        <w:ind w:firstLine="560" w:firstLineChars="200"/>
        <w:rPr>
          <w:rFonts w:hint="default"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1.</w:t>
      </w:r>
      <w:r>
        <w:rPr>
          <w:rFonts w:hint="eastAsia" w:ascii="仿宋" w:hAnsi="仿宋" w:eastAsia="仿宋" w:cs="仿宋_GB2312"/>
          <w:color w:val="000000" w:themeColor="text1"/>
          <w:sz w:val="28"/>
          <w:szCs w:val="28"/>
          <w:lang w:eastAsia="zh-CN"/>
          <w14:textFill>
            <w14:solidFill>
              <w14:schemeClr w14:val="tx1"/>
            </w14:solidFill>
          </w14:textFill>
        </w:rPr>
        <w:t>承包人</w:t>
      </w:r>
      <w:r>
        <w:rPr>
          <w:rFonts w:hint="eastAsia" w:ascii="仿宋" w:hAnsi="仿宋" w:eastAsia="仿宋" w:cs="仿宋_GB2312"/>
          <w:color w:val="000000" w:themeColor="text1"/>
          <w:sz w:val="28"/>
          <w:szCs w:val="28"/>
          <w:lang w:val="en-US" w:eastAsia="zh-CN"/>
          <w14:textFill>
            <w14:solidFill>
              <w14:schemeClr w14:val="tx1"/>
            </w14:solidFill>
          </w14:textFill>
        </w:rPr>
        <w:t>需对净水厂的发展、运行和工艺有一定的了解。</w:t>
      </w:r>
    </w:p>
    <w:p>
      <w:pPr>
        <w:autoSpaceDE w:val="0"/>
        <w:autoSpaceDN w:val="0"/>
        <w:ind w:firstLine="560" w:firstLineChars="20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2.</w:t>
      </w:r>
      <w:r>
        <w:rPr>
          <w:rFonts w:hint="eastAsia" w:ascii="仿宋" w:hAnsi="仿宋" w:eastAsia="仿宋" w:cs="仿宋_GB2312"/>
          <w:color w:val="000000" w:themeColor="text1"/>
          <w:sz w:val="28"/>
          <w:szCs w:val="28"/>
          <w:lang w:eastAsia="zh-CN"/>
          <w14:textFill>
            <w14:solidFill>
              <w14:schemeClr w14:val="tx1"/>
            </w14:solidFill>
          </w14:textFill>
        </w:rPr>
        <w:t>承包人需提供货物运输，将货物运送到指定位置。</w:t>
      </w:r>
    </w:p>
    <w:p>
      <w:pPr>
        <w:autoSpaceDE w:val="0"/>
        <w:autoSpaceDN w:val="0"/>
        <w:ind w:firstLine="560" w:firstLineChars="20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eastAsia" w:ascii="仿宋" w:hAnsi="仿宋" w:eastAsia="仿宋" w:cs="仿宋_GB2312"/>
          <w:color w:val="000000" w:themeColor="text1"/>
          <w:sz w:val="28"/>
          <w:szCs w:val="28"/>
          <w:lang w:eastAsia="zh-CN"/>
          <w14:textFill>
            <w14:solidFill>
              <w14:schemeClr w14:val="tx1"/>
            </w14:solidFill>
          </w14:textFill>
        </w:rPr>
        <w:t>所提供的货物及配件是全新合格</w:t>
      </w:r>
      <w:r>
        <w:rPr>
          <w:rFonts w:hint="eastAsia" w:ascii="仿宋" w:hAnsi="仿宋" w:eastAsia="仿宋" w:cs="仿宋_GB2312"/>
          <w:color w:val="000000" w:themeColor="text1"/>
          <w:sz w:val="28"/>
          <w:szCs w:val="28"/>
          <w:lang w:val="en-US" w:eastAsia="zh-CN"/>
          <w14:textFill>
            <w14:solidFill>
              <w14:schemeClr w14:val="tx1"/>
            </w14:solidFill>
          </w14:textFill>
        </w:rPr>
        <w:t>定制</w:t>
      </w:r>
      <w:r>
        <w:rPr>
          <w:rFonts w:hint="eastAsia" w:ascii="仿宋" w:hAnsi="仿宋" w:eastAsia="仿宋" w:cs="仿宋_GB2312"/>
          <w:color w:val="000000" w:themeColor="text1"/>
          <w:sz w:val="28"/>
          <w:szCs w:val="28"/>
          <w:lang w:eastAsia="zh-CN"/>
          <w14:textFill>
            <w14:solidFill>
              <w14:schemeClr w14:val="tx1"/>
            </w14:solidFill>
          </w14:textFill>
        </w:rPr>
        <w:t>产品，</w:t>
      </w:r>
      <w:r>
        <w:rPr>
          <w:rFonts w:hint="eastAsia" w:ascii="仿宋" w:hAnsi="仿宋" w:eastAsia="仿宋" w:cs="仿宋_GB2312"/>
          <w:color w:val="000000" w:themeColor="text1"/>
          <w:sz w:val="28"/>
          <w:szCs w:val="28"/>
          <w:lang w:val="zh-CN" w:eastAsia="zh-CN"/>
          <w14:textFill>
            <w14:solidFill>
              <w14:schemeClr w14:val="tx1"/>
            </w14:solidFill>
          </w14:textFill>
        </w:rPr>
        <w:t>质量应符合有关机构发布的最新行业标准或国家标准</w:t>
      </w:r>
      <w:r>
        <w:rPr>
          <w:rFonts w:hint="eastAsia" w:ascii="仿宋" w:hAnsi="仿宋" w:eastAsia="仿宋" w:cs="仿宋_GB2312"/>
          <w:color w:val="000000" w:themeColor="text1"/>
          <w:sz w:val="28"/>
          <w:szCs w:val="28"/>
          <w:lang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4.</w:t>
      </w:r>
      <w:r>
        <w:rPr>
          <w:rFonts w:hint="eastAsia" w:ascii="仿宋" w:hAnsi="仿宋" w:eastAsia="仿宋" w:cs="仿宋_GB2312"/>
          <w:color w:val="000000" w:themeColor="text1"/>
          <w:sz w:val="28"/>
          <w:szCs w:val="28"/>
          <w:lang w:eastAsia="zh-CN"/>
          <w14:textFill>
            <w14:solidFill>
              <w14:schemeClr w14:val="tx1"/>
            </w14:solidFill>
          </w14:textFill>
        </w:rPr>
        <w:t>货物质量应符合询价人现场的使用要求。</w:t>
      </w:r>
    </w:p>
    <w:p>
      <w:pPr>
        <w:autoSpaceDE w:val="0"/>
        <w:autoSpaceDN w:val="0"/>
        <w:ind w:firstLine="560" w:firstLineChars="20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5.</w:t>
      </w:r>
      <w:r>
        <w:rPr>
          <w:rFonts w:hint="eastAsia" w:ascii="仿宋" w:hAnsi="仿宋" w:eastAsia="仿宋" w:cs="仿宋_GB2312"/>
          <w:color w:val="000000" w:themeColor="text1"/>
          <w:sz w:val="28"/>
          <w:szCs w:val="28"/>
          <w:lang w:eastAsia="zh-CN"/>
          <w14:textFill>
            <w14:solidFill>
              <w14:schemeClr w14:val="tx1"/>
            </w14:solidFill>
          </w14:textFill>
        </w:rPr>
        <w:t>货物质量应符合有关机构发布的最新行业标准或国家标准。</w:t>
      </w:r>
    </w:p>
    <w:p>
      <w:pPr>
        <w:autoSpaceDE w:val="0"/>
        <w:autoSpaceDN w:val="0"/>
        <w:ind w:firstLine="560" w:firstLineChars="200"/>
        <w:rPr>
          <w:rFonts w:hint="eastAsia" w:ascii="仿宋" w:hAnsi="仿宋" w:eastAsia="仿宋" w:cs="仿宋_GB2312"/>
          <w:color w:val="000000" w:themeColor="text1"/>
          <w:sz w:val="28"/>
          <w:szCs w:val="28"/>
          <w:lang w:val="zh-CN"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6.</w:t>
      </w:r>
      <w:r>
        <w:rPr>
          <w:rFonts w:hint="eastAsia" w:ascii="仿宋" w:hAnsi="仿宋" w:eastAsia="仿宋" w:cs="仿宋_GB2312"/>
          <w:color w:val="000000" w:themeColor="text1"/>
          <w:sz w:val="28"/>
          <w:szCs w:val="28"/>
          <w:lang w:val="zh-CN" w:eastAsia="zh-CN"/>
          <w14:textFill>
            <w14:solidFill>
              <w14:schemeClr w14:val="tx1"/>
            </w14:solidFill>
          </w14:textFill>
        </w:rPr>
        <w:t>供货商所提供的设备应符合询价人现场的使用要求。</w:t>
      </w:r>
    </w:p>
    <w:p>
      <w:pPr>
        <w:autoSpaceDE w:val="0"/>
        <w:autoSpaceDN w:val="0"/>
        <w:ind w:firstLine="560" w:firstLineChars="200"/>
        <w:rPr>
          <w:rFonts w:hint="eastAsia" w:ascii="仿宋" w:hAnsi="仿宋" w:eastAsia="仿宋" w:cs="仿宋_GB2312"/>
          <w:color w:val="000000" w:themeColor="text1"/>
          <w:sz w:val="28"/>
          <w:szCs w:val="28"/>
          <w:lang w:val="zh-CN"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7.</w:t>
      </w:r>
      <w:r>
        <w:rPr>
          <w:rFonts w:hint="eastAsia" w:ascii="仿宋" w:hAnsi="仿宋" w:eastAsia="仿宋" w:cs="仿宋_GB2312"/>
          <w:color w:val="000000" w:themeColor="text1"/>
          <w:sz w:val="28"/>
          <w:szCs w:val="28"/>
          <w:lang w:val="zh-CN" w:eastAsia="zh-CN"/>
          <w14:textFill>
            <w14:solidFill>
              <w14:schemeClr w14:val="tx1"/>
            </w14:solidFill>
          </w14:textFill>
        </w:rPr>
        <w:t>所提供的货物符合国家“三包”政策。</w:t>
      </w:r>
    </w:p>
    <w:p>
      <w:pPr>
        <w:autoSpaceDE w:val="0"/>
        <w:autoSpaceDN w:val="0"/>
        <w:ind w:firstLine="560" w:firstLineChars="200"/>
        <w:rPr>
          <w:rFonts w:hint="eastAsia" w:ascii="仿宋" w:hAnsi="仿宋" w:eastAsia="仿宋" w:cs="仿宋_GB2312"/>
          <w:color w:val="000000" w:themeColor="text1"/>
          <w:sz w:val="28"/>
          <w:szCs w:val="28"/>
          <w:lang w:val="zh-CN"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8</w:t>
      </w:r>
      <w:r>
        <w:rPr>
          <w:rFonts w:hint="eastAsia" w:ascii="仿宋" w:hAnsi="仿宋" w:eastAsia="仿宋" w:cs="仿宋_GB2312"/>
          <w:color w:val="000000" w:themeColor="text1"/>
          <w:sz w:val="28"/>
          <w:szCs w:val="28"/>
          <w:lang w:val="zh-CN" w:eastAsia="zh-CN"/>
          <w14:textFill>
            <w14:solidFill>
              <w14:schemeClr w14:val="tx1"/>
            </w14:solidFill>
          </w14:textFill>
        </w:rPr>
        <w:t>.完工后保证设施的正常使用、符合建设单位要求</w:t>
      </w:r>
    </w:p>
    <w:p>
      <w:pPr>
        <w:autoSpaceDE w:val="0"/>
        <w:autoSpaceDN w:val="0"/>
        <w:ind w:firstLine="560" w:firstLineChars="20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9.</w:t>
      </w:r>
      <w:r>
        <w:rPr>
          <w:rFonts w:hint="eastAsia" w:ascii="仿宋" w:hAnsi="仿宋" w:eastAsia="仿宋" w:cs="仿宋_GB2312"/>
          <w:color w:val="000000" w:themeColor="text1"/>
          <w:sz w:val="28"/>
          <w:szCs w:val="28"/>
          <w:lang w:val="zh-CN" w:eastAsia="zh-CN"/>
          <w14:textFill>
            <w14:solidFill>
              <w14:schemeClr w14:val="tx1"/>
            </w14:solidFill>
          </w14:textFill>
        </w:rPr>
        <w:t>供应商具备软件开发平台具备自主创新设计研发能力。</w:t>
      </w:r>
    </w:p>
    <w:p>
      <w:pPr>
        <w:rPr>
          <w:rFonts w:ascii="仿宋" w:hAnsi="仿宋" w:eastAsia="仿宋" w:cs="仿宋_GB2312"/>
          <w:color w:val="000000" w:themeColor="text1"/>
          <w:sz w:val="28"/>
          <w:szCs w:val="28"/>
          <w:shd w:val="clear" w:color="auto" w:fill="auto"/>
          <w14:textFill>
            <w14:solidFill>
              <w14:schemeClr w14:val="tx1"/>
            </w14:solidFill>
          </w14:textFill>
        </w:rPr>
      </w:pPr>
      <w:r>
        <w:rPr>
          <w:rFonts w:hint="eastAsia" w:ascii="仿宋" w:hAnsi="仿宋" w:eastAsia="仿宋" w:cs="仿宋_GB2312"/>
          <w:color w:val="000000" w:themeColor="text1"/>
          <w:sz w:val="28"/>
          <w:szCs w:val="28"/>
          <w:shd w:val="clear" w:color="auto" w:fill="auto"/>
          <w:lang w:val="zh-CN"/>
          <w14:textFill>
            <w14:solidFill>
              <w14:schemeClr w14:val="tx1"/>
            </w14:solidFill>
          </w14:textFill>
        </w:rPr>
        <w:t>六</w:t>
      </w:r>
      <w:r>
        <w:rPr>
          <w:rFonts w:hint="eastAsia" w:ascii="仿宋" w:hAnsi="仿宋" w:eastAsia="仿宋" w:cs="仿宋_GB2312"/>
          <w:color w:val="000000" w:themeColor="text1"/>
          <w:sz w:val="28"/>
          <w:szCs w:val="28"/>
          <w:shd w:val="clear" w:color="auto" w:fill="auto"/>
          <w14:textFill>
            <w14:solidFill>
              <w14:schemeClr w14:val="tx1"/>
            </w14:solidFill>
          </w14:textFill>
        </w:rPr>
        <w:t>、报价单位资格要求：</w:t>
      </w:r>
    </w:p>
    <w:p>
      <w:pPr>
        <w:pStyle w:val="53"/>
        <w:numPr>
          <w:ilvl w:val="0"/>
          <w:numId w:val="1"/>
        </w:numPr>
        <w:ind w:firstLineChars="0"/>
        <w:jc w:val="left"/>
        <w:rPr>
          <w:rFonts w:hint="eastAsia" w:ascii="仿宋" w:hAnsi="仿宋" w:eastAsia="仿宋" w:cs="仿宋_GB2312"/>
          <w:color w:val="000000" w:themeColor="text1"/>
          <w:sz w:val="28"/>
          <w:szCs w:val="28"/>
          <w:shd w:val="clear" w:color="auto" w:fill="auto"/>
          <w14:textFill>
            <w14:solidFill>
              <w14:schemeClr w14:val="tx1"/>
            </w14:solidFill>
          </w14:textFill>
        </w:rPr>
      </w:pPr>
      <w:r>
        <w:rPr>
          <w:rFonts w:hint="eastAsia" w:ascii="仿宋" w:hAnsi="仿宋" w:eastAsia="仿宋" w:cs="仿宋_GB2312"/>
          <w:color w:val="000000" w:themeColor="text1"/>
          <w:sz w:val="28"/>
          <w:szCs w:val="28"/>
          <w:shd w:val="clear" w:color="auto" w:fill="auto"/>
          <w14:textFill>
            <w14:solidFill>
              <w14:schemeClr w14:val="tx1"/>
            </w14:solidFill>
          </w14:textFill>
        </w:rPr>
        <w:t>报价单位须是中华人民共和国境内的法人或者其他组织，具有独立法人资格，且能开具增值税专用发票。</w:t>
      </w:r>
    </w:p>
    <w:p>
      <w:pPr>
        <w:pStyle w:val="53"/>
        <w:numPr>
          <w:ilvl w:val="0"/>
          <w:numId w:val="1"/>
        </w:numPr>
        <w:ind w:firstLineChars="0"/>
        <w:jc w:val="left"/>
        <w:rPr>
          <w:rFonts w:ascii="仿宋" w:hAnsi="仿宋" w:eastAsia="仿宋" w:cs="仿宋_GB2312"/>
          <w:color w:val="000000" w:themeColor="text1"/>
          <w:sz w:val="28"/>
          <w:szCs w:val="28"/>
          <w:shd w:val="clear" w:color="auto" w:fill="auto"/>
          <w14:textFill>
            <w14:solidFill>
              <w14:schemeClr w14:val="tx1"/>
            </w14:solidFill>
          </w14:textFill>
        </w:rPr>
      </w:pPr>
      <w:r>
        <w:rPr>
          <w:rFonts w:hint="eastAsia" w:ascii="仿宋" w:hAnsi="仿宋" w:eastAsia="仿宋" w:cs="仿宋_GB2312"/>
          <w:color w:val="000000" w:themeColor="text1"/>
          <w:sz w:val="28"/>
          <w:szCs w:val="28"/>
          <w:shd w:val="clear" w:color="auto" w:fill="auto"/>
          <w14:textFill>
            <w14:solidFill>
              <w14:schemeClr w14:val="tx1"/>
            </w14:solidFill>
          </w14:textFill>
        </w:rPr>
        <w:t>2017年1月1日至今，最少具有一项类似产品的销售业绩，并提供相关证明文件（合同复印件，加盖单位公章）。</w:t>
      </w:r>
    </w:p>
    <w:p>
      <w:pPr>
        <w:autoSpaceDE w:val="0"/>
        <w:autoSpaceDN w:val="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(答疑会)时间、地点（也可由报价单位自行踏勘现场）：</w:t>
      </w:r>
      <w:r>
        <w:rPr>
          <w:rFonts w:hint="eastAsia" w:ascii="仿宋" w:hAnsi="仿宋" w:eastAsia="仿宋" w:cs="仿宋_GB2312"/>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八、</w:t>
      </w:r>
      <w:r>
        <w:rPr>
          <w:rFonts w:hint="eastAsia" w:ascii="仿宋_GB2312" w:hAnsi="仿宋_GB2312" w:eastAsia="仿宋_GB2312" w:cs="仿宋_GB2312"/>
          <w:color w:val="000000" w:themeColor="text1"/>
          <w:sz w:val="28"/>
          <w:szCs w:val="28"/>
          <w14:textFill>
            <w14:solidFill>
              <w14:schemeClr w14:val="tx1"/>
            </w14:solidFill>
          </w14:textFill>
        </w:rPr>
        <w:t>询价文件的获取：在</w:t>
      </w:r>
      <w:r>
        <w:rPr>
          <w:rFonts w:ascii="仿宋_GB2312" w:hAnsi="仿宋_GB2312" w:eastAsia="仿宋_GB2312" w:cs="仿宋_GB2312"/>
          <w:color w:val="000000" w:themeColor="text1"/>
          <w:sz w:val="28"/>
          <w:szCs w:val="28"/>
          <w14:textFill>
            <w14:solidFill>
              <w14:schemeClr w14:val="tx1"/>
            </w14:solidFill>
          </w14:textFill>
        </w:rPr>
        <w:t>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ascii="仿宋_GB2312" w:hAnsi="仿宋_GB2312" w:eastAsia="仿宋_GB2312" w:cs="仿宋_GB2312"/>
          <w:color w:val="000000" w:themeColor="text1"/>
          <w:sz w:val="28"/>
          <w:szCs w:val="28"/>
          <w14:textFill>
            <w14:solidFill>
              <w14:schemeClr w14:val="tx1"/>
            </w14:solidFill>
          </w14:textFill>
        </w:rPr>
        <w:t>10时00分前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九、</w:t>
      </w:r>
      <w:r>
        <w:rPr>
          <w:rFonts w:hint="eastAsia" w:ascii="仿宋_GB2312" w:hAnsi="仿宋_GB2312" w:eastAsia="仿宋_GB2312" w:cs="仿宋_GB2312"/>
          <w:color w:val="000000" w:themeColor="text1"/>
          <w:sz w:val="28"/>
          <w:szCs w:val="28"/>
          <w14:textFill>
            <w14:solidFill>
              <w14:schemeClr w14:val="tx1"/>
            </w14:solidFill>
          </w14:textFill>
        </w:rPr>
        <w:t>询价响应文件递交时间：</w:t>
      </w:r>
      <w:r>
        <w:rPr>
          <w:rFonts w:ascii="仿宋_GB2312" w:hAnsi="仿宋_GB2312" w:eastAsia="仿宋_GB2312" w:cs="仿宋_GB2312"/>
          <w:color w:val="000000" w:themeColor="text1"/>
          <w:sz w:val="28"/>
          <w:szCs w:val="28"/>
          <w14:textFill>
            <w14:solidFill>
              <w14:schemeClr w14:val="tx1"/>
            </w14:solidFill>
          </w14:textFill>
        </w:rPr>
        <w:t>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w:t>
      </w:r>
      <w:r>
        <w:rPr>
          <w:rFonts w:hint="eastAsia" w:ascii="仿宋" w:hAnsi="仿宋" w:eastAsia="仿宋" w:cs="仿宋"/>
          <w:color w:val="000000" w:themeColor="text1"/>
          <w:sz w:val="28"/>
          <w:szCs w:val="28"/>
          <w14:textFill>
            <w14:solidFill>
              <w14:schemeClr w14:val="tx1"/>
            </w14:solidFill>
          </w14:textFill>
        </w:rPr>
        <w:t>响应文件送达地点</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 w:hAnsi="仿宋" w:eastAsia="仿宋" w:cs="仿宋"/>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十二、评审地点：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广州市净水有限公司六楼招标办</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十三、询价</w:t>
      </w:r>
      <w:r>
        <w:rPr>
          <w:rFonts w:hint="eastAsia" w:ascii="仿宋" w:hAnsi="仿宋" w:eastAsia="仿宋" w:cs="仿宋"/>
          <w:color w:val="000000" w:themeColor="text1"/>
          <w:sz w:val="28"/>
          <w:szCs w:val="28"/>
          <w14:textFill>
            <w14:solidFill>
              <w14:schemeClr w14:val="tx1"/>
            </w14:solidFill>
          </w14:textFill>
        </w:rPr>
        <w:t>人的联系方式</w:t>
      </w:r>
    </w:p>
    <w:p>
      <w:pPr>
        <w:snapToGrid w:val="0"/>
        <w:spacing w:line="540" w:lineRule="exact"/>
        <w:ind w:firstLine="630" w:firstLineChars="225"/>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询价人：广州市净水有限公司</w:t>
      </w:r>
    </w:p>
    <w:p>
      <w:pPr>
        <w:snapToGrid w:val="0"/>
        <w:spacing w:line="540" w:lineRule="exact"/>
        <w:rPr>
          <w:rFonts w:ascii="仿宋" w:hAnsi="仿宋" w:eastAsia="仿宋" w:cs="仿宋"/>
          <w:color w:val="000000" w:themeColor="text1"/>
          <w:kern w:val="0"/>
          <w:sz w:val="28"/>
          <w:szCs w:val="28"/>
          <w14:textFill>
            <w14:solidFill>
              <w14:schemeClr w14:val="tx1"/>
            </w14:solidFill>
          </w14:textFill>
        </w:rPr>
      </w:pPr>
      <w:r>
        <w:rPr>
          <w:rFonts w:ascii="仿宋" w:hAnsi="仿宋" w:eastAsia="仿宋" w:cs="仿宋"/>
          <w:color w:val="000000" w:themeColor="text1"/>
          <w:kern w:val="0"/>
          <w:sz w:val="28"/>
          <w:szCs w:val="28"/>
          <w14:textFill>
            <w14:solidFill>
              <w14:schemeClr w14:val="tx1"/>
            </w14:solidFill>
          </w14:textFill>
        </w:rPr>
        <w:t xml:space="preserve">     联系地址：广州市天河区临江大道501号</w:t>
      </w:r>
    </w:p>
    <w:p>
      <w:pPr>
        <w:snapToGrid w:val="0"/>
        <w:spacing w:line="540" w:lineRule="exact"/>
        <w:ind w:firstLine="840" w:firstLineChars="3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联系人：黄工</w:t>
      </w:r>
      <w:r>
        <w:rPr>
          <w:rFonts w:ascii="仿宋" w:hAnsi="仿宋" w:eastAsia="仿宋" w:cs="仿宋"/>
          <w:color w:val="000000" w:themeColor="text1"/>
          <w:kern w:val="0"/>
          <w:sz w:val="28"/>
          <w:szCs w:val="28"/>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联系方式：</w:t>
      </w:r>
      <w:r>
        <w:rPr>
          <w:rFonts w:ascii="仿宋" w:hAnsi="仿宋" w:eastAsia="仿宋" w:cs="仿宋"/>
          <w:color w:val="000000" w:themeColor="text1"/>
          <w:kern w:val="0"/>
          <w:sz w:val="28"/>
          <w:szCs w:val="28"/>
          <w14:textFill>
            <w14:solidFill>
              <w14:schemeClr w14:val="tx1"/>
            </w14:solidFill>
          </w14:textFill>
        </w:rPr>
        <w:t>020-62315524</w:t>
      </w:r>
    </w:p>
    <w:p>
      <w:pPr>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广州市净水有限公司</w:t>
      </w:r>
    </w:p>
    <w:p>
      <w:pPr>
        <w:jc w:val="righ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2020年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13</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第二部分项目内容</w:t>
      </w:r>
    </w:p>
    <w:p>
      <w:pPr>
        <w:pStyle w:val="12"/>
        <w:adjustRightInd w:val="0"/>
        <w:snapToGrid w:val="0"/>
        <w:spacing w:line="300" w:lineRule="auto"/>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一、项目情况介绍</w:t>
      </w:r>
      <w:bookmarkStart w:id="0" w:name="_Toc188952832"/>
    </w:p>
    <w:bookmarkEnd w:id="0"/>
    <w:p>
      <w:pPr>
        <w:autoSpaceDE/>
        <w:autoSpaceDN/>
        <w:ind w:firstLine="560" w:firstLineChars="200"/>
        <w:rPr>
          <w:rFonts w:ascii="仿宋" w:hAnsi="仿宋" w:eastAsia="仿宋" w:cs="仿宋"/>
          <w:bCs/>
          <w:color w:val="000000" w:themeColor="text1"/>
          <w:sz w:val="28"/>
          <w:szCs w:val="28"/>
          <w14:textFill>
            <w14:solidFill>
              <w14:schemeClr w14:val="tx1"/>
            </w14:solidFill>
          </w14:textFill>
        </w:rPr>
      </w:pPr>
      <w:bookmarkStart w:id="1" w:name="_Toc275706062"/>
      <w:bookmarkEnd w:id="1"/>
      <w:bookmarkStart w:id="2" w:name="_Toc275706065"/>
      <w:bookmarkEnd w:id="2"/>
      <w:bookmarkStart w:id="3" w:name="_Toc275706064"/>
      <w:bookmarkEnd w:id="3"/>
      <w:bookmarkStart w:id="4" w:name="_Toc275706063"/>
      <w:bookmarkEnd w:id="4"/>
      <w:bookmarkStart w:id="5" w:name="_Toc270571124"/>
      <w:bookmarkStart w:id="6" w:name="_Toc188952834"/>
      <w:r>
        <w:rPr>
          <w:rFonts w:hint="eastAsia" w:ascii="仿宋" w:hAnsi="仿宋" w:eastAsia="仿宋" w:cs="仿宋_GB2312"/>
          <w:color w:val="000000" w:themeColor="text1"/>
          <w:sz w:val="28"/>
          <w:szCs w:val="28"/>
          <w14:textFill>
            <w14:solidFill>
              <w14:schemeClr w14:val="tx1"/>
            </w14:solidFill>
          </w14:textFill>
        </w:rPr>
        <w:t>石井净分公司办公楼一楼全息沙盘项目，利用全息设备实现裸眼3D效果，立体呈现石井净水厂及其他新建净水厂的厂容厂貌、功能业态规划、治水流程、核心技术等内容，对办公楼一楼增设一个全息沙盘</w:t>
      </w:r>
      <w:r>
        <w:rPr>
          <w:rFonts w:hint="eastAsia" w:ascii="仿宋" w:hAnsi="仿宋" w:eastAsia="仿宋" w:cs="仿宋_GB2312"/>
          <w:color w:val="000000" w:themeColor="text1"/>
          <w:sz w:val="28"/>
          <w:szCs w:val="28"/>
          <w:lang w:eastAsia="zh-CN"/>
          <w14:textFill>
            <w14:solidFill>
              <w14:schemeClr w14:val="tx1"/>
            </w14:solidFill>
          </w14:textFill>
        </w:rPr>
        <w:t>。</w:t>
      </w:r>
    </w:p>
    <w:bookmarkEnd w:id="5"/>
    <w:bookmarkEnd w:id="6"/>
    <w:p>
      <w:pPr>
        <w:pStyle w:val="12"/>
        <w:adjustRightInd w:val="0"/>
        <w:snapToGrid w:val="0"/>
        <w:spacing w:line="300" w:lineRule="auto"/>
        <w:ind w:left="0"/>
        <w:rPr>
          <w:rFonts w:ascii="仿宋_GB2312" w:hAnsi="仿宋_GB2312" w:eastAsia="仿宋_GB2312" w:cs="仿宋_GB2312"/>
          <w:color w:val="000000" w:themeColor="text1"/>
          <w:sz w:val="28"/>
          <w:szCs w:val="28"/>
          <w14:textFill>
            <w14:solidFill>
              <w14:schemeClr w14:val="tx1"/>
            </w14:solidFill>
          </w14:textFill>
        </w:rPr>
      </w:pPr>
    </w:p>
    <w:p>
      <w:pPr>
        <w:pStyle w:val="12"/>
        <w:numPr>
          <w:ilvl w:val="0"/>
          <w:numId w:val="2"/>
        </w:numPr>
        <w:adjustRightInd w:val="0"/>
        <w:snapToGrid w:val="0"/>
        <w:spacing w:line="300" w:lineRule="auto"/>
        <w:rPr>
          <w:rFonts w:hint="eastAsia"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autoSpaceDE w:val="0"/>
        <w:autoSpaceDN w:val="0"/>
        <w:ind w:firstLine="560" w:firstLineChars="20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lang w:val="en-US" w:eastAsia="zh-CN"/>
          <w14:textFill>
            <w14:solidFill>
              <w14:schemeClr w14:val="tx1"/>
            </w14:solidFill>
          </w14:textFill>
        </w:rPr>
        <w:t>一</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lang w:val="zh-CN" w:eastAsia="zh-CN"/>
          <w14:textFill>
            <w14:solidFill>
              <w14:schemeClr w14:val="tx1"/>
            </w14:solidFill>
          </w14:textFill>
        </w:rPr>
        <w:t>办公楼一楼全息沙盘，</w:t>
      </w:r>
      <w:r>
        <w:rPr>
          <w:rFonts w:hint="eastAsia" w:ascii="仿宋" w:hAnsi="仿宋" w:eastAsia="仿宋" w:cs="仿宋_GB2312"/>
          <w:color w:val="000000" w:themeColor="text1"/>
          <w:sz w:val="28"/>
          <w:szCs w:val="28"/>
          <w:lang w:val="en-US" w:eastAsia="zh-CN"/>
          <w14:textFill>
            <w14:solidFill>
              <w14:schemeClr w14:val="tx1"/>
            </w14:solidFill>
          </w14:textFill>
        </w:rPr>
        <w:t>随便内容</w:t>
      </w:r>
      <w:r>
        <w:rPr>
          <w:rFonts w:hint="eastAsia" w:ascii="仿宋" w:hAnsi="仿宋" w:eastAsia="仿宋" w:cs="仿宋_GB2312"/>
          <w:color w:val="000000" w:themeColor="text1"/>
          <w:sz w:val="28"/>
          <w:szCs w:val="28"/>
          <w:lang w:val="zh-CN" w:eastAsia="zh-CN"/>
          <w14:textFill>
            <w14:solidFill>
              <w14:schemeClr w14:val="tx1"/>
            </w14:solidFill>
          </w14:textFill>
        </w:rPr>
        <w:t>及要求规格参数如下：</w:t>
      </w:r>
    </w:p>
    <w:tbl>
      <w:tblPr>
        <w:tblStyle w:val="22"/>
        <w:tblW w:w="11372" w:type="dxa"/>
        <w:tblInd w:w="-1447" w:type="dxa"/>
        <w:tblLayout w:type="fixed"/>
        <w:tblCellMar>
          <w:top w:w="0" w:type="dxa"/>
          <w:left w:w="0" w:type="dxa"/>
          <w:bottom w:w="0" w:type="dxa"/>
          <w:right w:w="0" w:type="dxa"/>
        </w:tblCellMar>
      </w:tblPr>
      <w:tblGrid>
        <w:gridCol w:w="1237"/>
        <w:gridCol w:w="1163"/>
        <w:gridCol w:w="1219"/>
        <w:gridCol w:w="1012"/>
        <w:gridCol w:w="4845"/>
        <w:gridCol w:w="984"/>
        <w:gridCol w:w="912"/>
      </w:tblGrid>
      <w:tr>
        <w:tblPrEx>
          <w:tblCellMar>
            <w:top w:w="0" w:type="dxa"/>
            <w:left w:w="0" w:type="dxa"/>
            <w:bottom w:w="0" w:type="dxa"/>
            <w:right w:w="0" w:type="dxa"/>
          </w:tblCellMar>
        </w:tblPrEx>
        <w:trPr>
          <w:trHeight w:val="420" w:hRule="atLeast"/>
        </w:trPr>
        <w:tc>
          <w:tcPr>
            <w:tcW w:w="1237"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产品名称</w:t>
            </w:r>
          </w:p>
        </w:tc>
        <w:tc>
          <w:tcPr>
            <w:tcW w:w="116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设备内容</w:t>
            </w:r>
          </w:p>
        </w:tc>
        <w:tc>
          <w:tcPr>
            <w:tcW w:w="12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项目名称</w:t>
            </w:r>
          </w:p>
        </w:tc>
        <w:tc>
          <w:tcPr>
            <w:tcW w:w="101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品牌型号</w:t>
            </w:r>
          </w:p>
        </w:tc>
        <w:tc>
          <w:tcPr>
            <w:tcW w:w="484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技术参数</w:t>
            </w:r>
          </w:p>
        </w:tc>
        <w:tc>
          <w:tcPr>
            <w:tcW w:w="98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数量</w:t>
            </w:r>
          </w:p>
        </w:tc>
        <w:tc>
          <w:tcPr>
            <w:tcW w:w="91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单位</w:t>
            </w:r>
          </w:p>
        </w:tc>
      </w:tr>
      <w:tr>
        <w:tblPrEx>
          <w:tblCellMar>
            <w:top w:w="0" w:type="dxa"/>
            <w:left w:w="0" w:type="dxa"/>
            <w:bottom w:w="0" w:type="dxa"/>
            <w:right w:w="0" w:type="dxa"/>
          </w:tblCellMar>
        </w:tblPrEx>
        <w:trPr>
          <w:trHeight w:val="2860" w:hRule="atLeast"/>
        </w:trPr>
        <w:tc>
          <w:tcPr>
            <w:tcW w:w="123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全息沙盘</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硬件设备</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光源屏幕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屏幕比例  16:9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屏幕分辨率 1920×1080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观看距离 3.0米</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高清格式 1080p</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背光性能 直下式背光LED</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可视角度(水平0垂直) 178度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屏幕刷新频率 60Hz</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屏幕对比度 1200:1</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屏幕响应速度 6ms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图像性能 第6代画质引擎技术 </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台 </w:t>
            </w:r>
          </w:p>
        </w:tc>
      </w:tr>
      <w:tr>
        <w:tblPrEx>
          <w:tblCellMar>
            <w:top w:w="0" w:type="dxa"/>
            <w:left w:w="0" w:type="dxa"/>
            <w:bottom w:w="0" w:type="dxa"/>
            <w:right w:w="0" w:type="dxa"/>
          </w:tblCellMar>
        </w:tblPrEx>
        <w:trPr>
          <w:trHeight w:val="672"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专业屏幕控制器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四个画面可以显示不同画面，分别播放不同场景 </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台 </w:t>
            </w:r>
          </w:p>
        </w:tc>
      </w:tr>
      <w:tr>
        <w:tblPrEx>
          <w:tblCellMar>
            <w:top w:w="0" w:type="dxa"/>
            <w:left w:w="0" w:type="dxa"/>
            <w:bottom w:w="0" w:type="dxa"/>
            <w:right w:w="0" w:type="dxa"/>
          </w:tblCellMar>
        </w:tblPrEx>
        <w:trPr>
          <w:trHeight w:val="672"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内部钢结构焊接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套 </w:t>
            </w:r>
          </w:p>
        </w:tc>
      </w:tr>
      <w:tr>
        <w:tblPrEx>
          <w:tblCellMar>
            <w:top w:w="0" w:type="dxa"/>
            <w:left w:w="0" w:type="dxa"/>
            <w:bottom w:w="0" w:type="dxa"/>
            <w:right w:w="0" w:type="dxa"/>
          </w:tblCellMar>
        </w:tblPrEx>
        <w:trPr>
          <w:trHeight w:val="672"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金字塔成像载体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特殊防爆全息金子塔玻璃，专业防爆处理，精工艺倒角处理。 </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套 </w:t>
            </w:r>
          </w:p>
        </w:tc>
      </w:tr>
      <w:tr>
        <w:tblPrEx>
          <w:tblCellMar>
            <w:top w:w="0" w:type="dxa"/>
            <w:left w:w="0" w:type="dxa"/>
            <w:bottom w:w="0" w:type="dxa"/>
            <w:right w:w="0" w:type="dxa"/>
          </w:tblCellMar>
        </w:tblPrEx>
        <w:trPr>
          <w:trHeight w:val="672"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全息膜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技术参数： 投影画面成像反光膜 </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12.00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 </w:t>
            </w:r>
          </w:p>
        </w:tc>
      </w:tr>
      <w:tr>
        <w:tblPrEx>
          <w:tblCellMar>
            <w:top w:w="0" w:type="dxa"/>
            <w:left w:w="0" w:type="dxa"/>
            <w:bottom w:w="0" w:type="dxa"/>
            <w:right w:w="0" w:type="dxa"/>
          </w:tblCellMar>
        </w:tblPrEx>
        <w:trPr>
          <w:trHeight w:val="672"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全息膜框架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技术参数：全息膜定制固定框架 </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12.00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 </w:t>
            </w:r>
          </w:p>
        </w:tc>
      </w:tr>
      <w:tr>
        <w:tblPrEx>
          <w:tblCellMar>
            <w:top w:w="0" w:type="dxa"/>
            <w:left w:w="0" w:type="dxa"/>
            <w:bottom w:w="0" w:type="dxa"/>
            <w:right w:w="0" w:type="dxa"/>
          </w:tblCellMar>
        </w:tblPrEx>
        <w:trPr>
          <w:trHeight w:val="672"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幕布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技术参数：高清融合大屏幕 </w:t>
            </w:r>
          </w:p>
        </w:tc>
        <w:tc>
          <w:tcPr>
            <w:tcW w:w="9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 </w:t>
            </w:r>
          </w:p>
        </w:tc>
      </w:tr>
      <w:tr>
        <w:tblPrEx>
          <w:tblCellMar>
            <w:top w:w="0" w:type="dxa"/>
            <w:left w:w="0" w:type="dxa"/>
            <w:bottom w:w="0" w:type="dxa"/>
            <w:right w:w="0" w:type="dxa"/>
          </w:tblCellMar>
        </w:tblPrEx>
        <w:trPr>
          <w:trHeight w:val="2900"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工控机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1、CPU:  Intel 酷睿i7 8700，主频3.6GHz，4核8线程，支持内存64GB;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2、主板：B360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3、显卡：GeForce GTX1060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4、固态硬盘：SL300 128GB SATA3 读取速度510mb0s,写入速度350mb0s。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5、内存： 8GB DDR4 2400 ；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6、专用电源+工控机箱。 </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台 </w:t>
            </w:r>
          </w:p>
        </w:tc>
      </w:tr>
      <w:tr>
        <w:tblPrEx>
          <w:tblCellMar>
            <w:top w:w="0" w:type="dxa"/>
            <w:left w:w="0" w:type="dxa"/>
            <w:bottom w:w="0" w:type="dxa"/>
            <w:right w:w="0" w:type="dxa"/>
          </w:tblCellMar>
        </w:tblPrEx>
        <w:trPr>
          <w:trHeight w:val="672"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全息底座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定制 </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长宽高2.4*2.4*2.395 </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套 </w:t>
            </w:r>
          </w:p>
        </w:tc>
      </w:tr>
      <w:tr>
        <w:tblPrEx>
          <w:tblCellMar>
            <w:top w:w="0" w:type="dxa"/>
            <w:left w:w="0" w:type="dxa"/>
            <w:bottom w:w="0" w:type="dxa"/>
            <w:right w:w="0" w:type="dxa"/>
          </w:tblCellMar>
        </w:tblPrEx>
        <w:trPr>
          <w:trHeight w:val="900"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软件内容</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影片文案创意策划</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定制</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影片资料的收集和整理，进行策划、创意、故事情节编写、文案制作</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0" w:type="dxa"/>
            <w:bottom w:w="0" w:type="dxa"/>
            <w:right w:w="0" w:type="dxa"/>
          </w:tblCellMar>
        </w:tblPrEx>
        <w:trPr>
          <w:trHeight w:val="640" w:hRule="atLeast"/>
        </w:trPr>
        <w:tc>
          <w:tcPr>
            <w:tcW w:w="123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内容影片制作</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定制</w:t>
            </w:r>
          </w:p>
        </w:tc>
        <w:tc>
          <w:tcPr>
            <w:tcW w:w="4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10个以内净水厂三维建模动态表现，分辨率1920*1080</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180.00 </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秒</w:t>
            </w:r>
          </w:p>
        </w:tc>
      </w:tr>
    </w:tbl>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1.实地考察一楼大堂光线和空间环境，确定全息沙盘摆放位置和摆放尺寸；</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2.根据确定尺寸生产全息产品；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3.全息生产完成前一周进行现场布线，安装好供电插座，连接好网线；</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4.根据需求制作全息沙盘动画内容；</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5.全息设备现场安装和调试；</w:t>
      </w:r>
    </w:p>
    <w:p>
      <w:pPr>
        <w:autoSpaceDE w:val="0"/>
        <w:autoSpaceDN w:val="0"/>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6.施工完毕，清理现场</w:t>
      </w:r>
      <w:r>
        <w:rPr>
          <w:rFonts w:hint="eastAsia" w:ascii="仿宋" w:hAnsi="仿宋" w:eastAsia="仿宋" w:cs="仿宋"/>
          <w:color w:val="000000" w:themeColor="text1"/>
          <w:sz w:val="28"/>
          <w:szCs w:val="28"/>
          <w14:textFill>
            <w14:solidFill>
              <w14:schemeClr w14:val="tx1"/>
            </w14:solidFill>
          </w14:textFill>
        </w:rPr>
        <w:t>。</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要求</w:t>
      </w:r>
    </w:p>
    <w:p>
      <w:pPr>
        <w:autoSpaceDE w:val="0"/>
        <w:autoSpaceDN w:val="0"/>
        <w:ind w:firstLine="560" w:firstLineChars="200"/>
        <w:jc w:val="left"/>
        <w:rPr>
          <w:rFonts w:hint="default"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1.承包人需对净水厂的发展、运行和工艺有一定的了解。</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2.承包人需提供货物运输，将货物运送到指定位置。</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3.所提供的货物及配件是全新合格定制产品，质量应符合有关机构发布的最新行业标准或国家标准。</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4.货物质量应符合询价人现场的使用要求。</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5.货物质量应符合有关机构发布的最新行业标准或国家标准。</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6.供货商所提供的设备应符合询价人现场的使用要求。</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7.所提供的货物符合国家“三包”政策。</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8.完工后保证设施的正常使用、符合建设单位要求</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9.供应商具备软件开发平台具备自主创新设计研发能力。</w:t>
      </w:r>
    </w:p>
    <w:p>
      <w:pPr>
        <w:autoSpaceDE w:val="0"/>
        <w:autoSpaceDN w:val="0"/>
        <w:ind w:firstLine="560" w:firstLineChars="200"/>
        <w:jc w:val="left"/>
        <w:rPr>
          <w:rFonts w:hint="eastAsia" w:ascii="仿宋" w:hAnsi="仿宋" w:eastAsia="仿宋" w:cs="仿宋_GB2312"/>
          <w:color w:val="000000" w:themeColor="text1"/>
          <w:sz w:val="28"/>
          <w:szCs w:val="28"/>
          <w:shd w:val="clear" w:color="auto" w:fill="auto"/>
          <w:lang w:eastAsia="zh-CN"/>
          <w14:textFill>
            <w14:solidFill>
              <w14:schemeClr w14:val="tx1"/>
            </w14:solidFill>
          </w14:textFill>
        </w:rPr>
      </w:pPr>
      <w:r>
        <w:rPr>
          <w:rFonts w:hint="eastAsia" w:ascii="仿宋" w:hAnsi="仿宋" w:eastAsia="仿宋" w:cs="仿宋_GB2312"/>
          <w:color w:val="000000" w:themeColor="text1"/>
          <w:sz w:val="28"/>
          <w:szCs w:val="28"/>
          <w:shd w:val="clear" w:color="auto" w:fill="auto"/>
          <w:lang w:val="en-US" w:eastAsia="zh-CN"/>
          <w14:textFill>
            <w14:solidFill>
              <w14:schemeClr w14:val="tx1"/>
            </w14:solidFill>
          </w14:textFill>
        </w:rPr>
        <w:t>10.</w:t>
      </w:r>
      <w:r>
        <w:rPr>
          <w:rFonts w:hint="eastAsia" w:ascii="仿宋" w:hAnsi="仿宋" w:eastAsia="仿宋" w:cs="仿宋_GB2312"/>
          <w:color w:val="000000" w:themeColor="text1"/>
          <w:sz w:val="28"/>
          <w:szCs w:val="28"/>
          <w:shd w:val="clear" w:color="auto" w:fill="auto"/>
          <w14:textFill>
            <w14:solidFill>
              <w14:schemeClr w14:val="tx1"/>
            </w14:solidFill>
          </w14:textFill>
        </w:rPr>
        <w:t>报价单位具备ISO的相关认证证书（有效期至2020年12月底）</w:t>
      </w:r>
      <w:r>
        <w:rPr>
          <w:rFonts w:hint="eastAsia" w:ascii="仿宋" w:hAnsi="仿宋" w:eastAsia="仿宋" w:cs="仿宋_GB2312"/>
          <w:color w:val="000000" w:themeColor="text1"/>
          <w:sz w:val="28"/>
          <w:szCs w:val="28"/>
          <w:shd w:val="clear" w:color="auto" w:fill="auto"/>
          <w:lang w:eastAsia="zh-CN"/>
          <w14:textFill>
            <w14:solidFill>
              <w14:schemeClr w14:val="tx1"/>
            </w14:solidFill>
          </w14:textFill>
        </w:rPr>
        <w:t>。</w:t>
      </w:r>
    </w:p>
    <w:p>
      <w:pPr>
        <w:autoSpaceDE w:val="0"/>
        <w:autoSpaceDN w:val="0"/>
        <w:ind w:firstLine="560" w:firstLineChars="200"/>
        <w:jc w:val="left"/>
        <w:rPr>
          <w:rFonts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 w:hAnsi="仿宋" w:eastAsia="仿宋" w:cs="仿宋_GB2312"/>
          <w:color w:val="000000" w:themeColor="text1"/>
          <w:sz w:val="28"/>
          <w:szCs w:val="28"/>
          <w:shd w:val="clear" w:color="auto" w:fill="auto"/>
          <w:lang w:val="en-US" w:eastAsia="zh-CN"/>
          <w14:textFill>
            <w14:solidFill>
              <w14:schemeClr w14:val="tx1"/>
            </w14:solidFill>
          </w14:textFill>
        </w:rPr>
        <w:t>11.</w:t>
      </w:r>
      <w:r>
        <w:rPr>
          <w:rFonts w:hint="eastAsia" w:ascii="仿宋_GB2312" w:hAnsi="仿宋_GB2312" w:eastAsia="仿宋_GB2312" w:cs="仿宋_GB2312"/>
          <w:color w:val="auto"/>
          <w:sz w:val="28"/>
          <w:szCs w:val="28"/>
          <w:lang w:val="en-US" w:eastAsia="zh-CN"/>
        </w:rPr>
        <w:t>所报价货物须</w:t>
      </w:r>
      <w:r>
        <w:rPr>
          <w:rFonts w:hint="eastAsia" w:ascii="仿宋" w:hAnsi="仿宋" w:eastAsia="仿宋" w:cs="仿宋_GB2312"/>
          <w:color w:val="auto"/>
          <w:sz w:val="28"/>
          <w:szCs w:val="28"/>
          <w:shd w:val="clear" w:color="auto" w:fill="auto"/>
        </w:rPr>
        <w:t>具有与项目相关的展览展示类的著作权或者实用新型专利证书</w:t>
      </w:r>
      <w:r>
        <w:rPr>
          <w:rFonts w:hint="eastAsia" w:ascii="仿宋" w:hAnsi="仿宋" w:eastAsia="仿宋" w:cs="仿宋_GB2312"/>
          <w:color w:val="000000" w:themeColor="text1"/>
          <w:sz w:val="28"/>
          <w:szCs w:val="28"/>
          <w:shd w:val="clear" w:color="auto" w:fill="auto"/>
          <w:lang w:eastAsia="zh-CN"/>
          <w14:textFill>
            <w14:solidFill>
              <w14:schemeClr w14:val="tx1"/>
            </w14:solidFill>
          </w14:textFill>
        </w:rPr>
        <w:t>。</w:t>
      </w:r>
    </w:p>
    <w:p>
      <w:pPr>
        <w:pStyle w:val="12"/>
        <w:adjustRightInd w:val="0"/>
        <w:snapToGrid w:val="0"/>
        <w:spacing w:line="300" w:lineRule="auto"/>
        <w:rPr>
          <w:rFonts w:hint="eastAsia" w:ascii="仿宋" w:hAnsi="仿宋" w:eastAsia="仿宋" w:cs="仿宋_GB2312"/>
          <w:b/>
          <w:color w:val="000000" w:themeColor="text1"/>
          <w:sz w:val="28"/>
          <w:szCs w:val="28"/>
          <w:lang w:val="zh-CN"/>
          <w14:textFill>
            <w14:solidFill>
              <w14:schemeClr w14:val="tx1"/>
            </w14:solidFill>
          </w14:textFill>
        </w:rPr>
      </w:pPr>
    </w:p>
    <w:p>
      <w:pPr>
        <w:pStyle w:val="12"/>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1.货期：硬件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内</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软件内容制作</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内</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2.质量要求：</w:t>
      </w:r>
      <w:r>
        <w:rPr>
          <w:rFonts w:hint="eastAsia" w:ascii="仿宋_GB2312" w:hAnsi="仿宋_GB2312" w:eastAsia="仿宋_GB2312" w:cs="仿宋_GB2312"/>
          <w:color w:val="000000" w:themeColor="text1"/>
          <w:sz w:val="28"/>
          <w:szCs w:val="28"/>
          <w:lang w:val="zh-CN"/>
          <w14:textFill>
            <w14:solidFill>
              <w14:schemeClr w14:val="tx1"/>
            </w14:solidFill>
          </w14:textFill>
        </w:rPr>
        <w:t>供货商所提供的设备必须为全新原装的。</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3.保修期（保养期）：自</w:t>
      </w:r>
      <w:r>
        <w:rPr>
          <w:rFonts w:hint="default" w:ascii="仿宋_GB2312" w:hAnsi="仿宋_GB2312" w:eastAsia="仿宋_GB2312" w:cs="仿宋_GB2312"/>
          <w:color w:val="000000" w:themeColor="text1"/>
          <w:sz w:val="28"/>
          <w:szCs w:val="28"/>
          <w:u w:val="none"/>
          <w14:textFill>
            <w14:solidFill>
              <w14:schemeClr w14:val="tx1"/>
            </w14:solidFill>
          </w14:textFill>
        </w:rPr>
        <w:t>货物开箱</w:t>
      </w:r>
      <w:r>
        <w:rPr>
          <w:rFonts w:ascii="仿宋_GB2312" w:hAnsi="仿宋_GB2312" w:eastAsia="仿宋_GB2312" w:cs="仿宋_GB2312"/>
          <w:color w:val="000000" w:themeColor="text1"/>
          <w:sz w:val="28"/>
          <w:szCs w:val="28"/>
          <w:u w:val="none"/>
          <w14:textFill>
            <w14:solidFill>
              <w14:schemeClr w14:val="tx1"/>
            </w14:solidFill>
          </w14:textFill>
        </w:rPr>
        <w:t>/</w:t>
      </w:r>
      <w:r>
        <w:rPr>
          <w:rFonts w:hint="default" w:ascii="仿宋_GB2312" w:hAnsi="仿宋_GB2312" w:eastAsia="仿宋_GB2312" w:cs="仿宋_GB2312"/>
          <w:color w:val="000000" w:themeColor="text1"/>
          <w:sz w:val="28"/>
          <w:szCs w:val="28"/>
          <w:u w:val="none"/>
          <w14:textFill>
            <w14:solidFill>
              <w14:schemeClr w14:val="tx1"/>
            </w14:solidFill>
          </w14:textFill>
        </w:rPr>
        <w:t>试运行</w:t>
      </w:r>
      <w:r>
        <w:rPr>
          <w:rFonts w:ascii="仿宋_GB2312" w:hAnsi="仿宋_GB2312" w:eastAsia="仿宋_GB2312" w:cs="仿宋_GB2312"/>
          <w:color w:val="000000" w:themeColor="text1"/>
          <w:sz w:val="28"/>
          <w:szCs w:val="28"/>
          <w14:textFill>
            <w14:solidFill>
              <w14:schemeClr w14:val="tx1"/>
            </w14:solidFill>
          </w14:textFill>
        </w:rPr>
        <w:t>之日开始计算保修一年，需设备原厂盖章。</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报价人需直接跟踪服务，提供7</w:t>
      </w:r>
      <w:r>
        <w:rPr>
          <w:rFonts w:ascii="仿宋_GB2312" w:hAnsi="仿宋_GB2312" w:eastAsia="仿宋_GB2312" w:cs="仿宋_GB2312"/>
          <w:color w:val="auto"/>
          <w:sz w:val="28"/>
          <w:szCs w:val="28"/>
        </w:rPr>
        <w:t>*24</w:t>
      </w:r>
      <w:r>
        <w:rPr>
          <w:rFonts w:hint="eastAsia" w:ascii="仿宋_GB2312" w:hAnsi="仿宋_GB2312" w:eastAsia="仿宋_GB2312" w:cs="仿宋_GB2312"/>
          <w:color w:val="auto"/>
          <w:sz w:val="28"/>
          <w:szCs w:val="28"/>
        </w:rPr>
        <w:t>小时服务，故障现场到位服务时间为2小时（需提供证明）。</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单位需承诺在签订合同</w:t>
      </w:r>
      <w:r>
        <w:rPr>
          <w:rFonts w:ascii="仿宋_GB2312" w:hAnsi="仿宋_GB2312" w:eastAsia="仿宋_GB2312" w:cs="仿宋_GB2312"/>
          <w:color w:val="auto"/>
          <w:sz w:val="28"/>
          <w:szCs w:val="28"/>
        </w:rPr>
        <w:t>30</w:t>
      </w:r>
      <w:r>
        <w:rPr>
          <w:rFonts w:hint="eastAsia" w:ascii="仿宋_GB2312" w:hAnsi="仿宋_GB2312" w:eastAsia="仿宋_GB2312" w:cs="仿宋_GB2312"/>
          <w:color w:val="auto"/>
          <w:sz w:val="28"/>
          <w:szCs w:val="28"/>
        </w:rPr>
        <w:t>日内</w:t>
      </w:r>
      <w:r>
        <w:rPr>
          <w:rFonts w:ascii="仿宋_GB2312" w:hAnsi="仿宋_GB2312" w:eastAsia="仿宋_GB2312" w:cs="仿宋_GB2312"/>
          <w:color w:val="auto"/>
          <w:sz w:val="28"/>
          <w:szCs w:val="28"/>
        </w:rPr>
        <w:t>，完成</w:t>
      </w:r>
      <w:r>
        <w:rPr>
          <w:rFonts w:hint="eastAsia" w:ascii="仿宋_GB2312" w:hAnsi="仿宋_GB2312" w:eastAsia="仿宋_GB2312" w:cs="仿宋_GB2312"/>
          <w:color w:val="auto"/>
          <w:sz w:val="28"/>
          <w:szCs w:val="28"/>
        </w:rPr>
        <w:t>硬件设备的定制及安装</w:t>
      </w:r>
      <w:r>
        <w:rPr>
          <w:rFonts w:hint="eastAsia" w:ascii="仿宋_GB2312" w:hAnsi="仿宋_GB2312" w:eastAsia="仿宋_GB2312" w:cs="仿宋_GB2312"/>
          <w:color w:val="auto"/>
          <w:sz w:val="28"/>
          <w:szCs w:val="28"/>
          <w:lang w:val="en-US" w:eastAsia="zh-CN"/>
        </w:rPr>
        <w:t>和软件内容制作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时需出具佐证材料：全息沙盘效果图及设计方案。</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单位需承诺在签订合同1</w:t>
      </w:r>
      <w:r>
        <w:rPr>
          <w:rFonts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rPr>
        <w:t>日内，提供</w:t>
      </w:r>
      <w:r>
        <w:rPr>
          <w:rFonts w:hint="eastAsia" w:ascii="仿宋_GB2312" w:hAnsi="仿宋_GB2312" w:eastAsia="仿宋_GB2312" w:cs="仿宋_GB2312"/>
          <w:color w:val="auto"/>
          <w:sz w:val="28"/>
          <w:szCs w:val="28"/>
          <w:lang w:val="en-US" w:eastAsia="zh-CN"/>
        </w:rPr>
        <w:t>工期</w:t>
      </w:r>
      <w:r>
        <w:rPr>
          <w:rFonts w:hint="eastAsia" w:ascii="仿宋_GB2312" w:hAnsi="仿宋_GB2312" w:eastAsia="仿宋_GB2312" w:cs="仿宋_GB2312"/>
          <w:color w:val="auto"/>
          <w:sz w:val="28"/>
          <w:szCs w:val="28"/>
        </w:rPr>
        <w:t>周期明细表</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全息沙盘效果图及软件内容制作</w:t>
      </w:r>
      <w:r>
        <w:rPr>
          <w:rFonts w:ascii="仿宋_GB2312" w:hAnsi="仿宋_GB2312" w:eastAsia="仿宋_GB2312" w:cs="仿宋_GB2312"/>
          <w:color w:val="auto"/>
          <w:sz w:val="28"/>
          <w:szCs w:val="28"/>
        </w:rPr>
        <w:t>。</w:t>
      </w:r>
    </w:p>
    <w:p>
      <w:pPr>
        <w:autoSpaceDE w:val="0"/>
        <w:autoSpaceDN w:val="0"/>
        <w:ind w:left="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付款方式：采用支票、银行汇票、电汇三种形式</w:t>
      </w:r>
      <w:r>
        <w:rPr>
          <w:rFonts w:hint="eastAsia" w:ascii="仿宋_GB2312" w:hAnsi="仿宋_GB2312" w:eastAsia="仿宋_GB2312" w:cs="仿宋_GB2312"/>
          <w:color w:val="auto"/>
          <w:sz w:val="28"/>
          <w:szCs w:val="28"/>
          <w:lang w:eastAsia="zh-CN"/>
        </w:rPr>
        <w:t>。</w:t>
      </w:r>
    </w:p>
    <w:p>
      <w:pPr>
        <w:autoSpaceDE w:val="0"/>
        <w:autoSpaceDN w:val="0"/>
        <w:ind w:left="56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承包方式：</w:t>
      </w:r>
      <w:r>
        <w:rPr>
          <w:rFonts w:hint="eastAsia" w:ascii="仿宋_GB2312" w:hAnsi="仿宋_GB2312" w:eastAsia="仿宋_GB2312" w:cs="仿宋_GB2312"/>
          <w:color w:val="auto"/>
          <w:sz w:val="28"/>
          <w:szCs w:val="28"/>
          <w:lang w:val="en-US" w:eastAsia="zh-CN"/>
        </w:rPr>
        <w:t>总价包干</w:t>
      </w:r>
    </w:p>
    <w:p>
      <w:pPr>
        <w:autoSpaceDE w:val="0"/>
        <w:autoSpaceDN w:val="0"/>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释疑：</w:t>
      </w:r>
    </w:p>
    <w:p>
      <w:pPr>
        <w:autoSpaceDE w:val="0"/>
        <w:autoSpaceDN w:val="0"/>
        <w:ind w:left="56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sym w:font="Wingdings 2" w:char="0052"/>
      </w:r>
      <w:r>
        <w:rPr>
          <w:rFonts w:hint="eastAsia" w:ascii="仿宋_GB2312" w:hAnsi="仿宋_GB2312" w:eastAsia="仿宋_GB2312" w:cs="仿宋_GB2312"/>
          <w:color w:val="auto"/>
          <w:sz w:val="28"/>
          <w:szCs w:val="28"/>
        </w:rPr>
        <w:t>固定总价：询价响应文件包含总价及综合单价时，总价为合同总价。合同总价在询价文件及施工合同约定的风险范围之内不可调整。</w:t>
      </w:r>
    </w:p>
    <w:p>
      <w:pPr>
        <w:autoSpaceDE w:val="0"/>
        <w:autoSpaceDN w:val="0"/>
        <w:ind w:left="560"/>
        <w:rPr>
          <w:rFonts w:ascii="仿宋_GB2312" w:hAnsi="仿宋_GB2312" w:eastAsia="仿宋_GB2312" w:cs="仿宋_GB2312"/>
          <w:color w:val="FF0000"/>
          <w:sz w:val="28"/>
          <w:szCs w:val="28"/>
        </w:rPr>
      </w:pPr>
      <w:r>
        <w:rPr>
          <w:rFonts w:ascii="仿宋_GB2312" w:hAnsi="仿宋_GB2312" w:eastAsia="仿宋_GB2312" w:cs="仿宋_GB2312"/>
          <w:color w:val="auto"/>
          <w:sz w:val="28"/>
          <w:szCs w:val="28"/>
        </w:rPr>
        <w:sym w:font="Wingdings 2" w:char="00A3"/>
      </w:r>
      <w:r>
        <w:rPr>
          <w:rFonts w:hint="eastAsia" w:ascii="仿宋_GB2312" w:hAnsi="仿宋_GB2312" w:eastAsia="仿宋_GB2312" w:cs="仿宋_GB2312"/>
          <w:color w:val="auto"/>
          <w:sz w:val="28"/>
          <w:szCs w:val="28"/>
        </w:rPr>
        <w:t>固定单价：询价响应文件包含总价及综合单价时，综合单价为合同单价。合同单价在询价文件及施工合同约定的风险范围之内不可调整。</w:t>
      </w: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left="0"/>
        <w:rPr>
          <w:rFonts w:ascii="仿宋_GB2312" w:hAnsi="仿宋_GB2312" w:eastAsia="仿宋_GB2312" w:cs="仿宋_GB2312"/>
          <w:color w:val="000000" w:themeColor="text1"/>
          <w:sz w:val="28"/>
          <w:szCs w:val="28"/>
          <w14:textFill>
            <w14:solidFill>
              <w14:schemeClr w14:val="tx1"/>
            </w14:solidFill>
          </w14:textFill>
        </w:rPr>
      </w:pPr>
    </w:p>
    <w:p>
      <w:pPr>
        <w:pStyle w:val="12"/>
        <w:adjustRightInd w:val="0"/>
        <w:snapToGrid w:val="0"/>
        <w:spacing w:line="300" w:lineRule="auto"/>
        <w:jc w:val="both"/>
        <w:rPr>
          <w:rFonts w:hint="eastAsia" w:ascii="仿宋" w:hAnsi="仿宋" w:eastAsia="仿宋" w:cs="仿宋_GB2312"/>
          <w:b/>
          <w:color w:val="000000" w:themeColor="text1"/>
          <w:sz w:val="28"/>
          <w:szCs w:val="28"/>
          <w:lang w:val="zh-CN"/>
          <w14:textFill>
            <w14:solidFill>
              <w14:schemeClr w14:val="tx1"/>
            </w14:solidFill>
          </w14:textFill>
        </w:rPr>
      </w:pPr>
    </w:p>
    <w:p>
      <w:pPr>
        <w:pStyle w:val="12"/>
        <w:adjustRightInd w:val="0"/>
        <w:snapToGrid w:val="0"/>
        <w:spacing w:line="300" w:lineRule="auto"/>
        <w:jc w:val="both"/>
        <w:rPr>
          <w:rFonts w:hint="eastAsia" w:ascii="仿宋" w:hAnsi="仿宋" w:eastAsia="仿宋" w:cs="仿宋_GB2312"/>
          <w:b/>
          <w:color w:val="000000" w:themeColor="text1"/>
          <w:sz w:val="28"/>
          <w:szCs w:val="28"/>
          <w:lang w:val="zh-CN"/>
          <w14:textFill>
            <w14:solidFill>
              <w14:schemeClr w14:val="tx1"/>
            </w14:solidFill>
          </w14:textFill>
        </w:rPr>
      </w:pPr>
    </w:p>
    <w:p>
      <w:pPr>
        <w:pStyle w:val="12"/>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2"/>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2"/>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2"/>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w:t>
      </w:r>
      <w:r>
        <w:rPr>
          <w:rFonts w:ascii="仿宋" w:hAnsi="仿宋" w:eastAsia="仿宋" w:cs="仿宋_GB2312"/>
          <w:color w:val="000000" w:themeColor="text1"/>
          <w:sz w:val="28"/>
          <w:szCs w:val="28"/>
          <w14:textFill>
            <w14:solidFill>
              <w14:schemeClr w14:val="tx1"/>
            </w14:solidFill>
          </w14:textFill>
        </w:rPr>
        <w:t>.3询价文件的修改将以书面形式通知所有购买询价文件的报价单位，并对其具有约束力。报价单位在收到上述通知后，应立即向询价人回函确认。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2"/>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2"/>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2"/>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color w:val="000000" w:themeColor="text1"/>
          <w:kern w:val="0"/>
          <w:sz w:val="28"/>
          <w:szCs w:val="28"/>
          <w14:textFill>
            <w14:solidFill>
              <w14:schemeClr w14:val="tx1"/>
            </w14:solidFill>
          </w14:textFill>
        </w:rPr>
        <w:t>本项目不接受联合体参加报价</w:t>
      </w:r>
      <w:r>
        <w:rPr>
          <w:rFonts w:ascii="仿宋" w:hAnsi="仿宋" w:eastAsia="仿宋" w:cs="仿宋_GB2312"/>
          <w:color w:val="000000" w:themeColor="text1"/>
          <w:kern w:val="0"/>
          <w:sz w:val="28"/>
          <w:szCs w:val="28"/>
          <w14:textFill>
            <w14:solidFill>
              <w14:schemeClr w14:val="tx1"/>
            </w14:solidFill>
          </w14:textFill>
        </w:rPr>
        <w:t>。</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询价会</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2"/>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2"/>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autoSpaceDE w:val="0"/>
        <w:autoSpaceDN w:val="0"/>
        <w:adjustRightInd w:val="0"/>
        <w:snapToGrid w:val="0"/>
        <w:spacing w:line="300" w:lineRule="auto"/>
        <w:ind w:left="420" w:right="32" w:hanging="420"/>
        <w:rPr>
          <w:rFonts w:hint="eastAsia" w:ascii="仿宋" w:hAnsi="仿宋" w:eastAsia="仿宋" w:cs="仿宋_GB2312"/>
          <w:color w:val="000000" w:themeColor="text1"/>
          <w:sz w:val="28"/>
          <w:szCs w:val="28"/>
          <w14:textFill>
            <w14:solidFill>
              <w14:schemeClr w14:val="tx1"/>
            </w14:solidFill>
          </w14:textFill>
        </w:rPr>
      </w:pPr>
    </w:p>
    <w:p>
      <w:pPr>
        <w:pStyle w:val="3"/>
        <w:rPr>
          <w:rFonts w:ascii="仿宋" w:hAnsi="仿宋" w:eastAsia="仿宋" w:cs="仿宋_GB2312"/>
          <w:color w:val="000000" w:themeColor="text1"/>
          <w14:textFill>
            <w14:solidFill>
              <w14:schemeClr w14:val="tx1"/>
            </w14:solidFill>
          </w14:textFill>
        </w:rPr>
      </w:pPr>
      <w:bookmarkStart w:id="7" w:name="_Toc371433002"/>
      <w:bookmarkStart w:id="8" w:name="_Toc247085739"/>
      <w:bookmarkStart w:id="9" w:name="_Toc152045581"/>
      <w:bookmarkStart w:id="10" w:name="_Toc179632599"/>
      <w:bookmarkStart w:id="11" w:name="_Toc144974548"/>
      <w:bookmarkStart w:id="12" w:name="_Toc152042358"/>
      <w:r>
        <w:rPr>
          <w:rFonts w:hint="eastAsia" w:ascii="仿宋" w:hAnsi="仿宋" w:eastAsia="仿宋" w:cs="仿宋_GB2312"/>
          <w:color w:val="000000" w:themeColor="text1"/>
          <w14:textFill>
            <w14:solidFill>
              <w14:schemeClr w14:val="tx1"/>
            </w14:solidFill>
          </w14:textFill>
        </w:rPr>
        <w:t>附件一报价记录表</w:t>
      </w:r>
      <w:bookmarkEnd w:id="7"/>
      <w:bookmarkEnd w:id="8"/>
      <w:bookmarkEnd w:id="9"/>
      <w:bookmarkEnd w:id="10"/>
      <w:bookmarkEnd w:id="11"/>
      <w:bookmarkEnd w:id="12"/>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石井净分公司关于2020年办公楼一楼全息沙盘项目报价记录表</w:t>
      </w:r>
    </w:p>
    <w:p>
      <w:pPr>
        <w:spacing w:line="500" w:lineRule="exact"/>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报价文件开启时间：年月日时分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经办人：记录人：监察：</w:t>
      </w:r>
    </w:p>
    <w:p>
      <w:pPr>
        <w:spacing w:line="440" w:lineRule="exact"/>
        <w:rPr>
          <w:rFonts w:ascii="仿宋" w:hAnsi="仿宋" w:eastAsia="仿宋" w:cs="仿宋_GB2312"/>
          <w:color w:val="000000" w:themeColor="text1"/>
          <w:u w:val="single"/>
          <w14:textFill>
            <w14:solidFill>
              <w14:schemeClr w14:val="tx1"/>
            </w14:solidFill>
          </w14:textFill>
        </w:rPr>
      </w:pPr>
    </w:p>
    <w:p>
      <w:pPr>
        <w:spacing w:line="440" w:lineRule="exact"/>
        <w:jc w:val="righ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年月日</w:t>
      </w:r>
    </w:p>
    <w:p>
      <w:pPr>
        <w:spacing w:line="360" w:lineRule="auto"/>
        <w:jc w:val="center"/>
        <w:rPr>
          <w:rFonts w:ascii="仿宋" w:hAnsi="仿宋" w:eastAsia="仿宋" w:cs="仿宋_GB2312"/>
          <w:color w:val="000000" w:themeColor="text1"/>
          <w14:textFill>
            <w14:solidFill>
              <w14:schemeClr w14:val="tx1"/>
            </w14:solidFill>
          </w14:textFill>
        </w:rPr>
      </w:pPr>
    </w:p>
    <w:p>
      <w:pPr>
        <w:spacing w:line="360" w:lineRule="auto"/>
        <w:jc w:val="both"/>
        <w:rPr>
          <w:rFonts w:ascii="宋体" w:hAnsi="宋体"/>
          <w:b/>
          <w:color w:val="000000" w:themeColor="text1"/>
          <w:sz w:val="36"/>
          <w:szCs w:val="36"/>
          <w14:textFill>
            <w14:solidFill>
              <w14:schemeClr w14:val="tx1"/>
            </w14:solidFill>
          </w14:textFill>
        </w:rPr>
      </w:pPr>
      <w:r>
        <w:rPr>
          <w:rFonts w:ascii="仿宋" w:hAnsi="仿宋" w:eastAsia="仿宋" w:cs="仿宋_GB2312"/>
          <w:color w:val="000000" w:themeColor="text1"/>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广州市净水有限公司非公招项目询价评审记录表</w:t>
      </w:r>
    </w:p>
    <w:p>
      <w:pPr>
        <w:autoSpaceDE w:val="0"/>
        <w:autoSpaceDN w:val="0"/>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bl>
      <w:tblPr>
        <w:tblStyle w:val="22"/>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524"/>
        <w:gridCol w:w="960"/>
        <w:gridCol w:w="1111"/>
        <w:gridCol w:w="1165"/>
        <w:gridCol w:w="1165"/>
        <w:gridCol w:w="116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3524"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960"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4608" w:type="dxa"/>
            <w:gridSpan w:val="4"/>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977"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3524"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60"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p>
            <w:pPr>
              <w:tabs>
                <w:tab w:val="left" w:pos="0"/>
              </w:tabs>
              <w:rPr>
                <w:rFonts w:ascii="宋体" w:hAnsi="宋体"/>
                <w:color w:val="000000" w:themeColor="text1"/>
                <w:sz w:val="24"/>
                <w14:textFill>
                  <w14:solidFill>
                    <w14:schemeClr w14:val="tx1"/>
                  </w14:solidFill>
                </w14:textFill>
              </w:rPr>
            </w:pPr>
          </w:p>
          <w:p>
            <w:pPr>
              <w:tabs>
                <w:tab w:val="left" w:pos="0"/>
              </w:tabs>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符合报名条件资格要求</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响应询价文件第二部分项目内容的技术、商务要求</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复印件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p>
        </w:tc>
        <w:tc>
          <w:tcPr>
            <w:tcW w:w="35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5085"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1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7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085"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评审人签名</w:t>
            </w:r>
          </w:p>
        </w:tc>
        <w:tc>
          <w:tcPr>
            <w:tcW w:w="5585"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themeColor="text1"/>
                <w:sz w:val="24"/>
                <w14:textFill>
                  <w14:solidFill>
                    <w14:schemeClr w14:val="tx1"/>
                  </w14:solidFill>
                </w14:textFill>
              </w:rPr>
            </w:p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、审核情况填写“符合”或“不符合；或者打“√”或“×”。</w:t>
      </w:r>
    </w:p>
    <w:p>
      <w:pPr>
        <w:numPr>
          <w:ilvl w:val="0"/>
          <w:numId w:val="4"/>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石井净分公司关于2020年办公楼一楼全息沙盘项目的承包单位，承包内容为询价文件所规定的发包内容，报价为人民币×拾×万×仟×佰元（￥元）。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宋体" w:hAnsi="宋体"/>
          <w:b/>
          <w:color w:val="000000" w:themeColor="text1"/>
          <w:sz w:val="44"/>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widowControl/>
        <w:spacing w:after="0" w:line="240" w:lineRule="auto"/>
        <w:jc w:val="right"/>
        <w:rPr>
          <w:rFonts w:hint="eastAsia" w:ascii="宋体" w:hAnsi="宋体" w:cs="Calibri"/>
          <w:b/>
          <w:color w:val="000000" w:themeColor="text1"/>
          <w:szCs w:val="21"/>
          <w14:textFill>
            <w14:solidFill>
              <w14:schemeClr w14:val="tx1"/>
            </w14:solidFill>
          </w14:textFill>
        </w:rPr>
      </w:pPr>
    </w:p>
    <w:p>
      <w:pPr>
        <w:widowControl/>
        <w:spacing w:after="0" w:line="240" w:lineRule="auto"/>
        <w:jc w:val="right"/>
        <w:rPr>
          <w:rFonts w:hint="eastAsia" w:ascii="宋体" w:hAnsi="宋体" w:cs="Calibri"/>
          <w:b/>
          <w:color w:val="000000" w:themeColor="text1"/>
          <w:szCs w:val="21"/>
          <w14:textFill>
            <w14:solidFill>
              <w14:schemeClr w14:val="tx1"/>
            </w14:solidFill>
          </w14:textFill>
        </w:rPr>
      </w:pPr>
    </w:p>
    <w:p>
      <w:pPr>
        <w:widowControl/>
        <w:spacing w:after="0" w:line="240" w:lineRule="auto"/>
        <w:jc w:val="right"/>
        <w:rPr>
          <w:rFonts w:ascii="宋体" w:hAnsi="宋体" w:cs="Times New Roman"/>
          <w:b/>
          <w:color w:val="000000" w:themeColor="text1"/>
          <w:sz w:val="44"/>
          <w:szCs w:val="22"/>
          <w14:textFill>
            <w14:solidFill>
              <w14:schemeClr w14:val="tx1"/>
            </w14:solidFill>
          </w14:textFill>
        </w:rPr>
      </w:pPr>
      <w:r>
        <w:rPr>
          <w:rFonts w:hint="eastAsia" w:ascii="宋体" w:hAnsi="宋体" w:cs="Calibri"/>
          <w:b/>
          <w:color w:val="000000" w:themeColor="text1"/>
          <w:szCs w:val="21"/>
          <w14:textFill>
            <w14:solidFill>
              <w14:schemeClr w14:val="tx1"/>
            </w14:solidFill>
          </w14:textFill>
        </w:rPr>
        <w:t>2020年10月版</w:t>
      </w:r>
    </w:p>
    <w:p>
      <w:pPr>
        <w:widowControl/>
        <w:spacing w:after="0" w:line="240" w:lineRule="auto"/>
        <w:jc w:val="left"/>
        <w:rPr>
          <w:rFonts w:ascii="宋体" w:hAnsi="宋体" w:cs="Times New Roman"/>
          <w:b/>
          <w:color w:val="000000" w:themeColor="text1"/>
          <w:sz w:val="44"/>
          <w:szCs w:val="22"/>
          <w14:textFill>
            <w14:solidFill>
              <w14:schemeClr w14:val="tx1"/>
            </w14:solidFill>
          </w14:textFill>
        </w:rPr>
      </w:pPr>
    </w:p>
    <w:p>
      <w:pPr>
        <w:widowControl w:val="0"/>
        <w:spacing w:after="0" w:line="400" w:lineRule="atLeast"/>
        <w:jc w:val="center"/>
        <w:rPr>
          <w:rFonts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t>广州市净水有限公司</w:t>
      </w:r>
    </w:p>
    <w:p>
      <w:pPr>
        <w:widowControl w:val="0"/>
        <w:spacing w:after="0" w:line="400" w:lineRule="atLeast"/>
        <w:jc w:val="center"/>
        <w:rPr>
          <w:rFonts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t>货物采购合同</w:t>
      </w:r>
    </w:p>
    <w:p>
      <w:pPr>
        <w:widowControl w:val="0"/>
        <w:spacing w:after="0"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（示范文本）</w:t>
      </w:r>
    </w:p>
    <w:p>
      <w:pPr>
        <w:widowControl w:val="0"/>
        <w:spacing w:after="0"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（适用非公招简易项目）</w:t>
      </w:r>
    </w:p>
    <w:p>
      <w:pPr>
        <w:widowControl/>
        <w:spacing w:after="160" w:line="259" w:lineRule="auto"/>
        <w:jc w:val="center"/>
        <w:rPr>
          <w:rFonts w:ascii="Calibri" w:hAnsi="Calibri" w:cs="Calibri"/>
          <w:color w:val="000000" w:themeColor="text1"/>
          <w:sz w:val="30"/>
          <w:szCs w:val="22"/>
          <w14:textFill>
            <w14:solidFill>
              <w14:schemeClr w14:val="tx1"/>
            </w14:solidFill>
          </w14:textFill>
        </w:rPr>
      </w:pPr>
    </w:p>
    <w:p>
      <w:pPr>
        <w:widowControl/>
        <w:spacing w:after="160" w:line="259" w:lineRule="auto"/>
        <w:jc w:val="left"/>
        <w:rPr>
          <w:rFonts w:ascii="Calibri" w:hAnsi="Calibri" w:cs="Calibri"/>
          <w:b/>
          <w:bCs/>
          <w:color w:val="000000" w:themeColor="text1"/>
          <w:sz w:val="30"/>
          <w:szCs w:val="22"/>
          <w14:textFill>
            <w14:solidFill>
              <w14:schemeClr w14:val="tx1"/>
            </w14:solidFill>
          </w14:textFill>
        </w:rPr>
      </w:pPr>
    </w:p>
    <w:p>
      <w:pPr>
        <w:widowControl/>
        <w:spacing w:after="160" w:line="480" w:lineRule="auto"/>
        <w:ind w:left="1500" w:hanging="1500" w:hangingChars="500"/>
        <w:jc w:val="left"/>
        <w:rPr>
          <w:rFonts w:ascii="宋体" w:hAnsi="宋体" w:cs="宋体"/>
          <w:b/>
          <w:bCs/>
          <w:color w:val="000000" w:themeColor="text1"/>
          <w:sz w:val="30"/>
          <w:szCs w:val="22"/>
          <w14:textFill>
            <w14:solidFill>
              <w14:schemeClr w14:val="tx1"/>
            </w14:solidFill>
          </w14:textFill>
        </w:rPr>
      </w:pPr>
      <w:r>
        <w:rPr>
          <w:rFonts w:hint="eastAsia" w:ascii="宋体" w:hAnsi="宋体" w:cs="宋体"/>
          <w:b/>
          <w:bCs/>
          <w:color w:val="000000" w:themeColor="text1"/>
          <w:sz w:val="30"/>
          <w:szCs w:val="22"/>
          <w14:textFill>
            <w14:solidFill>
              <w14:schemeClr w14:val="tx1"/>
            </w14:solidFill>
          </w14:textFill>
        </w:rPr>
        <w:t>项目名称：广州市净水有限公司石井净分公司关于2020年办</w:t>
      </w:r>
      <w:r>
        <w:rPr>
          <w:rFonts w:hint="eastAsia" w:ascii="宋体" w:hAnsi="宋体" w:cs="宋体"/>
          <w:b/>
          <w:bCs/>
          <w:color w:val="000000" w:themeColor="text1"/>
          <w:sz w:val="30"/>
          <w:szCs w:val="22"/>
          <w:lang w:val="en-US" w:eastAsia="zh-CN"/>
          <w14:textFill>
            <w14:solidFill>
              <w14:schemeClr w14:val="tx1"/>
            </w14:solidFill>
          </w14:textFill>
        </w:rPr>
        <w:t>公</w:t>
      </w:r>
      <w:r>
        <w:rPr>
          <w:rFonts w:hint="eastAsia" w:ascii="宋体" w:hAnsi="宋体" w:cs="宋体"/>
          <w:b/>
          <w:bCs/>
          <w:color w:val="000000" w:themeColor="text1"/>
          <w:sz w:val="30"/>
          <w:szCs w:val="22"/>
          <w14:textFill>
            <w14:solidFill>
              <w14:schemeClr w14:val="tx1"/>
            </w14:solidFill>
          </w14:textFill>
        </w:rPr>
        <w:t>楼一楼全息沙盘项目</w:t>
      </w:r>
    </w:p>
    <w:p>
      <w:pPr>
        <w:widowControl/>
        <w:spacing w:after="160" w:line="480" w:lineRule="auto"/>
        <w:jc w:val="left"/>
        <w:rPr>
          <w:rFonts w:ascii="宋体" w:hAnsi="宋体" w:cs="宋体"/>
          <w:b/>
          <w:bCs/>
          <w:color w:val="000000" w:themeColor="text1"/>
          <w:sz w:val="30"/>
          <w:szCs w:val="22"/>
          <w14:textFill>
            <w14:solidFill>
              <w14:schemeClr w14:val="tx1"/>
            </w14:solidFill>
          </w14:textFill>
        </w:rPr>
      </w:pPr>
    </w:p>
    <w:p>
      <w:pPr>
        <w:widowControl/>
        <w:spacing w:after="160" w:line="480" w:lineRule="auto"/>
        <w:jc w:val="left"/>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22"/>
          <w14:textFill>
            <w14:solidFill>
              <w14:schemeClr w14:val="tx1"/>
            </w14:solidFill>
          </w14:textFill>
        </w:rPr>
        <w:t>合同编号：</w:t>
      </w:r>
      <w:r>
        <w:rPr>
          <w:rFonts w:hint="eastAsia" w:ascii="宋体" w:hAnsi="宋体" w:cs="宋体"/>
          <w:b/>
          <w:bCs/>
          <w:color w:val="000000" w:themeColor="text1"/>
          <w:sz w:val="30"/>
          <w:szCs w:val="30"/>
          <w14:textFill>
            <w14:solidFill>
              <w14:schemeClr w14:val="tx1"/>
            </w14:solidFill>
          </w14:textFill>
        </w:rPr>
        <w:t>穗净水合[     ]    号</w:t>
      </w:r>
    </w:p>
    <w:p>
      <w:pPr>
        <w:widowControl/>
        <w:spacing w:after="160" w:line="480" w:lineRule="auto"/>
        <w:jc w:val="left"/>
        <w:rPr>
          <w:rFonts w:ascii="宋体" w:hAnsi="宋体" w:cs="宋体"/>
          <w:b/>
          <w:bCs/>
          <w:color w:val="000000" w:themeColor="text1"/>
          <w:sz w:val="30"/>
          <w:szCs w:val="22"/>
          <w14:textFill>
            <w14:solidFill>
              <w14:schemeClr w14:val="tx1"/>
            </w14:solidFill>
          </w14:textFill>
        </w:rPr>
      </w:pPr>
    </w:p>
    <w:p>
      <w:pPr>
        <w:widowControl/>
        <w:spacing w:after="160" w:line="480" w:lineRule="auto"/>
        <w:jc w:val="left"/>
        <w:rPr>
          <w:rFonts w:ascii="宋体" w:hAnsi="宋体" w:cs="宋体"/>
          <w:b/>
          <w:bCs/>
          <w:color w:val="000000" w:themeColor="text1"/>
          <w:sz w:val="30"/>
          <w:szCs w:val="22"/>
          <w14:textFill>
            <w14:solidFill>
              <w14:schemeClr w14:val="tx1"/>
            </w14:solidFill>
          </w14:textFill>
        </w:rPr>
      </w:pPr>
      <w:r>
        <w:rPr>
          <w:rFonts w:hint="eastAsia" w:ascii="宋体" w:hAnsi="宋体" w:cs="宋体"/>
          <w:b/>
          <w:bCs/>
          <w:color w:val="000000" w:themeColor="text1"/>
          <w:sz w:val="30"/>
          <w:szCs w:val="22"/>
          <w14:textFill>
            <w14:solidFill>
              <w14:schemeClr w14:val="tx1"/>
            </w14:solidFill>
          </w14:textFill>
        </w:rPr>
        <w:t>甲方（买方）：广州市净水有限公司</w:t>
      </w:r>
    </w:p>
    <w:p>
      <w:pPr>
        <w:widowControl/>
        <w:spacing w:after="160" w:line="480" w:lineRule="auto"/>
        <w:ind w:firstLine="0" w:firstLineChars="0"/>
        <w:jc w:val="left"/>
        <w:rPr>
          <w:rFonts w:ascii="宋体" w:hAnsi="宋体" w:cs="宋体"/>
          <w:b/>
          <w:bCs/>
          <w:color w:val="000000" w:themeColor="text1"/>
          <w:sz w:val="30"/>
          <w:szCs w:val="22"/>
          <w14:textFill>
            <w14:solidFill>
              <w14:schemeClr w14:val="tx1"/>
            </w14:solidFill>
          </w14:textFill>
        </w:rPr>
      </w:pPr>
      <w:r>
        <w:rPr>
          <w:rFonts w:hint="eastAsia" w:ascii="宋体" w:hAnsi="宋体" w:cs="宋体"/>
          <w:b/>
          <w:bCs/>
          <w:color w:val="000000" w:themeColor="text1"/>
          <w:sz w:val="30"/>
          <w:szCs w:val="22"/>
          <w14:textFill>
            <w14:solidFill>
              <w14:schemeClr w14:val="tx1"/>
            </w14:solidFill>
          </w14:textFill>
        </w:rPr>
        <w:t>乙方（卖方）：</w:t>
      </w:r>
      <w:r>
        <w:rPr>
          <w:rFonts w:hint="eastAsia" w:ascii="宋体" w:hAnsi="宋体" w:cs="宋体"/>
          <w:b/>
          <w:bCs/>
          <w:color w:val="000000" w:themeColor="text1"/>
          <w:sz w:val="30"/>
          <w:szCs w:val="22"/>
          <w:u w:val="single"/>
          <w14:textFill>
            <w14:solidFill>
              <w14:schemeClr w14:val="tx1"/>
            </w14:solidFill>
          </w14:textFill>
        </w:rPr>
        <w:t xml:space="preserve">                                          </w:t>
      </w:r>
      <w:r>
        <w:rPr>
          <w:rFonts w:hint="eastAsia" w:ascii="宋体" w:hAnsi="宋体" w:cs="宋体"/>
          <w:b/>
          <w:bCs/>
          <w:color w:val="000000" w:themeColor="text1"/>
          <w:sz w:val="30"/>
          <w:szCs w:val="22"/>
          <w14:textFill>
            <w14:solidFill>
              <w14:schemeClr w14:val="tx1"/>
            </w14:solidFill>
          </w14:textFill>
        </w:rPr>
        <w:t xml:space="preserve"> </w:t>
      </w:r>
    </w:p>
    <w:p>
      <w:pPr>
        <w:widowControl/>
        <w:spacing w:after="160" w:line="480" w:lineRule="auto"/>
        <w:jc w:val="left"/>
        <w:rPr>
          <w:rFonts w:ascii="宋体" w:hAnsi="宋体" w:cs="宋体"/>
          <w:b/>
          <w:bCs/>
          <w:color w:val="000000" w:themeColor="text1"/>
          <w:sz w:val="30"/>
          <w:szCs w:val="22"/>
          <w14:textFill>
            <w14:solidFill>
              <w14:schemeClr w14:val="tx1"/>
            </w14:solidFill>
          </w14:textFill>
        </w:rPr>
      </w:pPr>
      <w:r>
        <w:rPr>
          <w:rFonts w:hint="eastAsia" w:ascii="宋体" w:hAnsi="宋体" w:cs="宋体"/>
          <w:b/>
          <w:bCs/>
          <w:color w:val="000000" w:themeColor="text1"/>
          <w:sz w:val="30"/>
          <w:szCs w:val="22"/>
          <w14:textFill>
            <w14:solidFill>
              <w14:schemeClr w14:val="tx1"/>
            </w14:solidFill>
          </w14:textFill>
        </w:rPr>
        <w:t>签订日期：    年  月  日</w:t>
      </w:r>
    </w:p>
    <w:p>
      <w:pPr>
        <w:widowControl/>
        <w:spacing w:after="160" w:line="480" w:lineRule="auto"/>
        <w:jc w:val="left"/>
        <w:rPr>
          <w:rFonts w:ascii="宋体" w:hAnsi="宋体" w:cs="宋体"/>
          <w:b/>
          <w:bCs/>
          <w:color w:val="000000" w:themeColor="text1"/>
          <w:sz w:val="30"/>
          <w:szCs w:val="22"/>
          <w14:textFill>
            <w14:solidFill>
              <w14:schemeClr w14:val="tx1"/>
            </w14:solidFill>
          </w14:textFill>
        </w:rPr>
      </w:pPr>
      <w:r>
        <w:rPr>
          <w:rFonts w:hint="eastAsia" w:ascii="宋体" w:hAnsi="宋体" w:cs="宋体"/>
          <w:b/>
          <w:bCs/>
          <w:color w:val="000000" w:themeColor="text1"/>
          <w:sz w:val="30"/>
          <w:szCs w:val="22"/>
          <w14:textFill>
            <w14:solidFill>
              <w14:schemeClr w14:val="tx1"/>
            </w14:solidFill>
          </w14:textFill>
        </w:rPr>
        <w:t>签约地点：广州市</w:t>
      </w:r>
    </w:p>
    <w:p>
      <w:pPr>
        <w:widowControl/>
        <w:spacing w:after="160" w:line="259" w:lineRule="auto"/>
        <w:jc w:val="center"/>
        <w:rPr>
          <w:rFonts w:ascii="Calibri" w:hAnsi="Calibri" w:cs="Calibri"/>
          <w:b/>
          <w:bCs/>
          <w:color w:val="000000" w:themeColor="text1"/>
          <w:sz w:val="30"/>
          <w:szCs w:val="22"/>
          <w14:textFill>
            <w14:solidFill>
              <w14:schemeClr w14:val="tx1"/>
            </w14:solidFill>
          </w14:textFill>
        </w:rPr>
      </w:pPr>
    </w:p>
    <w:p>
      <w:pPr>
        <w:widowControl/>
        <w:spacing w:after="160" w:line="600" w:lineRule="exact"/>
        <w:jc w:val="center"/>
        <w:rPr>
          <w:rFonts w:ascii="等线" w:hAnsi="等线" w:eastAsia="等线"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说</w:t>
      </w: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lang w:val="zh-CN"/>
          <w14:textFill>
            <w14:solidFill>
              <w14:schemeClr w14:val="tx1"/>
            </w14:solidFill>
          </w14:textFill>
        </w:rPr>
        <w:t>明</w:t>
      </w:r>
    </w:p>
    <w:p>
      <w:pPr>
        <w:widowControl/>
        <w:spacing w:after="160" w:line="6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指导广州市净水有限公司合同承办部门（单位）的签约行为，维护公司的合法权益，依据《中华人民共和国合同法》以及相关法律法规，制定《广州市净水有限公司货物采购合同（示范文本）》（以下简称《货物采购合同》），现就有关问题说明如下：</w:t>
      </w:r>
    </w:p>
    <w:p>
      <w:pPr>
        <w:widowControl/>
        <w:spacing w:after="0" w:line="6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一、适用范围</w:t>
      </w:r>
    </w:p>
    <w:p>
      <w:pPr>
        <w:widowControl/>
        <w:spacing w:after="0" w:line="6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《货物采购合同》适用于广州市净水有限公司非公招简易项目货物采购（已另行印发专项合同示范文本的除外）。</w:t>
      </w:r>
    </w:p>
    <w:p>
      <w:pPr>
        <w:widowControl/>
        <w:spacing w:after="0" w:line="6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二、组成及使用说明</w:t>
      </w:r>
    </w:p>
    <w:p>
      <w:pPr>
        <w:widowControl/>
        <w:spacing w:after="0" w:line="6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（一）《货物采购合同》由合同条款、附件两部分组成。</w:t>
      </w:r>
    </w:p>
    <w:p>
      <w:pPr>
        <w:widowControl/>
        <w:spacing w:after="0" w:line="6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（二）文本中以“</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”标示及表格（已填写具体内容的仅供参考），由合同承办部门（单位）根据项目具体特点和实际情况进行细化、完善、补充、修改或另行约定，但不得与公司制度相违背。如无需填写的，则填写“无”或划“</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widowControl/>
        <w:spacing w:after="0" w:line="60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（三）文本开头带“□”的条款为选择性条款，由合同承办部门（单位）根据项目具体特点和实际情况在相应“□”内打“√”或“×”。</w:t>
      </w:r>
    </w:p>
    <w:p>
      <w:pPr>
        <w:widowControl/>
        <w:spacing w:after="160" w:line="600" w:lineRule="exact"/>
        <w:jc w:val="left"/>
        <w:rPr>
          <w:rFonts w:ascii="宋体" w:hAnsi="宋体" w:cs="Calibri"/>
          <w:color w:val="000000" w:themeColor="text1"/>
          <w:sz w:val="24"/>
          <w:szCs w:val="24"/>
          <w14:textFill>
            <w14:solidFill>
              <w14:schemeClr w14:val="tx1"/>
            </w14:solidFill>
          </w14:textFill>
        </w:rPr>
      </w:pPr>
    </w:p>
    <w:p>
      <w:pPr>
        <w:spacing w:line="600" w:lineRule="exact"/>
        <w:rPr>
          <w:color w:val="000000" w:themeColor="text1"/>
          <w14:textFill>
            <w14:solidFill>
              <w14:schemeClr w14:val="tx1"/>
            </w14:solidFill>
          </w14:textFill>
        </w:rPr>
        <w:sectPr>
          <w:footerReference r:id="rId10" w:type="default"/>
          <w:headerReference r:id="rId9" w:type="even"/>
          <w:footerReference r:id="rId11" w:type="even"/>
          <w:pgSz w:w="11907" w:h="16840"/>
          <w:pgMar w:top="1440" w:right="1746" w:bottom="1440" w:left="1746" w:header="851" w:footer="992" w:gutter="0"/>
          <w:cols w:space="0" w:num="1"/>
          <w:docGrid w:type="linesAndChars" w:linePitch="381" w:charSpace="0"/>
        </w:sectPr>
      </w:pPr>
    </w:p>
    <w:p>
      <w:pPr>
        <w:widowControl/>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根据《中华人民共和国合同法》及其他有关法律、行政法规，</w:t>
      </w:r>
      <w:r>
        <w:rPr>
          <w:rFonts w:hint="eastAsia" w:ascii="宋体" w:hAnsi="宋体" w:cs="宋体"/>
          <w:color w:val="000000" w:themeColor="text1"/>
          <w:sz w:val="24"/>
          <w:szCs w:val="24"/>
          <w:u w:val="single"/>
          <w14:textFill>
            <w14:solidFill>
              <w14:schemeClr w14:val="tx1"/>
            </w14:solidFill>
          </w14:textFill>
        </w:rPr>
        <w:t>广州市净水有限公司</w:t>
      </w:r>
      <w:r>
        <w:rPr>
          <w:rFonts w:hint="eastAsia" w:ascii="宋体" w:hAnsi="宋体" w:cs="宋体"/>
          <w:color w:val="000000" w:themeColor="text1"/>
          <w:sz w:val="24"/>
          <w:szCs w:val="24"/>
          <w14:textFill>
            <w14:solidFill>
              <w14:schemeClr w14:val="tx1"/>
            </w14:solidFill>
          </w14:textFill>
        </w:rPr>
        <w:t xml:space="preserve"> （以下简称“甲方”）与</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（以下简称“乙方”）就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石井净分公司办公楼一楼全息沙盘项目</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采购事宜，遵循平等、自愿、公平和诚实信用的原则，双方协商一致，订立本合同。 </w:t>
      </w:r>
    </w:p>
    <w:p>
      <w:pPr>
        <w:widowControl w:val="0"/>
        <w:tabs>
          <w:tab w:val="left" w:pos="720"/>
        </w:tabs>
        <w:adjustRightInd w:val="0"/>
        <w:spacing w:after="0" w:line="600" w:lineRule="exact"/>
        <w:ind w:firstLine="482" w:firstLineChars="200"/>
        <w:jc w:val="both"/>
        <w:textAlignment w:val="baseline"/>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第一条</w:t>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组成合同的文件及优先顺序</w:t>
      </w:r>
    </w:p>
    <w:p>
      <w:pPr>
        <w:widowControl w:val="0"/>
        <w:tabs>
          <w:tab w:val="left" w:pos="720"/>
        </w:tabs>
        <w:adjustRightInd w:val="0"/>
        <w:spacing w:after="0" w:line="600" w:lineRule="exact"/>
        <w:ind w:firstLine="480" w:firstLineChars="200"/>
        <w:jc w:val="both"/>
        <w:textAlignment w:val="baseline"/>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下列文件（如有）均为本合同的组成部分，可视为能相互说明和补充的，如果合同文件存在歧义或相矛盾的地方，则根据以下次序判断：</w:t>
      </w:r>
    </w:p>
    <w:p>
      <w:pPr>
        <w:widowControl/>
        <w:spacing w:after="160" w:line="600" w:lineRule="exact"/>
        <w:ind w:firstLine="48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在本合同实施过程双方签署的补充与修正文件；</w:t>
      </w:r>
    </w:p>
    <w:p>
      <w:pPr>
        <w:widowControl/>
        <w:spacing w:after="160" w:line="300" w:lineRule="exact"/>
        <w:ind w:firstLine="48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本合同书；</w:t>
      </w:r>
    </w:p>
    <w:p>
      <w:pPr>
        <w:widowControl/>
        <w:spacing w:after="160" w:line="300" w:lineRule="exact"/>
        <w:ind w:firstLine="482"/>
        <w:jc w:val="left"/>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⑶ 发包通知书；</w:t>
      </w:r>
    </w:p>
    <w:p>
      <w:pPr>
        <w:widowControl/>
        <w:spacing w:after="160" w:line="300" w:lineRule="exact"/>
        <w:ind w:firstLine="482"/>
        <w:jc w:val="left"/>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⑷ 询价文件；</w:t>
      </w:r>
    </w:p>
    <w:p>
      <w:pPr>
        <w:widowControl/>
        <w:spacing w:after="160" w:line="300" w:lineRule="exact"/>
        <w:ind w:firstLine="482"/>
        <w:jc w:val="left"/>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⑸ 响应文件；</w:t>
      </w:r>
    </w:p>
    <w:p>
      <w:pPr>
        <w:widowControl/>
        <w:spacing w:after="160" w:line="300" w:lineRule="exact"/>
        <w:ind w:firstLine="482"/>
        <w:jc w:val="left"/>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⑹ 标准、规范及有关技术性文件；</w:t>
      </w:r>
    </w:p>
    <w:p>
      <w:pPr>
        <w:widowControl/>
        <w:spacing w:after="160" w:line="300" w:lineRule="exact"/>
        <w:ind w:firstLine="482"/>
        <w:jc w:val="left"/>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⑺ 图纸；</w:t>
      </w:r>
    </w:p>
    <w:p>
      <w:pPr>
        <w:widowControl/>
        <w:spacing w:after="160" w:line="300" w:lineRule="exact"/>
        <w:ind w:firstLine="482"/>
        <w:jc w:val="left"/>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⑻ 工程量清单/</w:t>
      </w:r>
      <w:r>
        <w:rPr>
          <w:rFonts w:hint="eastAsia" w:ascii="宋体" w:hAnsi="宋体" w:cs="宋体"/>
          <w:color w:val="000000" w:themeColor="text1"/>
          <w:sz w:val="24"/>
          <w:szCs w:val="22"/>
          <w14:textFill>
            <w14:solidFill>
              <w14:schemeClr w14:val="tx1"/>
            </w14:solidFill>
          </w14:textFill>
        </w:rPr>
        <w:t>工程报价单或预算书</w:t>
      </w:r>
    </w:p>
    <w:p>
      <w:pPr>
        <w:widowControl w:val="0"/>
        <w:numPr>
          <w:ilvl w:val="255"/>
          <w:numId w:val="0"/>
        </w:numPr>
        <w:spacing w:after="0" w:line="300" w:lineRule="exact"/>
        <w:ind w:firstLine="480" w:firstLineChars="200"/>
        <w:jc w:val="both"/>
        <w:rPr>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⑼ 本合同其他附件；</w:t>
      </w:r>
    </w:p>
    <w:p>
      <w:pPr>
        <w:widowControl w:val="0"/>
        <w:numPr>
          <w:ilvl w:val="255"/>
          <w:numId w:val="0"/>
        </w:numPr>
        <w:spacing w:after="0" w:line="600" w:lineRule="exact"/>
        <w:ind w:firstLine="482" w:firstLineChars="200"/>
        <w:jc w:val="both"/>
        <w:rPr>
          <w:color w:val="000000" w:themeColor="text1"/>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第二条 合同标的</w:t>
      </w:r>
    </w:p>
    <w:tbl>
      <w:tblPr>
        <w:tblStyle w:val="22"/>
        <w:tblW w:w="10196" w:type="dxa"/>
        <w:tblInd w:w="0" w:type="dxa"/>
        <w:shd w:val="clear" w:color="auto" w:fill="auto"/>
        <w:tblLayout w:type="fixed"/>
        <w:tblCellMar>
          <w:top w:w="0" w:type="dxa"/>
          <w:left w:w="0" w:type="dxa"/>
          <w:bottom w:w="0" w:type="dxa"/>
          <w:right w:w="0" w:type="dxa"/>
        </w:tblCellMar>
      </w:tblPr>
      <w:tblGrid>
        <w:gridCol w:w="1163"/>
        <w:gridCol w:w="1067"/>
        <w:gridCol w:w="1000"/>
        <w:gridCol w:w="1250"/>
        <w:gridCol w:w="703"/>
        <w:gridCol w:w="3197"/>
        <w:gridCol w:w="900"/>
        <w:gridCol w:w="916"/>
      </w:tblGrid>
      <w:tr>
        <w:tblPrEx>
          <w:shd w:val="clear" w:color="auto" w:fill="auto"/>
          <w:tblCellMar>
            <w:top w:w="0" w:type="dxa"/>
            <w:left w:w="0" w:type="dxa"/>
            <w:bottom w:w="0" w:type="dxa"/>
            <w:right w:w="0" w:type="dxa"/>
          </w:tblCellMar>
        </w:tblPrEx>
        <w:trPr>
          <w:trHeight w:val="420" w:hRule="atLeast"/>
        </w:trPr>
        <w:tc>
          <w:tcPr>
            <w:tcW w:w="1163" w:type="dxa"/>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067"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设备内容</w:t>
            </w:r>
          </w:p>
        </w:tc>
        <w:tc>
          <w:tcPr>
            <w:tcW w:w="1000"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50"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品牌型号</w:t>
            </w:r>
          </w:p>
        </w:tc>
        <w:tc>
          <w:tcPr>
            <w:tcW w:w="3900" w:type="dxa"/>
            <w:gridSpan w:val="2"/>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技术参数</w:t>
            </w:r>
          </w:p>
        </w:tc>
        <w:tc>
          <w:tcPr>
            <w:tcW w:w="900"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16"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r>
      <w:tr>
        <w:tblPrEx>
          <w:shd w:val="clear" w:color="auto" w:fill="auto"/>
          <w:tblCellMar>
            <w:top w:w="0" w:type="dxa"/>
            <w:left w:w="0" w:type="dxa"/>
            <w:bottom w:w="0" w:type="dxa"/>
            <w:right w:w="0" w:type="dxa"/>
          </w:tblCellMar>
        </w:tblPrEx>
        <w:trPr>
          <w:trHeight w:val="2860" w:hRule="atLeast"/>
        </w:trPr>
        <w:tc>
          <w:tcPr>
            <w:tcW w:w="1163" w:type="dxa"/>
            <w:vMerge w:val="restart"/>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全息沙盘</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硬件设备</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光源屏幕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屏幕比例  16:9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屏幕分辨率 1920×1080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观看距离 3.0米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高清格式 1080p</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背光性能 直下式背光LED</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可视角度(水平0垂直) 178度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屏幕刷新频率 60Hz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屏幕对比度 1200:1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屏幕响应速度 6ms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图像性能 第6代画质引擎技术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台 </w:t>
            </w:r>
          </w:p>
        </w:tc>
      </w:tr>
      <w:tr>
        <w:tblPrEx>
          <w:shd w:val="clear" w:color="auto" w:fill="auto"/>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专业屏幕控制器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四个画面可以显示不同画面，分别播放不同场景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台 </w:t>
            </w:r>
          </w:p>
        </w:tc>
      </w:tr>
      <w:tr>
        <w:tblPrEx>
          <w:shd w:val="clear" w:color="auto" w:fill="auto"/>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内部钢结构焊接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规格：4#方钢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套 </w:t>
            </w:r>
          </w:p>
        </w:tc>
      </w:tr>
      <w:tr>
        <w:tblPrEx>
          <w:shd w:val="clear" w:color="auto" w:fill="auto"/>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金字塔成像载体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特殊防爆全息金子塔玻璃，专业防爆处理，精工艺倒角处理。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套 </w:t>
            </w:r>
          </w:p>
        </w:tc>
      </w:tr>
      <w:tr>
        <w:tblPrEx>
          <w:shd w:val="clear" w:color="auto" w:fill="auto"/>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全息膜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技术参数： 投影画面成像反光膜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 </w:t>
            </w:r>
          </w:p>
        </w:tc>
      </w:tr>
      <w:tr>
        <w:tblPrEx>
          <w:shd w:val="clear" w:color="auto" w:fill="auto"/>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全息膜框架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技术参数：全息膜定制固定框架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 </w:t>
            </w:r>
          </w:p>
        </w:tc>
      </w:tr>
      <w:tr>
        <w:tblPrEx>
          <w:shd w:val="clear" w:color="auto" w:fill="auto"/>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幕布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技术参数：高清融合大屏幕 </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 </w:t>
            </w:r>
          </w:p>
        </w:tc>
      </w:tr>
      <w:tr>
        <w:tblPrEx>
          <w:shd w:val="clear" w:color="auto" w:fill="auto"/>
          <w:tblCellMar>
            <w:top w:w="0" w:type="dxa"/>
            <w:left w:w="0" w:type="dxa"/>
            <w:bottom w:w="0" w:type="dxa"/>
            <w:right w:w="0" w:type="dxa"/>
          </w:tblCellMar>
        </w:tblPrEx>
        <w:trPr>
          <w:trHeight w:val="2900"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工控机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1、CPU:  Intel 酷睿i7 8700，主频3.6GHz，4核8线程，支持内存64GB;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2、主板：B360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3、显卡：GeForce GTX1060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4、固态硬盘：SL300 128GB SATA3 读取速度510mb0s,写入速度350mb0s。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5、内存： 8GB DDR4 2400 ；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6、专用电源+工控机箱。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台 </w:t>
            </w:r>
          </w:p>
        </w:tc>
      </w:tr>
      <w:tr>
        <w:tblPrEx>
          <w:shd w:val="clear" w:color="auto" w:fill="auto"/>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全息底座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长宽高2.4*2.4*2.395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套 </w:t>
            </w:r>
          </w:p>
        </w:tc>
      </w:tr>
      <w:tr>
        <w:tblPrEx>
          <w:shd w:val="clear" w:color="auto" w:fill="auto"/>
          <w:tblCellMar>
            <w:top w:w="0" w:type="dxa"/>
            <w:left w:w="0" w:type="dxa"/>
            <w:bottom w:w="0" w:type="dxa"/>
            <w:right w:w="0" w:type="dxa"/>
          </w:tblCellMar>
        </w:tblPrEx>
        <w:trPr>
          <w:trHeight w:val="900"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软件内容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影片文案创意策划</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影片资料的收集和整理，进行策划、创意、故事情节编写、文案制作</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640"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内容影片制作</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10个以内净水厂三维建模动态表现，分辨率1920*1080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秒</w:t>
            </w:r>
          </w:p>
        </w:tc>
      </w:tr>
      <w:tr>
        <w:tblPrEx>
          <w:shd w:val="clear" w:color="auto" w:fill="auto"/>
          <w:tblCellMar>
            <w:top w:w="0" w:type="dxa"/>
            <w:left w:w="0" w:type="dxa"/>
            <w:bottom w:w="0" w:type="dxa"/>
            <w:right w:w="0" w:type="dxa"/>
          </w:tblCellMar>
        </w:tblPrEx>
        <w:trPr>
          <w:trHeight w:val="270" w:hRule="atLeast"/>
        </w:trPr>
        <w:tc>
          <w:tcPr>
            <w:tcW w:w="5183"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b/>
                <w:i w:val="0"/>
                <w:color w:val="000000"/>
                <w:sz w:val="22"/>
                <w:szCs w:val="22"/>
                <w:u w:val="none"/>
                <w:lang w:val="zh-CN"/>
              </w:rPr>
              <w:t>合同暂定总价（万元</w:t>
            </w:r>
            <w:r>
              <w:rPr>
                <w:rFonts w:hint="eastAsia" w:ascii="宋体" w:hAnsi="宋体" w:cs="宋体"/>
                <w:b/>
                <w:i w:val="0"/>
                <w:color w:val="000000"/>
                <w:sz w:val="22"/>
                <w:szCs w:val="22"/>
                <w:u w:val="none"/>
                <w:lang w:val="zh-CN"/>
              </w:rPr>
              <w:t>）</w:t>
            </w:r>
          </w:p>
        </w:tc>
        <w:tc>
          <w:tcPr>
            <w:tcW w:w="501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270" w:hRule="atLeast"/>
        </w:trPr>
        <w:tc>
          <w:tcPr>
            <w:tcW w:w="5183"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zh-CN"/>
              </w:rPr>
              <w:t>合同暂定总价（万元</w:t>
            </w:r>
            <w:r>
              <w:rPr>
                <w:rFonts w:hint="eastAsia" w:ascii="宋体" w:hAnsi="宋体" w:cs="宋体"/>
                <w:b/>
                <w:i w:val="0"/>
                <w:color w:val="000000"/>
                <w:sz w:val="22"/>
                <w:szCs w:val="22"/>
                <w:u w:val="none"/>
                <w:lang w:val="zh-CN"/>
              </w:rPr>
              <w:t>）</w:t>
            </w:r>
            <w:r>
              <w:rPr>
                <w:rFonts w:hint="eastAsia" w:ascii="宋体" w:hAnsi="宋体" w:cs="宋体"/>
                <w:b/>
                <w:i w:val="0"/>
                <w:color w:val="000000"/>
                <w:sz w:val="22"/>
                <w:szCs w:val="22"/>
                <w:u w:val="none"/>
                <w:lang w:val="en-US" w:eastAsia="zh-CN"/>
              </w:rPr>
              <w:t>含税</w:t>
            </w:r>
            <w:r>
              <w:rPr>
                <w:rFonts w:hint="eastAsia" w:ascii="宋体" w:hAnsi="宋体" w:cs="宋体"/>
                <w:b/>
                <w:i w:val="0"/>
                <w:color w:val="000000"/>
                <w:sz w:val="22"/>
                <w:szCs w:val="22"/>
                <w:u w:val="single"/>
                <w:lang w:val="en-US" w:eastAsia="zh-CN"/>
              </w:rPr>
              <w:t xml:space="preserve">   </w:t>
            </w:r>
            <w:r>
              <w:rPr>
                <w:rFonts w:hint="eastAsia" w:ascii="宋体" w:hAnsi="宋体" w:cs="宋体"/>
                <w:b/>
                <w:i w:val="0"/>
                <w:color w:val="000000"/>
                <w:sz w:val="22"/>
                <w:szCs w:val="22"/>
                <w:u w:val="none"/>
                <w:lang w:val="en-US" w:eastAsia="zh-CN"/>
              </w:rPr>
              <w:t>%</w:t>
            </w:r>
          </w:p>
        </w:tc>
        <w:tc>
          <w:tcPr>
            <w:tcW w:w="501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kern w:val="2"/>
                <w:sz w:val="22"/>
                <w:szCs w:val="22"/>
                <w:u w:val="none"/>
                <w:lang w:val="en-US" w:eastAsia="zh-CN" w:bidi="ar-SA"/>
              </w:rPr>
            </w:pPr>
          </w:p>
        </w:tc>
      </w:tr>
    </w:tbl>
    <w:p>
      <w:pPr>
        <w:widowControl/>
        <w:spacing w:after="120" w:line="600" w:lineRule="exact"/>
        <w:jc w:val="left"/>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其他</w:t>
      </w:r>
      <w:r>
        <w:rPr>
          <w:rFonts w:hint="eastAsia" w:ascii="宋体" w:hAnsi="宋体" w:cs="宋体"/>
          <w:color w:val="000000" w:themeColor="text1"/>
          <w:kern w:val="0"/>
          <w:sz w:val="24"/>
          <w:szCs w:val="24"/>
          <w14:textFill>
            <w14:solidFill>
              <w14:schemeClr w14:val="tx1"/>
            </w14:solidFill>
          </w14:textFill>
        </w:rPr>
        <w:t>采购</w:t>
      </w:r>
      <w:r>
        <w:rPr>
          <w:rFonts w:hint="eastAsia" w:ascii="宋体" w:hAnsi="宋体" w:cs="宋体"/>
          <w:color w:val="000000" w:themeColor="text1"/>
          <w:kern w:val="0"/>
          <w:sz w:val="24"/>
          <w:szCs w:val="24"/>
          <w:lang w:val="zh-CN"/>
          <w14:textFill>
            <w14:solidFill>
              <w14:schemeClr w14:val="tx1"/>
            </w14:solidFill>
          </w14:textFill>
        </w:rPr>
        <w:t>需求见附件（如</w:t>
      </w:r>
      <w:r>
        <w:rPr>
          <w:rFonts w:hint="eastAsia" w:ascii="宋体" w:hAnsi="宋体" w:cs="宋体"/>
          <w:color w:val="000000" w:themeColor="text1"/>
          <w:kern w:val="0"/>
          <w:sz w:val="24"/>
          <w:szCs w:val="24"/>
          <w14:textFill>
            <w14:solidFill>
              <w14:schemeClr w14:val="tx1"/>
            </w14:solidFill>
          </w14:textFill>
        </w:rPr>
        <w:t>有</w:t>
      </w:r>
      <w:r>
        <w:rPr>
          <w:rFonts w:hint="eastAsia" w:ascii="宋体" w:hAnsi="宋体" w:cs="宋体"/>
          <w:color w:val="000000" w:themeColor="text1"/>
          <w:kern w:val="0"/>
          <w:sz w:val="24"/>
          <w:szCs w:val="24"/>
          <w:lang w:val="zh-CN"/>
          <w14:textFill>
            <w14:solidFill>
              <w14:schemeClr w14:val="tx1"/>
            </w14:solidFill>
          </w14:textFill>
        </w:rPr>
        <w:t>）。</w:t>
      </w:r>
    </w:p>
    <w:p>
      <w:pPr>
        <w:widowControl/>
        <w:adjustRightInd w:val="0"/>
        <w:snapToGrid w:val="0"/>
        <w:spacing w:after="160" w:line="600" w:lineRule="exact"/>
        <w:ind w:firstLine="482" w:firstLineChars="200"/>
        <w:jc w:val="left"/>
        <w:rPr>
          <w:rFonts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第三条 交货日期及地点</w:t>
      </w:r>
    </w:p>
    <w:p>
      <w:pPr>
        <w:widowControl/>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3.1乙方按以下第(1)种供货期供货。</w:t>
      </w:r>
    </w:p>
    <w:p>
      <w:pPr>
        <w:widowControl/>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(1)合同生效之日起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30</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日内到货，并开箱/试运行验收合格（如果供货要求包含安装、调试，则应为试运行验收合格）。</w:t>
      </w:r>
    </w:p>
    <w:p>
      <w:pPr>
        <w:widowControl/>
        <w:adjustRightInd w:val="0"/>
        <w:snapToGrid w:val="0"/>
        <w:spacing w:after="160" w:line="600" w:lineRule="exact"/>
        <w:ind w:firstLine="360" w:firstLineChars="15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（2)乙方按甲方要求，按时间计划逐批（次）供货，并开箱/试运行验收合格（如果供货要求包含安装、调试，则应为试运行验收合格），具体交货日期以甲方</w:t>
      </w:r>
      <w:r>
        <w:rPr>
          <w:rFonts w:hint="eastAsia" w:ascii="宋体" w:hAnsi="宋体" w:cs="宋体"/>
          <w:bCs/>
          <w:color w:val="000000" w:themeColor="text1"/>
          <w:sz w:val="24"/>
          <w:szCs w:val="24"/>
          <w14:textFill>
            <w14:solidFill>
              <w14:schemeClr w14:val="tx1"/>
            </w14:solidFill>
          </w14:textFill>
        </w:rPr>
        <w:t>书面</w:t>
      </w:r>
      <w:r>
        <w:rPr>
          <w:rFonts w:hint="eastAsia" w:ascii="宋体" w:hAnsi="宋体" w:cs="宋体"/>
          <w:color w:val="000000" w:themeColor="text1"/>
          <w:sz w:val="24"/>
          <w:szCs w:val="24"/>
          <w14:textFill>
            <w14:solidFill>
              <w14:schemeClr w14:val="tx1"/>
            </w14:solidFill>
          </w14:textFill>
        </w:rPr>
        <w:t>通知为准。</w:t>
      </w:r>
    </w:p>
    <w:p>
      <w:pPr>
        <w:widowControl/>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合同有效期为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年，自合同签订之日起算。若合同到期前实际采购货物金额达到合同暂定总价的，合同提前终止（适用于按单价采购且分批供货的采购方式）。</w:t>
      </w:r>
    </w:p>
    <w:p>
      <w:pPr>
        <w:widowControl/>
        <w:spacing w:after="12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（3）其它供货期要求：</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pPr>
        <w:widowControl/>
        <w:spacing w:after="12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w:t>
      </w:r>
      <w:r>
        <w:rPr>
          <w:rFonts w:hint="eastAsia" w:ascii="宋体" w:hAnsi="宋体" w:cs="宋体"/>
          <w:bCs/>
          <w:color w:val="000000" w:themeColor="text1"/>
          <w:sz w:val="24"/>
          <w:szCs w:val="24"/>
          <w14:textFill>
            <w14:solidFill>
              <w14:schemeClr w14:val="tx1"/>
            </w14:solidFill>
          </w14:textFill>
        </w:rPr>
        <w:t>交货地点：</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（包括甲方指定的任一收货点），最终具体交货地点以甲方书面通知为准。</w:t>
      </w:r>
      <w:r>
        <w:rPr>
          <w:rFonts w:hint="eastAsia" w:ascii="宋体" w:hAnsi="宋体" w:cs="宋体"/>
          <w:color w:val="000000" w:themeColor="text1"/>
          <w:sz w:val="24"/>
          <w:szCs w:val="24"/>
          <w14:textFill>
            <w14:solidFill>
              <w14:schemeClr w14:val="tx1"/>
            </w14:solidFill>
          </w14:textFill>
        </w:rPr>
        <w:t xml:space="preserve"> </w:t>
      </w:r>
    </w:p>
    <w:p>
      <w:pPr>
        <w:widowControl/>
        <w:adjustRightInd w:val="0"/>
        <w:snapToGrid w:val="0"/>
        <w:spacing w:after="160" w:line="600" w:lineRule="exact"/>
        <w:ind w:firstLine="482" w:firstLineChars="200"/>
        <w:jc w:val="both"/>
        <w:rPr>
          <w:rFonts w:ascii="宋体" w:hAnsi="宋体" w:cs="宋体"/>
          <w:b/>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第四条</w:t>
      </w:r>
      <w:r>
        <w:rPr>
          <w:rFonts w:hint="eastAsia" w:ascii="宋体" w:hAnsi="宋体" w:cs="宋体"/>
          <w:color w:val="000000" w:themeColor="text1"/>
          <w:kern w:val="0"/>
          <w:sz w:val="24"/>
          <w:szCs w:val="24"/>
          <w14:textFill>
            <w14:solidFill>
              <w14:schemeClr w14:val="tx1"/>
            </w14:solidFill>
          </w14:textFill>
        </w:rPr>
        <w:t xml:space="preserve"> 合同</w:t>
      </w:r>
      <w:r>
        <w:rPr>
          <w:rFonts w:hint="eastAsia" w:ascii="宋体" w:hAnsi="宋体" w:cs="宋体"/>
          <w:color w:val="000000" w:themeColor="text1"/>
          <w:sz w:val="24"/>
          <w:szCs w:val="24"/>
          <w14:textFill>
            <w14:solidFill>
              <w14:schemeClr w14:val="tx1"/>
            </w14:solidFill>
          </w14:textFill>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000000" w:themeColor="text1"/>
          <w:sz w:val="24"/>
          <w:szCs w:val="24"/>
          <w14:textFill>
            <w14:solidFill>
              <w14:schemeClr w14:val="tx1"/>
            </w14:solidFill>
          </w14:textFill>
        </w:rPr>
        <w:t>（具体按“采购需求”）</w:t>
      </w:r>
      <w:r>
        <w:rPr>
          <w:rFonts w:hint="eastAsia" w:ascii="宋体" w:hAnsi="宋体" w:cs="宋体"/>
          <w:color w:val="000000" w:themeColor="text1"/>
          <w:sz w:val="24"/>
          <w:szCs w:val="24"/>
          <w14:textFill>
            <w14:solidFill>
              <w14:schemeClr w14:val="tx1"/>
            </w14:solidFill>
          </w14:textFill>
        </w:rPr>
        <w:t>、质量抽检、培训、相关税费、保险费、物货伴随服务（包括安装使用说明书、图纸的提供、质保期服务）等全部费用。合同履行期间国家税率调整的，不含税价不变，价税合计相应调整，以开具发票时间为准。</w:t>
      </w:r>
    </w:p>
    <w:p>
      <w:pPr>
        <w:widowControl/>
        <w:autoSpaceDE w:val="0"/>
        <w:autoSpaceDN w:val="0"/>
        <w:adjustRightInd w:val="0"/>
        <w:spacing w:after="160" w:line="600" w:lineRule="exact"/>
        <w:ind w:firstLine="600" w:firstLineChars="25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widowControl/>
        <w:autoSpaceDE w:val="0"/>
        <w:autoSpaceDN w:val="0"/>
        <w:adjustRightInd w:val="0"/>
        <w:spacing w:after="160" w:line="600" w:lineRule="exact"/>
        <w:ind w:left="420"/>
        <w:jc w:val="left"/>
        <w:rPr>
          <w:rFonts w:hint="eastAsia" w:ascii="宋体" w:hAnsi="宋体" w:cs="宋体"/>
          <w:b/>
          <w:color w:val="000000" w:themeColor="text1"/>
          <w:sz w:val="24"/>
          <w:szCs w:val="24"/>
          <w14:textFill>
            <w14:solidFill>
              <w14:schemeClr w14:val="tx1"/>
            </w14:solidFill>
          </w14:textFill>
        </w:rPr>
      </w:pPr>
    </w:p>
    <w:p>
      <w:pPr>
        <w:widowControl/>
        <w:autoSpaceDE w:val="0"/>
        <w:autoSpaceDN w:val="0"/>
        <w:adjustRightInd w:val="0"/>
        <w:spacing w:after="160" w:line="600" w:lineRule="exact"/>
        <w:ind w:left="42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第五条</w:t>
      </w:r>
      <w:r>
        <w:rPr>
          <w:rFonts w:ascii="宋体" w:hAnsi="宋体" w:cs="宋体"/>
          <w:b/>
          <w:color w:val="000000" w:themeColor="text1"/>
          <w:sz w:val="24"/>
          <w:szCs w:val="24"/>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支付方式</w:t>
      </w:r>
    </w:p>
    <w:p>
      <w:pPr>
        <w:widowControl/>
        <w:spacing w:after="160" w:line="600" w:lineRule="exact"/>
        <w:ind w:firstLine="480" w:firstLineChars="200"/>
        <w:jc w:val="left"/>
        <w:rPr>
          <w:rFonts w:ascii="宋体" w:hAnsi="宋体" w:cs="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5.1</w:t>
      </w:r>
      <w:r>
        <w:rPr>
          <w:rFonts w:hint="eastAsia" w:ascii="宋体" w:hAnsi="宋体" w:cs="宋体"/>
          <w:bCs/>
          <w:color w:val="000000" w:themeColor="text1"/>
          <w:sz w:val="24"/>
          <w:szCs w:val="24"/>
          <w14:textFill>
            <w14:solidFill>
              <w14:schemeClr w14:val="tx1"/>
            </w14:solidFill>
          </w14:textFill>
        </w:rPr>
        <w:t>预付款支付：</w:t>
      </w:r>
      <w:r>
        <w:rPr>
          <w:rFonts w:ascii="宋体" w:hAnsi="宋体" w:cs="宋体"/>
          <w:bCs/>
          <w:color w:val="000000" w:themeColor="text1"/>
          <w:sz w:val="24"/>
          <w:szCs w:val="24"/>
          <w14:textFill>
            <w14:solidFill>
              <w14:schemeClr w14:val="tx1"/>
            </w14:solidFill>
          </w14:textFill>
        </w:rPr>
        <w:sym w:font="Wingdings" w:char="00FE"/>
      </w:r>
      <w:r>
        <w:rPr>
          <w:rFonts w:hint="eastAsia" w:ascii="宋体" w:hAnsi="宋体" w:cs="宋体"/>
          <w:bCs/>
          <w:color w:val="000000" w:themeColor="text1"/>
          <w:sz w:val="24"/>
          <w:szCs w:val="24"/>
          <w14:textFill>
            <w14:solidFill>
              <w14:schemeClr w14:val="tx1"/>
            </w14:solidFill>
          </w14:textFill>
        </w:rPr>
        <w:t>无；</w:t>
      </w:r>
      <w:r>
        <w:rPr>
          <w:rFonts w:ascii="宋体" w:hAnsi="宋体" w:cs="宋体"/>
          <w:bCs/>
          <w:color w:val="000000" w:themeColor="text1"/>
          <w:sz w:val="24"/>
          <w:szCs w:val="24"/>
          <w14:textFill>
            <w14:solidFill>
              <w14:schemeClr w14:val="tx1"/>
            </w14:solidFill>
          </w14:textFill>
        </w:rPr>
        <w:t xml:space="preserve">     </w:t>
      </w:r>
      <w:r>
        <w:rPr>
          <w:rFonts w:ascii="宋体" w:hAnsi="宋体" w:cs="宋体"/>
          <w:bCs/>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合同</w:t>
      </w:r>
      <w:bookmarkStart w:id="13" w:name="_GoBack"/>
      <w:bookmarkEnd w:id="13"/>
      <w:r>
        <w:rPr>
          <w:rFonts w:hint="eastAsia" w:ascii="宋体" w:hAnsi="宋体" w:cs="宋体"/>
          <w:bCs/>
          <w:color w:val="000000" w:themeColor="text1"/>
          <w:sz w:val="24"/>
          <w:szCs w:val="24"/>
          <w14:textFill>
            <w14:solidFill>
              <w14:schemeClr w14:val="tx1"/>
            </w14:solidFill>
          </w14:textFill>
        </w:rPr>
        <w:t>签订后，乙方开具</w:t>
      </w:r>
      <w:r>
        <w:rPr>
          <w:rFonts w:hint="eastAsia" w:ascii="宋体" w:hAnsi="宋体" w:cs="宋体"/>
          <w:color w:val="000000" w:themeColor="text1"/>
          <w:sz w:val="24"/>
          <w:szCs w:val="24"/>
          <w14:textFill>
            <w14:solidFill>
              <w14:schemeClr w14:val="tx1"/>
            </w14:solidFill>
          </w14:textFill>
        </w:rPr>
        <w:t>等额</w:t>
      </w:r>
      <w:r>
        <w:rPr>
          <w:rFonts w:hint="eastAsia" w:ascii="宋体" w:hAnsi="宋体" w:cs="宋体"/>
          <w:bCs/>
          <w:color w:val="000000" w:themeColor="text1"/>
          <w:sz w:val="24"/>
          <w:szCs w:val="24"/>
          <w14:textFill>
            <w14:solidFill>
              <w14:schemeClr w14:val="tx1"/>
            </w14:solidFill>
          </w14:textFill>
        </w:rPr>
        <w:t>增值税专用发票及提交履约担保（如有）后</w:t>
      </w:r>
      <w:r>
        <w:rPr>
          <w:rFonts w:ascii="宋体" w:hAnsi="宋体" w:cs="宋体"/>
          <w:bCs/>
          <w:color w:val="000000" w:themeColor="text1"/>
          <w:sz w:val="24"/>
          <w:szCs w:val="24"/>
          <w:u w:val="single"/>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个工作日内，甲方支付</w:t>
      </w:r>
      <w:r>
        <w:rPr>
          <w:rFonts w:hint="eastAsia" w:ascii="宋体" w:hAnsi="宋体" w:cs="宋体"/>
          <w:color w:val="000000" w:themeColor="text1"/>
          <w:sz w:val="24"/>
          <w:szCs w:val="24"/>
          <w:u w:val="single"/>
          <w14:textFill>
            <w14:solidFill>
              <w14:schemeClr w14:val="tx1"/>
            </w14:solidFill>
          </w14:textFill>
        </w:rPr>
        <w:t>合同暂定总价</w:t>
      </w:r>
      <w:r>
        <w:rPr>
          <w:rFonts w:hint="eastAsia" w:ascii="宋体" w:hAnsi="宋体" w:cs="宋体"/>
          <w:bCs/>
          <w:color w:val="000000" w:themeColor="text1"/>
          <w:sz w:val="24"/>
          <w:szCs w:val="24"/>
          <w:u w:val="single"/>
          <w14:textFill>
            <w14:solidFill>
              <w14:schemeClr w14:val="tx1"/>
            </w14:solidFill>
          </w14:textFill>
        </w:rPr>
        <w:t>的</w:t>
      </w:r>
      <w:r>
        <w:rPr>
          <w:rFonts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u w:val="single"/>
          <w:lang w:val="en-US" w:eastAsia="zh-CN"/>
          <w14:textFill>
            <w14:solidFill>
              <w14:schemeClr w14:val="tx1"/>
            </w14:solidFill>
          </w14:textFill>
        </w:rPr>
        <w:t>30</w:t>
      </w:r>
      <w:r>
        <w:rPr>
          <w:rFonts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即</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元，（大写：</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作为预付款。</w:t>
      </w:r>
      <w:r>
        <w:rPr>
          <w:rFonts w:hint="eastAsia" w:ascii="宋体" w:hAnsi="宋体" w:cs="宋体"/>
          <w:color w:val="000000" w:themeColor="text1"/>
          <w:sz w:val="24"/>
          <w:szCs w:val="24"/>
          <w14:textFill>
            <w14:solidFill>
              <w14:schemeClr w14:val="tx1"/>
            </w14:solidFill>
          </w14:textFill>
        </w:rPr>
        <w:t>若合同解除或终止，乙方在</w:t>
      </w:r>
      <w:r>
        <w:rPr>
          <w:rFonts w:ascii="宋体" w:hAnsi="宋体" w:cs="宋体"/>
          <w:color w:val="000000" w:themeColor="text1"/>
          <w:sz w:val="24"/>
          <w:szCs w:val="24"/>
          <w:u w:val="single"/>
          <w14:textFill>
            <w14:solidFill>
              <w14:schemeClr w14:val="tx1"/>
            </w14:solidFill>
          </w14:textFill>
        </w:rPr>
        <w:t xml:space="preserve"> 5 </w:t>
      </w:r>
      <w:r>
        <w:rPr>
          <w:rFonts w:hint="eastAsia" w:ascii="宋体" w:hAnsi="宋体" w:cs="宋体"/>
          <w:color w:val="000000" w:themeColor="text1"/>
          <w:sz w:val="24"/>
          <w:szCs w:val="24"/>
          <w14:textFill>
            <w14:solidFill>
              <w14:schemeClr w14:val="tx1"/>
            </w14:solidFill>
          </w14:textFill>
        </w:rPr>
        <w:t>个工作日内返还预付款</w:t>
      </w:r>
      <w:r>
        <w:rPr>
          <w:rFonts w:hint="eastAsia" w:ascii="宋体" w:hAnsi="宋体" w:cs="宋体"/>
          <w:bCs/>
          <w:color w:val="000000" w:themeColor="text1"/>
          <w:kern w:val="0"/>
          <w:sz w:val="24"/>
          <w:szCs w:val="24"/>
          <w14:textFill>
            <w14:solidFill>
              <w14:schemeClr w14:val="tx1"/>
            </w14:solidFill>
          </w14:textFill>
        </w:rPr>
        <w:t>（无息）</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kern w:val="0"/>
          <w:sz w:val="24"/>
          <w:szCs w:val="24"/>
          <w14:textFill>
            <w14:solidFill>
              <w14:schemeClr w14:val="tx1"/>
            </w14:solidFill>
          </w14:textFill>
        </w:rPr>
        <w:t>逾期未返还，每逾期一天，乙方应按合同暂定总价的</w:t>
      </w:r>
      <w:r>
        <w:rPr>
          <w:rFonts w:hint="eastAsia" w:ascii="宋体" w:hAnsi="宋体" w:cs="宋体"/>
          <w:bCs/>
          <w:color w:val="000000" w:themeColor="text1"/>
          <w:kern w:val="0"/>
          <w:sz w:val="24"/>
          <w:szCs w:val="24"/>
          <w:u w:val="single"/>
          <w14:textFill>
            <w14:solidFill>
              <w14:schemeClr w14:val="tx1"/>
            </w14:solidFill>
          </w14:textFill>
        </w:rPr>
        <w:t>万分之五</w:t>
      </w:r>
      <w:r>
        <w:rPr>
          <w:rFonts w:ascii="宋体" w:hAnsi="宋体" w:cs="宋体"/>
          <w:bCs/>
          <w:color w:val="000000" w:themeColor="text1"/>
          <w:kern w:val="0"/>
          <w:sz w:val="24"/>
          <w:szCs w:val="24"/>
          <w:u w:val="single"/>
          <w14:textFill>
            <w14:solidFill>
              <w14:schemeClr w14:val="tx1"/>
            </w14:solidFill>
          </w14:textFill>
        </w:rPr>
        <w:t>/</w:t>
      </w:r>
      <w:r>
        <w:rPr>
          <w:rFonts w:hint="eastAsia" w:ascii="宋体" w:hAnsi="宋体" w:cs="宋体"/>
          <w:bCs/>
          <w:color w:val="000000" w:themeColor="text1"/>
          <w:kern w:val="0"/>
          <w:sz w:val="24"/>
          <w:szCs w:val="24"/>
          <w:u w:val="single"/>
          <w14:textFill>
            <w14:solidFill>
              <w14:schemeClr w14:val="tx1"/>
            </w14:solidFill>
          </w14:textFill>
        </w:rPr>
        <w:t>天</w:t>
      </w:r>
      <w:r>
        <w:rPr>
          <w:rFonts w:hint="eastAsia" w:ascii="宋体" w:hAnsi="宋体" w:cs="宋体"/>
          <w:bCs/>
          <w:color w:val="000000" w:themeColor="text1"/>
          <w:kern w:val="0"/>
          <w:sz w:val="24"/>
          <w:szCs w:val="24"/>
          <w14:textFill>
            <w14:solidFill>
              <w14:schemeClr w14:val="tx1"/>
            </w14:solidFill>
          </w14:textFill>
        </w:rPr>
        <w:t>支付违约金</w:t>
      </w:r>
      <w:r>
        <w:rPr>
          <w:rFonts w:hint="eastAsia" w:ascii="宋体" w:hAnsi="宋体" w:cs="宋体"/>
          <w:color w:val="000000" w:themeColor="text1"/>
          <w:sz w:val="24"/>
          <w:szCs w:val="24"/>
          <w14:textFill>
            <w14:solidFill>
              <w14:schemeClr w14:val="tx1"/>
            </w14:solidFill>
          </w14:textFill>
        </w:rPr>
        <w:t>。</w:t>
      </w:r>
    </w:p>
    <w:p>
      <w:pPr>
        <w:widowControl/>
        <w:adjustRightInd w:val="0"/>
        <w:snapToGrid w:val="0"/>
        <w:spacing w:after="160" w:line="600" w:lineRule="exact"/>
        <w:ind w:firstLine="360" w:firstLineChars="15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5.2</w:t>
      </w:r>
      <w:r>
        <w:rPr>
          <w:rFonts w:hint="eastAsia" w:ascii="宋体" w:hAnsi="宋体" w:cs="宋体"/>
          <w:color w:val="000000" w:themeColor="text1"/>
          <w:sz w:val="24"/>
          <w:szCs w:val="24"/>
          <w14:textFill>
            <w14:solidFill>
              <w14:schemeClr w14:val="tx1"/>
            </w14:solidFill>
          </w14:textFill>
        </w:rPr>
        <w:t>支付方式：本合同款项按以下第</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种方式支付。</w:t>
      </w:r>
    </w:p>
    <w:p>
      <w:pPr>
        <w:widowControl/>
        <w:adjustRightInd w:val="0"/>
        <w:snapToGrid w:val="0"/>
        <w:spacing w:after="160" w:line="600" w:lineRule="exact"/>
        <w:ind w:firstLine="360" w:firstLineChars="15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）本合同生效后，甲方支付乙方</w:t>
      </w:r>
      <w:r>
        <w:rPr>
          <w:rFonts w:hint="eastAsia" w:ascii="宋体" w:hAnsi="宋体" w:cs="宋体"/>
          <w:color w:val="000000" w:themeColor="text1"/>
          <w:sz w:val="24"/>
          <w:szCs w:val="24"/>
          <w:u w:val="single"/>
          <w14:textFill>
            <w14:solidFill>
              <w14:schemeClr w14:val="tx1"/>
            </w14:solidFill>
          </w14:textFill>
        </w:rPr>
        <w:t>合同暂定总价</w:t>
      </w:r>
      <w:r>
        <w:rPr>
          <w:rFonts w:hint="eastAsia" w:ascii="宋体" w:hAnsi="宋体" w:cs="宋体"/>
          <w:color w:val="000000" w:themeColor="text1"/>
          <w:sz w:val="24"/>
          <w:szCs w:val="24"/>
          <w:u w:val="single"/>
          <w:lang w:val="en-US" w:eastAsia="zh-CN"/>
          <w14:textFill>
            <w14:solidFill>
              <w14:schemeClr w14:val="tx1"/>
            </w14:solidFill>
          </w14:textFill>
        </w:rPr>
        <w:t>20</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预付款，乙方按时供货，货物到齐</w:t>
      </w:r>
      <w:r>
        <w:rPr>
          <w:rFonts w:hint="eastAsia" w:ascii="宋体" w:hAnsi="宋体" w:cs="宋体"/>
          <w:color w:val="000000" w:themeColor="text1"/>
          <w:sz w:val="24"/>
          <w:szCs w:val="24"/>
          <w:lang w:val="en-US" w:eastAsia="zh-CN"/>
          <w14:textFill>
            <w14:solidFill>
              <w14:schemeClr w14:val="tx1"/>
            </w14:solidFill>
          </w14:textFill>
        </w:rPr>
        <w:t>支付</w:t>
      </w:r>
      <w:r>
        <w:rPr>
          <w:rFonts w:hint="eastAsia" w:ascii="宋体" w:hAnsi="宋体" w:cs="宋体"/>
          <w:color w:val="000000" w:themeColor="text1"/>
          <w:sz w:val="24"/>
          <w:szCs w:val="24"/>
          <w:u w:val="single"/>
          <w:lang w:val="en-US" w:eastAsia="zh-CN"/>
          <w14:textFill>
            <w14:solidFill>
              <w14:schemeClr w14:val="tx1"/>
            </w14:solidFill>
          </w14:textFill>
        </w:rPr>
        <w:t>货款合同价的</w:t>
      </w:r>
      <w:r>
        <w:rPr>
          <w:rFonts w:hint="eastAsia" w:ascii="宋体" w:hAnsi="宋体" w:cs="宋体"/>
          <w:color w:val="auto"/>
          <w:sz w:val="24"/>
          <w:szCs w:val="24"/>
          <w:lang w:val="en-US" w:eastAsia="zh-CN"/>
        </w:rPr>
        <w:t>40%</w:t>
      </w:r>
      <w:r>
        <w:rPr>
          <w:rFonts w:hint="eastAsia" w:ascii="宋体" w:hAnsi="宋体" w:cs="宋体"/>
          <w:color w:val="auto"/>
          <w:sz w:val="24"/>
          <w:szCs w:val="24"/>
        </w:rPr>
        <w:t>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X</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年。质保期满后，乙方申请退还质保金并提供相关资料后的</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个工作日内，甲方支付质保金（无息）（适用于需支付预付款采购）。</w:t>
      </w:r>
    </w:p>
    <w:p>
      <w:pPr>
        <w:widowControl/>
        <w:adjustRightInd w:val="0"/>
        <w:snapToGrid w:val="0"/>
        <w:spacing w:after="160" w:line="600" w:lineRule="exact"/>
        <w:ind w:firstLine="360" w:firstLineChars="15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）本合同生效后，乙方按时供货，货物到齐且经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个工作日内向乙方支付至货款总额的</w:t>
      </w:r>
      <w:r>
        <w:rPr>
          <w:rFonts w:ascii="宋体" w:hAnsi="宋体" w:cs="宋体"/>
          <w:color w:val="000000" w:themeColor="text1"/>
          <w:sz w:val="24"/>
          <w:szCs w:val="24"/>
          <w14:textFill>
            <w14:solidFill>
              <w14:schemeClr w14:val="tx1"/>
            </w14:solidFill>
          </w14:textFill>
        </w:rPr>
        <w:t>95%</w:t>
      </w:r>
      <w:r>
        <w:rPr>
          <w:rFonts w:hint="eastAsia" w:ascii="宋体" w:hAnsi="宋体" w:cs="宋体"/>
          <w:color w:val="000000" w:themeColor="text1"/>
          <w:sz w:val="24"/>
          <w:szCs w:val="24"/>
          <w14:textFill>
            <w14:solidFill>
              <w14:schemeClr w14:val="tx1"/>
            </w14:solidFill>
          </w14:textFill>
        </w:rPr>
        <w:t>。余款</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作为质量保证金。质保期自</w:t>
      </w:r>
      <w:r>
        <w:rPr>
          <w:rFonts w:hint="eastAsia" w:ascii="宋体" w:hAnsi="宋体" w:cs="宋体"/>
          <w:color w:val="000000" w:themeColor="text1"/>
          <w:sz w:val="24"/>
          <w:szCs w:val="24"/>
          <w:u w:val="single"/>
          <w14:textFill>
            <w14:solidFill>
              <w14:schemeClr w14:val="tx1"/>
            </w14:solidFill>
          </w14:textFill>
        </w:rPr>
        <w:t>货物开箱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验收合格之日起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一</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年。质保期满后，乙方申请退还质保金并提供相关资料后的</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个工作日内，甲方支付质保金（无息）（适用于不需支付预付款采购）。</w:t>
      </w:r>
    </w:p>
    <w:p>
      <w:pPr>
        <w:widowControl/>
        <w:adjustRightInd w:val="0"/>
        <w:snapToGrid w:val="0"/>
        <w:spacing w:after="160" w:line="600" w:lineRule="exact"/>
        <w:ind w:firstLine="360" w:firstLineChars="15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）本合同生效后，乙方按时供货，货物到齐且经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个工作日内向乙方支付至货款总额的</w:t>
      </w:r>
      <w:r>
        <w:rPr>
          <w:rFonts w:ascii="宋体" w:hAnsi="宋体" w:cs="宋体"/>
          <w:color w:val="000000" w:themeColor="text1"/>
          <w:sz w:val="24"/>
          <w:szCs w:val="24"/>
          <w14:textFill>
            <w14:solidFill>
              <w14:schemeClr w14:val="tx1"/>
            </w14:solidFill>
          </w14:textFill>
        </w:rPr>
        <w:t>100%</w:t>
      </w:r>
      <w:r>
        <w:rPr>
          <w:rFonts w:hint="eastAsia" w:ascii="宋体" w:hAnsi="宋体" w:cs="宋体"/>
          <w:color w:val="000000" w:themeColor="text1"/>
          <w:sz w:val="24"/>
          <w:szCs w:val="24"/>
          <w14:textFill>
            <w14:solidFill>
              <w14:schemeClr w14:val="tx1"/>
            </w14:solidFill>
          </w14:textFill>
        </w:rPr>
        <w:t>（适用于即时结清采购）。</w:t>
      </w:r>
    </w:p>
    <w:p>
      <w:pPr>
        <w:widowControl/>
        <w:adjustRightInd w:val="0"/>
        <w:snapToGrid w:val="0"/>
        <w:spacing w:after="160" w:line="600" w:lineRule="exact"/>
        <w:ind w:firstLine="360" w:firstLineChars="15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）本合同生效后，乙方按时分批供货，每批货物到齐且经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个工作日内向乙方支付至该批货款总额的</w:t>
      </w:r>
      <w:r>
        <w:rPr>
          <w:rFonts w:ascii="宋体" w:hAnsi="宋体" w:cs="宋体"/>
          <w:color w:val="000000" w:themeColor="text1"/>
          <w:sz w:val="24"/>
          <w:szCs w:val="24"/>
          <w14:textFill>
            <w14:solidFill>
              <w14:schemeClr w14:val="tx1"/>
            </w14:solidFill>
          </w14:textFill>
        </w:rPr>
        <w:t>100%</w:t>
      </w:r>
      <w:r>
        <w:rPr>
          <w:rFonts w:hint="eastAsia" w:ascii="宋体" w:hAnsi="宋体" w:cs="宋体"/>
          <w:color w:val="000000" w:themeColor="text1"/>
          <w:sz w:val="24"/>
          <w:szCs w:val="24"/>
          <w14:textFill>
            <w14:solidFill>
              <w14:schemeClr w14:val="tx1"/>
            </w14:solidFill>
          </w14:textFill>
        </w:rPr>
        <w:t>（适用于分批供货且即时结清采购）。</w:t>
      </w:r>
    </w:p>
    <w:p>
      <w:pPr>
        <w:widowControl/>
        <w:adjustRightInd w:val="0"/>
        <w:snapToGrid w:val="0"/>
        <w:spacing w:after="160" w:line="60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）其它支付方式：</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widowControl/>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w:t>
      </w:r>
      <w:r>
        <w:rPr>
          <w:rFonts w:hint="eastAsia" w:ascii="宋体" w:hAnsi="宋体" w:cs="宋体"/>
          <w:color w:val="000000" w:themeColor="text1"/>
          <w:sz w:val="24"/>
          <w:szCs w:val="24"/>
          <w14:textFill>
            <w14:solidFill>
              <w14:schemeClr w14:val="tx1"/>
            </w14:solidFill>
          </w14:textFill>
        </w:rPr>
        <w:t>乙方收款账户：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widowControl/>
        <w:spacing w:after="160" w:line="600" w:lineRule="exact"/>
        <w:ind w:firstLine="960" w:firstLineChars="4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收款账号：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widowControl/>
        <w:spacing w:after="160" w:line="600" w:lineRule="exact"/>
        <w:ind w:firstLine="960" w:firstLineChars="4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开户行：</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widowControl/>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乙方在收款前需向甲方提交等额增值税专用发票，增值税专用发票信息：</w:t>
      </w:r>
    </w:p>
    <w:p>
      <w:pPr>
        <w:widowControl/>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名称：广州市净水有限公司</w:t>
      </w:r>
    </w:p>
    <w:p>
      <w:pPr>
        <w:widowControl/>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税号：</w:t>
      </w:r>
      <w:r>
        <w:rPr>
          <w:rFonts w:hint="eastAsia" w:ascii="宋体" w:hAnsi="宋体" w:cs="宋体"/>
          <w:color w:val="000000" w:themeColor="text1"/>
          <w:sz w:val="24"/>
          <w:szCs w:val="24"/>
          <w:u w:val="single"/>
          <w:lang w:val="en-US" w:eastAsia="zh-CN"/>
          <w14:textFill>
            <w14:solidFill>
              <w14:schemeClr w14:val="tx1"/>
            </w14:solidFill>
          </w14:textFill>
        </w:rPr>
        <w:t>91440101755584729Q</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p>
    <w:p>
      <w:pPr>
        <w:widowControl/>
        <w:spacing w:after="160" w:line="6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lang w:val="en-US" w:eastAsia="zh-CN"/>
          <w14:textFill>
            <w14:solidFill>
              <w14:schemeClr w14:val="tx1"/>
            </w14:solidFill>
          </w14:textFill>
        </w:rPr>
        <w:t>广州市天河区临江大道501号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widowControl/>
        <w:spacing w:after="160" w:line="600" w:lineRule="exact"/>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开户银行及账号：民生银行广州分行；账号：0301014140006932 ；</w:t>
      </w:r>
    </w:p>
    <w:p>
      <w:pPr>
        <w:widowControl/>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5.4</w:t>
      </w:r>
      <w:r>
        <w:rPr>
          <w:rFonts w:hint="eastAsia" w:ascii="宋体" w:hAnsi="宋体" w:cs="宋体"/>
          <w:color w:val="000000" w:themeColor="text1"/>
          <w:sz w:val="24"/>
          <w:szCs w:val="24"/>
          <w14:textFill>
            <w14:solidFill>
              <w14:schemeClr w14:val="tx1"/>
            </w14:solidFill>
          </w14:textFill>
        </w:rPr>
        <w:t>付款方式：</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网银支付；</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支票；</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其他：</w:t>
      </w:r>
      <w:r>
        <w:rPr>
          <w:rFonts w:ascii="宋体" w:hAnsi="宋体" w:cs="宋体"/>
          <w:color w:val="000000" w:themeColor="text1"/>
          <w:sz w:val="24"/>
          <w:szCs w:val="24"/>
          <w14:textFill>
            <w14:solidFill>
              <w14:schemeClr w14:val="tx1"/>
            </w14:solidFill>
          </w14:textFill>
        </w:rPr>
        <w:t xml:space="preserve">       </w:t>
      </w:r>
    </w:p>
    <w:p>
      <w:pPr>
        <w:widowControl/>
        <w:spacing w:after="160" w:line="600" w:lineRule="exact"/>
        <w:ind w:firstLine="720" w:firstLineChars="300"/>
        <w:jc w:val="left"/>
        <w:outlineLvl w:val="1"/>
        <w:rPr>
          <w:rFonts w:ascii="Calibri" w:hAnsi="宋体" w:cs="宋体"/>
          <w:color w:val="000000" w:themeColor="text1"/>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（建议采用网银支付、支票两种形式中之一）。</w:t>
      </w:r>
    </w:p>
    <w:p>
      <w:pPr>
        <w:widowControl/>
        <w:adjustRightInd w:val="0"/>
        <w:snapToGrid w:val="0"/>
        <w:spacing w:after="160" w:line="600" w:lineRule="exact"/>
        <w:ind w:firstLine="482"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第六条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违约责任</w:t>
      </w:r>
    </w:p>
    <w:p>
      <w:pPr>
        <w:widowControl/>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6.1</w:t>
      </w:r>
      <w:r>
        <w:rPr>
          <w:rFonts w:hint="eastAsia" w:ascii="宋体" w:hAnsi="宋体" w:cs="宋体"/>
          <w:color w:val="000000" w:themeColor="text1"/>
          <w:sz w:val="24"/>
          <w:szCs w:val="24"/>
          <w14:textFill>
            <w14:solidFill>
              <w14:schemeClr w14:val="tx1"/>
            </w14:solidFill>
          </w14:textFill>
        </w:rPr>
        <w:t>单方面取消合同：任意一方未经对方同意单方面取消合同，应按</w:t>
      </w:r>
      <w:r>
        <w:rPr>
          <w:rFonts w:hint="eastAsia" w:ascii="宋体" w:hAnsi="宋体" w:cs="宋体"/>
          <w:color w:val="000000" w:themeColor="text1"/>
          <w:sz w:val="24"/>
          <w:szCs w:val="24"/>
          <w:u w:val="single"/>
          <w14:textFill>
            <w14:solidFill>
              <w14:schemeClr w14:val="tx1"/>
            </w14:solidFill>
          </w14:textFill>
        </w:rPr>
        <w:t>合同暂定总价的</w:t>
      </w:r>
      <w:r>
        <w:rPr>
          <w:rFonts w:ascii="宋体" w:hAnsi="宋体" w:cs="宋体"/>
          <w:color w:val="000000" w:themeColor="text1"/>
          <w:sz w:val="24"/>
          <w:szCs w:val="24"/>
          <w:u w:val="single"/>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向对方赔偿。</w:t>
      </w:r>
    </w:p>
    <w:p>
      <w:pPr>
        <w:widowControl/>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6.2</w:t>
      </w:r>
      <w:r>
        <w:rPr>
          <w:rFonts w:hint="eastAsia" w:ascii="宋体" w:hAnsi="宋体" w:cs="宋体"/>
          <w:color w:val="000000" w:themeColor="text1"/>
          <w:sz w:val="24"/>
          <w:szCs w:val="24"/>
          <w14:textFill>
            <w14:solidFill>
              <w14:schemeClr w14:val="tx1"/>
            </w14:solidFill>
          </w14:textFill>
        </w:rPr>
        <w:t>乙方不能按时交货的，每逾期</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日，按</w:t>
      </w:r>
      <w:r>
        <w:rPr>
          <w:rFonts w:hint="eastAsia" w:ascii="宋体" w:hAnsi="宋体" w:cs="宋体"/>
          <w:color w:val="000000" w:themeColor="text1"/>
          <w:sz w:val="24"/>
          <w:szCs w:val="24"/>
          <w:u w:val="single"/>
          <w14:textFill>
            <w14:solidFill>
              <w14:schemeClr w14:val="tx1"/>
            </w14:solidFill>
          </w14:textFill>
        </w:rPr>
        <w:t>迟交货物总价的</w:t>
      </w:r>
      <w:r>
        <w:rPr>
          <w:rFonts w:ascii="宋体" w:hAnsi="宋体" w:cs="宋体"/>
          <w:color w:val="000000" w:themeColor="text1"/>
          <w:sz w:val="24"/>
          <w:szCs w:val="24"/>
          <w:u w:val="single"/>
          <w14:textFill>
            <w14:solidFill>
              <w14:schemeClr w14:val="tx1"/>
            </w14:solidFill>
          </w14:textFill>
        </w:rPr>
        <w:t xml:space="preserve"> 1%支付违约金</w:t>
      </w:r>
      <w:r>
        <w:rPr>
          <w:rFonts w:hint="eastAsia" w:ascii="宋体" w:hAnsi="宋体" w:cs="宋体"/>
          <w:color w:val="000000" w:themeColor="text1"/>
          <w:sz w:val="24"/>
          <w:szCs w:val="24"/>
          <w14:textFill>
            <w14:solidFill>
              <w14:schemeClr w14:val="tx1"/>
            </w14:solidFill>
          </w14:textFill>
        </w:rPr>
        <w:t>，逾期达到</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天及以上的，甲方有权解除合同。</w:t>
      </w:r>
    </w:p>
    <w:p>
      <w:pPr>
        <w:widowControl/>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6.3 </w:t>
      </w:r>
      <w:r>
        <w:rPr>
          <w:rFonts w:hint="eastAsia" w:ascii="宋体" w:hAnsi="宋体" w:cs="宋体"/>
          <w:color w:val="000000" w:themeColor="text1"/>
          <w:sz w:val="24"/>
          <w:szCs w:val="24"/>
          <w14:textFill>
            <w14:solidFill>
              <w14:schemeClr w14:val="tx1"/>
            </w14:solidFill>
          </w14:textFill>
        </w:rPr>
        <w:t>货物</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验收不合格或货物在</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验收后发现乙方所供货物不合格的，甲方有权退货或要求更换。甲方要求退货的，乙方应在收到甲方退货要求的</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日内退还甲方已支付的货款（含预付款）并按退货总价的双倍金额向甲方支付违约金，同时甲方有权解除合同；甲方要求更换的，乙方应在</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日内重新交货并按</w:t>
      </w:r>
      <w:r>
        <w:rPr>
          <w:rFonts w:hint="eastAsia" w:ascii="宋体" w:hAnsi="宋体" w:cs="宋体"/>
          <w:color w:val="000000" w:themeColor="text1"/>
          <w:sz w:val="24"/>
          <w:szCs w:val="24"/>
          <w:u w:val="single"/>
          <w14:textFill>
            <w14:solidFill>
              <w14:schemeClr w14:val="tx1"/>
            </w14:solidFill>
          </w14:textFill>
        </w:rPr>
        <w:t>更换货物总价的</w:t>
      </w:r>
      <w:r>
        <w:rPr>
          <w:rFonts w:ascii="宋体" w:hAnsi="宋体" w:cs="宋体"/>
          <w:color w:val="000000" w:themeColor="text1"/>
          <w:sz w:val="24"/>
          <w:szCs w:val="24"/>
          <w:u w:val="single"/>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支付违约金，乙方承担由此产生的一切损失和费用。</w:t>
      </w:r>
    </w:p>
    <w:p>
      <w:pPr>
        <w:widowControl/>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6.4 </w:t>
      </w:r>
      <w:r>
        <w:rPr>
          <w:rFonts w:hint="eastAsia" w:ascii="宋体" w:hAnsi="宋体" w:cs="宋体"/>
          <w:color w:val="000000" w:themeColor="text1"/>
          <w:sz w:val="24"/>
          <w:szCs w:val="24"/>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color w:val="000000" w:themeColor="text1"/>
          <w:sz w:val="24"/>
          <w:szCs w:val="24"/>
          <w14:textFill>
            <w14:solidFill>
              <w14:schemeClr w14:val="tx1"/>
            </w14:solidFill>
          </w14:textFill>
        </w:rPr>
        <w:t>1日支付违约金人民币1万元，超过</w:t>
      </w:r>
      <w:r>
        <w:rPr>
          <w:rFonts w:ascii="宋体" w:hAnsi="宋体" w:cs="宋体"/>
          <w:color w:val="000000" w:themeColor="text1"/>
          <w:sz w:val="24"/>
          <w:szCs w:val="24"/>
          <w:u w:val="single"/>
          <w14:textFill>
            <w14:solidFill>
              <w14:schemeClr w14:val="tx1"/>
            </w14:solidFill>
          </w14:textFill>
        </w:rPr>
        <w:t xml:space="preserve">_  </w:t>
      </w:r>
      <w:r>
        <w:rPr>
          <w:rFonts w:hint="eastAsia" w:ascii="宋体" w:hAnsi="宋体" w:cs="宋体"/>
          <w:color w:val="000000" w:themeColor="text1"/>
          <w:sz w:val="24"/>
          <w:szCs w:val="24"/>
          <w14:textFill>
            <w14:solidFill>
              <w14:schemeClr w14:val="tx1"/>
            </w14:solidFill>
          </w14:textFill>
        </w:rPr>
        <w:t>日，甲方有权解除合同并要求乙方支付</w:t>
      </w:r>
      <w:r>
        <w:rPr>
          <w:rFonts w:hint="eastAsia" w:ascii="宋体" w:hAnsi="宋体" w:cs="宋体"/>
          <w:color w:val="000000" w:themeColor="text1"/>
          <w:sz w:val="24"/>
          <w:szCs w:val="24"/>
          <w:u w:val="single"/>
          <w14:textFill>
            <w14:solidFill>
              <w14:schemeClr w14:val="tx1"/>
            </w14:solidFill>
          </w14:textFill>
        </w:rPr>
        <w:t>合同暂定总价的</w:t>
      </w:r>
      <w:r>
        <w:rPr>
          <w:rFonts w:ascii="宋体" w:hAnsi="宋体" w:cs="宋体"/>
          <w:color w:val="000000" w:themeColor="text1"/>
          <w:sz w:val="24"/>
          <w:szCs w:val="24"/>
          <w:u w:val="single"/>
          <w14:textFill>
            <w14:solidFill>
              <w14:schemeClr w14:val="tx1"/>
            </w14:solidFill>
          </w14:textFill>
        </w:rPr>
        <w:t>20%</w:t>
      </w:r>
      <w:r>
        <w:rPr>
          <w:rFonts w:ascii="宋体" w:hAnsi="宋体" w:cs="宋体"/>
          <w:color w:val="000000" w:themeColor="text1"/>
          <w:sz w:val="24"/>
          <w:szCs w:val="24"/>
          <w14:textFill>
            <w14:solidFill>
              <w14:schemeClr w14:val="tx1"/>
            </w14:solidFill>
          </w14:textFill>
        </w:rPr>
        <w:t>作为违约金</w:t>
      </w:r>
      <w:r>
        <w:rPr>
          <w:rFonts w:hint="eastAsia" w:ascii="宋体" w:hAnsi="宋体" w:cs="宋体"/>
          <w:color w:val="000000" w:themeColor="text1"/>
          <w:sz w:val="24"/>
          <w:szCs w:val="24"/>
          <w14:textFill>
            <w14:solidFill>
              <w14:schemeClr w14:val="tx1"/>
            </w14:solidFill>
          </w14:textFill>
        </w:rPr>
        <w:t>（</w:t>
      </w:r>
      <w:r>
        <w:rPr>
          <w:rFonts w:hint="eastAsia" w:ascii="Calibri" w:hAnsi="Calibri" w:cs="宋体"/>
          <w:color w:val="000000" w:themeColor="text1"/>
          <w:sz w:val="24"/>
          <w:szCs w:val="22"/>
          <w14:textFill>
            <w14:solidFill>
              <w14:schemeClr w14:val="tx1"/>
            </w14:solidFill>
          </w14:textFill>
        </w:rPr>
        <w:t>如合同另行约定违约责任，从其约定</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w:t>
      </w:r>
    </w:p>
    <w:p>
      <w:pPr>
        <w:widowControl/>
        <w:adjustRightInd w:val="0"/>
        <w:snapToGrid w:val="0"/>
        <w:spacing w:after="160" w:line="600" w:lineRule="exact"/>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第七条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不可抗力</w:t>
      </w:r>
    </w:p>
    <w:p>
      <w:pPr>
        <w:widowControl w:val="0"/>
        <w:numPr>
          <w:ilvl w:val="255"/>
          <w:numId w:val="0"/>
        </w:numPr>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7.1 </w:t>
      </w:r>
      <w:r>
        <w:rPr>
          <w:rFonts w:hint="eastAsia" w:ascii="宋体" w:hAnsi="宋体" w:cs="宋体"/>
          <w:color w:val="000000" w:themeColor="text1"/>
          <w:sz w:val="24"/>
          <w:szCs w:val="24"/>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1）地震、火山爆发、滑坡、暴雨（橙色预警及以上）、台风（黄色预警及以上）、海啸、龙卷风、大面积流行病(如：非典型性肺炎等)或瘟疫；</w:t>
      </w:r>
    </w:p>
    <w:p>
      <w:pPr>
        <w:widowControl w:val="0"/>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2）战争行为、入侵、武装冲突或外敌行为、封锁、暴乱、恐怖行为或军事演习；</w:t>
      </w:r>
    </w:p>
    <w:p>
      <w:pPr>
        <w:widowControl w:val="0"/>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7.2 </w:t>
      </w:r>
      <w:r>
        <w:rPr>
          <w:rFonts w:hint="eastAsia" w:ascii="宋体" w:hAnsi="宋体" w:cs="宋体"/>
          <w:color w:val="000000" w:themeColor="text1"/>
          <w:sz w:val="24"/>
          <w:szCs w:val="24"/>
          <w14:textFill>
            <w14:solidFill>
              <w14:schemeClr w14:val="tx1"/>
            </w14:solidFill>
          </w14:textFill>
        </w:rPr>
        <w:t>声称受到不可抗力影响的一方，应在发生不可抗力或知道发生不可抗力之后</w:t>
      </w:r>
      <w:r>
        <w:rPr>
          <w:rFonts w:ascii="宋体" w:hAnsi="宋体" w:cs="宋体"/>
          <w:color w:val="000000" w:themeColor="text1"/>
          <w:sz w:val="24"/>
          <w:szCs w:val="24"/>
          <w14:textFill>
            <w14:solidFill>
              <w14:schemeClr w14:val="tx1"/>
            </w14:solidFill>
          </w14:textFill>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7.3 </w:t>
      </w:r>
      <w:r>
        <w:rPr>
          <w:rFonts w:hint="eastAsia" w:ascii="宋体" w:hAnsi="宋体" w:cs="宋体"/>
          <w:color w:val="000000" w:themeColor="text1"/>
          <w:sz w:val="24"/>
          <w:szCs w:val="24"/>
          <w14:textFill>
            <w14:solidFill>
              <w14:schemeClr w14:val="tx1"/>
            </w14:solidFill>
          </w14:textFill>
        </w:rPr>
        <w:t>因不可抗力导致合同无法履行的时间自该不可抗力发生日起连续超过玖拾</w:t>
      </w:r>
      <w:r>
        <w:rPr>
          <w:rFonts w:ascii="宋体" w:hAnsi="宋体" w:cs="宋体"/>
          <w:color w:val="000000" w:themeColor="text1"/>
          <w:sz w:val="24"/>
          <w:szCs w:val="24"/>
          <w14:textFill>
            <w14:solidFill>
              <w14:schemeClr w14:val="tx1"/>
            </w14:solidFill>
          </w14:textFill>
        </w:rPr>
        <w:t>(90)天，双方应协商决定继续履行本合同的条件或者变更本合同。如果自不可抗力发生后壹佰捌拾(180)天之内双方不能达成一致意见，任何一方有权解除本合同。</w:t>
      </w:r>
    </w:p>
    <w:p>
      <w:pPr>
        <w:widowControl/>
        <w:adjustRightInd w:val="0"/>
        <w:snapToGrid w:val="0"/>
        <w:spacing w:after="160" w:line="6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7.4 </w:t>
      </w:r>
      <w:r>
        <w:rPr>
          <w:rFonts w:hint="eastAsia" w:ascii="宋体" w:hAnsi="宋体" w:cs="宋体"/>
          <w:color w:val="000000" w:themeColor="text1"/>
          <w:sz w:val="24"/>
          <w:szCs w:val="24"/>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82"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第八条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争议解决</w:t>
      </w:r>
    </w:p>
    <w:p>
      <w:pPr>
        <w:widowControl/>
        <w:spacing w:after="160" w:line="460" w:lineRule="exact"/>
        <w:ind w:firstLine="720" w:firstLineChars="300"/>
        <w:jc w:val="left"/>
        <w:rPr>
          <w:rFonts w:ascii="宋体" w:hAnsi="宋体" w:cs="宋体"/>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8.1</w:t>
      </w:r>
      <w:r>
        <w:rPr>
          <w:rFonts w:hint="eastAsia" w:ascii="宋体" w:hAnsi="宋体" w:cs="宋体"/>
          <w:bCs/>
          <w:color w:val="000000" w:themeColor="text1"/>
          <w:sz w:val="24"/>
          <w:szCs w:val="24"/>
          <w14:textFill>
            <w14:solidFill>
              <w14:schemeClr w14:val="tx1"/>
            </w14:solidFill>
          </w14:textFill>
        </w:rPr>
        <w:t>因本合同引起的或与本合同有关的任何争议，甲乙双方应友好协商解决，如协商不成，任何一方可依法向甲方所在地</w:t>
      </w:r>
      <w:r>
        <w:rPr>
          <w:rFonts w:hint="eastAsia" w:ascii="宋体" w:hAnsi="宋体" w:cs="宋体"/>
          <w:bCs/>
          <w:color w:val="000000" w:themeColor="text1"/>
          <w:sz w:val="24"/>
          <w:szCs w:val="24"/>
          <w:u w:val="single"/>
          <w14:textFill>
            <w14:solidFill>
              <w14:schemeClr w14:val="tx1"/>
            </w14:solidFill>
          </w14:textFill>
        </w:rPr>
        <w:t>人民法院</w:t>
      </w:r>
      <w:r>
        <w:rPr>
          <w:rFonts w:hint="eastAsia" w:ascii="宋体" w:hAnsi="宋体" w:cs="宋体"/>
          <w:bCs/>
          <w:color w:val="000000" w:themeColor="text1"/>
          <w:sz w:val="24"/>
          <w:szCs w:val="24"/>
          <w14:textFill>
            <w14:solidFill>
              <w14:schemeClr w14:val="tx1"/>
            </w14:solidFill>
          </w14:textFill>
        </w:rPr>
        <w:t>提起诉讼</w:t>
      </w:r>
      <w:r>
        <w:rPr>
          <w:rFonts w:hint="eastAsia" w:ascii="宋体" w:hAnsi="宋体" w:cs="宋体"/>
          <w:color w:val="000000" w:themeColor="text1"/>
          <w:sz w:val="24"/>
          <w:szCs w:val="24"/>
          <w14:textFill>
            <w14:solidFill>
              <w14:schemeClr w14:val="tx1"/>
            </w14:solidFill>
          </w14:textFill>
        </w:rPr>
        <w:t>。</w:t>
      </w:r>
    </w:p>
    <w:p>
      <w:pPr>
        <w:widowControl/>
        <w:spacing w:after="160" w:line="460" w:lineRule="exact"/>
        <w:ind w:firstLine="720" w:firstLineChars="3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8.2</w:t>
      </w:r>
      <w:r>
        <w:rPr>
          <w:rFonts w:hint="eastAsia" w:ascii="宋体" w:hAnsi="宋体" w:cs="宋体"/>
          <w:color w:val="000000" w:themeColor="text1"/>
          <w:sz w:val="24"/>
          <w:szCs w:val="24"/>
          <w14:textFill>
            <w14:solidFill>
              <w14:schemeClr w14:val="tx1"/>
            </w14:solidFill>
          </w14:textFill>
        </w:rPr>
        <w:t>在甲方同意的情况下，除有争端之外的合同其它部分在争端解决前应继续执行。</w:t>
      </w:r>
    </w:p>
    <w:p>
      <w:pPr>
        <w:widowControl/>
        <w:numPr>
          <w:ilvl w:val="255"/>
          <w:numId w:val="0"/>
        </w:numPr>
        <w:spacing w:after="160" w:line="460" w:lineRule="exact"/>
        <w:ind w:firstLine="482"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第九条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其他</w:t>
      </w:r>
    </w:p>
    <w:p>
      <w:pPr>
        <w:widowControl/>
        <w:spacing w:after="160" w:line="460" w:lineRule="exact"/>
        <w:ind w:firstLine="638" w:firstLineChars="266"/>
        <w:jc w:val="left"/>
        <w:rPr>
          <w:rFonts w:ascii="宋体" w:hAnsi="宋体" w:cs="宋体"/>
          <w:b/>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本协议未尽事宜，可由甲乙双方另行签订补充协议。补充协议与本合同具有同等法律效力。</w:t>
      </w:r>
    </w:p>
    <w:p>
      <w:pPr>
        <w:widowControl/>
        <w:spacing w:after="160" w:line="460" w:lineRule="exact"/>
        <w:ind w:firstLine="638" w:firstLineChars="266"/>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本合同自甲乙双方法定代表人或授权代理人签字并加盖公章之日起生效。</w:t>
      </w:r>
    </w:p>
    <w:p>
      <w:pPr>
        <w:widowControl/>
        <w:spacing w:after="160" w:line="460" w:lineRule="exact"/>
        <w:ind w:firstLine="638" w:firstLineChars="266"/>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本合同一式</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份，甲方执</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份，乙方执</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份。均具有同等法律效力。</w:t>
      </w:r>
    </w:p>
    <w:p>
      <w:pPr>
        <w:widowControl/>
        <w:adjustRightInd w:val="0"/>
        <w:snapToGrid w:val="0"/>
        <w:spacing w:after="160" w:line="460" w:lineRule="exact"/>
        <w:ind w:right="521" w:rightChars="248" w:firstLine="720" w:firstLineChars="3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9.4</w:t>
      </w:r>
      <w:r>
        <w:rPr>
          <w:rFonts w:hint="eastAsia" w:ascii="宋体" w:hAnsi="宋体" w:cs="宋体"/>
          <w:color w:val="000000" w:themeColor="text1"/>
          <w:sz w:val="24"/>
          <w:szCs w:val="24"/>
          <w14:textFill>
            <w14:solidFill>
              <w14:schemeClr w14:val="tx1"/>
            </w14:solidFill>
          </w14:textFill>
        </w:rPr>
        <w:t>补充条款：</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p>
    <w:p>
      <w:pPr>
        <w:widowControl/>
        <w:spacing w:after="160" w:line="440" w:lineRule="exact"/>
        <w:ind w:firstLine="48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.发包通知书</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委托函（如有）</w:t>
      </w:r>
    </w:p>
    <w:p>
      <w:pPr>
        <w:widowControl/>
        <w:spacing w:after="160" w:line="440" w:lineRule="exact"/>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2</w:t>
      </w:r>
      <w:r>
        <w:rPr>
          <w:rFonts w:hint="eastAsia" w:ascii="宋体" w:hAnsi="宋体" w:cs="宋体"/>
          <w:color w:val="000000" w:themeColor="text1"/>
          <w:sz w:val="24"/>
          <w:szCs w:val="24"/>
          <w14:textFill>
            <w14:solidFill>
              <w14:schemeClr w14:val="tx1"/>
            </w14:solidFill>
          </w14:textFill>
        </w:rPr>
        <w:t>.廉洁协议</w:t>
      </w:r>
    </w:p>
    <w:p>
      <w:pPr>
        <w:widowControl/>
        <w:spacing w:after="160" w:line="440" w:lineRule="exact"/>
        <w:ind w:left="1200"/>
        <w:jc w:val="left"/>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3.采购</w:t>
      </w:r>
      <w:r>
        <w:rPr>
          <w:rFonts w:hint="eastAsia" w:ascii="宋体" w:hAnsi="宋体" w:cs="宋体"/>
          <w:color w:val="000000" w:themeColor="text1"/>
          <w:kern w:val="0"/>
          <w:sz w:val="24"/>
          <w:szCs w:val="24"/>
          <w:lang w:val="zh-CN"/>
          <w14:textFill>
            <w14:solidFill>
              <w14:schemeClr w14:val="tx1"/>
            </w14:solidFill>
          </w14:textFill>
        </w:rPr>
        <w:t>需求（如需）</w:t>
      </w:r>
    </w:p>
    <w:p>
      <w:pPr>
        <w:widowControl/>
        <w:spacing w:after="160" w:line="440" w:lineRule="exact"/>
        <w:ind w:firstLine="1200" w:firstLineChars="500"/>
        <w:jc w:val="left"/>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4.授权委托证明（如需）</w:t>
      </w: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：广州市净水有限公司（盖章）</w:t>
            </w:r>
          </w:p>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p>
        </w:tc>
        <w:tc>
          <w:tcPr>
            <w:tcW w:w="4696"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（盖章）</w:t>
            </w:r>
          </w:p>
          <w:p>
            <w:pPr>
              <w:widowControl/>
              <w:adjustRightInd w:val="0"/>
              <w:snapToGrid w:val="0"/>
              <w:spacing w:after="160" w:line="600" w:lineRule="exact"/>
              <w:ind w:firstLine="240" w:firstLineChars="100"/>
              <w:jc w:val="left"/>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法定代表人或授权代理人：</w:t>
            </w:r>
          </w:p>
        </w:tc>
        <w:tc>
          <w:tcPr>
            <w:tcW w:w="4696"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经办人：</w:t>
            </w:r>
          </w:p>
        </w:tc>
        <w:tc>
          <w:tcPr>
            <w:tcW w:w="4696"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c>
          <w:tcPr>
            <w:tcW w:w="4696"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tc>
        <w:tc>
          <w:tcPr>
            <w:tcW w:w="4696" w:type="dxa"/>
            <w:tcBorders>
              <w:top w:val="nil"/>
              <w:left w:val="nil"/>
              <w:bottom w:val="nil"/>
              <w:right w:val="nil"/>
            </w:tcBorders>
          </w:tcPr>
          <w:p>
            <w:pPr>
              <w:widowControl/>
              <w:adjustRightInd w:val="0"/>
              <w:snapToGrid w:val="0"/>
              <w:spacing w:after="160" w:line="6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widowControl/>
              <w:adjustRightInd w:val="0"/>
              <w:snapToGrid w:val="0"/>
              <w:spacing w:after="0" w:line="600" w:lineRule="exact"/>
              <w:jc w:val="both"/>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签订日期：</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ascii="宋体" w:hAnsi="宋体" w:cs="宋体"/>
                <w:color w:val="000000" w:themeColor="text1"/>
                <w:sz w:val="24"/>
                <w:szCs w:val="24"/>
                <w14:textFill>
                  <w14:solidFill>
                    <w14:schemeClr w14:val="tx1"/>
                  </w14:solidFill>
                </w14:textFill>
              </w:rPr>
              <w:t xml:space="preserve">                      </w:t>
            </w:r>
          </w:p>
        </w:tc>
        <w:tc>
          <w:tcPr>
            <w:tcW w:w="4696" w:type="dxa"/>
            <w:tcBorders>
              <w:top w:val="nil"/>
              <w:left w:val="nil"/>
              <w:bottom w:val="nil"/>
              <w:right w:val="nil"/>
            </w:tcBorders>
            <w:vAlign w:val="bottom"/>
          </w:tcPr>
          <w:p>
            <w:pPr>
              <w:widowControl/>
              <w:adjustRightInd w:val="0"/>
              <w:snapToGrid w:val="0"/>
              <w:spacing w:after="160" w:line="600" w:lineRule="exact"/>
              <w:ind w:left="4181" w:hanging="4180" w:hangingChars="1742"/>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签订日期：</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ascii="宋体" w:hAnsi="宋体" w:cs="宋体"/>
                <w:color w:val="000000" w:themeColor="text1"/>
                <w:sz w:val="24"/>
                <w:szCs w:val="24"/>
                <w14:textFill>
                  <w14:solidFill>
                    <w14:schemeClr w14:val="tx1"/>
                  </w14:solidFill>
                </w14:textFill>
              </w:rPr>
              <w:t xml:space="preserve"> </w:t>
            </w:r>
          </w:p>
        </w:tc>
      </w:tr>
    </w:tbl>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p>
    <w:p>
      <w:pPr>
        <w:widowControl/>
        <w:spacing w:after="160"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w:t>
      </w:r>
      <w:r>
        <w:rPr>
          <w:rFonts w:ascii="宋体" w:hAnsi="宋体" w:cs="宋体"/>
          <w:b/>
          <w:bCs/>
          <w:color w:val="000000" w:themeColor="text1"/>
          <w:szCs w:val="2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：廉洁协议</w:t>
      </w:r>
    </w:p>
    <w:p>
      <w:pPr>
        <w:widowControl/>
        <w:spacing w:after="160" w:line="360" w:lineRule="auto"/>
        <w:jc w:val="center"/>
        <w:rPr>
          <w:rFonts w:ascii="宋体" w:hAnsi="宋体" w:cs="Calibri"/>
          <w:b/>
          <w:color w:val="000000" w:themeColor="text1"/>
          <w:sz w:val="32"/>
          <w:szCs w:val="32"/>
          <w14:textFill>
            <w14:solidFill>
              <w14:schemeClr w14:val="tx1"/>
            </w14:solidFill>
          </w14:textFill>
        </w:rPr>
      </w:pPr>
      <w:r>
        <w:rPr>
          <w:rFonts w:hint="eastAsia" w:ascii="宋体" w:hAnsi="宋体" w:cs="Calibri"/>
          <w:b/>
          <w:color w:val="000000" w:themeColor="text1"/>
          <w:sz w:val="32"/>
          <w:szCs w:val="32"/>
          <w14:textFill>
            <w14:solidFill>
              <w14:schemeClr w14:val="tx1"/>
            </w14:solidFill>
          </w14:textFill>
        </w:rPr>
        <w:t>廉洁协议</w:t>
      </w:r>
    </w:p>
    <w:p>
      <w:pPr>
        <w:widowControl/>
        <w:spacing w:after="160" w:line="360" w:lineRule="auto"/>
        <w:ind w:firstLine="540" w:firstLineChars="225"/>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s="Calibri"/>
          <w:color w:val="000000" w:themeColor="text1"/>
          <w:sz w:val="24"/>
          <w:szCs w:val="22"/>
          <w:u w:val="single"/>
          <w14:textFill>
            <w14:solidFill>
              <w14:schemeClr w14:val="tx1"/>
            </w14:solidFill>
          </w14:textFill>
        </w:rPr>
        <w:t>广州市净水有限公司</w:t>
      </w:r>
      <w:r>
        <w:rPr>
          <w:rFonts w:ascii="宋体" w:hAnsi="宋体" w:cs="Calibri"/>
          <w:color w:val="000000" w:themeColor="text1"/>
          <w:sz w:val="24"/>
          <w:szCs w:val="22"/>
          <w14:textFill>
            <w14:solidFill>
              <w14:schemeClr w14:val="tx1"/>
            </w14:solidFill>
          </w14:textFill>
        </w:rPr>
        <w:t>(以下称甲方)与</w:t>
      </w:r>
      <w:r>
        <w:rPr>
          <w:rFonts w:hint="eastAsia" w:ascii="宋体" w:hAnsi="宋体" w:cs="Calibri"/>
          <w:color w:val="000000" w:themeColor="text1"/>
          <w:sz w:val="24"/>
          <w:szCs w:val="22"/>
          <w14:textFill>
            <w14:solidFill>
              <w14:schemeClr w14:val="tx1"/>
            </w14:solidFill>
          </w14:textFill>
        </w:rPr>
        <w:t>(以下称乙方</w:t>
      </w:r>
      <w:r>
        <w:rPr>
          <w:rFonts w:ascii="宋体" w:hAnsi="宋体" w:cs="Calibri"/>
          <w:color w:val="000000" w:themeColor="text1"/>
          <w:sz w:val="24"/>
          <w:szCs w:val="22"/>
          <w14:textFill>
            <w14:solidFill>
              <w14:schemeClr w14:val="tx1"/>
            </w14:solidFill>
          </w14:textFill>
        </w:rPr>
        <w:t>)，特此订立本协议共同遵照执行。</w:t>
      </w:r>
    </w:p>
    <w:p>
      <w:pPr>
        <w:widowControl/>
        <w:spacing w:after="160" w:line="360" w:lineRule="auto"/>
        <w:ind w:firstLine="482"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b/>
          <w:bCs/>
          <w:color w:val="000000" w:themeColor="text1"/>
          <w:sz w:val="24"/>
          <w:szCs w:val="22"/>
          <w14:textFill>
            <w14:solidFill>
              <w14:schemeClr w14:val="tx1"/>
            </w14:solidFill>
          </w14:textFill>
        </w:rPr>
        <w:t>第一条甲乙双方的权利和义务</w:t>
      </w:r>
    </w:p>
    <w:p>
      <w:pPr>
        <w:widowControl/>
        <w:spacing w:after="160" w:line="360" w:lineRule="auto"/>
        <w:ind w:firstLine="360" w:firstLineChars="15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（一）甲乙双方严格遵守国家关于市场准入、项目招标投标、市场经营活动等有关法律、法规相关政策及廉政建设的各项规定。</w:t>
      </w:r>
    </w:p>
    <w:p>
      <w:pPr>
        <w:widowControl/>
        <w:spacing w:after="160" w:line="360" w:lineRule="auto"/>
        <w:ind w:firstLine="360" w:firstLineChars="15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（二）严格执行</w:t>
      </w:r>
      <w:r>
        <w:rPr>
          <w:rFonts w:hint="eastAsia" w:ascii="宋体" w:hAnsi="宋体" w:cs="Calibri"/>
          <w:color w:val="000000" w:themeColor="text1"/>
          <w:sz w:val="24"/>
          <w:szCs w:val="22"/>
          <w:u w:val="single"/>
          <w14:textFill>
            <w14:solidFill>
              <w14:schemeClr w14:val="tx1"/>
            </w14:solidFill>
          </w14:textFill>
        </w:rPr>
        <w:t xml:space="preserve"> </w:t>
      </w:r>
      <w:r>
        <w:rPr>
          <w:rFonts w:ascii="宋体" w:hAnsi="宋体" w:cs="Calibri"/>
          <w:color w:val="000000" w:themeColor="text1"/>
          <w:sz w:val="24"/>
          <w:szCs w:val="22"/>
          <w:u w:val="single"/>
          <w14:textFill>
            <w14:solidFill>
              <w14:schemeClr w14:val="tx1"/>
            </w14:solidFill>
          </w14:textFill>
        </w:rPr>
        <w:t xml:space="preserve">      </w:t>
      </w:r>
      <w:r>
        <w:rPr>
          <w:rFonts w:hint="eastAsia" w:ascii="宋体" w:hAnsi="宋体" w:cs="Calibri"/>
          <w:color w:val="000000" w:themeColor="text1"/>
          <w:sz w:val="24"/>
          <w:szCs w:val="22"/>
          <w14:textFill>
            <w14:solidFill>
              <w14:schemeClr w14:val="tx1"/>
            </w14:solidFill>
          </w14:textFill>
        </w:rPr>
        <w:t>合同（以下简称：主合同），自觉履行合同约定的相关义务。</w:t>
      </w:r>
    </w:p>
    <w:p>
      <w:pPr>
        <w:widowControl/>
        <w:spacing w:after="160" w:line="360" w:lineRule="auto"/>
        <w:ind w:firstLine="360" w:firstLineChars="15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（三）在业务活动中坚持公开、公正、诚信、透明的原则，不得损害国家、集体利益。</w:t>
      </w:r>
    </w:p>
    <w:p>
      <w:pPr>
        <w:widowControl/>
        <w:spacing w:after="160" w:line="360" w:lineRule="auto"/>
        <w:ind w:firstLine="360" w:firstLineChars="15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（四）建立健全廉洁从业制度，开展廉洁教育，公布举报电话，监督并认真查处不廉洁及违法违纪行为。</w:t>
      </w:r>
    </w:p>
    <w:p>
      <w:pPr>
        <w:widowControl/>
        <w:spacing w:after="160" w:line="360" w:lineRule="auto"/>
        <w:ind w:firstLine="360" w:firstLineChars="15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（五）发现对方在业务活动中有不廉洁行为，应及时提醒对方纠正。情节严重的，应向其上级有关部门举报，建议给予处理，并有权要求告知处理结果。</w:t>
      </w:r>
    </w:p>
    <w:p>
      <w:pPr>
        <w:widowControl/>
        <w:spacing w:after="160" w:line="360" w:lineRule="auto"/>
        <w:ind w:firstLine="482"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b/>
          <w:bCs/>
          <w:color w:val="000000" w:themeColor="text1"/>
          <w:sz w:val="24"/>
          <w:szCs w:val="22"/>
          <w14:textFill>
            <w14:solidFill>
              <w14:schemeClr w14:val="tx1"/>
            </w14:solidFill>
          </w14:textFill>
        </w:rPr>
        <w:t>第二条甲方的义务</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（一）甲方及其工作人员不得索要或接受乙方的礼金、有价证券和贵重物品，不得在乙方报销任何应由甲方或个人支付的费用等。</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widowControl/>
        <w:spacing w:after="160" w:line="360" w:lineRule="auto"/>
        <w:ind w:left="15" w:leftChars="7"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（三）甲方及其工作人员不得要求或者接受乙方为其住房装修、婚丧嫁娶活动、配偶子女工作安排以及出国出境、旅游等提供方便等。</w:t>
      </w:r>
    </w:p>
    <w:p>
      <w:pPr>
        <w:widowControl/>
        <w:spacing w:after="160" w:line="360" w:lineRule="auto"/>
        <w:ind w:left="15" w:leftChars="7"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（四）甲方工作人员不得在乙方或与乙方有股权关联的企业兼职，不得向乙方介绍家属或者亲友从事与甲方业务有关的经济活动。</w:t>
      </w:r>
    </w:p>
    <w:p>
      <w:pPr>
        <w:widowControl/>
        <w:spacing w:after="160" w:line="360" w:lineRule="auto"/>
        <w:ind w:left="15" w:leftChars="7"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（五）甲方工作人员不得以明显低于市场的价格向乙方购买房屋、汽车等物品；不得</w:t>
      </w:r>
      <w:r>
        <w:rPr>
          <w:rFonts w:ascii="宋体" w:hAnsi="宋体" w:cs="Calibri"/>
          <w:color w:val="000000" w:themeColor="text1"/>
          <w:sz w:val="24"/>
          <w:szCs w:val="22"/>
          <w14:textFill>
            <w14:solidFill>
              <w14:schemeClr w14:val="tx1"/>
            </w14:solidFill>
          </w14:textFill>
        </w:rPr>
        <w:t>以明显高于市场的价格向</w:t>
      </w:r>
      <w:r>
        <w:rPr>
          <w:rFonts w:hint="eastAsia" w:ascii="宋体" w:hAnsi="宋体" w:cs="Calibri"/>
          <w:color w:val="000000" w:themeColor="text1"/>
          <w:sz w:val="24"/>
          <w:szCs w:val="22"/>
          <w14:textFill>
            <w14:solidFill>
              <w14:schemeClr w14:val="tx1"/>
            </w14:solidFill>
          </w14:textFill>
        </w:rPr>
        <w:t>乙方</w:t>
      </w:r>
      <w:r>
        <w:rPr>
          <w:rFonts w:ascii="宋体" w:hAnsi="宋体" w:cs="Calibri"/>
          <w:color w:val="000000" w:themeColor="text1"/>
          <w:sz w:val="24"/>
          <w:szCs w:val="22"/>
          <w14:textFill>
            <w14:solidFill>
              <w14:schemeClr w14:val="tx1"/>
            </w14:solidFill>
          </w14:textFill>
        </w:rPr>
        <w:t>出售房屋、汽车等物品；</w:t>
      </w:r>
      <w:r>
        <w:rPr>
          <w:rFonts w:hint="eastAsia" w:ascii="宋体" w:hAnsi="宋体" w:cs="Calibri"/>
          <w:color w:val="000000" w:themeColor="text1"/>
          <w:sz w:val="24"/>
          <w:szCs w:val="22"/>
          <w14:textFill>
            <w14:solidFill>
              <w14:schemeClr w14:val="tx1"/>
            </w14:solidFill>
          </w14:textFill>
        </w:rPr>
        <w:t>不得使用乙方提供的与工作无关的房屋、汽车等物品；不得以其他交易形式非法收受请托人财物。</w:t>
      </w:r>
    </w:p>
    <w:p>
      <w:pPr>
        <w:widowControl/>
        <w:spacing w:after="160" w:line="360" w:lineRule="auto"/>
        <w:ind w:left="15" w:leftChars="7"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（六）甲方工作人员不得利用职务之便收受乙方以回扣、手续费、加班费、咨询费、劳务费、协调费、辛苦费等各种名义给予或赠送的钱物。</w:t>
      </w:r>
    </w:p>
    <w:p>
      <w:pPr>
        <w:widowControl/>
        <w:spacing w:after="160" w:line="360" w:lineRule="auto"/>
        <w:ind w:left="15" w:leftChars="7"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（七）甲方工作人员不得接受乙方给予或赠送的干股或红利。</w:t>
      </w:r>
    </w:p>
    <w:p>
      <w:pPr>
        <w:widowControl/>
        <w:spacing w:after="160" w:line="360" w:lineRule="auto"/>
        <w:ind w:firstLine="482"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b/>
          <w:bCs/>
          <w:color w:val="000000" w:themeColor="text1"/>
          <w:sz w:val="24"/>
          <w:szCs w:val="22"/>
          <w14:textFill>
            <w14:solidFill>
              <w14:schemeClr w14:val="tx1"/>
            </w14:solidFill>
          </w14:textFill>
        </w:rPr>
        <w:t>第三条乙方的义务</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（一）乙方不得以任何理由向甲方及其工作人员行贿或馈赠礼金、有价证券、贵重礼品。</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（二</w:t>
      </w:r>
      <w:r>
        <w:rPr>
          <w:rFonts w:ascii="宋体" w:hAnsi="宋体" w:cs="Calibri"/>
          <w:color w:val="000000" w:themeColor="text1"/>
          <w:sz w:val="24"/>
          <w:szCs w:val="22"/>
          <w14:textFill>
            <w14:solidFill>
              <w14:schemeClr w14:val="tx1"/>
            </w14:solidFill>
          </w14:textFill>
        </w:rPr>
        <w:t>)乙方不得以任何名义为甲方及其工作人员报销应由甲方单位或个人支付的任何费用。</w:t>
      </w:r>
    </w:p>
    <w:p>
      <w:pPr>
        <w:widowControl/>
        <w:spacing w:after="160" w:line="360" w:lineRule="auto"/>
        <w:ind w:left="25" w:leftChars="12"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（三）乙方不得以任何理由安排甲方工作人员参加可能影响相关业务公开、公正、公平性的宴请及娱乐活动。</w:t>
      </w:r>
    </w:p>
    <w:p>
      <w:pPr>
        <w:widowControl w:val="0"/>
        <w:adjustRightInd w:val="0"/>
        <w:spacing w:after="120" w:line="480" w:lineRule="auto"/>
        <w:ind w:left="420"/>
        <w:jc w:val="both"/>
        <w:textAlignment w:val="baseline"/>
        <w:rPr>
          <w:rFonts w:ascii="Times New Roman" w:hAnsi="Times New Roman" w:eastAsia="宋体" w:cs="Times New Roman"/>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（四）乙方不得为甲方单位和个人购置或提供通讯工具和高档办公用品等物品，也不得为甲方提供与工作无关的房屋、汽车等。</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（五）乙方不得擅自与甲方工作人员就合同中的质量、数量、价格、工程量、验收等条款进行私下商谈或者达成默契。</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（六）乙方不得以回扣、手续费、加班费、咨询费、劳务费、协调费、辛苦费等各种名义向甲方工作人员给予或赠送钱物。</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（七）乙方不得向甲方工作人员提供干股或红利。</w:t>
      </w:r>
    </w:p>
    <w:p>
      <w:pPr>
        <w:widowControl/>
        <w:spacing w:after="160" w:line="360" w:lineRule="auto"/>
        <w:ind w:firstLine="482"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b/>
          <w:bCs/>
          <w:color w:val="000000" w:themeColor="text1"/>
          <w:sz w:val="24"/>
          <w:szCs w:val="22"/>
          <w14:textFill>
            <w14:solidFill>
              <w14:schemeClr w14:val="tx1"/>
            </w14:solidFill>
          </w14:textFill>
        </w:rPr>
        <w:t>第四条违约责任</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一）甲方及其工作人员违反本协议第一、二条。甲方按管理权限，对相关责任人依据有关规定给予党纪、政务处分或组织处理；涉嫌犯罪的，移交司法机关追究刑事责任；给乙方单位造成经济损失的，应予以赔偿。</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甲方举报投诉联系部门：广州市净水有限公司</w:t>
      </w:r>
      <w:r>
        <w:rPr>
          <w:rFonts w:ascii="宋体" w:hAnsi="宋体" w:cs="Calibri"/>
          <w:color w:val="000000" w:themeColor="text1"/>
          <w:sz w:val="24"/>
          <w:szCs w:val="22"/>
          <w:u w:val="single"/>
          <w14:textFill>
            <w14:solidFill>
              <w14:schemeClr w14:val="tx1"/>
            </w14:solidFill>
          </w14:textFill>
        </w:rPr>
        <w:t>纪检</w:t>
      </w:r>
      <w:r>
        <w:rPr>
          <w:rFonts w:hint="eastAsia" w:ascii="宋体" w:hAnsi="宋体" w:cs="Calibri"/>
          <w:color w:val="000000" w:themeColor="text1"/>
          <w:sz w:val="24"/>
          <w:szCs w:val="22"/>
          <w:u w:val="single"/>
          <w14:textFill>
            <w14:solidFill>
              <w14:schemeClr w14:val="tx1"/>
            </w14:solidFill>
          </w14:textFill>
        </w:rPr>
        <w:t>室</w:t>
      </w:r>
      <w:r>
        <w:rPr>
          <w:rFonts w:hint="eastAsia" w:ascii="宋体" w:hAnsi="宋体" w:cs="Calibri"/>
          <w:color w:val="000000" w:themeColor="text1"/>
          <w:sz w:val="24"/>
          <w:szCs w:val="22"/>
          <w14:textFill>
            <w14:solidFill>
              <w14:schemeClr w14:val="tx1"/>
            </w14:solidFill>
          </w14:textFill>
        </w:rPr>
        <w:t>，联系电话：</w:t>
      </w:r>
      <w:r>
        <w:rPr>
          <w:rFonts w:ascii="宋体" w:hAnsi="宋体" w:cs="Calibri"/>
          <w:color w:val="000000" w:themeColor="text1"/>
          <w:sz w:val="24"/>
          <w:szCs w:val="22"/>
          <w:u w:val="single"/>
          <w14:textFill>
            <w14:solidFill>
              <w14:schemeClr w14:val="tx1"/>
            </w14:solidFill>
          </w14:textFill>
        </w:rPr>
        <w:t xml:space="preserve"> 020-38890265 </w:t>
      </w:r>
      <w:r>
        <w:rPr>
          <w:rFonts w:hint="eastAsia" w:ascii="宋体" w:hAnsi="宋体" w:cs="Calibri"/>
          <w:color w:val="000000" w:themeColor="text1"/>
          <w:sz w:val="24"/>
          <w:szCs w:val="22"/>
          <w14:textFill>
            <w14:solidFill>
              <w14:schemeClr w14:val="tx1"/>
            </w14:solidFill>
          </w14:textFill>
        </w:rPr>
        <w:t>。</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（二）乙方及其工作人员违反本协议第一、三条。根据具体情节和造成的后果，甲方有权对乙方采取以下一种或多种处理办法：</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ascii="宋体" w:hAnsi="宋体" w:cs="Calibri"/>
          <w:color w:val="000000" w:themeColor="text1"/>
          <w:sz w:val="24"/>
          <w:szCs w:val="22"/>
          <w14:textFill>
            <w14:solidFill>
              <w14:schemeClr w14:val="tx1"/>
            </w14:solidFill>
          </w14:textFill>
        </w:rPr>
        <w:t>1、扣除乙方</w:t>
      </w:r>
      <w:r>
        <w:rPr>
          <w:rFonts w:hint="eastAsia" w:ascii="宋体" w:hAnsi="宋体" w:cs="Calibri"/>
          <w:color w:val="000000" w:themeColor="text1"/>
          <w:sz w:val="24"/>
          <w:szCs w:val="22"/>
          <w14:textFill>
            <w14:solidFill>
              <w14:schemeClr w14:val="tx1"/>
            </w14:solidFill>
          </w14:textFill>
        </w:rPr>
        <w:t>全部</w:t>
      </w:r>
      <w:r>
        <w:rPr>
          <w:rFonts w:ascii="宋体" w:hAnsi="宋体" w:cs="Calibri"/>
          <w:color w:val="000000" w:themeColor="text1"/>
          <w:sz w:val="24"/>
          <w:szCs w:val="22"/>
          <w14:textFill>
            <w14:solidFill>
              <w14:schemeClr w14:val="tx1"/>
            </w14:solidFill>
          </w14:textFill>
        </w:rPr>
        <w:t>履约保证金；</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ascii="宋体" w:hAnsi="宋体" w:cs="Calibri"/>
          <w:color w:val="000000" w:themeColor="text1"/>
          <w:sz w:val="24"/>
          <w:szCs w:val="22"/>
          <w14:textFill>
            <w14:solidFill>
              <w14:schemeClr w14:val="tx1"/>
            </w14:solidFill>
          </w14:textFill>
        </w:rPr>
        <w:t>2、</w:t>
      </w:r>
      <w:r>
        <w:rPr>
          <w:rFonts w:hint="eastAsia" w:ascii="宋体" w:hAnsi="宋体" w:cs="Calibri"/>
          <w:color w:val="000000" w:themeColor="text1"/>
          <w:sz w:val="24"/>
          <w:szCs w:val="22"/>
          <w14:textFill>
            <w14:solidFill>
              <w14:schemeClr w14:val="tx1"/>
            </w14:solidFill>
          </w14:textFill>
        </w:rPr>
        <w:t>解除主合同</w:t>
      </w:r>
      <w:r>
        <w:rPr>
          <w:rFonts w:ascii="宋体" w:hAnsi="宋体" w:cs="Calibri"/>
          <w:color w:val="000000" w:themeColor="text1"/>
          <w:sz w:val="24"/>
          <w:szCs w:val="22"/>
          <w14:textFill>
            <w14:solidFill>
              <w14:schemeClr w14:val="tx1"/>
            </w14:solidFill>
          </w14:textFill>
        </w:rPr>
        <w:t>；</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ascii="宋体" w:hAnsi="宋体" w:cs="Calibri"/>
          <w:color w:val="000000" w:themeColor="text1"/>
          <w:sz w:val="24"/>
          <w:szCs w:val="22"/>
          <w14:textFill>
            <w14:solidFill>
              <w14:schemeClr w14:val="tx1"/>
            </w14:solidFill>
          </w14:textFill>
        </w:rPr>
        <w:t>3、追究乙方合同其他违约责任；</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ascii="宋体" w:hAnsi="宋体" w:cs="Calibri"/>
          <w:color w:val="000000" w:themeColor="text1"/>
          <w:sz w:val="24"/>
          <w:szCs w:val="22"/>
          <w14:textFill>
            <w14:solidFill>
              <w14:schemeClr w14:val="tx1"/>
            </w14:solidFill>
          </w14:textFill>
        </w:rPr>
        <w:t>4、</w:t>
      </w:r>
      <w:r>
        <w:rPr>
          <w:rFonts w:hint="eastAsia" w:ascii="宋体" w:hAnsi="宋体" w:cs="Calibri"/>
          <w:color w:val="000000" w:themeColor="text1"/>
          <w:sz w:val="24"/>
          <w:szCs w:val="22"/>
          <w14:textFill>
            <w14:solidFill>
              <w14:schemeClr w14:val="tx1"/>
            </w14:solidFill>
          </w14:textFill>
        </w:rPr>
        <w:t>根据甲方及其上级单位、主管部门的有关规定，对乙方违反廉洁协议的行为限制其参与招投标活动的资格。</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乙方无条件接受甲方处理意见并承担给甲方造成的损失，全额返还用不正当手段获取的非法所得，并承担相应的法律责任。</w:t>
      </w:r>
    </w:p>
    <w:p>
      <w:pPr>
        <w:widowControl/>
        <w:spacing w:after="0" w:line="24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Calibri"/>
          <w:b/>
          <w:bCs/>
          <w:color w:val="000000" w:themeColor="text1"/>
          <w:sz w:val="24"/>
          <w:szCs w:val="22"/>
          <w14:textFill>
            <w14:solidFill>
              <w14:schemeClr w14:val="tx1"/>
            </w14:solidFill>
          </w14:textFill>
        </w:rPr>
        <w:t xml:space="preserve">第五条 </w:t>
      </w:r>
      <w:r>
        <w:rPr>
          <w:rFonts w:ascii="宋体" w:hAnsi="宋体" w:cs="宋体"/>
          <w:color w:val="000000" w:themeColor="text1"/>
          <w:kern w:val="0"/>
          <w:sz w:val="24"/>
          <w:szCs w:val="24"/>
          <w14:textFill>
            <w14:solidFill>
              <w14:schemeClr w14:val="tx1"/>
            </w14:solidFill>
          </w14:textFill>
        </w:rPr>
        <w:t xml:space="preserve">本协议执行情况，接受有管辖权的纪检、监察部门的监督，双方应予以配合检查调查。 </w:t>
      </w:r>
    </w:p>
    <w:p>
      <w:pPr>
        <w:widowControl/>
        <w:spacing w:after="160" w:line="360" w:lineRule="auto"/>
        <w:ind w:firstLine="482"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b/>
          <w:color w:val="000000" w:themeColor="text1"/>
          <w:sz w:val="24"/>
          <w:szCs w:val="22"/>
          <w14:textFill>
            <w14:solidFill>
              <w14:schemeClr w14:val="tx1"/>
            </w14:solidFill>
          </w14:textFill>
        </w:rPr>
        <w:t>第六条</w:t>
      </w:r>
      <w:r>
        <w:rPr>
          <w:rFonts w:ascii="宋体" w:hAnsi="宋体" w:cs="Calibri"/>
          <w:color w:val="000000" w:themeColor="text1"/>
          <w:sz w:val="24"/>
          <w:szCs w:val="22"/>
          <w14:textFill>
            <w14:solidFill>
              <w14:schemeClr w14:val="tx1"/>
            </w14:solidFill>
          </w14:textFill>
        </w:rPr>
        <w:t>本协议作为</w:t>
      </w:r>
      <w:r>
        <w:rPr>
          <w:rFonts w:hint="eastAsia" w:ascii="宋体" w:hAnsi="宋体" w:cs="Calibri"/>
          <w:color w:val="000000" w:themeColor="text1"/>
          <w:sz w:val="24"/>
          <w:szCs w:val="22"/>
          <w:u w:val="single"/>
          <w14:textFill>
            <w14:solidFill>
              <w14:schemeClr w14:val="tx1"/>
            </w14:solidFill>
          </w14:textFill>
        </w:rPr>
        <w:t>（合同名称）+（合同编号）</w:t>
      </w:r>
      <w:r>
        <w:rPr>
          <w:rFonts w:hint="eastAsia" w:ascii="宋体" w:hAnsi="宋体" w:cs="Calibri"/>
          <w:color w:val="000000" w:themeColor="text1"/>
          <w:sz w:val="24"/>
          <w:szCs w:val="22"/>
          <w14:textFill>
            <w14:solidFill>
              <w14:schemeClr w14:val="tx1"/>
            </w14:solidFill>
          </w14:textFill>
        </w:rPr>
        <w:t>合同的附件，并具有同等的法律效力，本协议自双方签字盖章之日起生效，与主合同同时终止。</w:t>
      </w:r>
    </w:p>
    <w:p>
      <w:pPr>
        <w:widowControl/>
        <w:spacing w:after="160" w:line="360" w:lineRule="auto"/>
        <w:ind w:firstLine="482" w:firstLineChars="200"/>
        <w:jc w:val="left"/>
        <w:rPr>
          <w:rFonts w:ascii="宋体" w:hAnsi="宋体" w:cs="Calibri"/>
          <w:color w:val="000000" w:themeColor="text1"/>
          <w:sz w:val="24"/>
          <w:szCs w:val="22"/>
          <w14:textFill>
            <w14:solidFill>
              <w14:schemeClr w14:val="tx1"/>
            </w14:solidFill>
          </w14:textFill>
        </w:rPr>
      </w:pPr>
      <w:r>
        <w:rPr>
          <w:rFonts w:hint="eastAsia" w:ascii="宋体" w:hAnsi="宋体" w:cs="Calibri"/>
          <w:b/>
          <w:color w:val="000000" w:themeColor="text1"/>
          <w:sz w:val="24"/>
          <w:szCs w:val="22"/>
          <w14:textFill>
            <w14:solidFill>
              <w14:schemeClr w14:val="tx1"/>
            </w14:solidFill>
          </w14:textFill>
        </w:rPr>
        <w:t>第七条</w:t>
      </w:r>
      <w:r>
        <w:rPr>
          <w:rFonts w:ascii="宋体" w:hAnsi="宋体" w:cs="Calibri"/>
          <w:color w:val="000000" w:themeColor="text1"/>
          <w:sz w:val="24"/>
          <w:szCs w:val="22"/>
          <w14:textFill>
            <w14:solidFill>
              <w14:schemeClr w14:val="tx1"/>
            </w14:solidFill>
          </w14:textFill>
        </w:rPr>
        <w:t>本协议一式捌份，甲方伍份，乙方三份。</w:t>
      </w:r>
    </w:p>
    <w:p>
      <w:pPr>
        <w:widowControl/>
        <w:spacing w:after="160" w:line="360" w:lineRule="auto"/>
        <w:ind w:firstLine="480" w:firstLineChars="200"/>
        <w:jc w:val="left"/>
        <w:rPr>
          <w:rFonts w:ascii="宋体" w:hAnsi="宋体" w:cs="Calibri"/>
          <w:color w:val="000000" w:themeColor="text1"/>
          <w:sz w:val="24"/>
          <w:szCs w:val="22"/>
          <w14:textFill>
            <w14:solidFill>
              <w14:schemeClr w14:val="tx1"/>
            </w14:solidFill>
          </w14:textFill>
        </w:rPr>
      </w:pPr>
    </w:p>
    <w:p>
      <w:pPr>
        <w:widowControl/>
        <w:spacing w:after="160" w:line="360" w:lineRule="auto"/>
        <w:jc w:val="left"/>
        <w:rPr>
          <w:rFonts w:ascii="宋体" w:hAnsi="宋体" w:cs="Calibri"/>
          <w:color w:val="000000" w:themeColor="text1"/>
          <w:sz w:val="24"/>
          <w:szCs w:val="22"/>
          <w14:textFill>
            <w14:solidFill>
              <w14:schemeClr w14:val="tx1"/>
            </w14:solidFill>
          </w14:textFill>
        </w:rPr>
      </w:pPr>
      <w:r>
        <w:rPr>
          <w:rFonts w:ascii="宋体" w:hAnsi="宋体" w:cs="Calibri"/>
          <w:color w:val="000000" w:themeColor="text1"/>
          <w:sz w:val="24"/>
          <w:szCs w:val="22"/>
          <w14:textFill>
            <w14:solidFill>
              <w14:schemeClr w14:val="tx1"/>
            </w14:solidFill>
          </w14:textFill>
        </w:rPr>
        <w:br w:type="textWrapping"/>
      </w:r>
      <w:r>
        <w:rPr>
          <w:rFonts w:hint="eastAsia" w:ascii="宋体" w:hAnsi="宋体" w:cs="Calibri"/>
          <w:color w:val="000000" w:themeColor="text1"/>
          <w:sz w:val="24"/>
          <w:szCs w:val="22"/>
          <w14:textFill>
            <w14:solidFill>
              <w14:schemeClr w14:val="tx1"/>
            </w14:solidFill>
          </w14:textFill>
        </w:rPr>
        <w:t>甲方（盖章）：                     乙方（盖章）：</w:t>
      </w:r>
    </w:p>
    <w:p>
      <w:pPr>
        <w:widowControl w:val="0"/>
        <w:tabs>
          <w:tab w:val="left" w:pos="5100"/>
        </w:tabs>
        <w:spacing w:after="0" w:line="360" w:lineRule="auto"/>
        <w:ind w:left="7200" w:firstLine="0" w:firstLineChars="0"/>
        <w:jc w:val="left"/>
        <w:rPr>
          <w:rFonts w:ascii="宋体" w:hAnsi="宋体" w:eastAsia="宋体" w:cs="Times New Roman"/>
          <w:color w:val="000000" w:themeColor="text1"/>
          <w:kern w:val="2"/>
          <w:sz w:val="24"/>
          <w:szCs w:val="22"/>
          <w:lang w:val="en-US" w:eastAsia="zh-CN" w:bidi="ar-SA"/>
          <w14:textFill>
            <w14:solidFill>
              <w14:schemeClr w14:val="tx1"/>
            </w14:solidFill>
          </w14:textFill>
        </w:rPr>
      </w:pPr>
    </w:p>
    <w:p>
      <w:pPr>
        <w:widowControl/>
        <w:tabs>
          <w:tab w:val="left" w:pos="5100"/>
        </w:tabs>
        <w:spacing w:after="160" w:line="360" w:lineRule="auto"/>
        <w:ind w:left="7200" w:hanging="7200" w:hangingChars="3000"/>
        <w:jc w:val="left"/>
        <w:rPr>
          <w:rFonts w:ascii="宋体" w:hAnsi="宋体" w:cs="Calibri"/>
          <w:color w:val="000000" w:themeColor="text1"/>
          <w:sz w:val="24"/>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签约代表：                         签约代表：</w:t>
      </w:r>
    </w:p>
    <w:p>
      <w:pPr>
        <w:widowControl/>
        <w:tabs>
          <w:tab w:val="left" w:pos="4170"/>
        </w:tabs>
        <w:spacing w:after="160" w:line="360" w:lineRule="auto"/>
        <w:jc w:val="left"/>
        <w:rPr>
          <w:rFonts w:ascii="宋体" w:hAnsi="宋体" w:cs="Calibri"/>
          <w:color w:val="000000" w:themeColor="text1"/>
          <w:szCs w:val="22"/>
          <w14:textFill>
            <w14:solidFill>
              <w14:schemeClr w14:val="tx1"/>
            </w14:solidFill>
          </w14:textFill>
        </w:rPr>
      </w:pPr>
      <w:r>
        <w:rPr>
          <w:rFonts w:hint="eastAsia" w:ascii="宋体" w:hAnsi="宋体" w:cs="Calibri"/>
          <w:color w:val="000000" w:themeColor="text1"/>
          <w:sz w:val="24"/>
          <w:szCs w:val="22"/>
          <w14:textFill>
            <w14:solidFill>
              <w14:schemeClr w14:val="tx1"/>
            </w14:solidFill>
          </w14:textFill>
        </w:rPr>
        <w:t>日期</w:t>
      </w:r>
      <w:r>
        <w:rPr>
          <w:rFonts w:ascii="宋体" w:hAnsi="宋体" w:cs="Calibri"/>
          <w:color w:val="000000" w:themeColor="text1"/>
          <w:sz w:val="24"/>
          <w:szCs w:val="22"/>
          <w14:textFill>
            <w14:solidFill>
              <w14:schemeClr w14:val="tx1"/>
            </w14:solidFill>
          </w14:textFill>
        </w:rPr>
        <w:t>:    年</w:t>
      </w:r>
      <w:r>
        <w:rPr>
          <w:rFonts w:hint="eastAsia" w:ascii="宋体" w:hAnsi="宋体" w:cs="Calibri"/>
          <w:color w:val="000000" w:themeColor="text1"/>
          <w:sz w:val="24"/>
          <w:szCs w:val="22"/>
          <w14:textFill>
            <w14:solidFill>
              <w14:schemeClr w14:val="tx1"/>
            </w14:solidFill>
          </w14:textFill>
        </w:rPr>
        <w:t xml:space="preserve">  </w:t>
      </w:r>
      <w:r>
        <w:rPr>
          <w:rFonts w:ascii="宋体" w:hAnsi="宋体" w:cs="Calibri"/>
          <w:color w:val="000000" w:themeColor="text1"/>
          <w:sz w:val="24"/>
          <w:szCs w:val="22"/>
          <w14:textFill>
            <w14:solidFill>
              <w14:schemeClr w14:val="tx1"/>
            </w14:solidFill>
          </w14:textFill>
        </w:rPr>
        <w:t>月</w:t>
      </w:r>
      <w:r>
        <w:rPr>
          <w:rFonts w:hint="eastAsia" w:ascii="宋体" w:hAnsi="宋体" w:cs="Calibri"/>
          <w:color w:val="000000" w:themeColor="text1"/>
          <w:sz w:val="24"/>
          <w:szCs w:val="22"/>
          <w14:textFill>
            <w14:solidFill>
              <w14:schemeClr w14:val="tx1"/>
            </w14:solidFill>
          </w14:textFill>
        </w:rPr>
        <w:t xml:space="preserve"> </w:t>
      </w:r>
      <w:r>
        <w:rPr>
          <w:rFonts w:ascii="宋体" w:hAnsi="宋体" w:cs="Calibri"/>
          <w:color w:val="000000" w:themeColor="text1"/>
          <w:sz w:val="24"/>
          <w:szCs w:val="22"/>
          <w14:textFill>
            <w14:solidFill>
              <w14:schemeClr w14:val="tx1"/>
            </w14:solidFill>
          </w14:textFill>
        </w:rPr>
        <w:t xml:space="preserve"> 日</w:t>
      </w:r>
      <w:r>
        <w:rPr>
          <w:rFonts w:ascii="宋体" w:hAnsi="宋体" w:cs="Calibri"/>
          <w:color w:val="000000" w:themeColor="text1"/>
          <w:sz w:val="24"/>
          <w:szCs w:val="22"/>
          <w14:textFill>
            <w14:solidFill>
              <w14:schemeClr w14:val="tx1"/>
            </w14:solidFill>
          </w14:textFill>
        </w:rPr>
        <w:tab/>
      </w:r>
      <w:r>
        <w:rPr>
          <w:rFonts w:hint="eastAsia" w:ascii="宋体" w:hAnsi="宋体" w:cs="Calibri"/>
          <w:color w:val="000000" w:themeColor="text1"/>
          <w:sz w:val="24"/>
          <w:szCs w:val="22"/>
          <w14:textFill>
            <w14:solidFill>
              <w14:schemeClr w14:val="tx1"/>
            </w14:solidFill>
          </w14:textFill>
        </w:rPr>
        <w:t xml:space="preserve">日期： </w:t>
      </w:r>
      <w:r>
        <w:rPr>
          <w:rFonts w:ascii="宋体" w:hAnsi="宋体" w:cs="Calibri"/>
          <w:color w:val="000000" w:themeColor="text1"/>
          <w:sz w:val="24"/>
          <w:szCs w:val="22"/>
          <w14:textFill>
            <w14:solidFill>
              <w14:schemeClr w14:val="tx1"/>
            </w14:solidFill>
          </w14:textFill>
        </w:rPr>
        <w:t xml:space="preserve"> </w:t>
      </w:r>
      <w:r>
        <w:rPr>
          <w:rFonts w:hint="eastAsia" w:ascii="宋体" w:hAnsi="宋体" w:cs="Calibri"/>
          <w:color w:val="000000" w:themeColor="text1"/>
          <w:sz w:val="24"/>
          <w:szCs w:val="22"/>
          <w14:textFill>
            <w14:solidFill>
              <w14:schemeClr w14:val="tx1"/>
            </w14:solidFill>
          </w14:textFill>
        </w:rPr>
        <w:t xml:space="preserve">年 </w:t>
      </w:r>
      <w:r>
        <w:rPr>
          <w:rFonts w:ascii="宋体" w:hAnsi="宋体" w:cs="Calibri"/>
          <w:color w:val="000000" w:themeColor="text1"/>
          <w:sz w:val="24"/>
          <w:szCs w:val="22"/>
          <w14:textFill>
            <w14:solidFill>
              <w14:schemeClr w14:val="tx1"/>
            </w14:solidFill>
          </w14:textFill>
        </w:rPr>
        <w:t xml:space="preserve"> </w:t>
      </w:r>
      <w:r>
        <w:rPr>
          <w:rFonts w:hint="eastAsia" w:ascii="宋体" w:hAnsi="宋体" w:cs="Calibri"/>
          <w:color w:val="000000" w:themeColor="text1"/>
          <w:sz w:val="24"/>
          <w:szCs w:val="22"/>
          <w14:textFill>
            <w14:solidFill>
              <w14:schemeClr w14:val="tx1"/>
            </w14:solidFill>
          </w14:textFill>
        </w:rPr>
        <w:t xml:space="preserve">月 </w:t>
      </w:r>
      <w:r>
        <w:rPr>
          <w:rFonts w:ascii="宋体" w:hAnsi="宋体" w:cs="Calibri"/>
          <w:color w:val="000000" w:themeColor="text1"/>
          <w:sz w:val="24"/>
          <w:szCs w:val="22"/>
          <w14:textFill>
            <w14:solidFill>
              <w14:schemeClr w14:val="tx1"/>
            </w14:solidFill>
          </w14:textFill>
        </w:rPr>
        <w:t xml:space="preserve"> </w:t>
      </w:r>
      <w:r>
        <w:rPr>
          <w:rFonts w:hint="eastAsia" w:ascii="宋体" w:hAnsi="宋体" w:cs="Calibri"/>
          <w:color w:val="000000" w:themeColor="text1"/>
          <w:sz w:val="24"/>
          <w:szCs w:val="22"/>
          <w14:textFill>
            <w14:solidFill>
              <w14:schemeClr w14:val="tx1"/>
            </w14:solidFill>
          </w14:textFill>
        </w:rPr>
        <w:t>日</w:t>
      </w:r>
    </w:p>
    <w:p>
      <w:pPr>
        <w:widowControl/>
        <w:spacing w:after="160" w:line="360" w:lineRule="auto"/>
        <w:jc w:val="left"/>
        <w:rPr>
          <w:rFonts w:ascii="仿宋_GB2312" w:hAnsi="Calibri" w:eastAsia="仿宋_GB2312" w:cs="Calibri"/>
          <w:color w:val="000000" w:themeColor="text1"/>
          <w:sz w:val="24"/>
          <w:szCs w:val="24"/>
          <w14:textFill>
            <w14:solidFill>
              <w14:schemeClr w14:val="tx1"/>
            </w14:solidFill>
          </w14:textFill>
        </w:rPr>
      </w:pPr>
    </w:p>
    <w:p>
      <w:pPr>
        <w:widowControl/>
        <w:spacing w:after="160" w:line="360" w:lineRule="auto"/>
        <w:jc w:val="left"/>
        <w:rPr>
          <w:rFonts w:ascii="宋体" w:hAnsi="宋体" w:cs="宋体"/>
          <w:color w:val="000000" w:themeColor="text1"/>
          <w:sz w:val="24"/>
          <w:szCs w:val="24"/>
          <w14:textFill>
            <w14:solidFill>
              <w14:schemeClr w14:val="tx1"/>
            </w14:solidFill>
          </w14:textFill>
        </w:rPr>
      </w:pPr>
    </w:p>
    <w:p>
      <w:pPr>
        <w:widowControl/>
        <w:spacing w:after="160" w:line="360" w:lineRule="auto"/>
        <w:jc w:val="center"/>
        <w:rPr>
          <w:rFonts w:ascii="宋体" w:hAnsi="宋体" w:cs="宋体"/>
          <w:color w:val="000000" w:themeColor="text1"/>
          <w:sz w:val="24"/>
          <w:szCs w:val="2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rPr>
          <w:rFonts w:ascii="宋体" w:hAnsi="宋体"/>
          <w:b/>
          <w:color w:val="000000" w:themeColor="text1"/>
          <w:sz w:val="44"/>
          <w14:textFill>
            <w14:solidFill>
              <w14:schemeClr w14:val="tx1"/>
            </w14:solidFill>
          </w14:textFill>
        </w:rPr>
      </w:pPr>
    </w:p>
    <w:p>
      <w:pPr>
        <w:autoSpaceDE w:val="0"/>
        <w:autoSpaceDN w:val="0"/>
        <w:adjustRightInd w:val="0"/>
        <w:spacing w:line="300" w:lineRule="atLeast"/>
        <w:rPr>
          <w:rFonts w:ascii="宋体" w:hAnsi="宋体"/>
          <w:bCs/>
          <w:color w:val="000000" w:themeColor="text1"/>
          <w:sz w:val="24"/>
          <w14:textFill>
            <w14:solidFill>
              <w14:schemeClr w14:val="tx1"/>
            </w14:solidFill>
          </w14:textFill>
        </w:rPr>
      </w:pPr>
    </w:p>
    <w:p>
      <w:pPr>
        <w:pStyle w:val="4"/>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12"/>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石井净水分公司</w:t>
      </w: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2"/>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spacing w:line="360" w:lineRule="auto"/>
        <w:ind w:firstLine="1540" w:firstLineChars="5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1"/>
        <w:spacing w:line="360" w:lineRule="auto"/>
        <w:ind w:firstLine="0" w:firstLineChars="0"/>
        <w:jc w:val="center"/>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lang w:val="zh-CN"/>
          <w14:textFill>
            <w14:solidFill>
              <w14:schemeClr w14:val="tx1"/>
            </w14:solidFill>
          </w14:textFill>
        </w:rPr>
        <w:t>石井净分公司关于2020年办公楼一楼全息沙盘项目</w:t>
      </w: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ind w:firstLine="843" w:firstLineChars="300"/>
        <w:rPr>
          <w:rFonts w:ascii="仿宋" w:hAnsi="仿宋" w:eastAsia="仿宋" w:cs="仿宋_GB2312"/>
          <w:b/>
          <w:color w:val="000000" w:themeColor="text1"/>
          <w:sz w:val="28"/>
          <w:szCs w:val="28"/>
          <w14:textFill>
            <w14:solidFill>
              <w14:schemeClr w14:val="tx1"/>
            </w14:solidFill>
          </w14:textFill>
        </w:rPr>
      </w:pPr>
    </w:p>
    <w:p>
      <w:pPr>
        <w:pStyle w:val="12"/>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日期：年月日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footerReference r:id="rId13" w:type="default"/>
          <w:headerReference r:id="rId12" w:type="even"/>
          <w:footerReference r:id="rId14"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0" t="0" r="9525" b="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Wcr9rXAAAACQEAAA8AAAAAAAAAAQAgAAAAIgAAAGRycy9kb3du&#10;cmV2LnhtbFBLAQIUABQAAAAIAIdO4kAHy4GL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0" t="0" r="9525" b="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H3YSi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yb8rXAAAACQEAAA8AAAAAAAAAAQAgAAAAIgAAAGRycy9kb3du&#10;cmV2LnhtbFBLAQIUABQAAAAIAIdO4kBH3YSi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报价意向承诺及声明函</w:t>
      </w:r>
    </w:p>
    <w:p>
      <w:pPr>
        <w:pStyle w:val="28"/>
        <w:adjustRightInd w:val="0"/>
        <w:spacing w:line="600" w:lineRule="exact"/>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600" w:lineRule="exact"/>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600" w:lineRule="exact"/>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ascii="仿宋" w:hAnsi="仿宋" w:eastAsia="仿宋" w:cs="仿宋_GB2312"/>
          <w:color w:val="000000" w:themeColor="text1"/>
          <w:kern w:val="0"/>
          <w:sz w:val="24"/>
          <w14:textFill>
            <w14:solidFill>
              <w14:schemeClr w14:val="tx1"/>
            </w14:solidFill>
          </w14:textFill>
        </w:rPr>
        <w:t>[单价]元,（小写：￥元）;[总价]元,（小写：￥元）的报价，承包本次交易所包含的所有工作，并承担任何质量缺陷责任。</w:t>
      </w:r>
    </w:p>
    <w:p>
      <w:pPr>
        <w:autoSpaceDE w:val="0"/>
        <w:autoSpaceDN w:val="0"/>
        <w:adjustRightInd w:val="0"/>
        <w:spacing w:line="600" w:lineRule="exact"/>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600" w:lineRule="exact"/>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600" w:lineRule="exact"/>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600" w:lineRule="exact"/>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600" w:lineRule="exact"/>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600" w:lineRule="exact"/>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600" w:lineRule="exact"/>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600" w:lineRule="exact"/>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600" w:lineRule="exact"/>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⑷本公司及其有隶属关系的机构没有参加本项目的前期工作编写工作。</w:t>
      </w:r>
    </w:p>
    <w:p>
      <w:pPr>
        <w:pStyle w:val="32"/>
        <w:spacing w:line="600" w:lineRule="exact"/>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2"/>
        <w:spacing w:line="600" w:lineRule="exact"/>
        <w:ind w:firstLine="496"/>
        <w:rPr>
          <w:rFonts w:ascii="仿宋" w:hAnsi="仿宋" w:eastAsia="仿宋" w:cs="仿宋_GB2312"/>
          <w:color w:val="000000" w:themeColor="text1"/>
          <w14:textFill>
            <w14:solidFill>
              <w14:schemeClr w14:val="tx1"/>
            </w14:solidFill>
          </w14:textFill>
        </w:rPr>
      </w:pPr>
    </w:p>
    <w:p>
      <w:pPr>
        <w:pStyle w:val="32"/>
        <w:spacing w:line="600" w:lineRule="exact"/>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w:t>
      </w:r>
      <w:r>
        <w:rPr>
          <w:rFonts w:ascii="仿宋" w:hAnsi="仿宋" w:eastAsia="仿宋" w:cs="仿宋_GB2312"/>
          <w:color w:val="000000" w:themeColor="text1"/>
          <w14:textFill>
            <w14:solidFill>
              <w14:schemeClr w14:val="tx1"/>
            </w14:solidFill>
          </w14:textFill>
        </w:rPr>
        <w:t>(盖公章)</w:t>
      </w:r>
    </w:p>
    <w:p>
      <w:pPr>
        <w:pStyle w:val="32"/>
        <w:spacing w:line="600" w:lineRule="exact"/>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p>
    <w:p>
      <w:pPr>
        <w:autoSpaceDE w:val="0"/>
        <w:autoSpaceDN w:val="0"/>
        <w:adjustRightInd w:val="0"/>
        <w:spacing w:line="600" w:lineRule="exact"/>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期：  年 月 日    </w:t>
      </w:r>
    </w:p>
    <w:p>
      <w:pPr>
        <w:pStyle w:val="32"/>
        <w:spacing w:line="480" w:lineRule="auto"/>
        <w:ind w:firstLine="496"/>
        <w:rPr>
          <w:rFonts w:ascii="仿宋" w:hAnsi="仿宋" w:eastAsia="仿宋" w:cs="仿宋_GB2312"/>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5040"/>
        </w:tabs>
        <w:rPr>
          <w:color w:val="000000" w:themeColor="text1"/>
          <w14:textFill>
            <w14:solidFill>
              <w14:schemeClr w14:val="tx1"/>
            </w14:solidFill>
          </w14:textFill>
        </w:rPr>
      </w:pPr>
      <w:r>
        <w:rPr>
          <w:color w:val="000000" w:themeColor="text1"/>
          <w14:textFill>
            <w14:solidFill>
              <w14:schemeClr w14:val="tx1"/>
            </w14:solidFill>
          </w14:textFill>
        </w:rPr>
        <w:tab/>
      </w:r>
    </w:p>
    <w:p>
      <w:pPr>
        <w:rPr>
          <w:color w:val="000000" w:themeColor="text1"/>
          <w14:textFill>
            <w14:solidFill>
              <w14:schemeClr w14:val="tx1"/>
            </w14:solidFill>
          </w14:textFill>
        </w:rPr>
      </w:pPr>
    </w:p>
    <w:p>
      <w:pPr>
        <w:rPr>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hint="eastAsia" w:ascii="仿宋" w:hAnsi="仿宋" w:eastAsia="仿宋" w:cs="仿宋_GB2312"/>
          <w:b/>
          <w:color w:val="000000" w:themeColor="text1"/>
          <w:sz w:val="28"/>
          <w:szCs w:val="28"/>
          <w14:textFill>
            <w14:solidFill>
              <w14:schemeClr w14:val="tx1"/>
            </w14:solidFill>
          </w14:textFill>
        </w:rPr>
      </w:pPr>
    </w:p>
    <w:p>
      <w:pPr>
        <w:jc w:val="center"/>
        <w:rPr>
          <w:rFonts w:hint="eastAsia" w:ascii="仿宋" w:hAnsi="仿宋" w:eastAsia="仿宋" w:cs="仿宋_GB2312"/>
          <w:b/>
          <w:color w:val="000000" w:themeColor="text1"/>
          <w:sz w:val="28"/>
          <w:szCs w:val="28"/>
          <w14:textFill>
            <w14:solidFill>
              <w14:schemeClr w14:val="tx1"/>
            </w14:solidFill>
          </w14:textFill>
        </w:rPr>
      </w:pPr>
    </w:p>
    <w:p>
      <w:pPr>
        <w:jc w:val="center"/>
        <w:rPr>
          <w:rFonts w:hint="eastAsia" w:ascii="仿宋" w:hAnsi="仿宋" w:eastAsia="仿宋" w:cs="仿宋_GB2312"/>
          <w:b/>
          <w:color w:val="000000" w:themeColor="text1"/>
          <w:sz w:val="28"/>
          <w:szCs w:val="28"/>
          <w14:textFill>
            <w14:solidFill>
              <w14:schemeClr w14:val="tx1"/>
            </w14:solidFill>
          </w14:textFill>
        </w:rPr>
      </w:pPr>
    </w:p>
    <w:p>
      <w:pPr>
        <w:jc w:val="center"/>
        <w:rPr>
          <w:rFonts w:hint="eastAsia" w:ascii="仿宋" w:hAnsi="仿宋" w:eastAsia="仿宋" w:cs="仿宋_GB2312"/>
          <w:b/>
          <w:color w:val="000000" w:themeColor="text1"/>
          <w:sz w:val="28"/>
          <w:szCs w:val="28"/>
          <w14:textFill>
            <w14:solidFill>
              <w14:schemeClr w14:val="tx1"/>
            </w14:solidFill>
          </w14:textFill>
        </w:rPr>
      </w:pPr>
    </w:p>
    <w:p>
      <w:pPr>
        <w:jc w:val="center"/>
        <w:rPr>
          <w:rFonts w:hint="eastAsia" w:ascii="仿宋" w:hAnsi="仿宋" w:eastAsia="仿宋" w:cs="仿宋_GB2312"/>
          <w:b/>
          <w:color w:val="000000" w:themeColor="text1"/>
          <w:sz w:val="28"/>
          <w:szCs w:val="28"/>
          <w14:textFill>
            <w14:solidFill>
              <w14:schemeClr w14:val="tx1"/>
            </w14:solidFill>
          </w14:textFill>
        </w:rPr>
      </w:pPr>
    </w:p>
    <w:p>
      <w:pPr>
        <w:jc w:val="both"/>
        <w:rPr>
          <w:rFonts w:hint="eastAsia" w:ascii="仿宋" w:hAnsi="仿宋" w:eastAsia="仿宋" w:cs="仿宋_GB2312"/>
          <w:b/>
          <w:color w:val="000000" w:themeColor="text1"/>
          <w:sz w:val="28"/>
          <w:szCs w:val="28"/>
          <w14:textFill>
            <w14:solidFill>
              <w14:schemeClr w14:val="tx1"/>
            </w14:solidFill>
          </w14:textFill>
        </w:rPr>
      </w:pPr>
    </w:p>
    <w:p>
      <w:pPr>
        <w:jc w:val="center"/>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5 报价清单</w:t>
      </w:r>
    </w:p>
    <w:tbl>
      <w:tblPr>
        <w:tblStyle w:val="22"/>
        <w:tblW w:w="10196" w:type="dxa"/>
        <w:tblInd w:w="0" w:type="dxa"/>
        <w:shd w:val="clear" w:color="auto" w:fill="auto"/>
        <w:tblLayout w:type="fixed"/>
        <w:tblCellMar>
          <w:top w:w="0" w:type="dxa"/>
          <w:left w:w="0" w:type="dxa"/>
          <w:bottom w:w="0" w:type="dxa"/>
          <w:right w:w="0" w:type="dxa"/>
        </w:tblCellMar>
      </w:tblPr>
      <w:tblGrid>
        <w:gridCol w:w="1163"/>
        <w:gridCol w:w="1067"/>
        <w:gridCol w:w="1000"/>
        <w:gridCol w:w="1250"/>
        <w:gridCol w:w="3900"/>
        <w:gridCol w:w="900"/>
        <w:gridCol w:w="307"/>
        <w:gridCol w:w="609"/>
      </w:tblGrid>
      <w:tr>
        <w:tblPrEx>
          <w:shd w:val="clear" w:color="auto" w:fill="auto"/>
          <w:tblCellMar>
            <w:top w:w="0" w:type="dxa"/>
            <w:left w:w="0" w:type="dxa"/>
            <w:bottom w:w="0" w:type="dxa"/>
            <w:right w:w="0" w:type="dxa"/>
          </w:tblCellMar>
        </w:tblPrEx>
        <w:trPr>
          <w:gridAfter w:val="1"/>
          <w:wAfter w:w="609" w:type="dxa"/>
          <w:trHeight w:val="640" w:hRule="atLeast"/>
        </w:trPr>
        <w:tc>
          <w:tcPr>
            <w:tcW w:w="9587"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全息沙盘软硬件清单 </w:t>
            </w:r>
          </w:p>
        </w:tc>
      </w:tr>
      <w:tr>
        <w:tblPrEx>
          <w:tblCellMar>
            <w:top w:w="0" w:type="dxa"/>
            <w:left w:w="0" w:type="dxa"/>
            <w:bottom w:w="0" w:type="dxa"/>
            <w:right w:w="0" w:type="dxa"/>
          </w:tblCellMar>
        </w:tblPrEx>
        <w:trPr>
          <w:trHeight w:val="420" w:hRule="atLeast"/>
        </w:trPr>
        <w:tc>
          <w:tcPr>
            <w:tcW w:w="1163" w:type="dxa"/>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067"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设备内容</w:t>
            </w:r>
          </w:p>
        </w:tc>
        <w:tc>
          <w:tcPr>
            <w:tcW w:w="1000"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50"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品牌型号</w:t>
            </w:r>
          </w:p>
        </w:tc>
        <w:tc>
          <w:tcPr>
            <w:tcW w:w="3900"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技术参数</w:t>
            </w:r>
          </w:p>
        </w:tc>
        <w:tc>
          <w:tcPr>
            <w:tcW w:w="900" w:type="dxa"/>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16" w:type="dxa"/>
            <w:gridSpan w:val="2"/>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r>
      <w:tr>
        <w:tblPrEx>
          <w:tblCellMar>
            <w:top w:w="0" w:type="dxa"/>
            <w:left w:w="0" w:type="dxa"/>
            <w:bottom w:w="0" w:type="dxa"/>
            <w:right w:w="0" w:type="dxa"/>
          </w:tblCellMar>
        </w:tblPrEx>
        <w:trPr>
          <w:trHeight w:val="2860" w:hRule="atLeast"/>
        </w:trPr>
        <w:tc>
          <w:tcPr>
            <w:tcW w:w="1163" w:type="dxa"/>
            <w:vMerge w:val="restart"/>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全息沙盘</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硬件设备</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光源屏幕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屏幕比例  16:9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屏幕分辨率 1920×1080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观看距离 3.0米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高清格式 1080p</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背光性能 直下式背光LED</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可视角度(水平0垂直) 178度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屏幕刷新频率 60Hz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屏幕对比度 1200:1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屏幕响应速度 6ms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图像性能 第6代画质引擎技术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台 </w:t>
            </w:r>
          </w:p>
        </w:tc>
      </w:tr>
      <w:tr>
        <w:tblPrEx>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专业屏幕控制器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四个画面可以显示不同画面，分别播放不同场景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台 </w:t>
            </w:r>
          </w:p>
        </w:tc>
      </w:tr>
      <w:tr>
        <w:tblPrEx>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内部钢结构焊接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套 </w:t>
            </w:r>
          </w:p>
        </w:tc>
      </w:tr>
      <w:tr>
        <w:tblPrEx>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金字塔成像载体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特殊防爆全息金子塔玻璃，专业防爆处理，精工艺倒角处理。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套 </w:t>
            </w:r>
          </w:p>
        </w:tc>
      </w:tr>
      <w:tr>
        <w:tblPrEx>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全息膜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技术参数： 投影画面成像反光膜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 </w:t>
            </w:r>
          </w:p>
        </w:tc>
      </w:tr>
      <w:tr>
        <w:tblPrEx>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全息膜框架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技术参数：全息膜定制固定框架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 </w:t>
            </w:r>
          </w:p>
        </w:tc>
      </w:tr>
      <w:tr>
        <w:tblPrEx>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幕布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技术参数：高清融合大屏幕 </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 </w:t>
            </w:r>
          </w:p>
        </w:tc>
      </w:tr>
      <w:tr>
        <w:tblPrEx>
          <w:tblCellMar>
            <w:top w:w="0" w:type="dxa"/>
            <w:left w:w="0" w:type="dxa"/>
            <w:bottom w:w="0" w:type="dxa"/>
            <w:right w:w="0" w:type="dxa"/>
          </w:tblCellMar>
        </w:tblPrEx>
        <w:trPr>
          <w:trHeight w:val="2900"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工控机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1、CPU:  Intel 酷睿i7 8700，主频3.6GHz，4核8线程，支持内存64GB;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2、主板：B360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3、显卡：GeForce GTX1060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4、固态硬盘：SL300 128GB SATA3 读取速度510mb0s,写入速度350mb0s。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5、内存： 8GB DDR4 2400 ；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6、专用电源+工控机箱。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台 </w:t>
            </w:r>
          </w:p>
        </w:tc>
      </w:tr>
      <w:tr>
        <w:tblPrEx>
          <w:tblCellMar>
            <w:top w:w="0" w:type="dxa"/>
            <w:left w:w="0" w:type="dxa"/>
            <w:bottom w:w="0" w:type="dxa"/>
            <w:right w:w="0" w:type="dxa"/>
          </w:tblCellMar>
        </w:tblPrEx>
        <w:trPr>
          <w:trHeight w:val="672"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全息底座 </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定制 </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长宽高2.4*2.4*2.395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套 </w:t>
            </w:r>
          </w:p>
        </w:tc>
      </w:tr>
      <w:tr>
        <w:tblPrEx>
          <w:tblCellMar>
            <w:top w:w="0" w:type="dxa"/>
            <w:left w:w="0" w:type="dxa"/>
            <w:bottom w:w="0" w:type="dxa"/>
            <w:right w:w="0" w:type="dxa"/>
          </w:tblCellMar>
        </w:tblPrEx>
        <w:trPr>
          <w:trHeight w:val="900"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软件内容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影片文案创意策划</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影片资料的收集和整理，进行策划、创意、故事情节编写、文案制作</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640" w:hRule="atLeast"/>
        </w:trPr>
        <w:tc>
          <w:tcPr>
            <w:tcW w:w="1163" w:type="dxa"/>
            <w:vMerge w:val="continue"/>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内容影片制作</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10个以内净水厂三维建模动态表现，分辨率1920*1080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 </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秒</w:t>
            </w:r>
          </w:p>
        </w:tc>
      </w:tr>
    </w:tbl>
    <w:p>
      <w:pPr>
        <w:jc w:val="both"/>
        <w:rPr>
          <w:rFonts w:hint="eastAsia" w:ascii="仿宋" w:hAnsi="仿宋" w:eastAsia="仿宋" w:cs="仿宋_GB2312"/>
          <w:b/>
          <w:color w:val="000000" w:themeColor="text1"/>
          <w:sz w:val="28"/>
          <w:szCs w:val="28"/>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 项目单位、人员相关证明材料</w:t>
      </w:r>
    </w:p>
    <w:p>
      <w:pPr>
        <w:jc w:val="cente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tabs>
          <w:tab w:val="left" w:pos="5379"/>
        </w:tabs>
        <w:jc w:val="left"/>
        <w:rPr>
          <w:color w:val="000000" w:themeColor="text1"/>
          <w14:textFill>
            <w14:solidFill>
              <w14:schemeClr w14:val="tx1"/>
            </w14:solidFill>
          </w14:textFill>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hint="eastAsia" w:ascii="Calibri" w:hAnsi="Calibri" w:eastAsia="宋体" w:cs="Calibri"/>
                              <w:color w:val="000000"/>
                              <w:kern w:val="2"/>
                              <w:sz w:val="18"/>
                              <w:szCs w:val="18"/>
                              <w:lang w:val="en-US" w:eastAsia="zh-CN" w:bidi="ar-SA"/>
                            </w:rPr>
                            <w:fldChar w:fldCharType="begin"/>
                          </w:r>
                          <w:r>
                            <w:rPr>
                              <w:rFonts w:hint="eastAsia" w:ascii="Calibri" w:hAnsi="Calibri" w:eastAsia="宋体" w:cs="Calibri"/>
                              <w:color w:val="000000"/>
                              <w:kern w:val="2"/>
                              <w:sz w:val="18"/>
                              <w:szCs w:val="18"/>
                              <w:lang w:val="en-US" w:eastAsia="zh-CN" w:bidi="ar-SA"/>
                            </w:rPr>
                            <w:instrText xml:space="preserve"> PAGE  \* MERGEFORMAT </w:instrText>
                          </w:r>
                          <w:r>
                            <w:rPr>
                              <w:rFonts w:hint="eastAsia" w:ascii="Calibri" w:hAnsi="Calibri" w:eastAsia="宋体" w:cs="Calibri"/>
                              <w:color w:val="000000"/>
                              <w:kern w:val="2"/>
                              <w:sz w:val="18"/>
                              <w:szCs w:val="18"/>
                              <w:lang w:val="en-US" w:eastAsia="zh-CN" w:bidi="ar-SA"/>
                            </w:rPr>
                            <w:fldChar w:fldCharType="separate"/>
                          </w:r>
                          <w:r>
                            <w:rPr>
                              <w:rFonts w:ascii="Calibri" w:hAnsi="Calibri" w:eastAsia="宋体" w:cs="Calibri"/>
                              <w:color w:val="000000"/>
                              <w:kern w:val="2"/>
                              <w:sz w:val="18"/>
                              <w:szCs w:val="18"/>
                              <w:lang w:val="en-US" w:eastAsia="zh-CN" w:bidi="ar-SA"/>
                            </w:rPr>
                            <w:t>2</w:t>
                          </w:r>
                          <w:r>
                            <w:rPr>
                              <w:rFonts w:hint="eastAsia" w:ascii="Calibri" w:hAnsi="Calibri" w:eastAsia="宋体" w:cs="Calibri"/>
                              <w:color w:val="000000"/>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hint="eastAsia" w:ascii="Calibri" w:hAnsi="Calibri" w:eastAsia="宋体" w:cs="Calibri"/>
                        <w:color w:val="000000"/>
                        <w:kern w:val="2"/>
                        <w:sz w:val="18"/>
                        <w:szCs w:val="18"/>
                        <w:lang w:val="en-US" w:eastAsia="zh-CN" w:bidi="ar-SA"/>
                      </w:rPr>
                      <w:fldChar w:fldCharType="begin"/>
                    </w:r>
                    <w:r>
                      <w:rPr>
                        <w:rFonts w:hint="eastAsia" w:ascii="Calibri" w:hAnsi="Calibri" w:eastAsia="宋体" w:cs="Calibri"/>
                        <w:color w:val="000000"/>
                        <w:kern w:val="2"/>
                        <w:sz w:val="18"/>
                        <w:szCs w:val="18"/>
                        <w:lang w:val="en-US" w:eastAsia="zh-CN" w:bidi="ar-SA"/>
                      </w:rPr>
                      <w:instrText xml:space="preserve"> PAGE  \* MERGEFORMAT </w:instrText>
                    </w:r>
                    <w:r>
                      <w:rPr>
                        <w:rFonts w:hint="eastAsia" w:ascii="Calibri" w:hAnsi="Calibri" w:eastAsia="宋体" w:cs="Calibri"/>
                        <w:color w:val="000000"/>
                        <w:kern w:val="2"/>
                        <w:sz w:val="18"/>
                        <w:szCs w:val="18"/>
                        <w:lang w:val="en-US" w:eastAsia="zh-CN" w:bidi="ar-SA"/>
                      </w:rPr>
                      <w:fldChar w:fldCharType="separate"/>
                    </w:r>
                    <w:r>
                      <w:rPr>
                        <w:rFonts w:ascii="Calibri" w:hAnsi="Calibri" w:eastAsia="宋体" w:cs="Calibri"/>
                        <w:color w:val="000000"/>
                        <w:kern w:val="2"/>
                        <w:sz w:val="18"/>
                        <w:szCs w:val="18"/>
                        <w:lang w:val="en-US" w:eastAsia="zh-CN" w:bidi="ar-SA"/>
                      </w:rPr>
                      <w:t>2</w:t>
                    </w:r>
                    <w:r>
                      <w:rPr>
                        <w:rFonts w:hint="eastAsia" w:ascii="Calibri" w:hAnsi="Calibri" w:eastAsia="宋体" w:cs="Calibri"/>
                        <w:color w:val="000000"/>
                        <w:kern w:val="2"/>
                        <w:sz w:val="18"/>
                        <w:szCs w:val="18"/>
                        <w:lang w:val="en-US" w:eastAsia="zh-CN" w:bidi="ar-SA"/>
                      </w:rPr>
                      <w:fldChar w:fldCharType="end"/>
                    </w:r>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w:fldChar w:fldCharType="begin"/>
    </w:r>
    <w:r>
      <w:rPr>
        <w:rFonts w:ascii="Calibri" w:hAnsi="Calibri" w:eastAsia="宋体" w:cs="Times New Roman"/>
        <w:color w:val="000000"/>
        <w:kern w:val="2"/>
        <w:sz w:val="18"/>
        <w:szCs w:val="18"/>
        <w:lang w:val="en-US" w:eastAsia="zh-CN" w:bidi="ar-SA"/>
      </w:rPr>
      <w:instrText xml:space="preserve">PAGE  </w:instrText>
    </w:r>
    <w:r>
      <w:rPr>
        <w:rFonts w:ascii="Calibri" w:hAnsi="Calibri" w:eastAsia="宋体" w:cs="Calibri"/>
        <w:color w:val="000000"/>
        <w:kern w:val="2"/>
        <w:sz w:val="18"/>
        <w:szCs w:val="18"/>
        <w:lang w:val="en-US" w:eastAsia="zh-CN" w:bidi="ar-SA"/>
      </w:rPr>
      <w:fldChar w:fldCharType="separate"/>
    </w:r>
    <w:r>
      <w:rPr>
        <w:rFonts w:ascii="Calibri" w:hAnsi="Calibri" w:eastAsia="宋体" w:cs="Times New Roman"/>
        <w:color w:val="000000"/>
        <w:kern w:val="2"/>
        <w:sz w:val="18"/>
        <w:szCs w:val="18"/>
        <w:lang w:val="en-US" w:eastAsia="zh-CN" w:bidi="ar-SA"/>
      </w:rPr>
      <w:t>24</w:t>
    </w:r>
    <w:r>
      <w:rPr>
        <w:rFonts w:ascii="Calibri" w:hAnsi="Calibri" w:eastAsia="宋体" w:cs="Calibri"/>
        <w:color w:val="000000"/>
        <w:kern w:val="2"/>
        <w:sz w:val="18"/>
        <w:szCs w:val="18"/>
        <w:lang w:val="en-US" w:eastAsia="zh-CN" w:bidi="ar-SA"/>
      </w:rPr>
      <w:fldChar w:fldCharType="end"/>
    </w:r>
  </w:p>
  <w:p>
    <w:pPr>
      <w:tabs>
        <w:tab w:val="center" w:pos="4153"/>
        <w:tab w:val="right" w:pos="8306"/>
      </w:tabs>
      <w:snapToGrid w:val="0"/>
      <w:spacing w:after="160" w:line="240" w:lineRule="auto"/>
      <w:ind w:right="360"/>
      <w:rPr>
        <w:rFonts w:ascii="Calibri" w:hAnsi="Calibri" w:eastAsia="宋体" w:cs="Calibri"/>
        <w:color w:val="000000"/>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816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81685" cy="131445"/>
                      </a:xfrm>
                      <a:prstGeom prst="rect">
                        <a:avLst/>
                      </a:prstGeom>
                      <a:noFill/>
                      <a:ln w="6350">
                        <a:noFill/>
                      </a:ln>
                    </wps:spPr>
                    <wps:txbx>
                      <w:txbxContent>
                        <w:p>
                          <w:pPr>
                            <w:pStyle w:val="15"/>
                            <w:ind w:left="2250" w:hanging="1200"/>
                            <w:jc w:val="center"/>
                          </w:pPr>
                          <w:r>
                            <w:fldChar w:fldCharType="begin"/>
                          </w:r>
                          <w:r>
                            <w:instrText xml:space="preserve">PAGE   \* MERGEFORMAT</w:instrText>
                          </w:r>
                          <w:r>
                            <w:fldChar w:fldCharType="separate"/>
                          </w:r>
                          <w:r>
                            <w:rPr>
                              <w:lang w:val="zh-CN"/>
                            </w:rPr>
                            <w:t>21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61.55pt;mso-position-horizontal:center;mso-position-horizontal-relative:margin;mso-wrap-style:none;z-index:251660288;mso-width-relative:page;mso-height-relative:page;" filled="f" stroked="f" coordsize="21600,21600" o:gfxdata="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WMVi3SAAAABAEAAA8AAAAAAAAAAQAgAAAAIgAAAGRycy9kb3ducmV2LnhtbFBLAQIUABQA&#10;AAAIAIdO4kCY2ZhoLwIAAFMEAAAOAAAAAAAAAAEAIAAAACEBAABkcnMvZTJvRG9jLnhtbFBLBQYA&#10;AAAABgAGAFkBAADCBQAAAAA=&#10;">
              <v:fill on="f" focussize="0,0"/>
              <v:stroke on="f" weight="0.5pt"/>
              <v:imagedata o:title=""/>
              <o:lock v:ext="edit" aspectratio="f"/>
              <v:textbox inset="0mm,0mm,0mm,0mm" style="mso-fit-shape-to-text:t;">
                <w:txbxContent>
                  <w:p>
                    <w:pPr>
                      <w:pStyle w:val="15"/>
                      <w:ind w:left="2250" w:hanging="1200"/>
                      <w:jc w:val="center"/>
                    </w:pPr>
                    <w:r>
                      <w:fldChar w:fldCharType="begin"/>
                    </w:r>
                    <w:r>
                      <w:instrText xml:space="preserve">PAGE   \* MERGEFORMAT</w:instrText>
                    </w:r>
                    <w:r>
                      <w:fldChar w:fldCharType="separate"/>
                    </w:r>
                    <w:r>
                      <w:rPr>
                        <w:lang w:val="zh-CN"/>
                      </w:rPr>
                      <w:t>21</w:t>
                    </w:r>
                    <w:r>
                      <w:rPr>
                        <w:lang w:val="zh-CN"/>
                      </w:rPr>
                      <w:fldChar w:fldCharType="end"/>
                    </w:r>
                  </w:p>
                </w:txbxContent>
              </v:textbox>
            </v:shape>
          </w:pict>
        </mc:Fallback>
      </mc:AlternateContent>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after="160" w:line="240" w:lineRule="auto"/>
      <w:jc w:val="center"/>
      <w:rPr>
        <w:rFonts w:ascii="Calibri" w:hAnsi="Calibri" w:eastAsia="宋体" w:cs="Calibri"/>
        <w:color w:val="000000"/>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2D14FB"/>
    <w:multiLevelType w:val="multilevel"/>
    <w:tmpl w:val="0A2D14FB"/>
    <w:lvl w:ilvl="0" w:tentative="0">
      <w:start w:val="1"/>
      <w:numFmt w:val="decimal"/>
      <w:lvlText w:val="%1."/>
      <w:lvlJc w:val="left"/>
      <w:pPr>
        <w:ind w:left="987"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1FFCC44"/>
    <w:multiLevelType w:val="singleLevel"/>
    <w:tmpl w:val="51FFCC44"/>
    <w:lvl w:ilvl="0" w:tentative="0">
      <w:start w:val="2"/>
      <w:numFmt w:val="chineseCounting"/>
      <w:suff w:val="nothing"/>
      <w:lvlText w:val="%1、"/>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B34"/>
    <w:rsid w:val="00025C74"/>
    <w:rsid w:val="00027646"/>
    <w:rsid w:val="000303F3"/>
    <w:rsid w:val="00041701"/>
    <w:rsid w:val="00045066"/>
    <w:rsid w:val="0005700C"/>
    <w:rsid w:val="00057289"/>
    <w:rsid w:val="0005793B"/>
    <w:rsid w:val="00062016"/>
    <w:rsid w:val="00062CC1"/>
    <w:rsid w:val="00062FD8"/>
    <w:rsid w:val="00095DF7"/>
    <w:rsid w:val="00097A59"/>
    <w:rsid w:val="000A4D6D"/>
    <w:rsid w:val="000A52FB"/>
    <w:rsid w:val="000C37FC"/>
    <w:rsid w:val="000C41AC"/>
    <w:rsid w:val="000C4B2B"/>
    <w:rsid w:val="000D04FD"/>
    <w:rsid w:val="000D3120"/>
    <w:rsid w:val="000D5ACA"/>
    <w:rsid w:val="000D63D3"/>
    <w:rsid w:val="000E79A2"/>
    <w:rsid w:val="000F270E"/>
    <w:rsid w:val="000F32F9"/>
    <w:rsid w:val="00101146"/>
    <w:rsid w:val="00101B77"/>
    <w:rsid w:val="00105403"/>
    <w:rsid w:val="00105AA2"/>
    <w:rsid w:val="0011711B"/>
    <w:rsid w:val="00121B8C"/>
    <w:rsid w:val="001222A8"/>
    <w:rsid w:val="00130905"/>
    <w:rsid w:val="001317E3"/>
    <w:rsid w:val="0013555A"/>
    <w:rsid w:val="00141896"/>
    <w:rsid w:val="00141982"/>
    <w:rsid w:val="00142D55"/>
    <w:rsid w:val="0014320B"/>
    <w:rsid w:val="00144CC3"/>
    <w:rsid w:val="001513D6"/>
    <w:rsid w:val="001622F6"/>
    <w:rsid w:val="00172A27"/>
    <w:rsid w:val="00177602"/>
    <w:rsid w:val="00182FB1"/>
    <w:rsid w:val="00195DA6"/>
    <w:rsid w:val="001A3D76"/>
    <w:rsid w:val="001A5682"/>
    <w:rsid w:val="001D4E5E"/>
    <w:rsid w:val="001E784F"/>
    <w:rsid w:val="002108CB"/>
    <w:rsid w:val="00211224"/>
    <w:rsid w:val="00211F86"/>
    <w:rsid w:val="00231962"/>
    <w:rsid w:val="0024210C"/>
    <w:rsid w:val="00264BD8"/>
    <w:rsid w:val="00264C2E"/>
    <w:rsid w:val="00265E9D"/>
    <w:rsid w:val="00282243"/>
    <w:rsid w:val="00287637"/>
    <w:rsid w:val="002905FB"/>
    <w:rsid w:val="00291C15"/>
    <w:rsid w:val="002A7A8C"/>
    <w:rsid w:val="002B2AB0"/>
    <w:rsid w:val="002D63DD"/>
    <w:rsid w:val="002E4CA6"/>
    <w:rsid w:val="002E5C71"/>
    <w:rsid w:val="002E62F0"/>
    <w:rsid w:val="002E7484"/>
    <w:rsid w:val="002E7613"/>
    <w:rsid w:val="003059D8"/>
    <w:rsid w:val="003103ED"/>
    <w:rsid w:val="00310477"/>
    <w:rsid w:val="00315418"/>
    <w:rsid w:val="00320316"/>
    <w:rsid w:val="00321343"/>
    <w:rsid w:val="00325CF7"/>
    <w:rsid w:val="00332A7C"/>
    <w:rsid w:val="0033440B"/>
    <w:rsid w:val="00343505"/>
    <w:rsid w:val="00351DBA"/>
    <w:rsid w:val="003531A9"/>
    <w:rsid w:val="0035480E"/>
    <w:rsid w:val="0035739B"/>
    <w:rsid w:val="003651E6"/>
    <w:rsid w:val="0037746D"/>
    <w:rsid w:val="00385DEA"/>
    <w:rsid w:val="00396BFA"/>
    <w:rsid w:val="003A023F"/>
    <w:rsid w:val="003A7617"/>
    <w:rsid w:val="003A7DF5"/>
    <w:rsid w:val="003C1624"/>
    <w:rsid w:val="003C611D"/>
    <w:rsid w:val="003E3E72"/>
    <w:rsid w:val="003F1854"/>
    <w:rsid w:val="004024E3"/>
    <w:rsid w:val="0041258C"/>
    <w:rsid w:val="00412855"/>
    <w:rsid w:val="00421513"/>
    <w:rsid w:val="00432FB6"/>
    <w:rsid w:val="00433830"/>
    <w:rsid w:val="00433B13"/>
    <w:rsid w:val="00444D43"/>
    <w:rsid w:val="004475F1"/>
    <w:rsid w:val="00451499"/>
    <w:rsid w:val="00461276"/>
    <w:rsid w:val="00474F75"/>
    <w:rsid w:val="004775D8"/>
    <w:rsid w:val="00481EC5"/>
    <w:rsid w:val="00483AD5"/>
    <w:rsid w:val="0048523B"/>
    <w:rsid w:val="004855D2"/>
    <w:rsid w:val="00496F1D"/>
    <w:rsid w:val="004A40C2"/>
    <w:rsid w:val="004B19A4"/>
    <w:rsid w:val="004B5044"/>
    <w:rsid w:val="004D2AE9"/>
    <w:rsid w:val="004E30FB"/>
    <w:rsid w:val="004F7AB4"/>
    <w:rsid w:val="005046A0"/>
    <w:rsid w:val="00504AE1"/>
    <w:rsid w:val="0050565F"/>
    <w:rsid w:val="00511973"/>
    <w:rsid w:val="00512209"/>
    <w:rsid w:val="0052216B"/>
    <w:rsid w:val="005278A8"/>
    <w:rsid w:val="005543E8"/>
    <w:rsid w:val="00555CC0"/>
    <w:rsid w:val="005754F0"/>
    <w:rsid w:val="00577F47"/>
    <w:rsid w:val="005859B0"/>
    <w:rsid w:val="00592016"/>
    <w:rsid w:val="00596F67"/>
    <w:rsid w:val="00597E66"/>
    <w:rsid w:val="005A2678"/>
    <w:rsid w:val="005A6658"/>
    <w:rsid w:val="005A6D3B"/>
    <w:rsid w:val="005B28AD"/>
    <w:rsid w:val="005C0EE9"/>
    <w:rsid w:val="005C22AC"/>
    <w:rsid w:val="005D394C"/>
    <w:rsid w:val="005F34FE"/>
    <w:rsid w:val="005F7447"/>
    <w:rsid w:val="00613C36"/>
    <w:rsid w:val="0062581F"/>
    <w:rsid w:val="00625B34"/>
    <w:rsid w:val="00651F10"/>
    <w:rsid w:val="00653F5D"/>
    <w:rsid w:val="00660FFD"/>
    <w:rsid w:val="00662BF9"/>
    <w:rsid w:val="0066633C"/>
    <w:rsid w:val="00673472"/>
    <w:rsid w:val="0068387F"/>
    <w:rsid w:val="00684EC0"/>
    <w:rsid w:val="006B4A67"/>
    <w:rsid w:val="006C678F"/>
    <w:rsid w:val="006E427E"/>
    <w:rsid w:val="006E4421"/>
    <w:rsid w:val="006E4DDA"/>
    <w:rsid w:val="006E71C4"/>
    <w:rsid w:val="007026B9"/>
    <w:rsid w:val="0071201A"/>
    <w:rsid w:val="00712A14"/>
    <w:rsid w:val="00720450"/>
    <w:rsid w:val="00720B88"/>
    <w:rsid w:val="00733437"/>
    <w:rsid w:val="0076417A"/>
    <w:rsid w:val="007712D5"/>
    <w:rsid w:val="0078013B"/>
    <w:rsid w:val="00781D59"/>
    <w:rsid w:val="00787E1F"/>
    <w:rsid w:val="007A3293"/>
    <w:rsid w:val="007B3AE0"/>
    <w:rsid w:val="007B525B"/>
    <w:rsid w:val="007B6941"/>
    <w:rsid w:val="007C45C9"/>
    <w:rsid w:val="007C50B8"/>
    <w:rsid w:val="007D2D02"/>
    <w:rsid w:val="007E08C5"/>
    <w:rsid w:val="007E4463"/>
    <w:rsid w:val="007E7373"/>
    <w:rsid w:val="007F35A3"/>
    <w:rsid w:val="007F674C"/>
    <w:rsid w:val="007F6770"/>
    <w:rsid w:val="008144F3"/>
    <w:rsid w:val="0083593C"/>
    <w:rsid w:val="0086750E"/>
    <w:rsid w:val="00867AB6"/>
    <w:rsid w:val="00873B06"/>
    <w:rsid w:val="0088737E"/>
    <w:rsid w:val="00893F8B"/>
    <w:rsid w:val="008A10A7"/>
    <w:rsid w:val="008A2A08"/>
    <w:rsid w:val="008B15C7"/>
    <w:rsid w:val="008D0831"/>
    <w:rsid w:val="008D3C0A"/>
    <w:rsid w:val="008E64BA"/>
    <w:rsid w:val="009008CA"/>
    <w:rsid w:val="00910E45"/>
    <w:rsid w:val="00936525"/>
    <w:rsid w:val="009403B3"/>
    <w:rsid w:val="00942BA3"/>
    <w:rsid w:val="00943E7E"/>
    <w:rsid w:val="009538B9"/>
    <w:rsid w:val="0096163C"/>
    <w:rsid w:val="00967C2D"/>
    <w:rsid w:val="00976F0C"/>
    <w:rsid w:val="00984ED3"/>
    <w:rsid w:val="00990A23"/>
    <w:rsid w:val="00995872"/>
    <w:rsid w:val="009A562A"/>
    <w:rsid w:val="009A5DA5"/>
    <w:rsid w:val="009B1D97"/>
    <w:rsid w:val="009B3854"/>
    <w:rsid w:val="009B792D"/>
    <w:rsid w:val="009C5886"/>
    <w:rsid w:val="009D5444"/>
    <w:rsid w:val="00A02D4A"/>
    <w:rsid w:val="00A25CD8"/>
    <w:rsid w:val="00A27FA8"/>
    <w:rsid w:val="00A30A2A"/>
    <w:rsid w:val="00A35A70"/>
    <w:rsid w:val="00A378E5"/>
    <w:rsid w:val="00A41CBD"/>
    <w:rsid w:val="00A4301E"/>
    <w:rsid w:val="00A4372F"/>
    <w:rsid w:val="00A470C4"/>
    <w:rsid w:val="00A50D82"/>
    <w:rsid w:val="00A530DD"/>
    <w:rsid w:val="00A54BE4"/>
    <w:rsid w:val="00A55901"/>
    <w:rsid w:val="00A642BA"/>
    <w:rsid w:val="00A674F7"/>
    <w:rsid w:val="00A6767B"/>
    <w:rsid w:val="00A70F1A"/>
    <w:rsid w:val="00A74C3D"/>
    <w:rsid w:val="00A7571A"/>
    <w:rsid w:val="00A76522"/>
    <w:rsid w:val="00A82945"/>
    <w:rsid w:val="00A96400"/>
    <w:rsid w:val="00AC32F5"/>
    <w:rsid w:val="00AD3448"/>
    <w:rsid w:val="00AD4FD3"/>
    <w:rsid w:val="00AF044C"/>
    <w:rsid w:val="00B00259"/>
    <w:rsid w:val="00B05995"/>
    <w:rsid w:val="00B21C93"/>
    <w:rsid w:val="00B227BF"/>
    <w:rsid w:val="00B30A90"/>
    <w:rsid w:val="00B33A1A"/>
    <w:rsid w:val="00B42C32"/>
    <w:rsid w:val="00B4505B"/>
    <w:rsid w:val="00B524BC"/>
    <w:rsid w:val="00B56D92"/>
    <w:rsid w:val="00B5771A"/>
    <w:rsid w:val="00B710FF"/>
    <w:rsid w:val="00B732FC"/>
    <w:rsid w:val="00B73AEB"/>
    <w:rsid w:val="00B8553E"/>
    <w:rsid w:val="00B94A45"/>
    <w:rsid w:val="00B95427"/>
    <w:rsid w:val="00BA0D7B"/>
    <w:rsid w:val="00BA2344"/>
    <w:rsid w:val="00BC1F09"/>
    <w:rsid w:val="00BC2BD1"/>
    <w:rsid w:val="00BC515D"/>
    <w:rsid w:val="00BC54FD"/>
    <w:rsid w:val="00BC7359"/>
    <w:rsid w:val="00BD1703"/>
    <w:rsid w:val="00BE0328"/>
    <w:rsid w:val="00BE4064"/>
    <w:rsid w:val="00BF2B81"/>
    <w:rsid w:val="00C03A5B"/>
    <w:rsid w:val="00C116CB"/>
    <w:rsid w:val="00C1209C"/>
    <w:rsid w:val="00C128EC"/>
    <w:rsid w:val="00C2779F"/>
    <w:rsid w:val="00C442D0"/>
    <w:rsid w:val="00C67948"/>
    <w:rsid w:val="00C73FCE"/>
    <w:rsid w:val="00C762D4"/>
    <w:rsid w:val="00C76814"/>
    <w:rsid w:val="00C84813"/>
    <w:rsid w:val="00C9228E"/>
    <w:rsid w:val="00C978E7"/>
    <w:rsid w:val="00CA43FD"/>
    <w:rsid w:val="00CA47E5"/>
    <w:rsid w:val="00CB1AC6"/>
    <w:rsid w:val="00CC0AA6"/>
    <w:rsid w:val="00CD5077"/>
    <w:rsid w:val="00CE79FD"/>
    <w:rsid w:val="00D05A67"/>
    <w:rsid w:val="00D13A1D"/>
    <w:rsid w:val="00D14E6B"/>
    <w:rsid w:val="00D166B4"/>
    <w:rsid w:val="00D32F49"/>
    <w:rsid w:val="00D516D7"/>
    <w:rsid w:val="00D57B18"/>
    <w:rsid w:val="00D61090"/>
    <w:rsid w:val="00D77381"/>
    <w:rsid w:val="00D8066A"/>
    <w:rsid w:val="00D825E1"/>
    <w:rsid w:val="00D84FD2"/>
    <w:rsid w:val="00D9694D"/>
    <w:rsid w:val="00DB043A"/>
    <w:rsid w:val="00DB191F"/>
    <w:rsid w:val="00DB68A2"/>
    <w:rsid w:val="00DC67E0"/>
    <w:rsid w:val="00DD1657"/>
    <w:rsid w:val="00DD3E70"/>
    <w:rsid w:val="00DE0A83"/>
    <w:rsid w:val="00E058C6"/>
    <w:rsid w:val="00E124F3"/>
    <w:rsid w:val="00E26C6E"/>
    <w:rsid w:val="00E31ABD"/>
    <w:rsid w:val="00E32934"/>
    <w:rsid w:val="00E34822"/>
    <w:rsid w:val="00E40AD7"/>
    <w:rsid w:val="00E53C65"/>
    <w:rsid w:val="00E62E7C"/>
    <w:rsid w:val="00E70C34"/>
    <w:rsid w:val="00E72CFD"/>
    <w:rsid w:val="00E80D6B"/>
    <w:rsid w:val="00E86481"/>
    <w:rsid w:val="00EB198E"/>
    <w:rsid w:val="00EB6410"/>
    <w:rsid w:val="00EB7DA6"/>
    <w:rsid w:val="00EC1899"/>
    <w:rsid w:val="00EE160A"/>
    <w:rsid w:val="00EE6090"/>
    <w:rsid w:val="00EF0CDD"/>
    <w:rsid w:val="00EF41DD"/>
    <w:rsid w:val="00EF73A2"/>
    <w:rsid w:val="00F01189"/>
    <w:rsid w:val="00F1162F"/>
    <w:rsid w:val="00F13F01"/>
    <w:rsid w:val="00F22E99"/>
    <w:rsid w:val="00F251D1"/>
    <w:rsid w:val="00F258D4"/>
    <w:rsid w:val="00F26F8D"/>
    <w:rsid w:val="00F271B5"/>
    <w:rsid w:val="00F27E68"/>
    <w:rsid w:val="00F322A1"/>
    <w:rsid w:val="00F4282E"/>
    <w:rsid w:val="00F51C5C"/>
    <w:rsid w:val="00F54A53"/>
    <w:rsid w:val="00F62C54"/>
    <w:rsid w:val="00F769CD"/>
    <w:rsid w:val="00F863B5"/>
    <w:rsid w:val="00F917D1"/>
    <w:rsid w:val="00F92185"/>
    <w:rsid w:val="00FA3756"/>
    <w:rsid w:val="00FB749C"/>
    <w:rsid w:val="00FC5540"/>
    <w:rsid w:val="00FD212E"/>
    <w:rsid w:val="00FD345A"/>
    <w:rsid w:val="00FD74C4"/>
    <w:rsid w:val="00FD7E97"/>
    <w:rsid w:val="00FF038C"/>
    <w:rsid w:val="00FF67A4"/>
    <w:rsid w:val="0128086F"/>
    <w:rsid w:val="015B0BA2"/>
    <w:rsid w:val="017A2A54"/>
    <w:rsid w:val="058C493E"/>
    <w:rsid w:val="072258FB"/>
    <w:rsid w:val="08BC033C"/>
    <w:rsid w:val="08D4503C"/>
    <w:rsid w:val="090A5737"/>
    <w:rsid w:val="09BE78DC"/>
    <w:rsid w:val="0AEC1DBF"/>
    <w:rsid w:val="0B24562B"/>
    <w:rsid w:val="0C316A8D"/>
    <w:rsid w:val="0CE557CD"/>
    <w:rsid w:val="0D5B014F"/>
    <w:rsid w:val="0EB33D62"/>
    <w:rsid w:val="0F233356"/>
    <w:rsid w:val="10A63434"/>
    <w:rsid w:val="11B74393"/>
    <w:rsid w:val="133774D8"/>
    <w:rsid w:val="136314E1"/>
    <w:rsid w:val="13D312F7"/>
    <w:rsid w:val="14A3426C"/>
    <w:rsid w:val="15416CB2"/>
    <w:rsid w:val="17467172"/>
    <w:rsid w:val="17CA6DB3"/>
    <w:rsid w:val="18911024"/>
    <w:rsid w:val="18B744F8"/>
    <w:rsid w:val="199950C2"/>
    <w:rsid w:val="1B983F6F"/>
    <w:rsid w:val="1B9E00B8"/>
    <w:rsid w:val="1C3C7DBA"/>
    <w:rsid w:val="1E447094"/>
    <w:rsid w:val="1E764C26"/>
    <w:rsid w:val="1EB000B1"/>
    <w:rsid w:val="1F6B3CFA"/>
    <w:rsid w:val="1F9807E2"/>
    <w:rsid w:val="1FE37097"/>
    <w:rsid w:val="215D1241"/>
    <w:rsid w:val="21CD5ABB"/>
    <w:rsid w:val="23456C07"/>
    <w:rsid w:val="24467AF0"/>
    <w:rsid w:val="2520445F"/>
    <w:rsid w:val="25591A59"/>
    <w:rsid w:val="26ED6583"/>
    <w:rsid w:val="2740558F"/>
    <w:rsid w:val="2838232C"/>
    <w:rsid w:val="284F0D5C"/>
    <w:rsid w:val="285B1B0C"/>
    <w:rsid w:val="28B31C0A"/>
    <w:rsid w:val="2A7F7787"/>
    <w:rsid w:val="2B774A1A"/>
    <w:rsid w:val="2BDD228D"/>
    <w:rsid w:val="2C44230E"/>
    <w:rsid w:val="2C763BB4"/>
    <w:rsid w:val="2C9A3984"/>
    <w:rsid w:val="2EB37C8F"/>
    <w:rsid w:val="2EB457A0"/>
    <w:rsid w:val="2FC7146E"/>
    <w:rsid w:val="317F779D"/>
    <w:rsid w:val="327C3428"/>
    <w:rsid w:val="32E57DBE"/>
    <w:rsid w:val="32E72507"/>
    <w:rsid w:val="352B2EB0"/>
    <w:rsid w:val="356C7910"/>
    <w:rsid w:val="364C4DC3"/>
    <w:rsid w:val="36633A34"/>
    <w:rsid w:val="37416E5A"/>
    <w:rsid w:val="38B5613C"/>
    <w:rsid w:val="398E1F50"/>
    <w:rsid w:val="39A53D7B"/>
    <w:rsid w:val="39A823EE"/>
    <w:rsid w:val="3BC46B11"/>
    <w:rsid w:val="3BE32CC0"/>
    <w:rsid w:val="3C411777"/>
    <w:rsid w:val="3C4A0391"/>
    <w:rsid w:val="3CEC04DE"/>
    <w:rsid w:val="3CF61A26"/>
    <w:rsid w:val="3E7847A5"/>
    <w:rsid w:val="3EDF1DF4"/>
    <w:rsid w:val="3FCE27C2"/>
    <w:rsid w:val="3FF027F3"/>
    <w:rsid w:val="40663A47"/>
    <w:rsid w:val="40C228B9"/>
    <w:rsid w:val="40DB7459"/>
    <w:rsid w:val="414858D2"/>
    <w:rsid w:val="41BC3D9A"/>
    <w:rsid w:val="41E80BEE"/>
    <w:rsid w:val="43E45366"/>
    <w:rsid w:val="45C23127"/>
    <w:rsid w:val="461D1803"/>
    <w:rsid w:val="474B6105"/>
    <w:rsid w:val="478508CB"/>
    <w:rsid w:val="486B5BDB"/>
    <w:rsid w:val="498C3FBF"/>
    <w:rsid w:val="4A67576C"/>
    <w:rsid w:val="4CE3025A"/>
    <w:rsid w:val="4D580FA7"/>
    <w:rsid w:val="4DC13787"/>
    <w:rsid w:val="4E1F5F7D"/>
    <w:rsid w:val="4E4C0B08"/>
    <w:rsid w:val="4E8E0E86"/>
    <w:rsid w:val="4EBE25DF"/>
    <w:rsid w:val="4ECC78FF"/>
    <w:rsid w:val="4EF51029"/>
    <w:rsid w:val="50BB4FCA"/>
    <w:rsid w:val="51E372A2"/>
    <w:rsid w:val="5259278F"/>
    <w:rsid w:val="528D7A02"/>
    <w:rsid w:val="540462FD"/>
    <w:rsid w:val="56284051"/>
    <w:rsid w:val="5630126B"/>
    <w:rsid w:val="564A5B8E"/>
    <w:rsid w:val="5674386A"/>
    <w:rsid w:val="58C915C5"/>
    <w:rsid w:val="59CE0FC0"/>
    <w:rsid w:val="59FC3125"/>
    <w:rsid w:val="5A0B6BFC"/>
    <w:rsid w:val="5D1741DB"/>
    <w:rsid w:val="5E1B5AEA"/>
    <w:rsid w:val="5F235469"/>
    <w:rsid w:val="5FC568EC"/>
    <w:rsid w:val="604B6D90"/>
    <w:rsid w:val="62463D9D"/>
    <w:rsid w:val="62AA7F5C"/>
    <w:rsid w:val="62D43FFB"/>
    <w:rsid w:val="657B6FA6"/>
    <w:rsid w:val="679945C7"/>
    <w:rsid w:val="67BF58E2"/>
    <w:rsid w:val="68A00A70"/>
    <w:rsid w:val="69EB6F9D"/>
    <w:rsid w:val="6CDC6BD6"/>
    <w:rsid w:val="6EAB0E87"/>
    <w:rsid w:val="6EC07119"/>
    <w:rsid w:val="6FD64AAB"/>
    <w:rsid w:val="70375434"/>
    <w:rsid w:val="70F052EA"/>
    <w:rsid w:val="713403AA"/>
    <w:rsid w:val="716F4122"/>
    <w:rsid w:val="71723A7A"/>
    <w:rsid w:val="71FB2AEC"/>
    <w:rsid w:val="733F5184"/>
    <w:rsid w:val="734E2B42"/>
    <w:rsid w:val="73AF3E3B"/>
    <w:rsid w:val="73C210E0"/>
    <w:rsid w:val="73EA40CF"/>
    <w:rsid w:val="74C74B23"/>
    <w:rsid w:val="75774F80"/>
    <w:rsid w:val="759639E6"/>
    <w:rsid w:val="75D9228C"/>
    <w:rsid w:val="76E10029"/>
    <w:rsid w:val="77500253"/>
    <w:rsid w:val="77EC068A"/>
    <w:rsid w:val="7A9D271A"/>
    <w:rsid w:val="7C134C99"/>
    <w:rsid w:val="7D5A19C7"/>
    <w:rsid w:val="7F763A99"/>
    <w:rsid w:val="7F825515"/>
    <w:rsid w:val="7FCA0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51"/>
    <w:semiHidden/>
    <w:unhideWhenUsed/>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link w:val="37"/>
    <w:qFormat/>
    <w:uiPriority w:val="0"/>
    <w:pPr>
      <w:spacing w:after="120"/>
    </w:pPr>
    <w:rPr>
      <w:kern w:val="0"/>
      <w:szCs w:val="20"/>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link w:val="42"/>
    <w:qFormat/>
    <w:uiPriority w:val="0"/>
    <w:rPr>
      <w:rFonts w:ascii="宋体" w:hAnsi="Courier New"/>
      <w:szCs w:val="21"/>
    </w:rPr>
  </w:style>
  <w:style w:type="paragraph" w:styleId="13">
    <w:name w:val="Body Text Indent 2"/>
    <w:basedOn w:val="1"/>
    <w:link w:val="38"/>
    <w:qFormat/>
    <w:uiPriority w:val="0"/>
    <w:pPr>
      <w:spacing w:after="120" w:line="480" w:lineRule="auto"/>
      <w:ind w:left="420" w:leftChars="200"/>
    </w:pPr>
    <w:rPr>
      <w:kern w:val="0"/>
      <w:szCs w:val="20"/>
    </w:rPr>
  </w:style>
  <w:style w:type="paragraph" w:styleId="14">
    <w:name w:val="Balloon Text"/>
    <w:basedOn w:val="1"/>
    <w:link w:val="36"/>
    <w:qFormat/>
    <w:uiPriority w:val="0"/>
    <w:rPr>
      <w:kern w:val="0"/>
      <w:sz w:val="18"/>
      <w:szCs w:val="18"/>
    </w:rPr>
  </w:style>
  <w:style w:type="paragraph" w:styleId="15">
    <w:name w:val="footer"/>
    <w:basedOn w:val="1"/>
    <w:link w:val="45"/>
    <w:qFormat/>
    <w:uiPriority w:val="99"/>
    <w:pPr>
      <w:tabs>
        <w:tab w:val="center" w:pos="4153"/>
        <w:tab w:val="right" w:pos="8306"/>
      </w:tabs>
      <w:snapToGrid w:val="0"/>
      <w:jc w:val="left"/>
    </w:pPr>
    <w:rPr>
      <w:sz w:val="18"/>
    </w:rPr>
  </w:style>
  <w:style w:type="paragraph" w:styleId="16">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link w:val="39"/>
    <w:qFormat/>
    <w:uiPriority w:val="0"/>
    <w:pPr>
      <w:spacing w:after="120"/>
      <w:ind w:left="420" w:leftChars="200"/>
    </w:pPr>
    <w:rPr>
      <w:kern w:val="0"/>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annotation subject"/>
    <w:basedOn w:val="8"/>
    <w:next w:val="8"/>
    <w:link w:val="52"/>
    <w:semiHidden/>
    <w:unhideWhenUsed/>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annotation reference"/>
    <w:basedOn w:val="24"/>
    <w:semiHidden/>
    <w:unhideWhenUsed/>
    <w:qFormat/>
    <w:uiPriority w:val="0"/>
    <w:rPr>
      <w:sz w:val="21"/>
      <w:szCs w:val="21"/>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Char"/>
    <w:basedOn w:val="1"/>
    <w:qFormat/>
    <w:uiPriority w:val="0"/>
    <w:pPr>
      <w:spacing w:line="480" w:lineRule="exact"/>
    </w:pPr>
    <w:rPr>
      <w:sz w:val="24"/>
    </w:rPr>
  </w:style>
  <w:style w:type="paragraph" w:customStyle="1" w:styleId="30">
    <w:name w:val="题注4"/>
    <w:basedOn w:val="1"/>
    <w:next w:val="7"/>
    <w:qFormat/>
    <w:uiPriority w:val="0"/>
    <w:pPr>
      <w:ind w:left="-132" w:leftChars="-64" w:right="-105" w:rightChars="-50" w:hanging="2"/>
      <w:jc w:val="center"/>
    </w:pPr>
    <w:rPr>
      <w:b/>
      <w:color w:val="FF0000"/>
      <w:szCs w:val="21"/>
      <w:lang w:val="en-GB"/>
    </w:rPr>
  </w:style>
  <w:style w:type="paragraph" w:customStyle="1" w:styleId="31">
    <w:name w:val="表格文字"/>
    <w:basedOn w:val="1"/>
    <w:qFormat/>
    <w:uiPriority w:val="0"/>
    <w:pPr>
      <w:spacing w:before="25" w:after="25"/>
      <w:jc w:val="left"/>
    </w:pPr>
    <w:rPr>
      <w:bCs/>
      <w:spacing w:val="10"/>
      <w:kern w:val="0"/>
      <w:sz w:val="24"/>
      <w:szCs w:val="20"/>
    </w:rPr>
  </w:style>
  <w:style w:type="paragraph" w:customStyle="1" w:styleId="3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5">
    <w:name w:val="Char Char2 Char"/>
    <w:basedOn w:val="1"/>
    <w:qFormat/>
    <w:uiPriority w:val="0"/>
  </w:style>
  <w:style w:type="character" w:customStyle="1" w:styleId="36">
    <w:name w:val="批注框文本 字符"/>
    <w:link w:val="14"/>
    <w:qFormat/>
    <w:uiPriority w:val="0"/>
    <w:rPr>
      <w:sz w:val="18"/>
      <w:szCs w:val="18"/>
    </w:rPr>
  </w:style>
  <w:style w:type="character" w:customStyle="1" w:styleId="37">
    <w:name w:val="正文文本 字符"/>
    <w:link w:val="10"/>
    <w:qFormat/>
    <w:uiPriority w:val="0"/>
    <w:rPr>
      <w:sz w:val="21"/>
    </w:rPr>
  </w:style>
  <w:style w:type="character" w:customStyle="1" w:styleId="38">
    <w:name w:val="正文文本缩进 2 字符"/>
    <w:link w:val="13"/>
    <w:qFormat/>
    <w:uiPriority w:val="0"/>
    <w:rPr>
      <w:sz w:val="21"/>
    </w:rPr>
  </w:style>
  <w:style w:type="character" w:customStyle="1" w:styleId="39">
    <w:name w:val="正文文本缩进 3 字符"/>
    <w:link w:val="18"/>
    <w:qFormat/>
    <w:uiPriority w:val="0"/>
    <w:rPr>
      <w:sz w:val="16"/>
      <w:szCs w:val="16"/>
    </w:rPr>
  </w:style>
  <w:style w:type="character" w:customStyle="1" w:styleId="40">
    <w:name w:val="正文文本缩进 3 Char1"/>
    <w:qFormat/>
    <w:uiPriority w:val="0"/>
    <w:rPr>
      <w:sz w:val="16"/>
      <w:szCs w:val="16"/>
    </w:rPr>
  </w:style>
  <w:style w:type="paragraph" w:styleId="41">
    <w:name w:val="List Paragraph"/>
    <w:basedOn w:val="1"/>
    <w:link w:val="48"/>
    <w:qFormat/>
    <w:uiPriority w:val="34"/>
    <w:pPr>
      <w:ind w:firstLine="420" w:firstLineChars="200"/>
    </w:pPr>
  </w:style>
  <w:style w:type="character" w:customStyle="1" w:styleId="42">
    <w:name w:val="纯文本 字符"/>
    <w:link w:val="12"/>
    <w:qFormat/>
    <w:uiPriority w:val="0"/>
    <w:rPr>
      <w:rFonts w:ascii="宋体" w:hAnsi="Courier New" w:cs="Courier New"/>
      <w:kern w:val="2"/>
      <w:sz w:val="21"/>
      <w:szCs w:val="21"/>
    </w:rPr>
  </w:style>
  <w:style w:type="character" w:customStyle="1" w:styleId="43">
    <w:name w:val="标题 1 字符"/>
    <w:basedOn w:val="24"/>
    <w:link w:val="2"/>
    <w:qFormat/>
    <w:uiPriority w:val="0"/>
    <w:rPr>
      <w:b/>
      <w:bCs/>
      <w:kern w:val="44"/>
      <w:sz w:val="44"/>
      <w:szCs w:val="44"/>
    </w:rPr>
  </w:style>
  <w:style w:type="character" w:customStyle="1" w:styleId="44">
    <w:name w:val="页眉 字符"/>
    <w:basedOn w:val="24"/>
    <w:link w:val="16"/>
    <w:qFormat/>
    <w:uiPriority w:val="99"/>
    <w:rPr>
      <w:kern w:val="2"/>
      <w:sz w:val="18"/>
      <w:szCs w:val="24"/>
    </w:rPr>
  </w:style>
  <w:style w:type="character" w:customStyle="1" w:styleId="45">
    <w:name w:val="页脚 字符"/>
    <w:basedOn w:val="24"/>
    <w:link w:val="15"/>
    <w:qFormat/>
    <w:uiPriority w:val="99"/>
    <w:rPr>
      <w:kern w:val="2"/>
      <w:sz w:val="18"/>
      <w:szCs w:val="24"/>
    </w:rPr>
  </w:style>
  <w:style w:type="character" w:customStyle="1" w:styleId="46">
    <w:name w:val="纯文本 Char4"/>
    <w:basedOn w:val="24"/>
    <w:qFormat/>
    <w:uiPriority w:val="0"/>
    <w:rPr>
      <w:rFonts w:ascii="宋体" w:hAnsi="Courier New" w:eastAsia="宋体" w:cs="Times New Roman"/>
      <w:sz w:val="24"/>
      <w:szCs w:val="20"/>
    </w:rPr>
  </w:style>
  <w:style w:type="paragraph" w:styleId="47">
    <w:name w:val="No Spacing"/>
    <w:qFormat/>
    <w:uiPriority w:val="1"/>
    <w:rPr>
      <w:rFonts w:ascii="Calibri" w:hAnsi="Calibri" w:eastAsia="宋体" w:cs="Times New Roman"/>
      <w:sz w:val="22"/>
      <w:szCs w:val="22"/>
      <w:lang w:val="en-US" w:eastAsia="zh-CN" w:bidi="ar-SA"/>
    </w:rPr>
  </w:style>
  <w:style w:type="character" w:customStyle="1" w:styleId="48">
    <w:name w:val="列出段落 字符"/>
    <w:link w:val="41"/>
    <w:qFormat/>
    <w:uiPriority w:val="34"/>
    <w:rPr>
      <w:kern w:val="2"/>
      <w:sz w:val="21"/>
      <w:szCs w:val="24"/>
    </w:rPr>
  </w:style>
  <w:style w:type="character" w:customStyle="1" w:styleId="49">
    <w:name w:val="页眉 Char1"/>
    <w:basedOn w:val="24"/>
    <w:qFormat/>
    <w:uiPriority w:val="99"/>
    <w:rPr>
      <w:rFonts w:ascii="Calibri" w:hAnsi="Calibri" w:eastAsia="Calibri" w:cs="Calibri"/>
      <w:color w:val="000000"/>
      <w:sz w:val="18"/>
      <w:szCs w:val="18"/>
    </w:rPr>
  </w:style>
  <w:style w:type="character" w:customStyle="1" w:styleId="50">
    <w:name w:val="页脚 Char2"/>
    <w:basedOn w:val="24"/>
    <w:qFormat/>
    <w:uiPriority w:val="99"/>
    <w:rPr>
      <w:rFonts w:ascii="Calibri" w:hAnsi="Calibri" w:eastAsia="Calibri" w:cs="Calibri"/>
      <w:color w:val="000000"/>
      <w:sz w:val="18"/>
      <w:szCs w:val="18"/>
    </w:rPr>
  </w:style>
  <w:style w:type="character" w:customStyle="1" w:styleId="51">
    <w:name w:val="批注文字 字符"/>
    <w:basedOn w:val="24"/>
    <w:link w:val="8"/>
    <w:semiHidden/>
    <w:qFormat/>
    <w:uiPriority w:val="0"/>
    <w:rPr>
      <w:kern w:val="2"/>
      <w:sz w:val="21"/>
      <w:szCs w:val="24"/>
    </w:rPr>
  </w:style>
  <w:style w:type="character" w:customStyle="1" w:styleId="52">
    <w:name w:val="批注主题 字符"/>
    <w:basedOn w:val="51"/>
    <w:link w:val="21"/>
    <w:semiHidden/>
    <w:qFormat/>
    <w:uiPriority w:val="0"/>
    <w:rPr>
      <w:b/>
      <w:bCs/>
      <w:kern w:val="2"/>
      <w:sz w:val="21"/>
      <w:szCs w:val="24"/>
    </w:rPr>
  </w:style>
  <w:style w:type="paragraph" w:customStyle="1" w:styleId="53">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0A4D20-76B7-4550-91C7-725E207D18D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36</Pages>
  <Words>8426</Words>
  <Characters>48031</Characters>
  <Lines>400</Lines>
  <Paragraphs>112</Paragraphs>
  <TotalTime>7</TotalTime>
  <ScaleCrop>false</ScaleCrop>
  <LinksUpToDate>false</LinksUpToDate>
  <CharactersWithSpaces>56345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2020-10-09T03:39:00Z</dcterms:created>
  <dc:creator>李继能</dc:creator>
  <cp:lastModifiedBy>LIN</cp:lastModifiedBy>
  <cp:lastPrinted>2020-11-12T03:24:00Z</cp:lastPrinted>
  <dcterms:modified xsi:type="dcterms:W3CDTF">2020-11-13T07:02:07Z</dcterms:modified>
  <dc:title>询价文件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