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 xml:space="preserve">项目编号：XE-20200914-2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采购编号  \* MERGEFORMAT </w:instrText>
      </w:r>
      <w:r>
        <w:rPr>
          <w:color w:val="000000" w:themeColor="text1"/>
          <w14:textFill>
            <w14:solidFill>
              <w14:schemeClr w14:val="tx1"/>
            </w14:solidFill>
          </w14:textFill>
        </w:rPr>
        <w:fldChar w:fldCharType="end"/>
      </w:r>
    </w:p>
    <w:p>
      <w:pPr>
        <w:spacing w:line="500" w:lineRule="exact"/>
        <w:jc w:val="left"/>
        <w:rPr>
          <w:rFonts w:ascii="仿宋_GB2312" w:hAnsi="仿宋_GB2312" w:eastAsia="仿宋_GB2312" w:cs="仿宋_GB2312"/>
          <w:b/>
          <w:bCs/>
          <w:color w:val="000000" w:themeColor="text1"/>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项目名称：广州市净水有限公司</w:t>
      </w:r>
      <w:r>
        <w:rPr>
          <w:rFonts w:hint="eastAsia" w:ascii="仿宋" w:hAnsi="仿宋" w:eastAsia="仿宋" w:cs="仿宋_GB2312"/>
          <w:color w:val="000000" w:themeColor="text1"/>
          <w:sz w:val="28"/>
          <w:szCs w:val="28"/>
          <w14:textFill>
            <w14:solidFill>
              <w14:schemeClr w14:val="tx1"/>
            </w14:solidFill>
          </w14:textFill>
        </w:rPr>
        <w:t>无纸化会议系统建设项目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20</w:t>
      </w:r>
      <w:r>
        <w:rPr>
          <w:rFonts w:hint="eastAsia" w:ascii="仿宋_GB2312" w:hAnsi="仿宋_GB2312" w:eastAsia="仿宋_GB2312" w:cs="仿宋_GB2312"/>
          <w:b/>
          <w:bCs/>
          <w:color w:val="000000" w:themeColor="text1"/>
          <w:sz w:val="28"/>
          <w14:textFill>
            <w14:solidFill>
              <w14:schemeClr w14:val="tx1"/>
            </w14:solidFill>
          </w14:textFill>
        </w:rPr>
        <w:t>年9月14日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3"/>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无纸化会议系统建设项目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、项目编号：XE-20200914-2</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广州市净水有限公司无纸化会议系统建设项目</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ascii="仿宋_GB2312" w:hAnsi="仿宋_GB2312" w:eastAsia="仿宋_GB2312" w:cs="仿宋_GB2312"/>
          <w:color w:val="000000" w:themeColor="text1"/>
          <w:sz w:val="28"/>
          <w:szCs w:val="28"/>
          <w:lang w:val="zh-CN"/>
          <w14:textFill>
            <w14:solidFill>
              <w14:schemeClr w14:val="tx1"/>
            </w14:solidFill>
          </w14:textFill>
        </w:rPr>
        <w:t>55.85</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万元 </w:t>
      </w:r>
      <w:r>
        <w:rPr>
          <w:rFonts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构建一套集会议管理、资料共享、会议统计、会议服务、会议录播等功能为一体的无纸化会议系统，与已投入使用的视频会议系统交互，组成无纸化视频会议系统，实现与广州市水务投资集团有限公司无纸化会议系统互联互通，随时随地共享信息、及时上传下达日常工作部署和应急指挥决策，形成快速响应的沟通机制，提升整体运营效率和效益，以达到提升会议管理效能、节约会议耗纸、提高会议保密性等目的。</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52"/>
        <w:numPr>
          <w:ilvl w:val="0"/>
          <w:numId w:val="1"/>
        </w:numPr>
        <w:ind w:firstLineChars="0"/>
        <w:jc w:val="left"/>
        <w:rPr>
          <w:rFonts w:ascii="仿宋_GB2312" w:hAnsi="仿宋_GB2312" w:eastAsia="仿宋_GB2312" w:cs="仿宋_GB2312"/>
          <w:color w:val="000000"/>
          <w:sz w:val="28"/>
          <w:szCs w:val="28"/>
        </w:rPr>
      </w:pPr>
      <w:r>
        <w:rPr>
          <w:rFonts w:hint="eastAsia" w:ascii="仿宋" w:hAnsi="仿宋" w:eastAsia="仿宋" w:cs="仿宋_GB2312"/>
          <w:color w:val="000000" w:themeColor="text1"/>
          <w:sz w:val="28"/>
          <w:szCs w:val="28"/>
          <w14:textFill>
            <w14:solidFill>
              <w14:schemeClr w14:val="tx1"/>
            </w14:solidFill>
          </w14:textFill>
        </w:rPr>
        <w:t>需有独立法人资格，</w:t>
      </w:r>
      <w:r>
        <w:rPr>
          <w:rFonts w:hint="eastAsia" w:ascii="仿宋_GB2312" w:hAnsi="仿宋_GB2312" w:eastAsia="仿宋_GB2312" w:cs="仿宋_GB2312"/>
          <w:color w:val="000000"/>
          <w:sz w:val="28"/>
          <w:szCs w:val="28"/>
        </w:rPr>
        <w:t>经营范围包括电子产品批发销售或计算机技术开发、技术服务，提供</w:t>
      </w:r>
      <w:r>
        <w:rPr>
          <w:rFonts w:ascii="仿宋_GB2312" w:hAnsi="仿宋_GB2312" w:eastAsia="仿宋_GB2312" w:cs="仿宋_GB2312"/>
          <w:color w:val="000000"/>
          <w:sz w:val="28"/>
          <w:szCs w:val="28"/>
        </w:rPr>
        <w:t>营业执照(</w:t>
      </w:r>
      <w:r>
        <w:rPr>
          <w:rFonts w:hint="eastAsia" w:ascii="仿宋_GB2312" w:hAnsi="仿宋_GB2312" w:eastAsia="仿宋_GB2312" w:cs="仿宋_GB2312"/>
          <w:color w:val="000000"/>
          <w:sz w:val="28"/>
          <w:szCs w:val="28"/>
        </w:rPr>
        <w:t>三证合一</w:t>
      </w:r>
      <w:r>
        <w:rPr>
          <w:rFonts w:ascii="仿宋_GB2312" w:hAnsi="仿宋_GB2312" w:eastAsia="仿宋_GB2312" w:cs="仿宋_GB2312"/>
          <w:color w:val="000000"/>
          <w:sz w:val="28"/>
          <w:szCs w:val="28"/>
        </w:rPr>
        <w:t>)副本复印件（加盖公</w:t>
      </w:r>
      <w:r>
        <w:rPr>
          <w:rFonts w:hint="eastAsia" w:ascii="仿宋_GB2312" w:hAnsi="仿宋_GB2312" w:eastAsia="仿宋_GB2312" w:cs="仿宋_GB2312"/>
          <w:color w:val="000000"/>
          <w:sz w:val="28"/>
          <w:szCs w:val="28"/>
        </w:rPr>
        <w:t>章）。如营业执照中没有体现经营范围的，须提供工商部门商</w:t>
      </w:r>
      <w:r>
        <w:rPr>
          <w:rFonts w:hint="eastAsia" w:ascii="仿宋_GB2312" w:hAnsi="仿宋_GB2312" w:eastAsia="仿宋_GB2312" w:cs="仿宋_GB2312"/>
          <w:color w:val="000000" w:themeColor="text1"/>
          <w:sz w:val="28"/>
          <w:szCs w:val="28"/>
          <w14:textFill>
            <w14:solidFill>
              <w14:schemeClr w14:val="tx1"/>
            </w14:solidFill>
          </w14:textFill>
        </w:rPr>
        <w:t>事主体信息网站含经营范围的查询打印页。</w:t>
      </w:r>
    </w:p>
    <w:p>
      <w:pPr>
        <w:pStyle w:val="52"/>
        <w:numPr>
          <w:ilvl w:val="0"/>
          <w:numId w:val="1"/>
        </w:numPr>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rPr>
        <w:t>报价单位所供产品厂家获得国家高新技术企业证书，以及高新技术产品登记证书</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sz w:val="28"/>
          <w:szCs w:val="28"/>
        </w:rPr>
        <w:t>其中</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1）“无纸化会议应用软件（客户端管理软件、服务端管理软件）的研发与销售”应具有质量管理体系ISO9001，环境管理体系ISO14001,职业健康安全管理体系证书OHSAS18001:2007；</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2）无纸化会议客户端管理软件以及无纸化服务</w:t>
      </w:r>
      <w:r>
        <w:rPr>
          <w:rFonts w:hint="eastAsia" w:ascii="仿宋_GB2312" w:hAnsi="仿宋_GB2312" w:eastAsia="仿宋_GB2312" w:cs="仿宋_GB2312"/>
          <w:color w:val="000000"/>
          <w:sz w:val="28"/>
          <w:szCs w:val="28"/>
        </w:rPr>
        <w:t>端管理软件</w:t>
      </w:r>
      <w:r>
        <w:rPr>
          <w:rFonts w:ascii="仿宋_GB2312" w:hAnsi="仿宋_GB2312" w:eastAsia="仿宋_GB2312" w:cs="仿宋_GB2312"/>
          <w:color w:val="000000"/>
          <w:sz w:val="28"/>
          <w:szCs w:val="28"/>
        </w:rPr>
        <w:t>应</w:t>
      </w:r>
      <w:r>
        <w:rPr>
          <w:rFonts w:hint="eastAsia" w:ascii="仿宋_GB2312" w:hAnsi="仿宋_GB2312" w:eastAsia="仿宋_GB2312" w:cs="仿宋_GB2312"/>
          <w:color w:val="000000"/>
          <w:sz w:val="28"/>
          <w:szCs w:val="28"/>
        </w:rPr>
        <w:t>具有软件测试报告（第三方认证机构）；（</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）报价单位所供产品具备以下国家版权局计算机软件著作权登记证书：</w:t>
      </w:r>
      <w:r>
        <w:rPr>
          <w:rFonts w:ascii="仿宋_GB2312" w:hAnsi="仿宋_GB2312" w:eastAsia="仿宋_GB2312" w:cs="仿宋_GB2312"/>
          <w:color w:val="000000"/>
          <w:sz w:val="28"/>
          <w:szCs w:val="28"/>
        </w:rPr>
        <w:t>包括无纸化会议管理软件、无纸化会议服务端管理软件、无纸化会议客户端管理软件、无纸化会议苹果系统管理软件、无纸化历史会议客户端管理软件、无纸化会议公检法管理软件、无纸化会议预定软件、无纸化会议微信小程序系统软件、无纸化会议安卓手机客户端管理软件，提供</w:t>
      </w:r>
      <w:r>
        <w:rPr>
          <w:rFonts w:hint="eastAsia" w:ascii="仿宋_GB2312" w:hAnsi="仿宋_GB2312" w:eastAsia="仿宋_GB2312" w:cs="仿宋_GB2312"/>
          <w:color w:val="000000"/>
          <w:sz w:val="28"/>
          <w:szCs w:val="28"/>
        </w:rPr>
        <w:t>《品牌</w:t>
      </w:r>
      <w:r>
        <w:rPr>
          <w:rFonts w:ascii="仿宋_GB2312" w:hAnsi="仿宋_GB2312" w:eastAsia="仿宋_GB2312" w:cs="仿宋_GB2312"/>
          <w:color w:val="000000"/>
          <w:sz w:val="28"/>
          <w:szCs w:val="28"/>
        </w:rPr>
        <w:t>+软件版本》的复印件</w:t>
      </w:r>
      <w:r>
        <w:rPr>
          <w:rFonts w:hint="eastAsia" w:ascii="仿宋_GB2312" w:hAnsi="仿宋_GB2312" w:eastAsia="仿宋_GB2312" w:cs="仿宋_GB2312"/>
          <w:color w:val="000000"/>
          <w:sz w:val="28"/>
          <w:szCs w:val="28"/>
        </w:rPr>
        <w:t>，并由厂家盖章</w:t>
      </w:r>
    </w:p>
    <w:p>
      <w:pPr>
        <w:pStyle w:val="52"/>
        <w:numPr>
          <w:ilvl w:val="0"/>
          <w:numId w:val="1"/>
        </w:numPr>
        <w:ind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2017年1月1日至今，最少具有一项类似系统建设项目业绩，并提供相关证明文件（合同复印件，加盖单位公章）。</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rPr>
        <w:t>七</w:t>
      </w:r>
      <w:r>
        <w:rPr>
          <w:rFonts w:hint="eastAsia" w:ascii="仿宋" w:hAnsi="仿宋" w:eastAsia="仿宋" w:cs="仿宋_GB2312"/>
          <w:color w:val="000000"/>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 现场踏勘(答疑会)集合时间：/</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八、询价文件的获取：在2020年9月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日10时00分前，在广州市净水有限公司门户网站免费下载。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九、询价响应文件递交时间：2020年9月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日9时30分至10时00分；询价响应文件递交截止时间：2020年9月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日10时00分。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十一、评审时间：2020年9月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w:t>
      </w:r>
      <w:bookmarkStart w:id="45" w:name="_GoBack"/>
      <w:bookmarkEnd w:id="45"/>
      <w:r>
        <w:rPr>
          <w:rFonts w:hint="eastAsia" w:ascii="仿宋_GB2312" w:hAnsi="仿宋_GB2312" w:eastAsia="仿宋_GB2312" w:cs="仿宋_GB2312"/>
          <w:color w:val="000000" w:themeColor="text1"/>
          <w:sz w:val="28"/>
          <w:szCs w:val="28"/>
          <w14:textFill>
            <w14:solidFill>
              <w14:schemeClr w14:val="tx1"/>
            </w14:solidFill>
          </w14:textFill>
        </w:rPr>
        <w:t>10时00分。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联系人：黄工             联系方式：020-62315524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 w:hAnsi="仿宋" w:eastAsia="仿宋"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2020年9月14日</w:t>
      </w:r>
    </w:p>
    <w:p>
      <w:pPr>
        <w:ind w:firstLine="5600" w:firstLineChars="2000"/>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3"/>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第二部分项目内容</w:t>
      </w:r>
    </w:p>
    <w:p>
      <w:pPr>
        <w:pStyle w:val="14"/>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一、需求：</w:t>
      </w:r>
    </w:p>
    <w:p>
      <w:pPr>
        <w:pStyle w:val="4"/>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目标</w:t>
      </w:r>
    </w:p>
    <w:p>
      <w:pPr>
        <w:ind w:left="420" w:leftChars="200" w:firstLine="145" w:firstLineChars="52"/>
        <w:rPr>
          <w:rFonts w:ascii="仿宋_GB2312" w:eastAsia="仿宋_GB2312"/>
          <w:color w:val="000000" w:themeColor="text1"/>
          <w:sz w:val="28"/>
          <w:szCs w:val="28"/>
          <w14:textFill>
            <w14:solidFill>
              <w14:schemeClr w14:val="tx1"/>
            </w14:solidFill>
          </w14:textFill>
        </w:rPr>
      </w:pPr>
      <w:bookmarkStart w:id="0" w:name="OLE_LINK21"/>
      <w:bookmarkStart w:id="1" w:name="OLE_LINK6"/>
      <w:bookmarkStart w:id="2" w:name="OLE_LINK22"/>
      <w:bookmarkStart w:id="3" w:name="OLE_LINK5"/>
      <w:bookmarkStart w:id="4" w:name="OLE_LINK20"/>
      <w:r>
        <w:rPr>
          <w:rFonts w:hint="eastAsia" w:ascii="仿宋_GB2312" w:eastAsia="仿宋_GB2312"/>
          <w:color w:val="000000" w:themeColor="text1"/>
          <w:sz w:val="28"/>
          <w:szCs w:val="28"/>
          <w14:textFill>
            <w14:solidFill>
              <w14:schemeClr w14:val="tx1"/>
            </w14:solidFill>
          </w14:textFill>
        </w:rPr>
        <w:t>广州市净水有限公司无纸化会议系统建设项目</w:t>
      </w:r>
      <w:bookmarkEnd w:id="0"/>
      <w:bookmarkEnd w:id="1"/>
      <w:bookmarkEnd w:id="2"/>
      <w:bookmarkEnd w:id="3"/>
      <w:bookmarkEnd w:id="4"/>
      <w:r>
        <w:rPr>
          <w:rFonts w:hint="eastAsia" w:ascii="仿宋_GB2312" w:eastAsia="仿宋_GB2312"/>
          <w:color w:val="000000" w:themeColor="text1"/>
          <w:sz w:val="28"/>
          <w:szCs w:val="28"/>
          <w14:textFill>
            <w14:solidFill>
              <w14:schemeClr w14:val="tx1"/>
            </w14:solidFill>
          </w14:textFill>
        </w:rPr>
        <w:t>的建设目标为：</w:t>
      </w:r>
    </w:p>
    <w:p>
      <w:pPr>
        <w:ind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构建一套集会议管理、资料共享、会议统计、会议服务、会议录播等功能为一体的无纸化会议系统，与已投入使用的视频会议系统交互，组成无纸化视频会议系统，实现与集团无纸化会议系统互联互通，并维护期运行稳定。</w:t>
      </w:r>
      <w:r>
        <w:rPr>
          <w:rFonts w:hint="eastAsia" w:ascii="仿宋_GB2312" w:hAnsi="仿宋_GB2312" w:eastAsia="仿宋_GB2312" w:cs="仿宋_GB2312"/>
          <w:color w:val="000000" w:themeColor="text1"/>
          <w:sz w:val="28"/>
          <w:szCs w:val="28"/>
          <w14:textFill>
            <w14:solidFill>
              <w14:schemeClr w14:val="tx1"/>
            </w14:solidFill>
          </w14:textFill>
        </w:rPr>
        <w:t>详见--第二部分项目内容。</w:t>
      </w:r>
    </w:p>
    <w:p>
      <w:pPr>
        <w:pStyle w:val="4"/>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项目要求</w:t>
      </w:r>
    </w:p>
    <w:p>
      <w:pPr>
        <w:ind w:left="420" w:leftChars="200" w:firstLine="145" w:firstLineChars="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14:textFill>
            <w14:solidFill>
              <w14:schemeClr w14:val="tx1"/>
            </w14:solidFill>
          </w14:textFill>
        </w:rPr>
        <w:t>无纸化会议系统建设项目</w:t>
      </w:r>
      <w:r>
        <w:rPr>
          <w:rFonts w:hint="eastAsia" w:ascii="仿宋_GB2312" w:eastAsia="仿宋_GB2312"/>
          <w:color w:val="000000" w:themeColor="text1"/>
          <w:sz w:val="28"/>
          <w:szCs w:val="28"/>
          <w14:textFill>
            <w14:solidFill>
              <w14:schemeClr w14:val="tx1"/>
            </w14:solidFill>
          </w14:textFill>
        </w:rPr>
        <w:t>需满足以下基本要求：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本次项目的建设目标为：在净水公司已建成视频会议的基础上，完成无纸化会议系统建设。</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1、实现与水投集团</w:t>
      </w:r>
      <w:r>
        <w:rPr>
          <w:rFonts w:hint="eastAsia" w:ascii="仿宋_GB2312" w:hAnsi="仿宋_GB2312" w:eastAsia="仿宋_GB2312" w:cs="仿宋_GB2312"/>
          <w:sz w:val="28"/>
          <w:szCs w:val="28"/>
        </w:rPr>
        <w:t>无纸化系统</w:t>
      </w:r>
      <w:r>
        <w:rPr>
          <w:rFonts w:hint="eastAsia" w:ascii="仿宋_GB2312" w:hAnsi="仿宋_GB2312" w:eastAsia="仿宋_GB2312" w:cs="仿宋_GB2312"/>
          <w:color w:val="000000" w:themeColor="text1"/>
          <w:sz w:val="28"/>
          <w:szCs w:val="28"/>
          <w14:textFill>
            <w14:solidFill>
              <w14:schemeClr w14:val="tx1"/>
            </w14:solidFill>
          </w14:textFill>
        </w:rPr>
        <w:t>互联互通，可将与集团无纸化视频会议现场视频、音频、计算机动态屏幕等实时转播至我公司各分会场；</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2、配合原有的视频会议系统兼容性要求，共同组成无纸化视频会议系统，满足公司会议需求；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3、提供全面全流程的会议及会务管理功能，以满足于单位的日常会议管理需要，提高会议决策效率，包括会议信息发布、会议签到、会议资料管理、会议通知、投票、会议同屏阅读等功能；</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4、为会议发起和会议管理人员提供服务平台，会议管理人员只需简单操作即可快速建立会议，发布会议信息、上传会议资料；</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5、支持屏幕共享，参会人员可使用专用的会议终端实现会议现场会议资料的同屏阅读功能，即主讲人能控制所有参会人所看的会议资料进度，保持会议现场会议资料阅读的同屏同步，同时，可发起多人屏幕共享； </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6、实现会议设备统一控制功能，集中管控会议主机、会议终端、摄像头、视频播放进程等。</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7、设置权限管理，为系统管理员、秘书、普通管理员分配不同的权限，便于会议管理。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8、实现高清音视频矩阵无缝切换功能，通过分布式综合管理平台实现矩阵功能，实现做到音视频信号的实时预览和切换，可接入多路的输入端，会议资料可同时显示在大屏上，即在一个界面上展示所有资料。</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实现视频信号的拼接处理功能。支持窗口漫游、叠加、对窗口进行任意拖、拉、缩、放、支持窗口自主粘附屏边界，支持三种开窗模式，包括固化模式、自由模式、矩形模式。支持拖曳视频源到显示控制区域，可实现所有视频信号源的视窗管理、拼接、任意缩放等功能。</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10、可对任意信号源视窗进行实时回显和预览，在控制客户端前即可看到整个大屏幕墙上的显示效果。 </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、提供包括传输安全、存储安全及数据安全全方位安全措施，包括系统自动备份以及系统固件升级等。</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、预留充分的扩展功能，适应发展需要，方便扩展，可适应环境的变化和管理需求的多样化。</w:t>
      </w:r>
    </w:p>
    <w:p>
      <w:pPr>
        <w:ind w:firstLine="560" w:firstLineChars="20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13</w:t>
      </w:r>
      <w:r>
        <w:rPr>
          <w:rFonts w:hint="eastAsia" w:ascii="仿宋_GB2312" w:eastAsia="仿宋_GB2312"/>
          <w:color w:val="000000" w:themeColor="text1"/>
          <w:sz w:val="28"/>
          <w:szCs w:val="28"/>
          <w14:textFill>
            <w14:solidFill>
              <w14:schemeClr w14:val="tx1"/>
            </w14:solidFill>
          </w14:textFill>
        </w:rPr>
        <w:t>、根据需求开展不少于</w:t>
      </w:r>
      <w:r>
        <w:rPr>
          <w:rFonts w:ascii="仿宋_GB2312" w:eastAsia="仿宋_GB2312"/>
          <w:color w:val="000000" w:themeColor="text1"/>
          <w:sz w:val="28"/>
          <w:szCs w:val="28"/>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次用户培训；</w:t>
      </w:r>
    </w:p>
    <w:p>
      <w:pPr>
        <w:ind w:left="141" w:leftChars="67" w:firstLine="422" w:firstLineChars="151"/>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本项目范围包括</w:t>
      </w:r>
      <w:r>
        <w:rPr>
          <w:rFonts w:hint="eastAsia" w:eastAsia="仿宋_GB2312"/>
          <w:color w:val="000000" w:themeColor="text1"/>
          <w:sz w:val="28"/>
          <w:szCs w:val="28"/>
          <w14:textFill>
            <w14:solidFill>
              <w14:schemeClr w14:val="tx1"/>
            </w14:solidFill>
          </w14:textFill>
        </w:rPr>
        <w:t>无纸化会议设备、分布式管理设备采购</w:t>
      </w:r>
      <w:r>
        <w:rPr>
          <w:rFonts w:hint="eastAsia" w:ascii="仿宋_GB2312" w:eastAsia="仿宋_GB2312"/>
          <w:color w:val="000000" w:themeColor="text1"/>
          <w:sz w:val="28"/>
          <w:szCs w:val="28"/>
          <w14:textFill>
            <w14:solidFill>
              <w14:schemeClr w14:val="tx1"/>
            </w14:solidFill>
          </w14:textFill>
        </w:rPr>
        <w:t>和安装调试、维护服务及培训等全部工作。</w:t>
      </w:r>
    </w:p>
    <w:p>
      <w:pPr>
        <w:ind w:left="141" w:leftChars="67" w:firstLine="425" w:firstLineChars="1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报价方必须提供产品功能文件、维护计划、人员安排清单、培训计划等相关资料。如果说明文件是英文，需提供中文译本。</w:t>
      </w:r>
    </w:p>
    <w:p>
      <w:pPr>
        <w:ind w:left="141" w:leftChars="67" w:firstLine="425" w:firstLineChars="152"/>
        <w:rPr>
          <w:rFonts w:ascii="仿宋_GB2312" w:eastAsia="仿宋_GB2312"/>
          <w:sz w:val="28"/>
          <w:szCs w:val="28"/>
        </w:rPr>
      </w:pPr>
      <w:r>
        <w:rPr>
          <w:rFonts w:hint="eastAsia" w:ascii="仿宋_GB2312" w:eastAsia="仿宋_GB2312"/>
          <w:sz w:val="28"/>
          <w:szCs w:val="28"/>
        </w:rPr>
        <w:t>所用设备品牌及厂商必须经询价人认可，产品必须检验合格，供应商不为制造商的，标的主体产品须提供原厂授权文件，授权关系需完整明确。</w:t>
      </w:r>
    </w:p>
    <w:p>
      <w:pPr>
        <w:ind w:left="141" w:leftChars="67" w:firstLine="425" w:firstLineChars="152"/>
        <w:rPr>
          <w:rFonts w:ascii="仿宋_GB2312" w:eastAsia="仿宋_GB2312"/>
          <w:sz w:val="28"/>
          <w:szCs w:val="28"/>
        </w:rPr>
      </w:pPr>
      <w:r>
        <w:rPr>
          <w:rFonts w:hint="eastAsia" w:ascii="仿宋_GB2312" w:eastAsia="仿宋_GB2312"/>
          <w:sz w:val="28"/>
          <w:szCs w:val="28"/>
        </w:rPr>
        <w:t>无纸化会议系统主要产品技术要求如下：</w:t>
      </w:r>
    </w:p>
    <w:tbl>
      <w:tblPr>
        <w:tblStyle w:val="26"/>
        <w:tblW w:w="836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7" w:type="dxa"/>
            <w:tcBorders>
              <w:tl2br w:val="nil"/>
              <w:tr2bl w:val="nil"/>
            </w:tcBorders>
            <w:shd w:val="clear" w:color="auto" w:fill="auto"/>
          </w:tcPr>
          <w:p>
            <w:pPr>
              <w:pStyle w:val="25"/>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产品名称</w:t>
            </w:r>
          </w:p>
        </w:tc>
        <w:tc>
          <w:tcPr>
            <w:tcW w:w="7018" w:type="dxa"/>
            <w:tcBorders>
              <w:tl2br w:val="nil"/>
              <w:tr2bl w:val="nil"/>
            </w:tcBorders>
            <w:shd w:val="clear" w:color="auto" w:fill="auto"/>
          </w:tcPr>
          <w:p>
            <w:pPr>
              <w:pStyle w:val="25"/>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无纸化会议主机</w:t>
            </w:r>
          </w:p>
        </w:tc>
        <w:tc>
          <w:tcPr>
            <w:tcW w:w="7018" w:type="dxa"/>
            <w:tcBorders>
              <w:tl2br w:val="nil"/>
              <w:tr2bl w:val="nil"/>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1、19英寸标准工业无纸会议交互控制处理器，可上标准机架。</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CPU 英特尔 I5,16G内存，1T硬盘，4U机箱。</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板载2个PCI-E GbE（LAN Link/Active LED）PCI-E硬千兆网卡。</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具备支持DTQ系统上电自启动功能。</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内置WINDOWS SERVER 2008操作系统，自动启动维护PHP数据库，自动监测客户终端连接状态，安全涉密性强。</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投影大屏同步自动运行程序，支持外接中控系统管理。系统来电自启功能。</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支持特殊130V低电压启动并稳定运行。</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静电防护：硬件电路设计防护2000V以上雷击和静电冲击。</w:t>
            </w:r>
          </w:p>
          <w:p>
            <w:pPr>
              <w:widowControl/>
              <w:numPr>
                <w:ilvl w:val="0"/>
                <w:numId w:val="3"/>
              </w:num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台处理器最多支持128客户端软件同时在线运行，支持有线\无线传输。支持远程/局域网内http浏览器访问，会议管理员账号管理，会议秘书设置，新建会议，启动备选会议。增加删除编辑会议信息、议题，更换当前会议。上传下载会议文稿。实时更新会议通知。增加删除编辑会议投票。编辑参会人员，参会人员排座。会议归档普通会议，保密会议信息自动清空。使用自主研发的触屏轨迹跟踪和触屏轨迹仿真技术处理客户端文件同步管理。</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10、支持与办公OA系统对接，支持多会议。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无纸化会议服务端管理软件</w:t>
            </w:r>
          </w:p>
        </w:tc>
        <w:tc>
          <w:tcPr>
            <w:tcW w:w="7018" w:type="dxa"/>
            <w:tcBorders>
              <w:tl2br w:val="nil"/>
              <w:tr2bl w:val="nil"/>
            </w:tcBorders>
            <w:shd w:val="clear" w:color="auto" w:fill="auto"/>
          </w:tcPr>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首页编辑：编辑后台欢迎界面。</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座位设置：设置设备、座位号、手动拖拉排序。</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角色设置：创建会议管理员、会议秘书、与会者，创建自定义用户组，人事管理。</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考勤设置：实时查看、下载全体参会者签到表。</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会议设置：创建会议入会议相关信息。</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文件管理：文件上传自动转换，批量上传会议文件、设置阅读权限。</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投票表决管理：新建投票项目，设置实名、不记名投票，单选或多选，计分统计。</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会议类型：设置是否保密会议，正常会议自动归档，保密会议自动清空。</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管理页面：管理员设置管理页面功能权限。</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会议签出：会议秘书控制所有参会人员强制签出。</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资料下载：下载会议材料、批注材料。</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会议检索：按会议时间日期、会议名称搜索历史会议。</w:t>
            </w:r>
          </w:p>
          <w:p>
            <w:pPr>
              <w:widowControl/>
              <w:numPr>
                <w:ilvl w:val="0"/>
                <w:numId w:val="4"/>
              </w:numPr>
              <w:jc w:val="left"/>
              <w:rPr>
                <w:rFonts w:cs="Arial" w:asciiTheme="minorEastAsia" w:hAnsiTheme="minorEastAsia" w:eastAsiaTheme="minorEastAsia"/>
                <w:szCs w:val="21"/>
              </w:rPr>
            </w:pPr>
            <w:r>
              <w:rPr>
                <w:rFonts w:hint="eastAsia" w:cs="Arial" w:asciiTheme="minorEastAsia" w:hAnsiTheme="minorEastAsia" w:eastAsiaTheme="minorEastAsia"/>
                <w:szCs w:val="21"/>
              </w:rPr>
              <w:t>管理后台：预设多会议，即时开始、暂停、结束会议。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大屏同步终端</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▲1、客户端发起同步演示操作，同步至外接大屏或者投影设备，流量上下行小于1K/秒传输速率。</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2、主机配置 Android 5.0 ,双核，4G内存，8G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7" w:type="dxa"/>
            <w:tcBorders>
              <w:tl2br w:val="nil"/>
              <w:tr2bl w:val="nil"/>
            </w:tcBorders>
            <w:shd w:val="clear" w:color="auto" w:fill="auto"/>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无纸化会议系统客户端软件</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1.▲无纸化会议管理软件软件支持人面自动识别功能，自动签到功能（硬件需要带支持摄像头功能）。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支持word，PPT，PDF，Excle,txt，png,jpg文件上传并自动分发，所有文档自动转换成.dtq加密格式的文档，不需要安装任何第三方办公软件，支持文档单独阅读权限控制，支持文档批注，批注内容客户端中单独保存，支持多人对文件同时批注。</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3.▲支持预览文档，预览分组翻页，迅速跳页。书签功能，页面注释功能。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4.▲文件阅读自动识别“已读文件”，翻页时按照之前文档操作比例自动记忆大小。</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5.▲批注支持个人账户独立上传，下载，批注的文件自动保存生成，无需点击保存。</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6.★阅读或批注过程中，可支持向秘书申请同屏，基于Conference interaction system技术，采用触屏跟踪轨迹技术和触屏轨迹仿真技术实现同屏演示，同屏操作时每台客户端上下行总流量必须低于1K/秒；同屏时，操作静止时低于1K/秒，确保同步稳定。</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7.▲投票表决可以自定义模板，秘书端和后台可以控制投票流程，开始投票、提醒投票、结束投票、统计发布结果，支持导出图表或表单结果。</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8.历史会议安卓手机端APP，支持客户查看历史所有或者定期的历史会议文件记录，查看或下载。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9.支持会议信息更改、文件上传删除、会议通知发布实时更新。</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会议秘书功能：支持同步授权“允许/拒绝”和“辅助与会者推送同步”；强制同步、投票流程管理（开始、暂停、结束，发布结果），强制与会者签出，处理呼叫服务，视频同步控制。支持安卓手机端接收呼叫服务处理。</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11.客户端能自动提醒安装最新更新软件程序，方便软件维护升级。</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12.★文件加密：所有上传服务器的文档转换成自定义保密的.dtq格式。</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13.呼叫服务：呼叫服务人员、茶水、纸笔，自定义内容。独立运行的呼叫服务接收手机APP客户端（安卓手机端）。</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14.Android会议手机端软件：支持帐户登陆，查看登陆帐户相关的所有会议信息、会议议题、参会人员、会议文件。支持查看单位资料库。（选配功能）。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 微信小程序：支持帐户登陆，查看登陆帐户相关的所有会议信息、会议议题、参会人员、会议文件。（选配功能）。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16.信息发布软件：支持近期会议信息发布至电子水牌。支持当前会议议题发布到电子水牌。（选配功能）。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 Android离线会议平板端软件：支持把会议内容离线至平板，在没有连接到服务器情况下能查看会议信息、文稿。支持按日期、关键字搜索。（选配功能）。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 ★所供产品厂家获得国家高新技术企业证书，以及高新技术产品登记证书；“无纸化会议应用软件（客户端管理软件、服务端管理软件）的研发与销售”具有质量管理体系ISO9001，环境管理体系ISO14001,职业健康安全管理体系证书OHSAS18001:2007；无纸化会议客户端管理软件以及无纸化服务端管理软件具有软件测试报告（第三方认证机构）；所供产品具备以下国家版权局计算机软件著作权登记证书：《品牌+软件版本》的复印件，提供产品厂家盖章（包括无纸化会议管理软件、无纸化会议服务端管理软件、无纸化会议客户端管理软件、无纸化会议苹果系统管理软件、无纸化历史会议客户端管理软件、无纸化会议公检法管理软件、无纸化会议预定软件、无纸化会议微信小程序系统软件、无纸化会议安卓手机客户端管理软件），提供复印件盖厂家公章。</w:t>
            </w:r>
          </w:p>
          <w:p>
            <w:pPr>
              <w:widowControl/>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7" w:type="dxa"/>
            <w:tcBorders>
              <w:tl2br w:val="nil"/>
              <w:tr2bl w:val="nil"/>
            </w:tcBorders>
            <w:shd w:val="clear" w:color="auto" w:fill="auto"/>
            <w:vAlign w:val="center"/>
          </w:tcPr>
          <w:p>
            <w:pPr>
              <w:jc w:val="center"/>
              <w:rPr>
                <w:rFonts w:asciiTheme="minorEastAsia" w:hAnsiTheme="minorEastAsia" w:eastAsiaTheme="minorEastAsia"/>
                <w:color w:val="FF0000"/>
                <w:szCs w:val="21"/>
              </w:rPr>
            </w:pPr>
            <w:r>
              <w:rPr>
                <w:rFonts w:hint="eastAsia" w:cs="宋体" w:asciiTheme="minorEastAsia" w:hAnsiTheme="minorEastAsia" w:eastAsiaTheme="minorEastAsia"/>
                <w:color w:val="FF0000"/>
                <w:kern w:val="0"/>
                <w:szCs w:val="21"/>
              </w:rPr>
              <w:t>平板电脑</w:t>
            </w:r>
          </w:p>
        </w:tc>
        <w:tc>
          <w:tcPr>
            <w:tcW w:w="7018" w:type="dxa"/>
            <w:tcBorders>
              <w:tl2br w:val="nil"/>
              <w:tr2bl w:val="nil"/>
            </w:tcBorders>
            <w:shd w:val="clear" w:color="auto" w:fill="auto"/>
          </w:tcPr>
          <w:p>
            <w:pPr>
              <w:widowControl/>
              <w:jc w:val="left"/>
              <w:rPr>
                <w:rFonts w:asciiTheme="minorEastAsia" w:hAnsiTheme="minorEastAsia" w:eastAsiaTheme="minorEastAsia"/>
                <w:color w:val="FF0000"/>
              </w:rPr>
            </w:pPr>
            <w:r>
              <w:rPr>
                <w:rFonts w:hint="eastAsia" w:cs="宋体" w:asciiTheme="minorEastAsia" w:hAnsiTheme="minorEastAsia" w:eastAsiaTheme="minorEastAsia"/>
                <w:color w:val="FF0000"/>
                <w:kern w:val="0"/>
                <w:szCs w:val="21"/>
              </w:rPr>
              <w:t>国产芯片，10.8英寸及以上尺寸屏幕，8G内存，256G硬盘，支持WIFI，待机10h以上，8核处理器，须为二合一平板电脑。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kern w:val="0"/>
                <w:szCs w:val="21"/>
              </w:rPr>
              <w:t>平板专用笔套装</w:t>
            </w:r>
          </w:p>
        </w:tc>
        <w:tc>
          <w:tcPr>
            <w:tcW w:w="7018" w:type="dxa"/>
            <w:tcBorders>
              <w:tl2br w:val="nil"/>
              <w:tr2bl w:val="nil"/>
            </w:tcBorders>
            <w:shd w:val="clear" w:color="auto" w:fill="auto"/>
          </w:tcPr>
          <w:p>
            <w:pPr>
              <w:widowControl/>
              <w:jc w:val="left"/>
              <w:rPr>
                <w:rFonts w:asciiTheme="minorEastAsia" w:hAnsiTheme="minorEastAsia" w:eastAsiaTheme="minorEastAsia"/>
              </w:rPr>
            </w:pPr>
            <w:r>
              <w:rPr>
                <w:rFonts w:hint="eastAsia" w:cs="宋体" w:asciiTheme="minorEastAsia" w:hAnsiTheme="minorEastAsia" w:eastAsiaTheme="minorEastAsia"/>
                <w:kern w:val="0"/>
                <w:szCs w:val="21"/>
              </w:rPr>
              <w:t>蓝牙笔及键盘套装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无线控制器</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接口：WAN 1*GE + LAN 4*GE(PoE+)+1*USB</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电源：90W电源适配器，220V交流输入，52.5V直流输入</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工作/存储环境温度：0℃-45℃/-40℃-70℃</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储存环境湿度：5%-95%</w:t>
            </w:r>
          </w:p>
          <w:p>
            <w:pPr>
              <w:widowControl/>
              <w:jc w:val="left"/>
              <w:rPr>
                <w:rFonts w:asciiTheme="minorEastAsia" w:hAnsiTheme="minorEastAsia" w:eastAsiaTheme="minorEastAsia"/>
              </w:rPr>
            </w:pPr>
            <w:r>
              <w:rPr>
                <w:rFonts w:hint="eastAsia" w:cs="宋体" w:asciiTheme="minorEastAsia" w:hAnsiTheme="minorEastAsia" w:eastAsiaTheme="minorEastAsia"/>
                <w:kern w:val="0"/>
                <w:szCs w:val="21"/>
              </w:rPr>
              <w:t>MTBF：≥154年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1347" w:type="dxa"/>
            <w:tcBorders>
              <w:tl2br w:val="nil"/>
              <w:tr2bl w:val="nil"/>
            </w:tcBorders>
            <w:shd w:val="clear" w:color="auto" w:fill="auto"/>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企业无线路由器</w:t>
            </w:r>
          </w:p>
        </w:tc>
        <w:tc>
          <w:tcPr>
            <w:tcW w:w="7018" w:type="dxa"/>
            <w:tcBorders>
              <w:tl2br w:val="nil"/>
              <w:tr2bl w:val="nil"/>
            </w:tcBorders>
            <w:shd w:val="clear" w:color="auto" w:fill="auto"/>
          </w:tcPr>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支持64/128位WEP、动态WEP、TKIP、CCMP(11n推荐)加密；支持多种密钥更新触发条件动态更新单播/广播密钥</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支持802.11i</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支持无线用户二层隔离；支持基于SSID的无线用户隔离</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支持报文过滤、MAC地址过滤、广播风暴抑制等</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支持无线端点准入/无线EAD</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支持SSID与VLAN绑定</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支持智能无线业务感知(wIAA)</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支持wIDS/wIPS</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支持管理帧保护(802.11w)</w:t>
            </w:r>
          </w:p>
          <w:p>
            <w:pPr>
              <w:widowControl/>
              <w:jc w:val="left"/>
              <w:rPr>
                <w:rFonts w:cs="Arial" w:asciiTheme="minorEastAsia" w:hAnsiTheme="minorEastAsia" w:eastAsiaTheme="minorEastAsia"/>
                <w:szCs w:val="21"/>
              </w:rPr>
            </w:pPr>
            <w:r>
              <w:rPr>
                <w:rFonts w:hint="eastAsia" w:cs="Arial" w:asciiTheme="minorEastAsia" w:hAnsiTheme="minorEastAsia" w:eastAsiaTheme="minorEastAsia"/>
                <w:szCs w:val="21"/>
              </w:rPr>
              <w:t>支持实时频谱防护(RTSG)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分布式综合管理平台</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1.服务器采用机架式设计，运行嵌入式Linux系统，内嵌服务器软件及web管理系统，采用B/S架构，通过浏览器即可便捷的可视化管理整个分布式系统。</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2.系统采用第三代拼接处理器设计，基于分布式架构，可高效地对拼接系统进行管理、控制、数据交互等。</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3.服务器CPU配置不低于双核/四线程/3.7GHz主频，内存配置不低于4GB DDR3 1600，存储空间不低于2TB，具备6个硬盘位可扩容空间。</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4.支持双机服务器热备份，当主服务器宕机后，马上切换至备用服务器进行工作，完成主备切换后，备用服务器代替主服务器进行工作。</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5.支持1路VGA和1路DVI视频接口输出，具备2个RJ45网口。</w:t>
            </w:r>
          </w:p>
          <w:p>
            <w:pPr>
              <w:widowControl/>
              <w:jc w:val="left"/>
              <w:rPr>
                <w:rFonts w:cs="Arial" w:asciiTheme="minorEastAsia" w:hAnsiTheme="minorEastAsia" w:eastAsiaTheme="minorEastAsia"/>
              </w:rPr>
            </w:pPr>
            <w:r>
              <w:rPr>
                <w:rFonts w:hint="eastAsia" w:cs="宋体" w:asciiTheme="minorEastAsia" w:hAnsiTheme="minorEastAsia" w:eastAsiaTheme="minorEastAsia"/>
                <w:kern w:val="0"/>
                <w:szCs w:val="21"/>
              </w:rPr>
              <w:t>6.支持硬件监测：故障/错误/过载和报警(包括磁盘/ RAID /电力/风机/温度/ IO性能)。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分布式综合管理平台嵌入软件</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分布式综合管理平台软件运行于嵌入式Linux系统，稳定可靠，对分布式综合管理平台系统设备进行管理、控制、数据交互等。为了更灵活扩展及控制，要求系统采用分布式架构，可从通过采集盒（输入盒）对信号进行物理安全隔离，即可以实现对信号源的控制或者后端被动的接收；系统具有良好的扩容升级性能，只需按需增加系统的输入节点（采集盒）/输出节点（解码盒）。</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3.支持远程控制升级输入盒/输出盒应用程序，支持远程批量升级功能。支持自动侦测盒子上下线状态、IP地址、盒子名称等。支持对拼接单元的绑定和接触，IP显示等功能。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支持后台web界面、移动端操作界面自定义设置，支持多级管理模式；支持不同用户登陆管理，支持权限分配：实现不同用户呈现不同的控制界面、不同用户可管理操作不同的输入盒/输出盒。支持记住密码和自动登陆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★5.支持对信号分类及排序功能，可快速选择信号源进行切换，在移动端或客户端软件实现对信号源可视化实时预览，让使用更直观，更简易。（提供功能界面截图佐证）</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支持自由操控，支持拖曳视频源到显示控制区域，可实现所有视频信号源的视窗管理、拼接、任意缩放、画中画、画面漫游等功能，可实现对视窗参数的调整（叠加关系、位置、大小、比例等），方便的拖放操作，极易上手。</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7.支持高清1080P画面输出显示；支持画面分割、任意开窗，单屏输出支持≥16个信号；支持画面叠加，支持叠加16层，适用于各种数据显示环境。</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支持自定义编辑和预存不同的场景，支持显示预案设置、存储、调用；支持音频、视频、控制信号场景一键式快速调用，可定义不同场景切换效果及场景名称，支持自定义编辑会议模式、调用预存的会议模式。场景切换响应时间短，超低延时，画面极致流畅，窗口操作即时响应，手指离开操作平台立马会显示在大屏上。支持场景轮询，并且轮询时间可调；支持场景锁屏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支持系统场景一键恢复功能，可在断电重启后完全恢复系统中的任意控制状态到断电以前状态，包括音量大小、灯光的状态等，而无需逐一设置。支持实现输入盒（采集盒）、输出盒（拼接盒）自动备份配置，断电重启后可自动恢复配置，无需担心数据损失。</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10.支持三种开窗模式，包括固化模式、自由模式、矩形模式。</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支持中控功能，支持自定义添加受控设备，可实现可编辑中控，支持RS-232、RS-422、RS-485、IR、I/O、TCP/IP等控制方式；支持多种控件选择，可随意配置中控界面。可控制高清矩阵信号切换、电源设备开关、摄像头的转动方向放大缩小及预置位调用、音频音量、灯光/空调开关等中控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12.支持分布式中控系统交互式控制架构，实现远程管理会议室的环境设备、集中管理、场景调用，实现多个会议室音视频控制的互联互通互动。</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支持KVM坐席管理功能，通过指令调出信号管理界面进行KVM坐席信号切换，一套键盘鼠标对多显示器实现操作，简洁桌面环境。KVM坐席管理可实现信息实时抓取，坐席人员可以通过一套键盘的快捷键、OSD菜单方式将任意显示器或大屏信息抓取至本地显示器，也可以将本地显示器的信息通过图形化方式（非文本）推送至任意显示器或大屏。支持KVM坐席多屏间鼠标漫游功能，支持KVM坐席单屏多画面鼠标漫游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支持在平板操作端实现对PC电脑、计算机服务器等信号源进行模拟鼠标单击/双击等远程操作；支持通过平板操控端可以控制动态视频信号的播放和停止，可以实现对PC电脑（服务器）播放的PPT的翻页（上一页、下一页）操作。</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15.支持通过系统后台对输入盒、输出盒进行远程固件升级，无需到盒子本地升级，减轻维护人员工作强度。</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16.在不增加外部设备的情况下，支持实现字幕在全屏任意位置任意增加、删除、修改，支持自定义设置字体、字号、颜色等，支持滚动字幕。</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17.在不增加外部设备的情况下，支持在输入源上增加文字或者图片作为输入源的标识，标识的字体、字体大小、颜色、背景颜色可自定义设置，标识整体的大小可根据实际情况调整。</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18.支持自定义显示屏镜像功能，可实现副屏画面跟随主屏画面功能，适用于监视、主副屏同步等应用场景。</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系统支持ONVIF、RTSP、SIP、GB/T28181协议，可接入海康、大华、华为、科达、宇视等各品牌摄像头。对支持ONVIF协议的IP摄像机可进行自动搜索，并且IP摄像机画面可接入分布式综合管理系统，搭配视频分发系统支持接入1000个IP摄像机信号；支持通过录播服务器对IP摄像机摄像内容存储录制，可通过后台进行预览、下载、视频回放等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20.支持输入盒音视频同步/异步选择、输出盒音视频同步/异步选择，可自定义设置音频绑定显示屏或跟随视频信号同步切换。</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21.支持系统服务器双机热备功能，当主服务器出现断网/断电等异常情况不能工作时，系统会自动实现无缝切换音频、视频、KVM功能业务到备服务器上进行。</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22.支持系统数据备份恢复，备份的数据包括系统的配置、当前拼接模式、拼接场景等所有配置信息；支持可以手动下载到本地，当进行数据恢复时，只需要上传导入需要恢复的数据即可。</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23.系统扩展支持与数字会议系统、摄像机等设备联动，可实现按下话筒发言按键时，联动摄像机自动跟踪、联动系统开窗显示画面。</w:t>
            </w:r>
          </w:p>
          <w:p>
            <w:pPr>
              <w:widowControl/>
              <w:jc w:val="left"/>
              <w:rPr>
                <w:rFonts w:asciiTheme="minorEastAsia" w:hAnsiTheme="minorEastAsia" w:eastAsiaTheme="minorEastAsia"/>
              </w:rPr>
            </w:pPr>
            <w:r>
              <w:rPr>
                <w:rFonts w:hint="eastAsia" w:cs="宋体" w:asciiTheme="minorEastAsia" w:hAnsiTheme="minorEastAsia" w:eastAsiaTheme="minorEastAsia"/>
                <w:kern w:val="0"/>
                <w:szCs w:val="21"/>
              </w:rPr>
              <w:t>24.支持系统状态数据以图表形式展示，支持以图表形式实时统计和展示输入盒/输出盒在线数和离线数、摄像头在线数和离线数、中控设备在线数和离线数、会议室数量、拼墙数量、场景数量、用户数量、服务器的CPU使用率和内存使用率、硬盘使用率，对服务器的资源数据一目了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分布式拼接显示系统管理软件</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1.软件支持运行在IOS 9.0或以上版本的iPad，支持对信号分类及排序功能，可快速选择信号源进行切换，在移动端软件实现对信号源可视化实时预览，让使用更直观，更简易。支持不少于20路实时动态图像预览，回显效果支持1080P效果。</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支持自由操控，支持拖曳视频源到显示控制区域，可实现所有视频信号源的视窗管理、拼接、任意缩放、画中画、画面漫游等功能，可实现对视窗参数的调整（叠加关系、位置、大小、比例等），方便的拖放操作，极易上手。</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支持使用ipad平板软件对分布式系统进行可视化管理、信号切换、画面叠加、画中画、画面拼接、画面漫游、画面放大/缩小、画面移动/关闭等操作，支持对显示控制区域实时监控；支持多用户多平台同步操作，支持不同平台操作界面实时同步。</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支持中控功能，支持自定义添加受控设备，可实现可编辑中控，支持RS-232.RS-422.RS-485.IR、I/O、TCP/IP等控制方式；支持多种控件选择，可随意配置中控界面。可控制高清矩阵信号切换、电源设备开关、摄像头的转动方向放大缩小及预置位调用、音频音量、灯光/空调开关等中控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5.支持KVM操作功能，可以控制动态视频信号的播放和停止，可以实现对PC电脑播放的PPT的翻页（上一页、下一页）操作。</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支持记住密码和自动登陆功能。支持软件界面自定义，支持多级管理模式。支持不同用户登陆管理，支持权限分配，实现不同用户呈现不同的控制界面。支持采用无线拖拽的方式将视频信号源推送到各个显示终端上。</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7.支持互动呈现功能，在PC端管理操作系统时，ipad会实时更新信息及画面显示，达到同步更新效果，并且实时在显示屏上显示，实现屏下与屏上的协同互动。</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支持自定义编辑和预存不同的场景，支持显示预案设置、存储、调用；支持音频、视频、控制信号场景一键式快速调用，可定义不同场景切换效果及场景名称，支持自定义编辑会议模式、调用预存的会议模式。场景切换响应时间短，超低延时，画面极致流畅，窗口操作即时响应，手指离开操作平台立马会显示在大屏上。支持场景轮询，轮询时间可调。</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9.支持操作界面更换皮肤功能，支持3种不同皮肤，可根据喜好自由更换皮肤主题。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szCs w:val="21"/>
              </w:rPr>
            </w:pPr>
          </w:p>
          <w:p>
            <w:pPr>
              <w:jc w:val="center"/>
              <w:rPr>
                <w:rFonts w:cs="Arial" w:asciiTheme="minorEastAsia" w:hAnsiTheme="minorEastAsia" w:eastAsiaTheme="minorEastAsia"/>
                <w:szCs w:val="21"/>
              </w:rPr>
            </w:pPr>
          </w:p>
          <w:p>
            <w:pPr>
              <w:jc w:val="center"/>
              <w:rPr>
                <w:rFonts w:cs="Arial" w:asciiTheme="minorEastAsia" w:hAnsiTheme="minorEastAsia" w:eastAsiaTheme="minorEastAsia"/>
                <w:szCs w:val="21"/>
              </w:rPr>
            </w:pPr>
          </w:p>
          <w:p>
            <w:pPr>
              <w:jc w:val="center"/>
              <w:rPr>
                <w:rFonts w:cs="Arial" w:asciiTheme="minorEastAsia" w:hAnsiTheme="minorEastAsia" w:eastAsiaTheme="minorEastAsia"/>
                <w:szCs w:val="21"/>
              </w:rPr>
            </w:pPr>
          </w:p>
          <w:p>
            <w:pPr>
              <w:jc w:val="center"/>
              <w:rPr>
                <w:rFonts w:cs="Arial" w:asciiTheme="minorEastAsia" w:hAnsiTheme="minorEastAsia" w:eastAsiaTheme="minorEastAsia"/>
                <w:szCs w:val="21"/>
              </w:rPr>
            </w:pPr>
          </w:p>
          <w:p>
            <w:pPr>
              <w:rPr>
                <w:rFonts w:cs="Arial" w:asciiTheme="minorEastAsia" w:hAnsiTheme="minorEastAsia" w:eastAsiaTheme="minorEastAsia"/>
                <w:szCs w:val="21"/>
              </w:rPr>
            </w:pPr>
            <w:r>
              <w:rPr>
                <w:rFonts w:hint="eastAsia" w:cs="Arial" w:asciiTheme="minorEastAsia" w:hAnsiTheme="minorEastAsia" w:eastAsiaTheme="minorEastAsia"/>
                <w:szCs w:val="21"/>
              </w:rPr>
              <w:t>分布式采集盒</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1.视频编码处理器，要求支持高性能的H.264.H.265视频编码，能够实现不同分辨率视频的自适应采集及视频编码，分辨率≥1080P。</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▲2.支持≥1路HDMI视频输入接口、≥1路HDMI视频环出接口、≥1路3.5mm音频输入接口、≥1路RJ45网口。（提供设备接口图佐证）</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3.支持采用POE供电，也支持通过电源适配器进行供电，采用低功耗设计，功耗＜8W。</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★4.自带一键复位动态IP功能，支持远程固件升级。（提供产品一键复位图佐证）</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5.支持1路USB接口，支持KVM功能，支持控制电脑、大屏的视频窗口切换等功能；支持鼠标漫游跨屏功能。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▲6.支持中控功能，具有≥1×RS-485接口、≥1×RS-232接口、≥2×I/O口、≥1×IR IN、≥1×IR OUT；支持自定义配置。（提供设备接口图佐证）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47" w:type="dxa"/>
            <w:tcBorders>
              <w:tl2br w:val="nil"/>
              <w:tr2bl w:val="nil"/>
            </w:tcBorders>
            <w:shd w:val="clear" w:color="auto" w:fill="auto"/>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分布式输出盒</w:t>
            </w:r>
          </w:p>
        </w:tc>
        <w:tc>
          <w:tcPr>
            <w:tcW w:w="7018" w:type="dxa"/>
            <w:tcBorders>
              <w:tl2br w:val="nil"/>
              <w:tr2bl w:val="nil"/>
            </w:tcBorders>
            <w:shd w:val="clear" w:color="auto" w:fill="auto"/>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1.分辨率：1080P30帧、1080P60帧，编解码能力：支持H.264/H.265视频编码、AAC-LC音频编码。</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2.采用超低低功耗设计，POE供电最大仅7W；良好散热静音无风扇设计，运行时不会发出任何噪音。</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3.采用高性能H.265视频解码技术，兼容H.264视频解码，支持高清视频信号1080P60帧输出。</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4.支持对解码后的视频进行缩放、切割、拼接、叠加、同步及显示等处理。支持1×1、2×2、3×3等布局方式，支持手动自定义输入行、列数。</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5.支持画面分割功能，单屏输出视频窗口可达16路，视频效果可达1080P30帧。</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6.支持AAC-LC音频编解码。</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7.支持断电重启后可自动恢复配置，无需担心数据损失。</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8.支持通过系统后台管理对输入盒进行远程固件升级，无需到盒子本地升级，减轻维护人员工作强度。</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9.盒子自带一键复位动态IP功能。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10.支持1路HDMI视频接口和1路VGA视频接口输出，具备3.5mm音频输出接口，支持HDMI音频输出，支持音视频同步传输。</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11.支持KVM坐席管理功能，通过指令调出信号管理界面进行KVM坐席信号切换，一套键盘鼠标对多显示器实现操作，简洁桌面环境。支持KVM坐席多屏间鼠标漫游功能，支持KVM坐席单屏多画面鼠标漫游功能。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12.支持KVM功能，支持控制电脑、大屏的视频窗口切换等功能；支持鼠标漫游跨屏功能；可实现跨平台操作，包括Windows、linux、Mac等系统平台。</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13.KVM坐席管理可实现信息实时抓取，支持通过一套键盘的热键，坐席人员可以将任意显示器或大屏信息抓取至本地显示器，也可以将本地显示器的信息推送至任意显示器或大屏。</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14.支持字幕功能，可改变字体颜色、字体大小、位置等，并显示在视频层上面；支持图标功能。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15.具备中控功能，支持RS-232、RS-485、I/O口、红外信号的输入和输出信号，可自定义配置。</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16.支持开机画面出厂设置，支持显示本机IP功能。</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▲17.视频接口：1×HDMI、1×VGA，音频接口：1×3.5mm立体声音频输出，USB接口：2×USB（KVM接口），网口：1×RJ45，10/100/1000Base-T，支持POE，串口：1×RS-485、1×RS-232，红外：1×IR IN、1×IR OUT，I/O口：2×I/O口（提供设备接口图佐证）。</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18.指示灯：运行指示灯、红外信号输入、红外信号输出指示灯、电源指示灯。</w:t>
            </w:r>
          </w:p>
          <w:p>
            <w:pPr>
              <w:widowControl/>
              <w:jc w:val="left"/>
              <w:rPr>
                <w:rFonts w:cs="Arial" w:asciiTheme="minorEastAsia" w:hAnsiTheme="minorEastAsia" w:eastAsiaTheme="minorEastAsia"/>
              </w:rPr>
            </w:pPr>
            <w:r>
              <w:rPr>
                <w:rFonts w:hint="eastAsia" w:cs="宋体" w:asciiTheme="minorEastAsia" w:hAnsiTheme="minorEastAsia" w:eastAsiaTheme="minorEastAsia"/>
                <w:kern w:val="0"/>
                <w:szCs w:val="21"/>
              </w:rPr>
              <w:t>19.供电方式：DC 12V/POE。</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二、建设要求</w:t>
      </w:r>
    </w:p>
    <w:p>
      <w:pPr>
        <w:ind w:left="420" w:leftChars="200" w:firstLine="145" w:firstLineChars="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该项目必须提供的具体</w:t>
      </w:r>
      <w:r>
        <w:rPr>
          <w:rFonts w:ascii="仿宋_GB2312" w:eastAsia="仿宋_GB2312"/>
          <w:color w:val="000000" w:themeColor="text1"/>
          <w:sz w:val="28"/>
          <w:szCs w:val="28"/>
          <w14:textFill>
            <w14:solidFill>
              <w14:schemeClr w14:val="tx1"/>
            </w14:solidFill>
          </w14:textFill>
        </w:rPr>
        <w:t>服务内容如下：</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采购并接入无纸化管理服务器、无纸化智能流媒体服务器、平板电脑、分布式综合管理平台、输入/输出盒等无纸化会议设备及软件，组成一套完整的智能交互式无纸化会议系统，并保障该系统运行稳定。</w:t>
      </w:r>
    </w:p>
    <w:p>
      <w:pPr>
        <w:pStyle w:val="25"/>
        <w:adjustRightInd w:val="0"/>
        <w:snapToGrid w:val="0"/>
        <w:spacing w:before="312" w:beforeLines="100" w:after="0" w:line="360" w:lineRule="auto"/>
        <w:ind w:firstLine="562" w:firstLineChars="200"/>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1</w:t>
      </w:r>
      <w:r>
        <w:rPr>
          <w:rFonts w:hint="eastAsia" w:ascii="仿宋_GB2312" w:eastAsia="仿宋_GB2312"/>
          <w:b/>
          <w:color w:val="000000" w:themeColor="text1"/>
          <w:sz w:val="28"/>
          <w:szCs w:val="28"/>
          <w14:textFill>
            <w14:solidFill>
              <w14:schemeClr w14:val="tx1"/>
            </w14:solidFill>
          </w14:textFill>
        </w:rPr>
        <w:t>.无纸化会议设备采购</w:t>
      </w:r>
    </w:p>
    <w:p>
      <w:pPr>
        <w:pStyle w:val="25"/>
        <w:adjustRightInd w:val="0"/>
        <w:snapToGrid w:val="0"/>
        <w:ind w:left="210" w:leftChars="100" w:firstLine="28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无纸化管理服务器</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无纸化管理服务器（内嵌会议管理服务器软件）一台，作为系统的管理和控制中心，可通过网络与无纸化控制主机连接，组成一套完整的智能交互式无纸化会议系统，具有终端管理、权限管理、投票、签到、会议信息实时记录等功能。</w:t>
      </w:r>
    </w:p>
    <w:p>
      <w:pPr>
        <w:pStyle w:val="13"/>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（2）无纸化智能流媒体服务器</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无纸化智能流媒体服务器(含流媒体服务器软件)一台，用于无纸化会议系统外部高清视频信号输入和视频信号输出的同步、异步处理转换处理，实现无纸化会议设备与分布式综合管理平台音视频的对接。可支持大屏锁屏、大屏同屏广播、信号广播、与会场同步信号跟踪、投票结果投屏、会议信息广播投屏等功能。</w:t>
      </w:r>
    </w:p>
    <w:p>
      <w:pPr>
        <w:pStyle w:val="13"/>
        <w:spacing w:line="360" w:lineRule="auto"/>
        <w:ind w:firstLine="280" w:firstLineChars="1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w:t>
      </w:r>
      <w:r>
        <w:rPr>
          <w:rFonts w:hint="eastAsia" w:hAnsi="仿宋_GB2312" w:cs="仿宋_GB2312"/>
          <w:color w:val="000000" w:themeColor="text1"/>
          <w:sz w:val="28"/>
          <w:szCs w:val="28"/>
          <w14:textFill>
            <w14:solidFill>
              <w14:schemeClr w14:val="tx1"/>
            </w14:solidFill>
          </w14:textFill>
        </w:rPr>
        <w:t>会议终端配置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平板电脑20台，作为会议终端，配合购置安装智能无纸化会议系统视频服务软件（20套），可在平板终端上实现会议管理、文件分发、文件阅览、文件批阅、智能签到、投票表决、屏幕共享、会议交流、权限设置、笔记记录、切换会议议程、呼叫服务等功能。</w:t>
      </w:r>
    </w:p>
    <w:p>
      <w:pPr>
        <w:pStyle w:val="13"/>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w:t>
      </w:r>
      <w:r>
        <w:rPr>
          <w:rFonts w:hint="eastAsia" w:hAnsi="仿宋_GB2312" w:cs="仿宋_GB2312"/>
          <w:color w:val="000000" w:themeColor="text1"/>
          <w:sz w:val="28"/>
          <w:szCs w:val="28"/>
          <w14:textFill>
            <w14:solidFill>
              <w14:schemeClr w14:val="tx1"/>
            </w14:solidFill>
          </w14:textFill>
        </w:rPr>
        <w:t>无纸化会议软件</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配置一套无纸化会议系统服务APP软件。</w:t>
      </w:r>
    </w:p>
    <w:p>
      <w:pPr>
        <w:pStyle w:val="13"/>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w:t>
      </w:r>
      <w:r>
        <w:rPr>
          <w:rFonts w:hint="eastAsia" w:hAnsi="仿宋_GB2312" w:cs="仿宋_GB2312"/>
          <w:color w:val="000000" w:themeColor="text1"/>
          <w:sz w:val="28"/>
          <w:szCs w:val="28"/>
          <w14:textFill>
            <w14:solidFill>
              <w14:schemeClr w14:val="tx1"/>
            </w14:solidFill>
          </w14:textFill>
        </w:rPr>
        <w:t>无线网络配置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采购企业无线路由器一台及</w:t>
      </w:r>
      <w:r>
        <w:rPr>
          <w:rFonts w:ascii="仿宋_GB2312" w:hAnsi="仿宋" w:eastAsia="仿宋_GB2312"/>
          <w:color w:val="000000" w:themeColor="text1"/>
          <w:sz w:val="28"/>
          <w:szCs w:val="28"/>
          <w14:textFill>
            <w14:solidFill>
              <w14:schemeClr w14:val="tx1"/>
            </w14:solidFill>
          </w14:textFill>
        </w:rPr>
        <w:t>无线控制器</w:t>
      </w:r>
      <w:r>
        <w:rPr>
          <w:rFonts w:hint="eastAsia" w:ascii="仿宋_GB2312" w:hAnsi="仿宋" w:eastAsia="仿宋_GB2312"/>
          <w:color w:val="000000" w:themeColor="text1"/>
          <w:sz w:val="28"/>
          <w:szCs w:val="28"/>
          <w14:textFill>
            <w14:solidFill>
              <w14:schemeClr w14:val="tx1"/>
            </w14:solidFill>
          </w14:textFill>
        </w:rPr>
        <w:t>一台。</w:t>
      </w:r>
    </w:p>
    <w:p>
      <w:pPr>
        <w:pStyle w:val="13"/>
        <w:spacing w:line="360" w:lineRule="auto"/>
        <w:ind w:firstLine="989"/>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w:t>
      </w:r>
      <w:r>
        <w:rPr>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分布式管理设备购置</w:t>
      </w:r>
    </w:p>
    <w:p>
      <w:pPr>
        <w:pStyle w:val="13"/>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int="eastAsia" w:hAnsi="仿宋_GB2312" w:cs="仿宋_GB2312"/>
          <w:color w:val="000000" w:themeColor="text1"/>
          <w:sz w:val="28"/>
          <w:szCs w:val="28"/>
          <w14:textFill>
            <w14:solidFill>
              <w14:schemeClr w14:val="tx1"/>
            </w14:solidFill>
          </w14:textFill>
        </w:rPr>
        <w:t>（1）分布式综合管理平台购置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购置分布式综合管理平台一台，内置综合管理平台软件、分布式拼接显示系统管理软件。</w:t>
      </w:r>
    </w:p>
    <w:p>
      <w:pPr>
        <w:pStyle w:val="13"/>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int="eastAsia" w:hAnsi="仿宋_GB2312" w:cs="仿宋_GB2312"/>
          <w:color w:val="000000" w:themeColor="text1"/>
          <w:sz w:val="28"/>
          <w:szCs w:val="28"/>
          <w14:textFill>
            <w14:solidFill>
              <w14:schemeClr w14:val="tx1"/>
            </w14:solidFill>
          </w14:textFill>
        </w:rPr>
        <w:t>（2）分布式输入/输出盒购置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购置分布式输入盒4台（含拼接显示系统终端嵌入式软件4套），以及分布式输出盒2台（含拼接显示系统终端嵌入式软件2套）。</w:t>
      </w:r>
    </w:p>
    <w:p>
      <w:pPr>
        <w:pStyle w:val="13"/>
        <w:spacing w:line="360" w:lineRule="auto"/>
        <w:ind w:firstLine="829" w:firstLineChars="295"/>
        <w:rPr>
          <w:rFonts w:hAnsi="仿宋_GB2312" w:cs="仿宋_GB2312"/>
          <w:b/>
          <w:color w:val="000000" w:themeColor="text1"/>
          <w:sz w:val="28"/>
          <w:szCs w:val="28"/>
          <w14:textFill>
            <w14:solidFill>
              <w14:schemeClr w14:val="tx1"/>
            </w14:solidFill>
          </w14:textFill>
        </w:rPr>
      </w:pPr>
      <w:r>
        <w:rPr>
          <w:rFonts w:hint="eastAsia" w:hAnsi="仿宋_GB2312" w:cs="仿宋_GB2312"/>
          <w:b/>
          <w:color w:val="000000" w:themeColor="text1"/>
          <w:sz w:val="28"/>
          <w:szCs w:val="28"/>
          <w14:textFill>
            <w14:solidFill>
              <w14:schemeClr w14:val="tx1"/>
            </w14:solidFill>
          </w14:textFill>
        </w:rPr>
        <w:t>3.安装调试与维护</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安装调试无纸化会议系统设备，并提供7*24小时的系统维护服务，及时解决故障问题，保障无纸化会议系统运行稳定、安全，维护期为1年。</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三、培训要求</w:t>
      </w:r>
    </w:p>
    <w:p>
      <w:pPr>
        <w:pStyle w:val="41"/>
        <w:autoSpaceDE w:val="0"/>
        <w:autoSpaceDN w:val="0"/>
        <w:adjustRightInd w:val="0"/>
        <w:spacing w:line="360" w:lineRule="auto"/>
        <w:ind w:firstLine="0"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承包单位应根据项目实施的计划、进度和需要与询价人的合理要求，及时安排对询价人的相关人员进行培训。</w:t>
      </w:r>
    </w:p>
    <w:p>
      <w:pPr>
        <w:pStyle w:val="41"/>
        <w:autoSpaceDE w:val="0"/>
        <w:autoSpaceDN w:val="0"/>
        <w:adjustRightInd w:val="0"/>
        <w:spacing w:line="360" w:lineRule="auto"/>
        <w:ind w:left="-134" w:leftChars="-64" w:firstLine="56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1"/>
        <w:autoSpaceDE w:val="0"/>
        <w:autoSpaceDN w:val="0"/>
        <w:adjustRightInd w:val="0"/>
        <w:spacing w:line="360" w:lineRule="auto"/>
        <w:ind w:left="-142" w:firstLine="56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培训范围：主要包括对视频会议系统的系统管理员、系统用户进行系统管理功能、权限控制、功能操作培训、故障排查等进行培训。</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培训地点：</w:t>
      </w:r>
      <w:r>
        <w:rPr>
          <w:rFonts w:hint="eastAsia" w:ascii="仿宋_GB2312" w:hAnsi="宋体" w:eastAsia="仿宋_GB2312"/>
          <w:color w:val="000000" w:themeColor="text1"/>
          <w:sz w:val="28"/>
          <w:szCs w:val="28"/>
          <w14:textFill>
            <w14:solidFill>
              <w14:schemeClr w14:val="tx1"/>
            </w14:solidFill>
          </w14:textFill>
        </w:rPr>
        <w:t>广州市净水有限公司</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w:t>
      </w:r>
      <w:r>
        <w:rPr>
          <w:rFonts w:ascii="仿宋_GB2312" w:hAnsi="宋体" w:eastAsia="仿宋_GB2312"/>
          <w:color w:val="000000" w:themeColor="text1"/>
          <w:sz w:val="28"/>
          <w:szCs w:val="28"/>
          <w14:textFill>
            <w14:solidFill>
              <w14:schemeClr w14:val="tx1"/>
            </w14:solidFill>
          </w14:textFill>
        </w:rPr>
        <w:t>时间：</w:t>
      </w:r>
      <w:r>
        <w:rPr>
          <w:rFonts w:hint="eastAsia" w:ascii="仿宋_GB2312" w:hAnsi="宋体" w:eastAsia="仿宋_GB2312"/>
          <w:color w:val="000000" w:themeColor="text1"/>
          <w:sz w:val="28"/>
          <w:szCs w:val="28"/>
          <w14:textFill>
            <w14:solidFill>
              <w14:schemeClr w14:val="tx1"/>
            </w14:solidFill>
          </w14:textFill>
        </w:rPr>
        <w:t>在系统建设完成后进行培训</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w:t>
      </w:r>
      <w:r>
        <w:rPr>
          <w:rFonts w:ascii="仿宋_GB2312" w:hAnsi="宋体" w:eastAsia="仿宋_GB2312"/>
          <w:color w:val="000000" w:themeColor="text1"/>
          <w:sz w:val="28"/>
          <w:szCs w:val="28"/>
          <w14:textFill>
            <w14:solidFill>
              <w14:schemeClr w14:val="tx1"/>
            </w14:solidFill>
          </w14:textFill>
        </w:rPr>
        <w:t>内容</w:t>
      </w:r>
      <w:r>
        <w:rPr>
          <w:rFonts w:hint="eastAsia" w:ascii="仿宋_GB2312" w:hAnsi="宋体" w:eastAsia="仿宋_GB2312"/>
          <w:color w:val="000000" w:themeColor="text1"/>
          <w:sz w:val="28"/>
          <w:szCs w:val="28"/>
          <w14:textFill>
            <w14:solidFill>
              <w14:schemeClr w14:val="tx1"/>
            </w14:solidFill>
          </w14:textFill>
        </w:rPr>
        <w:t>：</w:t>
      </w:r>
    </w:p>
    <w:p>
      <w:pPr>
        <w:pStyle w:val="41"/>
        <w:autoSpaceDE w:val="0"/>
        <w:autoSpaceDN w:val="0"/>
        <w:adjustRightInd w:val="0"/>
        <w:spacing w:line="360" w:lineRule="auto"/>
        <w:ind w:left="840" w:firstLine="0"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在系统运维期间对系统管理员、系统用户进行视频会议系统的系统管理功能、权限控制、功能操作培训、故障排查等进行培训,根据用户需求提供相关的知识进行培训及答疑，次数不少于3次。</w:t>
      </w:r>
    </w:p>
    <w:p>
      <w:pPr>
        <w:pStyle w:val="41"/>
        <w:autoSpaceDE w:val="0"/>
        <w:autoSpaceDN w:val="0"/>
        <w:adjustRightInd w:val="0"/>
        <w:spacing w:line="360" w:lineRule="auto"/>
        <w:ind w:left="840" w:firstLine="0"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若用户对系统管理及使用仍存在疑问，在运行和维护期间乙方必须持续提供咨询服务。</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四、项目商务要求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 工期</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60</w:t>
      </w:r>
      <w:r>
        <w:rPr>
          <w:rFonts w:hint="eastAsia" w:ascii="仿宋" w:hAnsi="仿宋" w:eastAsia="仿宋" w:cs="仿宋_GB2312"/>
          <w:color w:val="000000" w:themeColor="text1"/>
          <w:sz w:val="28"/>
          <w:szCs w:val="28"/>
          <w14:textFill>
            <w14:solidFill>
              <w14:schemeClr w14:val="tx1"/>
            </w14:solidFill>
          </w14:textFill>
        </w:rPr>
        <w:t>个日历日（含试运行3</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14:textFill>
            <w14:solidFill>
              <w14:schemeClr w14:val="tx1"/>
            </w14:solidFill>
          </w14:textFill>
        </w:rPr>
        <w:t>天及验收）</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安全文明施工要求：</w:t>
      </w:r>
    </w:p>
    <w:p>
      <w:pPr>
        <w:autoSpaceDE w:val="0"/>
        <w:autoSpaceDN w:val="0"/>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3.总包及分包规定：本项目不接受分包</w:t>
      </w:r>
    </w:p>
    <w:p>
      <w:pPr>
        <w:pStyle w:val="14"/>
        <w:spacing w:line="360" w:lineRule="auto"/>
        <w:ind w:left="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4.付款方式：采用支票、网银支付两种形式。</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5.承包方式：包工、包料、包开发、包调试、包培训、包运维（1年）、包验收的总价包干方式。</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6.项目结算：</w:t>
      </w:r>
      <w:r>
        <w:rPr>
          <w:rFonts w:hint="eastAsia" w:ascii="仿宋" w:hAnsi="仿宋" w:eastAsia="仿宋" w:cs="仿宋_GB2312"/>
          <w:color w:val="000000" w:themeColor="text1"/>
          <w:sz w:val="28"/>
          <w:szCs w:val="28"/>
          <w14:textFill>
            <w14:solidFill>
              <w14:schemeClr w14:val="tx1"/>
            </w14:solidFill>
          </w14:textFill>
        </w:rPr>
        <w:t>按照合同。</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p>
    <w:p>
      <w:pPr>
        <w:autoSpaceDE w:val="0"/>
        <w:autoSpaceDN w:val="0"/>
        <w:rPr>
          <w:rFonts w:ascii="仿宋" w:hAnsi="仿宋" w:eastAsia="仿宋" w:cs="仿宋_GB2312"/>
          <w:color w:val="000000" w:themeColor="text1"/>
          <w:sz w:val="28"/>
          <w:szCs w:val="28"/>
          <w14:textFill>
            <w14:solidFill>
              <w14:schemeClr w14:val="tx1"/>
            </w14:solidFill>
          </w14:textFill>
        </w:rPr>
      </w:pPr>
    </w:p>
    <w:p>
      <w:pPr>
        <w:pStyle w:val="14"/>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15.1询价响应文件应在开标之日起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5" w:name="_Toc371433002"/>
      <w:bookmarkStart w:id="6" w:name="_Toc247085739"/>
      <w:bookmarkStart w:id="7" w:name="_Toc144974548"/>
      <w:bookmarkStart w:id="8" w:name="_Toc179632599"/>
      <w:bookmarkStart w:id="9" w:name="_Toc152045581"/>
      <w:bookmarkStart w:id="10" w:name="_Toc152042358"/>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ascii="宋体" w:hAnsi="宋体"/>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themeColor="text1"/>
                <w:sz w:val="24"/>
                <w14:textFill>
                  <w14:solidFill>
                    <w14:schemeClr w14:val="tx1"/>
                  </w14:solidFill>
                </w14:textFill>
              </w:rPr>
            </w:p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7"/>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color w:val="000000" w:themeColor="text1"/>
          <w14:textFill>
            <w14:solidFill>
              <w14:schemeClr w14:val="tx1"/>
            </w14:solidFill>
          </w14:textFill>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pStyle w:val="3"/>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3"/>
        <w:rPr>
          <w:lang w:val="zh-CN"/>
        </w:rPr>
      </w:pPr>
      <w:r>
        <w:rPr>
          <w:rFonts w:hint="eastAsia"/>
          <w:lang w:val="zh-CN"/>
        </w:rPr>
        <w:t>第四部分合同书格式</w:t>
      </w:r>
    </w:p>
    <w:p>
      <w:pPr>
        <w:spacing w:line="360" w:lineRule="auto"/>
        <w:jc w:val="center"/>
        <w:rPr>
          <w:b/>
          <w:spacing w:val="68"/>
          <w:sz w:val="44"/>
          <w:szCs w:val="44"/>
        </w:rPr>
      </w:pPr>
    </w:p>
    <w:p>
      <w:pPr>
        <w:spacing w:line="360" w:lineRule="auto"/>
        <w:jc w:val="center"/>
        <w:rPr>
          <w:b/>
          <w:spacing w:val="68"/>
          <w:sz w:val="44"/>
          <w:szCs w:val="44"/>
        </w:rPr>
      </w:pPr>
      <w:r>
        <w:rPr>
          <w:rFonts w:hint="eastAsia"/>
          <w:b/>
          <w:spacing w:val="68"/>
          <w:sz w:val="44"/>
          <w:szCs w:val="44"/>
        </w:rPr>
        <w:t>广州市净水有限公司</w:t>
      </w:r>
    </w:p>
    <w:p>
      <w:pPr>
        <w:spacing w:line="360" w:lineRule="auto"/>
        <w:jc w:val="center"/>
        <w:rPr>
          <w:b/>
          <w:spacing w:val="68"/>
          <w:sz w:val="44"/>
          <w:szCs w:val="44"/>
        </w:rPr>
      </w:pPr>
      <w:r>
        <w:rPr>
          <w:rFonts w:hint="eastAsia"/>
          <w:b/>
          <w:spacing w:val="68"/>
          <w:sz w:val="44"/>
          <w:szCs w:val="44"/>
        </w:rPr>
        <w:t>无纸化会议系统建设项目</w:t>
      </w:r>
    </w:p>
    <w:p>
      <w:pPr>
        <w:spacing w:line="360" w:lineRule="auto"/>
        <w:jc w:val="center"/>
        <w:rPr>
          <w:b/>
          <w:spacing w:val="68"/>
          <w:sz w:val="48"/>
        </w:rPr>
      </w:pPr>
    </w:p>
    <w:p>
      <w:pPr>
        <w:spacing w:line="360" w:lineRule="auto"/>
        <w:jc w:val="center"/>
        <w:rPr>
          <w:b/>
          <w:spacing w:val="68"/>
          <w:sz w:val="48"/>
        </w:rPr>
      </w:pPr>
    </w:p>
    <w:p>
      <w:pPr>
        <w:spacing w:line="360" w:lineRule="auto"/>
        <w:jc w:val="center"/>
        <w:rPr>
          <w:b/>
          <w:spacing w:val="68"/>
          <w:sz w:val="48"/>
        </w:rPr>
      </w:pPr>
    </w:p>
    <w:p>
      <w:pPr>
        <w:spacing w:line="360" w:lineRule="auto"/>
        <w:jc w:val="center"/>
        <w:rPr>
          <w:b/>
          <w:sz w:val="30"/>
        </w:rPr>
      </w:pPr>
      <w:r>
        <mc:AlternateContent>
          <mc:Choice Requires="wps">
            <w:drawing>
              <wp:anchor distT="0" distB="0" distL="114300" distR="114300" simplePos="0" relativeHeight="251657216" behindDoc="0" locked="0" layoutInCell="0" allowOverlap="1">
                <wp:simplePos x="0" y="0"/>
                <wp:positionH relativeFrom="column">
                  <wp:posOffset>2605405</wp:posOffset>
                </wp:positionH>
                <wp:positionV relativeFrom="paragraph">
                  <wp:posOffset>199390</wp:posOffset>
                </wp:positionV>
                <wp:extent cx="933450" cy="3717290"/>
                <wp:effectExtent l="0" t="0" r="19050" b="171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33450" cy="3716977"/>
                        </a:xfrm>
                        <a:prstGeom prst="rect">
                          <a:avLst/>
                        </a:prstGeom>
                        <a:solidFill>
                          <a:srgbClr val="FFFFFF"/>
                        </a:solidFill>
                        <a:ln w="9525">
                          <a:solidFill>
                            <a:srgbClr val="FFFFFF"/>
                          </a:solidFill>
                          <a:miter lim="800000"/>
                        </a:ln>
                      </wps:spPr>
                      <wps:txbx>
                        <w:txbxContent>
                          <w:p>
                            <w:pPr>
                              <w:rPr>
                                <w:b/>
                                <w:spacing w:val="162"/>
                                <w:sz w:val="84"/>
                              </w:rPr>
                            </w:pPr>
                            <w:r>
                              <w:rPr>
                                <w:rFonts w:hint="eastAsia"/>
                                <w:b/>
                                <w:spacing w:val="162"/>
                                <w:sz w:val="84"/>
                              </w:rPr>
                              <w:t>合同书</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05.15pt;margin-top:15.7pt;height:292.7pt;width:73.5pt;z-index:251657216;mso-width-relative:page;mso-height-relative:page;" fillcolor="#FFFFFF" filled="t" stroked="t" coordsize="21600,21600" o:allowincell="f" o:gfxdata="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CGi&#10;/dcAAAAKAQAADwAAAAAAAAABACAAAAAiAAAAZHJzL2Rvd25yZXYueG1sUEsBAhQAFAAAAAgAh07i&#10;QCtV/4AjAgAAOwQAAA4AAAAAAAAAAQAgAAAAJgEAAGRycy9lMm9Eb2MueG1sUEsFBgAAAAAGAAYA&#10;WQEAALsFAAAAAA==&#10;">
                <v:fill on="t" focussize="0,0"/>
                <v:stroke color="#FFFFFF" miterlimit="8" joinstyle="miter"/>
                <v:imagedata o:title=""/>
                <o:lock v:ext="edit" aspectratio="f"/>
                <v:textbox style="layout-flow:vertical-ideographic;">
                  <w:txbxContent>
                    <w:p>
                      <w:pPr>
                        <w:rPr>
                          <w:b/>
                          <w:spacing w:val="162"/>
                          <w:sz w:val="84"/>
                        </w:rPr>
                      </w:pPr>
                      <w:r>
                        <w:rPr>
                          <w:rFonts w:hint="eastAsia"/>
                          <w:b/>
                          <w:spacing w:val="162"/>
                          <w:sz w:val="84"/>
                        </w:rPr>
                        <w:t>合同书</w:t>
                      </w:r>
                    </w:p>
                  </w:txbxContent>
                </v:textbox>
              </v:shape>
            </w:pict>
          </mc:Fallback>
        </mc:AlternateContent>
      </w: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rPr>
          <w:b/>
          <w:sz w:val="30"/>
        </w:rPr>
      </w:pPr>
    </w:p>
    <w:p>
      <w:pPr>
        <w:spacing w:line="360" w:lineRule="auto"/>
        <w:ind w:firstLine="2861" w:firstLineChars="950"/>
        <w:rPr>
          <w:b/>
          <w:sz w:val="30"/>
        </w:rPr>
      </w:pPr>
      <w:r>
        <w:rPr>
          <w:rFonts w:hint="eastAsia"/>
          <w:b/>
          <w:sz w:val="30"/>
        </w:rPr>
        <w:t>甲方：广州市净水有限公司</w:t>
      </w:r>
    </w:p>
    <w:p>
      <w:pPr>
        <w:spacing w:line="360" w:lineRule="auto"/>
        <w:ind w:firstLine="2834" w:firstLineChars="941"/>
        <w:rPr>
          <w:b/>
          <w:sz w:val="30"/>
        </w:rPr>
      </w:pPr>
      <w:r>
        <w:rPr>
          <w:rFonts w:hint="eastAsia"/>
          <w:b/>
          <w:sz w:val="30"/>
        </w:rPr>
        <w:t>乙方：</w:t>
      </w:r>
    </w:p>
    <w:p>
      <w:pPr>
        <w:spacing w:line="360" w:lineRule="auto"/>
        <w:ind w:left="1701" w:leftChars="810" w:firstLine="557" w:firstLineChars="198"/>
        <w:rPr>
          <w:rFonts w:ascii="仿宋_GB2312" w:eastAsia="仿宋_GB2312"/>
          <w:b/>
          <w:sz w:val="28"/>
        </w:rPr>
      </w:pPr>
    </w:p>
    <w:p>
      <w:pPr>
        <w:spacing w:line="360" w:lineRule="auto"/>
        <w:rPr>
          <w:rFonts w:ascii="仿宋_GB2312" w:eastAsia="仿宋_GB2312"/>
          <w:b/>
          <w:sz w:val="28"/>
        </w:rPr>
      </w:pPr>
    </w:p>
    <w:p>
      <w:pPr>
        <w:spacing w:line="400" w:lineRule="atLeast"/>
        <w:jc w:val="center"/>
        <w:rPr>
          <w:rFonts w:ascii="楷体_GB2312" w:eastAsia="楷体_GB2312"/>
          <w:b/>
          <w:sz w:val="32"/>
        </w:rPr>
        <w:sectPr>
          <w:headerReference r:id="rId6" w:type="default"/>
          <w:footerReference r:id="rId7" w:type="default"/>
          <w:footerReference r:id="rId8" w:type="even"/>
          <w:pgSz w:w="11906" w:h="16838"/>
          <w:pgMar w:top="1089" w:right="1466" w:bottom="1089" w:left="1077" w:header="851" w:footer="992" w:gutter="0"/>
          <w:cols w:space="720" w:num="1"/>
          <w:docGrid w:type="lines" w:linePitch="312" w:charSpace="0"/>
        </w:sectPr>
      </w:pPr>
    </w:p>
    <w:p>
      <w:pPr>
        <w:spacing w:line="400" w:lineRule="atLeast"/>
        <w:jc w:val="center"/>
        <w:rPr>
          <w:rFonts w:ascii="楷体_GB2312" w:eastAsia="楷体_GB2312"/>
          <w:b/>
          <w:sz w:val="32"/>
        </w:rPr>
      </w:pPr>
      <w:r>
        <w:rPr>
          <w:rFonts w:hint="eastAsia" w:ascii="楷体_GB2312" w:eastAsia="楷体_GB2312"/>
          <w:b/>
          <w:sz w:val="32"/>
        </w:rPr>
        <w:t>合 同 协 议 书</w:t>
      </w:r>
    </w:p>
    <w:p>
      <w:pPr>
        <w:spacing w:line="400" w:lineRule="atLeast"/>
        <w:rPr>
          <w:rFonts w:ascii="楷体_GB2312" w:eastAsia="楷体_GB2312"/>
        </w:rPr>
      </w:pPr>
    </w:p>
    <w:p>
      <w:pPr>
        <w:spacing w:line="400" w:lineRule="atLeast"/>
        <w:ind w:firstLine="425"/>
        <w:rPr>
          <w:rFonts w:ascii="楷体_GB2312" w:eastAsia="楷体_GB2312"/>
          <w:sz w:val="24"/>
        </w:rPr>
      </w:pPr>
      <w:r>
        <w:rPr>
          <w:rFonts w:hint="eastAsia" w:ascii="楷体_GB2312" w:eastAsia="楷体_GB2312"/>
          <w:sz w:val="24"/>
        </w:rPr>
        <w:t>本协议书由</w:t>
      </w:r>
      <w:r>
        <w:rPr>
          <w:rFonts w:hint="eastAsia" w:ascii="楷体_GB2312" w:eastAsia="楷体_GB2312"/>
          <w:b/>
          <w:sz w:val="24"/>
          <w:u w:val="single"/>
        </w:rPr>
        <w:t>广州市净水有限公司</w:t>
      </w:r>
      <w:r>
        <w:rPr>
          <w:rFonts w:hint="eastAsia" w:ascii="楷体_GB2312" w:eastAsia="楷体_GB2312"/>
          <w:sz w:val="24"/>
        </w:rPr>
        <w:t>（以下简称“甲方”），与（以下简称“乙方”），于</w:t>
      </w:r>
      <w:r>
        <w:rPr>
          <w:rFonts w:hint="eastAsia" w:ascii="楷体_GB2312" w:eastAsia="楷体_GB2312"/>
          <w:b/>
          <w:sz w:val="24"/>
        </w:rPr>
        <w:t>年月日</w:t>
      </w:r>
      <w:r>
        <w:rPr>
          <w:rFonts w:hint="eastAsia" w:ascii="楷体_GB2312" w:eastAsia="楷体_GB2312"/>
          <w:sz w:val="24"/>
        </w:rPr>
        <w:t>共同达成一致并在广州签署。</w:t>
      </w:r>
    </w:p>
    <w:p>
      <w:pPr>
        <w:spacing w:line="400" w:lineRule="atLeast"/>
        <w:ind w:firstLine="425"/>
        <w:rPr>
          <w:rFonts w:ascii="楷体_GB2312" w:eastAsia="楷体_GB2312"/>
          <w:sz w:val="24"/>
        </w:rPr>
      </w:pPr>
    </w:p>
    <w:p>
      <w:pPr>
        <w:autoSpaceDE w:val="0"/>
        <w:autoSpaceDN w:val="0"/>
        <w:textAlignment w:val="bottom"/>
        <w:rPr>
          <w:rFonts w:ascii="楷体_GB2312" w:eastAsia="楷体_GB2312"/>
          <w:sz w:val="24"/>
        </w:rPr>
      </w:pPr>
      <w:r>
        <w:rPr>
          <w:rFonts w:hint="eastAsia" w:ascii="楷体_GB2312" w:eastAsia="楷体_GB2312"/>
          <w:sz w:val="24"/>
        </w:rPr>
        <w:t xml:space="preserve">    为此双方达成如下协议：</w:t>
      </w:r>
    </w:p>
    <w:p>
      <w:pPr>
        <w:spacing w:line="400" w:lineRule="atLeast"/>
        <w:ind w:left="425"/>
        <w:rPr>
          <w:rFonts w:ascii="楷体_GB2312" w:eastAsia="楷体_GB2312"/>
          <w:sz w:val="24"/>
        </w:rPr>
      </w:pPr>
      <w:r>
        <w:rPr>
          <w:rFonts w:hint="eastAsia" w:ascii="楷体_GB2312" w:eastAsia="楷体_GB2312"/>
          <w:sz w:val="24"/>
        </w:rPr>
        <w:t>1.项目概况：</w:t>
      </w:r>
    </w:p>
    <w:p>
      <w:pPr>
        <w:spacing w:line="400" w:lineRule="atLeast"/>
        <w:ind w:left="425"/>
        <w:rPr>
          <w:rFonts w:ascii="楷体_GB2312" w:eastAsia="楷体_GB2312"/>
          <w:sz w:val="24"/>
        </w:rPr>
      </w:pPr>
      <w:r>
        <w:rPr>
          <w:rFonts w:hint="eastAsia" w:ascii="楷体_GB2312" w:eastAsia="楷体_GB2312"/>
          <w:sz w:val="24"/>
        </w:rPr>
        <w:t>项目内容：</w:t>
      </w:r>
    </w:p>
    <w:p>
      <w:pPr>
        <w:spacing w:line="400" w:lineRule="atLeast"/>
        <w:ind w:left="425"/>
        <w:rPr>
          <w:rFonts w:ascii="楷体_GB2312" w:eastAsia="楷体_GB2312"/>
          <w:sz w:val="24"/>
        </w:rPr>
      </w:pPr>
      <w:r>
        <w:rPr>
          <w:rFonts w:hint="eastAsia" w:ascii="楷体_GB2312" w:eastAsia="楷体_GB2312"/>
          <w:sz w:val="24"/>
        </w:rPr>
        <w:t>广州市净水有限公司无纸化会议系统建设，并在合同规定期内运维该系统。</w:t>
      </w:r>
    </w:p>
    <w:p>
      <w:pPr>
        <w:spacing w:line="400" w:lineRule="atLeast"/>
        <w:ind w:left="425"/>
        <w:rPr>
          <w:rFonts w:ascii="楷体_GB2312" w:eastAsia="楷体_GB2312"/>
          <w:sz w:val="24"/>
        </w:rPr>
      </w:pPr>
      <w:r>
        <w:rPr>
          <w:rFonts w:hint="eastAsia" w:ascii="楷体_GB2312" w:eastAsia="楷体_GB2312"/>
          <w:sz w:val="24"/>
        </w:rPr>
        <w:t>承包方式：</w:t>
      </w:r>
    </w:p>
    <w:p>
      <w:pPr>
        <w:spacing w:line="400" w:lineRule="atLeast"/>
        <w:ind w:left="425"/>
        <w:rPr>
          <w:rFonts w:ascii="楷体_GB2312" w:eastAsia="楷体_GB2312"/>
          <w:sz w:val="24"/>
        </w:rPr>
      </w:pPr>
      <w:r>
        <w:rPr>
          <w:rFonts w:hint="eastAsia" w:ascii="楷体_GB2312" w:eastAsia="楷体_GB2312"/>
          <w:sz w:val="24"/>
        </w:rPr>
        <w:t>包工、包料、包开发、包调试、包验收、包培训、包运维（1年）的总价包干方式。</w:t>
      </w:r>
    </w:p>
    <w:p>
      <w:pPr>
        <w:spacing w:line="400" w:lineRule="atLeast"/>
        <w:ind w:left="425"/>
        <w:rPr>
          <w:rFonts w:ascii="楷体_GB2312" w:eastAsia="楷体_GB2312"/>
          <w:sz w:val="24"/>
        </w:rPr>
      </w:pPr>
      <w:r>
        <w:rPr>
          <w:rFonts w:hint="eastAsia" w:ascii="楷体_GB2312" w:eastAsia="楷体_GB2312"/>
          <w:sz w:val="24"/>
        </w:rPr>
        <w:t>2.本协议书中所用术语的含义与本合同条款中相应术语的含义相同，而且这些术语应作为本协议的一部分来阅读和解释。</w:t>
      </w:r>
    </w:p>
    <w:p>
      <w:pPr>
        <w:spacing w:line="400" w:lineRule="atLeast"/>
        <w:ind w:firstLine="425"/>
        <w:rPr>
          <w:rFonts w:ascii="楷体_GB2312" w:eastAsia="楷体_GB2312"/>
          <w:sz w:val="24"/>
        </w:rPr>
      </w:pPr>
      <w:r>
        <w:rPr>
          <w:rFonts w:hint="eastAsia" w:ascii="楷体_GB2312" w:eastAsia="楷体_GB2312"/>
          <w:sz w:val="24"/>
        </w:rPr>
        <w:t>3.下列文件构成本协议书的组成部分及解释顺序，即：</w:t>
      </w:r>
    </w:p>
    <w:p>
      <w:pPr>
        <w:spacing w:line="400" w:lineRule="atLeast"/>
        <w:ind w:firstLine="840"/>
        <w:rPr>
          <w:rFonts w:ascii="楷体_GB2312" w:eastAsia="楷体_GB2312"/>
          <w:sz w:val="24"/>
        </w:rPr>
      </w:pPr>
      <w:r>
        <w:rPr>
          <w:rFonts w:hint="eastAsia" w:ascii="楷体_GB2312" w:eastAsia="楷体_GB2312"/>
          <w:sz w:val="24"/>
        </w:rPr>
        <w:t>(1)合同补充协议（如有）；</w:t>
      </w:r>
    </w:p>
    <w:p>
      <w:pPr>
        <w:spacing w:line="400" w:lineRule="atLeast"/>
        <w:ind w:firstLine="840"/>
        <w:rPr>
          <w:rFonts w:ascii="楷体_GB2312" w:eastAsia="楷体_GB2312"/>
          <w:sz w:val="24"/>
        </w:rPr>
      </w:pPr>
      <w:r>
        <w:rPr>
          <w:rFonts w:hint="eastAsia" w:ascii="楷体_GB2312" w:eastAsia="楷体_GB2312"/>
          <w:sz w:val="24"/>
        </w:rPr>
        <w:t>(2)合同协议书；</w:t>
      </w:r>
    </w:p>
    <w:p>
      <w:pPr>
        <w:spacing w:line="400" w:lineRule="atLeast"/>
        <w:ind w:firstLine="840"/>
        <w:rPr>
          <w:rFonts w:ascii="楷体_GB2312" w:eastAsia="楷体_GB2312"/>
          <w:sz w:val="24"/>
        </w:rPr>
      </w:pPr>
      <w:r>
        <w:rPr>
          <w:rFonts w:hint="eastAsia" w:ascii="楷体_GB2312" w:eastAsia="楷体_GB2312"/>
          <w:sz w:val="24"/>
        </w:rPr>
        <w:t>(3)合同条款；</w:t>
      </w:r>
    </w:p>
    <w:p>
      <w:pPr>
        <w:spacing w:line="360" w:lineRule="auto"/>
        <w:ind w:firstLine="840"/>
        <w:rPr>
          <w:rFonts w:ascii="楷体_GB2312" w:eastAsia="楷体_GB2312"/>
          <w:sz w:val="24"/>
        </w:rPr>
      </w:pPr>
      <w:r>
        <w:rPr>
          <w:rFonts w:hint="eastAsia" w:ascii="楷体_GB2312" w:eastAsia="楷体_GB2312"/>
          <w:sz w:val="24"/>
        </w:rPr>
        <w:t>(4)发包通知书；</w:t>
      </w:r>
    </w:p>
    <w:p>
      <w:pPr>
        <w:spacing w:line="360" w:lineRule="auto"/>
        <w:ind w:firstLine="840"/>
        <w:rPr>
          <w:rFonts w:ascii="楷体_GB2312" w:eastAsia="楷体_GB2312"/>
          <w:sz w:val="24"/>
        </w:rPr>
      </w:pPr>
      <w:r>
        <w:rPr>
          <w:rFonts w:hint="eastAsia" w:ascii="楷体_GB2312" w:eastAsia="楷体_GB2312"/>
          <w:sz w:val="24"/>
        </w:rPr>
        <w:t>(5)产品功能清单（功能不得低于询价文件的规定）；</w:t>
      </w:r>
    </w:p>
    <w:p>
      <w:pPr>
        <w:spacing w:line="360" w:lineRule="auto"/>
        <w:ind w:firstLine="840"/>
        <w:rPr>
          <w:rFonts w:ascii="楷体_GB2312" w:eastAsia="楷体_GB2312"/>
          <w:sz w:val="24"/>
        </w:rPr>
      </w:pPr>
      <w:r>
        <w:rPr>
          <w:rFonts w:hint="eastAsia" w:ascii="楷体_GB2312" w:eastAsia="楷体_GB2312"/>
          <w:sz w:val="24"/>
        </w:rPr>
        <w:t>(6)询价文件（包括补充、修改、澄清文件、答疑纪要及总说明等）；</w:t>
      </w:r>
    </w:p>
    <w:p>
      <w:pPr>
        <w:spacing w:line="360" w:lineRule="auto"/>
        <w:ind w:firstLine="840"/>
        <w:rPr>
          <w:rFonts w:ascii="楷体_GB2312" w:eastAsia="楷体_GB2312"/>
          <w:sz w:val="24"/>
        </w:rPr>
      </w:pPr>
      <w:r>
        <w:rPr>
          <w:rFonts w:hint="eastAsia" w:ascii="楷体_GB2312" w:eastAsia="楷体_GB2312"/>
          <w:sz w:val="24"/>
        </w:rPr>
        <w:t>(7)询价响应书；</w:t>
      </w:r>
    </w:p>
    <w:p>
      <w:pPr>
        <w:spacing w:line="360" w:lineRule="auto"/>
        <w:ind w:firstLine="720" w:firstLineChars="300"/>
        <w:rPr>
          <w:rFonts w:ascii="楷体_GB2312" w:eastAsia="楷体_GB2312"/>
          <w:sz w:val="24"/>
        </w:rPr>
      </w:pPr>
      <w:r>
        <w:rPr>
          <w:rFonts w:hint="eastAsia" w:ascii="楷体_GB2312" w:eastAsia="楷体_GB2312"/>
          <w:sz w:val="24"/>
        </w:rPr>
        <w:t>（8）技术方案书；</w:t>
      </w:r>
    </w:p>
    <w:p>
      <w:pPr>
        <w:spacing w:line="360" w:lineRule="auto"/>
        <w:ind w:firstLine="720" w:firstLineChars="300"/>
        <w:rPr>
          <w:rFonts w:ascii="楷体_GB2312" w:eastAsia="楷体_GB2312"/>
          <w:sz w:val="24"/>
        </w:rPr>
      </w:pPr>
      <w:r>
        <w:rPr>
          <w:rFonts w:hint="eastAsia" w:ascii="楷体_GB2312" w:eastAsia="楷体_GB2312"/>
          <w:sz w:val="24"/>
        </w:rPr>
        <w:t>（9）甲方项目需求书</w:t>
      </w:r>
    </w:p>
    <w:p>
      <w:pPr>
        <w:spacing w:line="400" w:lineRule="atLeast"/>
        <w:ind w:left="425"/>
        <w:rPr>
          <w:rFonts w:ascii="楷体_GB2312" w:eastAsia="楷体_GB2312"/>
          <w:sz w:val="24"/>
        </w:rPr>
      </w:pPr>
      <w:r>
        <w:rPr>
          <w:rFonts w:hint="eastAsia" w:ascii="楷体_GB2312" w:eastAsia="楷体_GB2312"/>
          <w:sz w:val="24"/>
        </w:rPr>
        <w:t>4.计划开工日期：年月日</w:t>
      </w:r>
    </w:p>
    <w:p>
      <w:pPr>
        <w:spacing w:line="400" w:lineRule="atLeast"/>
        <w:ind w:left="425" w:firstLine="240" w:firstLineChars="100"/>
        <w:rPr>
          <w:rFonts w:ascii="楷体_GB2312" w:eastAsia="楷体_GB2312"/>
          <w:sz w:val="24"/>
        </w:rPr>
      </w:pPr>
      <w:r>
        <w:rPr>
          <w:rFonts w:hint="eastAsia" w:ascii="楷体_GB2312" w:eastAsia="楷体_GB2312"/>
          <w:sz w:val="24"/>
        </w:rPr>
        <w:t>计划完工日期：年月日</w:t>
      </w:r>
    </w:p>
    <w:p>
      <w:pPr>
        <w:spacing w:line="400" w:lineRule="atLeast"/>
        <w:ind w:left="425" w:firstLine="240" w:firstLineChars="100"/>
        <w:rPr>
          <w:rFonts w:ascii="楷体_GB2312" w:eastAsia="楷体_GB2312"/>
          <w:sz w:val="24"/>
        </w:rPr>
      </w:pPr>
      <w:r>
        <w:rPr>
          <w:rFonts w:hint="eastAsia" w:ascii="楷体_GB2312" w:eastAsia="楷体_GB2312"/>
          <w:sz w:val="24"/>
        </w:rPr>
        <w:t>总工期：</w:t>
      </w:r>
      <w:r>
        <w:rPr>
          <w:rFonts w:ascii="楷体_GB2312" w:eastAsia="楷体_GB2312"/>
          <w:sz w:val="24"/>
        </w:rPr>
        <w:t>60</w:t>
      </w:r>
      <w:r>
        <w:rPr>
          <w:rFonts w:hint="eastAsia" w:ascii="楷体_GB2312" w:eastAsia="楷体_GB2312"/>
          <w:sz w:val="24"/>
        </w:rPr>
        <w:t>个日历日（含验收）</w:t>
      </w:r>
    </w:p>
    <w:p>
      <w:pPr>
        <w:spacing w:line="400" w:lineRule="atLeast"/>
        <w:ind w:firstLine="425"/>
        <w:rPr>
          <w:rFonts w:ascii="楷体_GB2312" w:eastAsia="楷体_GB2312"/>
          <w:sz w:val="24"/>
        </w:rPr>
      </w:pPr>
      <w:r>
        <w:rPr>
          <w:rFonts w:hint="eastAsia" w:ascii="楷体_GB2312" w:eastAsia="楷体_GB2312"/>
          <w:sz w:val="24"/>
        </w:rPr>
        <w:t>5.乙方应保证全面按合同规定完成本项目的系统建设及售后服务。（含保密规定）</w:t>
      </w:r>
    </w:p>
    <w:p>
      <w:pPr>
        <w:spacing w:line="400" w:lineRule="atLeast"/>
        <w:ind w:firstLine="425"/>
        <w:rPr>
          <w:rFonts w:ascii="楷体_GB2312" w:eastAsia="楷体_GB2312"/>
          <w:sz w:val="24"/>
        </w:rPr>
      </w:pPr>
      <w:r>
        <w:rPr>
          <w:rFonts w:hint="eastAsia" w:ascii="楷体_GB2312" w:eastAsia="楷体_GB2312"/>
          <w:sz w:val="24"/>
        </w:rPr>
        <w:t>6.甲方应保证按合同规定的方式和时间，向乙方支付承包合同费用。本合同价暂定为元。</w:t>
      </w:r>
    </w:p>
    <w:p>
      <w:pPr>
        <w:spacing w:line="400" w:lineRule="atLeast"/>
        <w:ind w:firstLine="425"/>
        <w:rPr>
          <w:rFonts w:ascii="楷体_GB2312" w:eastAsia="楷体_GB2312"/>
          <w:sz w:val="24"/>
        </w:rPr>
      </w:pPr>
      <w:r>
        <w:rPr>
          <w:rFonts w:hint="eastAsia" w:ascii="楷体_GB2312" w:eastAsia="楷体_GB2312"/>
          <w:sz w:val="24"/>
        </w:rPr>
        <w:t>7.项目质量标准：参照相关质量规范和甲方要求。</w:t>
      </w:r>
    </w:p>
    <w:p>
      <w:pPr>
        <w:spacing w:line="400" w:lineRule="atLeast"/>
        <w:ind w:firstLine="425"/>
        <w:rPr>
          <w:rFonts w:ascii="楷体_GB2312" w:eastAsia="楷体_GB2312"/>
          <w:sz w:val="24"/>
        </w:rPr>
      </w:pPr>
      <w:r>
        <w:rPr>
          <w:rFonts w:hint="eastAsia" w:ascii="楷体_GB2312" w:eastAsia="楷体_GB2312"/>
          <w:sz w:val="24"/>
        </w:rPr>
        <w:t>8.本合同正本一式</w:t>
      </w:r>
      <w:r>
        <w:rPr>
          <w:rFonts w:ascii="楷体_GB2312" w:eastAsia="楷体_GB2312"/>
          <w:sz w:val="24"/>
          <w:u w:val="single"/>
        </w:rPr>
        <w:t>4</w:t>
      </w:r>
      <w:r>
        <w:rPr>
          <w:rFonts w:hint="eastAsia" w:ascii="楷体_GB2312" w:eastAsia="楷体_GB2312"/>
          <w:sz w:val="24"/>
        </w:rPr>
        <w:t>份，甲乙双方各执</w:t>
      </w:r>
      <w:r>
        <w:rPr>
          <w:rFonts w:ascii="楷体_GB2312" w:eastAsia="楷体_GB2312"/>
          <w:sz w:val="24"/>
          <w:u w:val="single"/>
        </w:rPr>
        <w:t>2</w:t>
      </w:r>
      <w:r>
        <w:rPr>
          <w:rFonts w:hint="eastAsia" w:ascii="楷体_GB2312" w:eastAsia="楷体_GB2312"/>
          <w:sz w:val="24"/>
        </w:rPr>
        <w:t>份。副本</w:t>
      </w:r>
      <w:r>
        <w:rPr>
          <w:rFonts w:ascii="楷体_GB2312" w:eastAsia="楷体_GB2312"/>
          <w:sz w:val="24"/>
          <w:u w:val="single"/>
        </w:rPr>
        <w:t>0</w:t>
      </w:r>
      <w:r>
        <w:rPr>
          <w:rFonts w:hint="eastAsia" w:ascii="楷体_GB2312" w:eastAsia="楷体_GB2312"/>
          <w:sz w:val="24"/>
        </w:rPr>
        <w:t>份，甲方执</w:t>
      </w:r>
      <w:r>
        <w:rPr>
          <w:rFonts w:ascii="楷体_GB2312" w:eastAsia="楷体_GB2312"/>
          <w:sz w:val="24"/>
          <w:u w:val="single"/>
        </w:rPr>
        <w:t>0</w:t>
      </w:r>
      <w:r>
        <w:rPr>
          <w:rFonts w:hint="eastAsia" w:ascii="楷体_GB2312" w:eastAsia="楷体_GB2312"/>
          <w:sz w:val="24"/>
        </w:rPr>
        <w:t>份，乙方执</w:t>
      </w:r>
      <w:r>
        <w:rPr>
          <w:rFonts w:ascii="楷体_GB2312" w:eastAsia="楷体_GB2312"/>
          <w:sz w:val="24"/>
          <w:u w:val="single"/>
        </w:rPr>
        <w:t>0</w:t>
      </w:r>
      <w:r>
        <w:rPr>
          <w:rFonts w:hint="eastAsia" w:ascii="楷体_GB2312" w:eastAsia="楷体_GB2312"/>
          <w:sz w:val="24"/>
        </w:rPr>
        <w:t>份。为此，各方代表在此签字并加盖公章，并自加盖公章之日起生效。</w:t>
      </w:r>
    </w:p>
    <w:p>
      <w:pPr>
        <w:spacing w:line="400" w:lineRule="atLeast"/>
        <w:rPr>
          <w:rFonts w:ascii="楷体_GB2312" w:eastAsia="楷体_GB2312"/>
          <w:b/>
          <w:sz w:val="24"/>
        </w:rPr>
      </w:pPr>
    </w:p>
    <w:p>
      <w:pPr>
        <w:spacing w:line="400" w:lineRule="atLeast"/>
        <w:rPr>
          <w:rFonts w:ascii="楷体_GB2312" w:eastAsia="楷体_GB2312"/>
          <w:b/>
          <w:sz w:val="24"/>
        </w:rPr>
      </w:pPr>
    </w:p>
    <w:p>
      <w:pPr>
        <w:spacing w:line="400" w:lineRule="atLeast"/>
        <w:rPr>
          <w:rFonts w:ascii="楷体_GB2312" w:eastAsia="楷体_GB2312"/>
          <w:b/>
          <w:sz w:val="24"/>
        </w:rPr>
      </w:pPr>
    </w:p>
    <w:p>
      <w:pPr>
        <w:spacing w:line="400" w:lineRule="atLeast"/>
        <w:rPr>
          <w:rFonts w:ascii="楷体_GB2312" w:eastAsia="楷体_GB2312"/>
          <w:b/>
          <w:sz w:val="24"/>
        </w:rPr>
      </w:pPr>
    </w:p>
    <w:p>
      <w:pPr>
        <w:spacing w:line="400" w:lineRule="atLeast"/>
        <w:rPr>
          <w:rFonts w:ascii="楷体_GB2312" w:eastAsia="楷体_GB2312"/>
          <w:b/>
          <w:sz w:val="24"/>
        </w:rPr>
      </w:pPr>
      <w:r>
        <w:rPr>
          <w:rFonts w:hint="eastAsia" w:ascii="楷体_GB2312" w:eastAsia="楷体_GB2312"/>
          <w:b/>
          <w:sz w:val="24"/>
        </w:rPr>
        <w:t>法定代表人：                           法定代表人：</w:t>
      </w:r>
    </w:p>
    <w:p>
      <w:pPr>
        <w:spacing w:line="400" w:lineRule="atLeast"/>
        <w:rPr>
          <w:rFonts w:ascii="楷体_GB2312" w:eastAsia="楷体_GB2312"/>
          <w:b/>
          <w:sz w:val="24"/>
        </w:rPr>
      </w:pPr>
    </w:p>
    <w:p>
      <w:pPr>
        <w:spacing w:line="400" w:lineRule="atLeast"/>
        <w:rPr>
          <w:rFonts w:ascii="楷体_GB2312" w:eastAsia="楷体_GB2312"/>
          <w:b/>
          <w:sz w:val="24"/>
        </w:rPr>
      </w:pPr>
      <w:r>
        <w:rPr>
          <w:rFonts w:hint="eastAsia" w:ascii="楷体_GB2312" w:eastAsia="楷体_GB2312"/>
          <w:b/>
          <w:sz w:val="24"/>
        </w:rPr>
        <w:t>甲方：</w:t>
      </w:r>
      <w:r>
        <w:rPr>
          <w:rFonts w:hint="eastAsia" w:ascii="楷体_GB2312" w:eastAsia="楷体_GB2312"/>
          <w:b/>
          <w:sz w:val="24"/>
        </w:rPr>
        <w:tab/>
      </w:r>
      <w:r>
        <w:rPr>
          <w:rFonts w:hint="eastAsia" w:ascii="楷体_GB2312" w:eastAsia="楷体_GB2312"/>
          <w:b/>
          <w:sz w:val="24"/>
        </w:rPr>
        <w:t xml:space="preserve">广州市净水有限公司 </w:t>
      </w:r>
      <w:r>
        <w:rPr>
          <w:rFonts w:ascii="楷体_GB2312" w:eastAsia="楷体_GB2312"/>
          <w:b/>
          <w:sz w:val="24"/>
        </w:rPr>
        <w:t xml:space="preserve">             </w:t>
      </w:r>
      <w:r>
        <w:rPr>
          <w:rFonts w:hint="eastAsia" w:ascii="楷体_GB2312" w:eastAsia="楷体_GB2312"/>
          <w:b/>
          <w:sz w:val="24"/>
        </w:rPr>
        <w:t xml:space="preserve">乙方： </w:t>
      </w:r>
    </w:p>
    <w:p>
      <w:pPr>
        <w:spacing w:line="400" w:lineRule="atLeast"/>
        <w:ind w:left="723" w:hanging="723" w:hangingChars="300"/>
        <w:rPr>
          <w:rFonts w:ascii="楷体_GB2312" w:eastAsia="楷体_GB2312"/>
          <w:sz w:val="24"/>
        </w:rPr>
      </w:pPr>
      <w:r>
        <w:rPr>
          <w:rFonts w:hint="eastAsia" w:ascii="楷体_GB2312" w:eastAsia="楷体_GB2312"/>
          <w:b/>
          <w:sz w:val="24"/>
        </w:rPr>
        <w:t>联系人：</w:t>
      </w:r>
      <w:r>
        <w:rPr>
          <w:rFonts w:ascii="楷体_GB2312" w:eastAsia="楷体_GB2312"/>
          <w:sz w:val="24"/>
          <w:u w:val="single"/>
        </w:rPr>
        <w:t xml:space="preserve">             </w:t>
      </w:r>
      <w:r>
        <w:rPr>
          <w:rFonts w:ascii="楷体_GB2312" w:eastAsia="楷体_GB2312"/>
          <w:sz w:val="24"/>
        </w:rPr>
        <w:t xml:space="preserve">                  </w:t>
      </w:r>
      <w:r>
        <w:rPr>
          <w:rFonts w:hint="eastAsia" w:ascii="楷体_GB2312" w:eastAsia="楷体_GB2312"/>
          <w:b/>
          <w:sz w:val="24"/>
        </w:rPr>
        <w:t>联系人</w:t>
      </w:r>
      <w:r>
        <w:rPr>
          <w:rFonts w:hint="eastAsia" w:ascii="楷体_GB2312" w:eastAsia="楷体_GB2312"/>
          <w:sz w:val="24"/>
        </w:rPr>
        <w:t>：</w:t>
      </w:r>
    </w:p>
    <w:p>
      <w:pPr>
        <w:spacing w:line="400" w:lineRule="atLeast"/>
        <w:rPr>
          <w:rFonts w:ascii="楷体_GB2312" w:eastAsia="楷体_GB2312"/>
          <w:sz w:val="24"/>
          <w:u w:val="single"/>
        </w:rPr>
      </w:pPr>
      <w:r>
        <w:rPr>
          <w:rFonts w:hint="eastAsia" w:ascii="楷体_GB2312" w:eastAsia="楷体_GB2312"/>
          <w:sz w:val="24"/>
        </w:rPr>
        <w:t>地址：</w:t>
      </w:r>
      <w:r>
        <w:rPr>
          <w:rFonts w:hint="eastAsia" w:ascii="楷体_GB2312" w:eastAsia="楷体_GB2312"/>
          <w:sz w:val="24"/>
        </w:rPr>
        <w:tab/>
      </w:r>
      <w:r>
        <w:rPr>
          <w:rFonts w:hint="eastAsia" w:ascii="楷体_GB2312" w:eastAsia="楷体_GB2312"/>
          <w:sz w:val="24"/>
          <w:u w:val="single"/>
        </w:rPr>
        <w:t xml:space="preserve"> </w:t>
      </w:r>
      <w:r>
        <w:rPr>
          <w:rFonts w:ascii="楷体_GB2312" w:eastAsia="楷体_GB2312"/>
          <w:sz w:val="24"/>
          <w:u w:val="single"/>
        </w:rPr>
        <w:t xml:space="preserve">                        </w:t>
      </w:r>
      <w:r>
        <w:rPr>
          <w:rFonts w:hint="eastAsia" w:ascii="楷体_GB2312" w:eastAsia="楷体_GB2312"/>
          <w:sz w:val="24"/>
        </w:rPr>
        <w:t xml:space="preserve">  </w:t>
      </w:r>
      <w:r>
        <w:rPr>
          <w:rFonts w:ascii="楷体_GB2312" w:eastAsia="楷体_GB2312"/>
          <w:sz w:val="24"/>
        </w:rPr>
        <w:t xml:space="preserve">     </w:t>
      </w:r>
      <w:r>
        <w:rPr>
          <w:rFonts w:hint="eastAsia" w:ascii="楷体_GB2312" w:eastAsia="楷体_GB2312"/>
          <w:sz w:val="24"/>
        </w:rPr>
        <w:t>地址：</w:t>
      </w:r>
    </w:p>
    <w:p>
      <w:pPr>
        <w:spacing w:line="400" w:lineRule="atLeast"/>
        <w:rPr>
          <w:rFonts w:ascii="楷体_GB2312" w:eastAsia="楷体_GB2312"/>
          <w:sz w:val="24"/>
          <w:u w:val="single"/>
        </w:rPr>
      </w:pPr>
      <w:r>
        <w:rPr>
          <w:rFonts w:hint="eastAsia" w:ascii="楷体_GB2312" w:eastAsia="楷体_GB2312"/>
          <w:sz w:val="24"/>
        </w:rPr>
        <w:t>电    话：</w:t>
      </w:r>
      <w:r>
        <w:rPr>
          <w:rFonts w:ascii="楷体_GB2312" w:eastAsia="楷体_GB2312"/>
          <w:sz w:val="24"/>
          <w:u w:val="single"/>
        </w:rPr>
        <w:t xml:space="preserve">               </w:t>
      </w:r>
      <w:r>
        <w:rPr>
          <w:rFonts w:hint="eastAsia" w:ascii="楷体_GB2312" w:eastAsia="楷体_GB2312"/>
          <w:sz w:val="24"/>
          <w:u w:val="single"/>
        </w:rPr>
        <w:t xml:space="preserve">       </w:t>
      </w:r>
      <w:r>
        <w:rPr>
          <w:rFonts w:hint="eastAsia" w:ascii="楷体_GB2312" w:eastAsia="楷体_GB2312"/>
          <w:sz w:val="24"/>
        </w:rPr>
        <w:tab/>
      </w:r>
      <w:r>
        <w:rPr>
          <w:rFonts w:hint="eastAsia" w:ascii="楷体_GB2312" w:eastAsia="楷体_GB2312"/>
          <w:sz w:val="24"/>
        </w:rPr>
        <w:t xml:space="preserve">  </w:t>
      </w:r>
      <w:r>
        <w:rPr>
          <w:rFonts w:ascii="楷体_GB2312" w:eastAsia="楷体_GB2312"/>
          <w:sz w:val="24"/>
        </w:rPr>
        <w:t xml:space="preserve">  </w:t>
      </w:r>
      <w:r>
        <w:rPr>
          <w:rFonts w:hint="eastAsia" w:ascii="楷体_GB2312" w:eastAsia="楷体_GB2312"/>
          <w:sz w:val="24"/>
        </w:rPr>
        <w:t xml:space="preserve">电    话： </w:t>
      </w:r>
    </w:p>
    <w:p>
      <w:pPr>
        <w:spacing w:line="400" w:lineRule="atLeast"/>
        <w:rPr>
          <w:rFonts w:ascii="楷体_GB2312" w:eastAsia="楷体_GB2312"/>
          <w:sz w:val="24"/>
        </w:rPr>
      </w:pPr>
      <w:r>
        <w:rPr>
          <w:rFonts w:hint="eastAsia" w:ascii="楷体_GB2312" w:eastAsia="楷体_GB2312"/>
          <w:sz w:val="24"/>
        </w:rPr>
        <w:t>传    真：</w:t>
      </w:r>
      <w:r>
        <w:rPr>
          <w:rFonts w:hint="eastAsia" w:ascii="楷体_GB2312" w:eastAsia="楷体_GB2312"/>
          <w:sz w:val="24"/>
          <w:u w:val="single"/>
        </w:rPr>
        <w:t xml:space="preserve"> </w:t>
      </w:r>
      <w:r>
        <w:rPr>
          <w:rFonts w:ascii="楷体_GB2312" w:eastAsia="楷体_GB2312"/>
          <w:sz w:val="24"/>
          <w:u w:val="single"/>
        </w:rPr>
        <w:t xml:space="preserve">                     </w:t>
      </w:r>
      <w:r>
        <w:rPr>
          <w:rFonts w:hint="eastAsia" w:ascii="楷体_GB2312" w:eastAsia="楷体_GB2312"/>
          <w:sz w:val="24"/>
        </w:rPr>
        <w:tab/>
      </w:r>
      <w:r>
        <w:rPr>
          <w:rFonts w:ascii="楷体_GB2312" w:eastAsia="楷体_GB2312"/>
          <w:sz w:val="24"/>
        </w:rPr>
        <w:t xml:space="preserve">    </w:t>
      </w:r>
      <w:r>
        <w:rPr>
          <w:rFonts w:hint="eastAsia" w:ascii="楷体_GB2312" w:eastAsia="楷体_GB2312"/>
          <w:sz w:val="24"/>
        </w:rPr>
        <w:t>传    真：</w:t>
      </w:r>
    </w:p>
    <w:p>
      <w:pPr>
        <w:spacing w:line="400" w:lineRule="atLeast"/>
        <w:rPr>
          <w:rFonts w:ascii="楷体_GB2312" w:eastAsia="楷体_GB2312"/>
          <w:sz w:val="24"/>
        </w:rPr>
      </w:pPr>
      <w:r>
        <w:rPr>
          <w:rFonts w:hint="eastAsia" w:ascii="楷体_GB2312" w:eastAsia="楷体_GB2312"/>
          <w:sz w:val="24"/>
        </w:rPr>
        <w:t>开户银行：</w:t>
      </w:r>
      <w:r>
        <w:rPr>
          <w:rFonts w:hint="eastAsia" w:ascii="楷体_GB2312" w:eastAsia="楷体_GB2312"/>
          <w:sz w:val="24"/>
          <w:u w:val="single"/>
        </w:rPr>
        <w:t xml:space="preserve"> </w:t>
      </w:r>
      <w:r>
        <w:rPr>
          <w:rFonts w:ascii="楷体_GB2312" w:eastAsia="楷体_GB2312"/>
          <w:sz w:val="24"/>
          <w:u w:val="single"/>
        </w:rPr>
        <w:t xml:space="preserve">                  </w:t>
      </w:r>
      <w:r>
        <w:rPr>
          <w:rFonts w:hint="eastAsia" w:ascii="楷体_GB2312" w:eastAsia="楷体_GB2312"/>
          <w:sz w:val="24"/>
          <w:u w:val="single"/>
        </w:rPr>
        <w:t xml:space="preserve">   </w:t>
      </w:r>
      <w:r>
        <w:rPr>
          <w:rFonts w:hint="eastAsia" w:ascii="楷体_GB2312" w:eastAsia="楷体_GB2312"/>
          <w:sz w:val="24"/>
        </w:rPr>
        <w:t xml:space="preserve">   </w:t>
      </w:r>
      <w:r>
        <w:rPr>
          <w:rFonts w:ascii="楷体_GB2312" w:eastAsia="楷体_GB2312"/>
          <w:sz w:val="24"/>
        </w:rPr>
        <w:t xml:space="preserve">    </w:t>
      </w:r>
      <w:r>
        <w:rPr>
          <w:rFonts w:hint="eastAsia" w:ascii="楷体_GB2312" w:eastAsia="楷体_GB2312"/>
          <w:sz w:val="24"/>
        </w:rPr>
        <w:t>开户银行：</w:t>
      </w:r>
    </w:p>
    <w:p>
      <w:pPr>
        <w:spacing w:line="400" w:lineRule="atLeast"/>
        <w:rPr>
          <w:rFonts w:ascii="楷体_GB2312" w:eastAsia="楷体_GB2312"/>
          <w:sz w:val="24"/>
        </w:rPr>
      </w:pPr>
      <w:r>
        <w:rPr>
          <w:rFonts w:hint="eastAsia" w:ascii="楷体_GB2312" w:eastAsia="楷体_GB2312"/>
          <w:sz w:val="24"/>
        </w:rPr>
        <w:t>帐号：</w:t>
      </w:r>
      <w:r>
        <w:rPr>
          <w:rFonts w:ascii="楷体_GB2312" w:eastAsia="楷体_GB2312"/>
          <w:sz w:val="24"/>
          <w:u w:val="single"/>
        </w:rPr>
        <w:t xml:space="preserve">                           </w:t>
      </w:r>
      <w:r>
        <w:rPr>
          <w:rFonts w:ascii="楷体_GB2312" w:eastAsia="楷体_GB2312"/>
          <w:sz w:val="24"/>
        </w:rPr>
        <w:t xml:space="preserve">      </w:t>
      </w:r>
      <w:r>
        <w:rPr>
          <w:rFonts w:hint="eastAsia" w:ascii="楷体_GB2312" w:eastAsia="楷体_GB2312"/>
          <w:sz w:val="24"/>
        </w:rPr>
        <w:t xml:space="preserve">帐 </w:t>
      </w:r>
      <w:r>
        <w:rPr>
          <w:rFonts w:ascii="楷体_GB2312" w:eastAsia="楷体_GB2312"/>
          <w:sz w:val="24"/>
        </w:rPr>
        <w:t xml:space="preserve">   </w:t>
      </w:r>
      <w:r>
        <w:rPr>
          <w:rFonts w:hint="eastAsia" w:ascii="楷体_GB2312" w:eastAsia="楷体_GB2312"/>
          <w:sz w:val="24"/>
        </w:rPr>
        <w:t>号：</w:t>
      </w:r>
    </w:p>
    <w:p>
      <w:pPr>
        <w:tabs>
          <w:tab w:val="left" w:pos="720"/>
        </w:tabs>
        <w:spacing w:line="360" w:lineRule="auto"/>
        <w:ind w:firstLine="561"/>
        <w:rPr>
          <w:rFonts w:ascii="宋体" w:hAnsi="宋体"/>
          <w:sz w:val="24"/>
        </w:rPr>
      </w:pPr>
      <w:r>
        <w:rPr>
          <w:rFonts w:ascii="仿宋_GB2312" w:eastAsia="仿宋_GB2312"/>
          <w:b/>
          <w:sz w:val="28"/>
        </w:rPr>
        <w:br w:type="page"/>
      </w:r>
      <w:r>
        <w:rPr>
          <w:rFonts w:hint="eastAsia" w:ascii="宋体" w:hAnsi="宋体"/>
          <w:sz w:val="24"/>
        </w:rPr>
        <w:t>依据《中华人民共和国合同法》及相关的法律法规之规定，在自愿、平等、互利互惠、协商一致的基础上，按照广州市净水有限公司系统项目的具体要求，</w:t>
      </w:r>
      <w:r>
        <w:rPr>
          <w:rFonts w:hint="eastAsia"/>
          <w:sz w:val="24"/>
        </w:rPr>
        <w:t>本着友好合作的原则，经双方充分协商一致，签订本合同，以供双方共同遵守。</w:t>
      </w:r>
    </w:p>
    <w:p>
      <w:pPr>
        <w:pStyle w:val="3"/>
        <w:jc w:val="center"/>
      </w:pPr>
      <w:bookmarkStart w:id="11" w:name="_Toc318878189"/>
      <w:bookmarkStart w:id="12" w:name="_Toc321498836"/>
      <w:bookmarkStart w:id="13" w:name="_Toc318737187"/>
      <w:bookmarkStart w:id="14" w:name="_Toc324870842"/>
      <w:r>
        <w:rPr>
          <w:rFonts w:hint="eastAsia"/>
        </w:rPr>
        <w:t>第一条</w:t>
      </w:r>
      <w:r>
        <w:rPr>
          <w:rFonts w:hint="eastAsia"/>
        </w:rPr>
        <w:tab/>
      </w:r>
      <w:r>
        <w:rPr>
          <w:rFonts w:hint="eastAsia"/>
        </w:rPr>
        <w:t>定义</w:t>
      </w:r>
      <w:bookmarkEnd w:id="11"/>
      <w:bookmarkEnd w:id="12"/>
      <w:bookmarkEnd w:id="13"/>
      <w:bookmarkEnd w:id="14"/>
    </w:p>
    <w:p>
      <w:pPr>
        <w:spacing w:line="360" w:lineRule="auto"/>
        <w:ind w:firstLine="576"/>
        <w:rPr>
          <w:sz w:val="24"/>
        </w:rPr>
      </w:pPr>
      <w:r>
        <w:rPr>
          <w:sz w:val="24"/>
        </w:rPr>
        <w:t>本合同以下的用词及词语，应具有本</w:t>
      </w:r>
      <w:r>
        <w:rPr>
          <w:rFonts w:hint="eastAsia"/>
          <w:sz w:val="24"/>
        </w:rPr>
        <w:t>章</w:t>
      </w:r>
      <w:r>
        <w:rPr>
          <w:sz w:val="24"/>
        </w:rPr>
        <w:t>所赋予的含义。</w:t>
      </w:r>
    </w:p>
    <w:p>
      <w:pPr>
        <w:spacing w:line="360" w:lineRule="auto"/>
        <w:ind w:firstLine="576"/>
        <w:rPr>
          <w:sz w:val="24"/>
        </w:rPr>
      </w:pPr>
      <w:r>
        <w:rPr>
          <w:sz w:val="24"/>
        </w:rPr>
        <w:t>1.合同：</w:t>
      </w:r>
      <w:r>
        <w:rPr>
          <w:rFonts w:hint="eastAsia"/>
          <w:sz w:val="24"/>
        </w:rPr>
        <w:t>指甲方、乙方双方共同签署的本合同及附件。</w:t>
      </w:r>
    </w:p>
    <w:p>
      <w:pPr>
        <w:spacing w:line="360" w:lineRule="auto"/>
        <w:ind w:firstLine="576"/>
        <w:rPr>
          <w:sz w:val="24"/>
        </w:rPr>
      </w:pPr>
      <w:r>
        <w:rPr>
          <w:rFonts w:hint="eastAsia"/>
          <w:sz w:val="24"/>
        </w:rPr>
        <w:t>2</w:t>
      </w:r>
      <w:r>
        <w:rPr>
          <w:sz w:val="24"/>
        </w:rPr>
        <w:t>.</w:t>
      </w:r>
      <w:r>
        <w:rPr>
          <w:rFonts w:hint="eastAsia"/>
          <w:sz w:val="24"/>
        </w:rPr>
        <w:t>甲</w:t>
      </w:r>
      <w:r>
        <w:rPr>
          <w:sz w:val="24"/>
        </w:rPr>
        <w:t>方：</w:t>
      </w:r>
      <w:r>
        <w:rPr>
          <w:rFonts w:hint="eastAsia"/>
          <w:sz w:val="24"/>
        </w:rPr>
        <w:t>广州市净水有限公司</w:t>
      </w:r>
    </w:p>
    <w:p>
      <w:pPr>
        <w:spacing w:line="360" w:lineRule="auto"/>
        <w:ind w:firstLine="576"/>
        <w:rPr>
          <w:sz w:val="24"/>
        </w:rPr>
      </w:pPr>
      <w:r>
        <w:rPr>
          <w:sz w:val="24"/>
        </w:rPr>
        <w:t>3</w:t>
      </w:r>
      <w:r>
        <w:rPr>
          <w:rFonts w:hint="eastAsia"/>
          <w:sz w:val="24"/>
        </w:rPr>
        <w:t>.乙</w:t>
      </w:r>
      <w:r>
        <w:rPr>
          <w:sz w:val="24"/>
        </w:rPr>
        <w:t>方：</w:t>
      </w:r>
    </w:p>
    <w:p>
      <w:pPr>
        <w:spacing w:line="360" w:lineRule="auto"/>
        <w:ind w:firstLine="576"/>
        <w:rPr>
          <w:rFonts w:ascii="宋体" w:hAnsi="宋体"/>
          <w:sz w:val="24"/>
        </w:rPr>
      </w:pPr>
      <w:r>
        <w:rPr>
          <w:rFonts w:hint="eastAsia"/>
          <w:sz w:val="24"/>
        </w:rPr>
        <w:t>4.</w:t>
      </w:r>
      <w:r>
        <w:rPr>
          <w:rFonts w:hint="eastAsia"/>
          <w:sz w:val="24"/>
        </w:rPr>
        <w:tab/>
      </w:r>
      <w:r>
        <w:rPr>
          <w:rFonts w:hint="eastAsia"/>
          <w:sz w:val="24"/>
        </w:rPr>
        <w:t>项目</w:t>
      </w:r>
      <w:r>
        <w:rPr>
          <w:sz w:val="24"/>
        </w:rPr>
        <w:t>：</w:t>
      </w:r>
      <w:r>
        <w:rPr>
          <w:rFonts w:hint="eastAsia"/>
          <w:sz w:val="24"/>
        </w:rPr>
        <w:t>广州市净水有限公司无纸化会议系统建设项目</w:t>
      </w:r>
    </w:p>
    <w:p>
      <w:pPr>
        <w:spacing w:line="360" w:lineRule="auto"/>
        <w:ind w:firstLine="576"/>
        <w:rPr>
          <w:sz w:val="24"/>
        </w:rPr>
      </w:pPr>
      <w:r>
        <w:rPr>
          <w:rFonts w:hint="eastAsia"/>
          <w:sz w:val="24"/>
        </w:rPr>
        <w:t>5.</w:t>
      </w:r>
      <w:r>
        <w:rPr>
          <w:rFonts w:hint="eastAsia"/>
          <w:sz w:val="24"/>
        </w:rPr>
        <w:tab/>
      </w:r>
      <w:r>
        <w:rPr>
          <w:sz w:val="24"/>
        </w:rPr>
        <w:t>合同价款：</w:t>
      </w:r>
      <w:r>
        <w:rPr>
          <w:rFonts w:hint="eastAsia"/>
          <w:sz w:val="24"/>
        </w:rPr>
        <w:t>指乙方在正确地完全履行本合同约定的义务后，甲方根据本合同约定应支付给乙方的价款。</w:t>
      </w:r>
    </w:p>
    <w:p>
      <w:pPr>
        <w:spacing w:line="360" w:lineRule="auto"/>
        <w:ind w:firstLine="576"/>
        <w:rPr>
          <w:sz w:val="24"/>
        </w:rPr>
      </w:pPr>
      <w:r>
        <w:rPr>
          <w:rFonts w:hint="eastAsia"/>
          <w:sz w:val="24"/>
        </w:rPr>
        <w:t>6.</w:t>
      </w:r>
      <w:r>
        <w:rPr>
          <w:rFonts w:hint="eastAsia"/>
          <w:sz w:val="24"/>
        </w:rPr>
        <w:tab/>
      </w:r>
      <w:r>
        <w:rPr>
          <w:sz w:val="24"/>
        </w:rPr>
        <w:t>现场</w:t>
      </w:r>
      <w:r>
        <w:rPr>
          <w:rFonts w:hint="eastAsia"/>
          <w:sz w:val="24"/>
        </w:rPr>
        <w:t>：广州市天河区临江大道501号。</w:t>
      </w:r>
    </w:p>
    <w:p>
      <w:pPr>
        <w:spacing w:line="360" w:lineRule="auto"/>
        <w:ind w:firstLine="576"/>
        <w:rPr>
          <w:sz w:val="24"/>
        </w:rPr>
      </w:pPr>
      <w:r>
        <w:rPr>
          <w:rFonts w:hint="eastAsia"/>
          <w:sz w:val="24"/>
        </w:rPr>
        <w:t>7.</w:t>
      </w:r>
      <w:r>
        <w:rPr>
          <w:rFonts w:hint="eastAsia"/>
          <w:sz w:val="24"/>
        </w:rPr>
        <w:tab/>
      </w:r>
      <w:r>
        <w:rPr>
          <w:sz w:val="24"/>
        </w:rPr>
        <w:t>验收</w:t>
      </w:r>
      <w:r>
        <w:rPr>
          <w:rFonts w:hint="eastAsia"/>
          <w:sz w:val="24"/>
        </w:rPr>
        <w:t>：</w:t>
      </w:r>
      <w:r>
        <w:rPr>
          <w:sz w:val="24"/>
        </w:rPr>
        <w:t>指</w:t>
      </w:r>
      <w:r>
        <w:rPr>
          <w:rFonts w:hint="eastAsia"/>
          <w:sz w:val="24"/>
        </w:rPr>
        <w:t>本项目建设的无纸化会议系统自初步验收后能连续正常稳定地运行30个工作日，并完成相关的培训，完全实现甲方项目需求书上的运行效果与建设目标。最终验收由甲方发起，乙方需要在三个工作日内响应。</w:t>
      </w:r>
      <w:r>
        <w:rPr>
          <w:sz w:val="24"/>
        </w:rPr>
        <w:t>经</w:t>
      </w:r>
      <w:r>
        <w:rPr>
          <w:rFonts w:hint="eastAsia"/>
          <w:sz w:val="24"/>
        </w:rPr>
        <w:t>甲方对最终</w:t>
      </w:r>
      <w:r>
        <w:rPr>
          <w:sz w:val="24"/>
        </w:rPr>
        <w:t>验收确认</w:t>
      </w:r>
      <w:r>
        <w:rPr>
          <w:rFonts w:hint="eastAsia"/>
          <w:sz w:val="24"/>
        </w:rPr>
        <w:t>后</w:t>
      </w:r>
      <w:r>
        <w:rPr>
          <w:sz w:val="24"/>
        </w:rPr>
        <w:t>，</w:t>
      </w:r>
      <w:r>
        <w:rPr>
          <w:rFonts w:hint="eastAsia"/>
          <w:sz w:val="24"/>
        </w:rPr>
        <w:t>甲方</w:t>
      </w:r>
      <w:r>
        <w:rPr>
          <w:sz w:val="24"/>
        </w:rPr>
        <w:t>向</w:t>
      </w:r>
      <w:r>
        <w:rPr>
          <w:rFonts w:hint="eastAsia"/>
          <w:sz w:val="24"/>
        </w:rPr>
        <w:t>乙方</w:t>
      </w:r>
      <w:r>
        <w:rPr>
          <w:sz w:val="24"/>
        </w:rPr>
        <w:t>签发最终验收证书</w:t>
      </w:r>
      <w:r>
        <w:rPr>
          <w:rFonts w:hint="eastAsia"/>
          <w:sz w:val="24"/>
        </w:rPr>
        <w:t>，</w:t>
      </w:r>
      <w:r>
        <w:rPr>
          <w:sz w:val="24"/>
        </w:rPr>
        <w:t>证书由</w:t>
      </w:r>
      <w:r>
        <w:rPr>
          <w:rFonts w:hint="eastAsia"/>
          <w:sz w:val="24"/>
        </w:rPr>
        <w:t>双方</w:t>
      </w:r>
      <w:r>
        <w:rPr>
          <w:sz w:val="24"/>
        </w:rPr>
        <w:t>签字</w:t>
      </w:r>
      <w:r>
        <w:rPr>
          <w:rFonts w:hint="eastAsia"/>
          <w:sz w:val="24"/>
        </w:rPr>
        <w:t>确定</w:t>
      </w:r>
      <w:r>
        <w:rPr>
          <w:sz w:val="24"/>
        </w:rPr>
        <w:t>。</w:t>
      </w:r>
    </w:p>
    <w:p>
      <w:pPr>
        <w:spacing w:line="360" w:lineRule="auto"/>
        <w:ind w:firstLine="576"/>
        <w:rPr>
          <w:sz w:val="24"/>
        </w:rPr>
      </w:pPr>
      <w:r>
        <w:rPr>
          <w:rFonts w:hint="eastAsia"/>
          <w:sz w:val="24"/>
        </w:rPr>
        <w:t>8.</w:t>
      </w:r>
      <w:r>
        <w:rPr>
          <w:sz w:val="24"/>
        </w:rPr>
        <w:t>合同货币</w:t>
      </w:r>
      <w:r>
        <w:rPr>
          <w:rFonts w:hint="eastAsia"/>
          <w:sz w:val="24"/>
        </w:rPr>
        <w:t>：</w:t>
      </w:r>
      <w:r>
        <w:rPr>
          <w:sz w:val="24"/>
        </w:rPr>
        <w:t>指合同付款的货币，即人民币。</w:t>
      </w:r>
    </w:p>
    <w:p>
      <w:pPr>
        <w:spacing w:line="360" w:lineRule="auto"/>
        <w:ind w:firstLine="576"/>
        <w:rPr>
          <w:sz w:val="24"/>
        </w:rPr>
      </w:pPr>
      <w:r>
        <w:rPr>
          <w:rFonts w:hint="eastAsia"/>
          <w:sz w:val="24"/>
        </w:rPr>
        <w:t>9.总价包干方式：包工、包料、包开发、包调试、包验收、包培训、包运维（1年）的总价包干方式。</w:t>
      </w:r>
    </w:p>
    <w:p>
      <w:pPr>
        <w:spacing w:line="360" w:lineRule="auto"/>
        <w:ind w:firstLine="576"/>
        <w:rPr>
          <w:sz w:val="24"/>
        </w:rPr>
      </w:pPr>
      <w:r>
        <w:rPr>
          <w:rFonts w:hint="eastAsia"/>
          <w:sz w:val="24"/>
        </w:rPr>
        <w:t>10.规格：是指在技术或其它开发任务上所设定的关于设备的技术标准、规范。</w:t>
      </w:r>
    </w:p>
    <w:p>
      <w:pPr>
        <w:spacing w:line="360" w:lineRule="auto"/>
        <w:ind w:firstLine="576"/>
        <w:rPr>
          <w:sz w:val="24"/>
        </w:rPr>
      </w:pPr>
      <w:r>
        <w:rPr>
          <w:rFonts w:hint="eastAsia"/>
          <w:sz w:val="24"/>
        </w:rPr>
        <w:t>11.</w:t>
      </w:r>
      <w:r>
        <w:rPr>
          <w:sz w:val="24"/>
        </w:rPr>
        <w:t>技术服务</w:t>
      </w:r>
      <w:r>
        <w:rPr>
          <w:rFonts w:hint="eastAsia"/>
          <w:sz w:val="24"/>
        </w:rPr>
        <w:t>：</w:t>
      </w:r>
      <w:r>
        <w:rPr>
          <w:sz w:val="24"/>
        </w:rPr>
        <w:t>指</w:t>
      </w:r>
      <w:r>
        <w:rPr>
          <w:rFonts w:hint="eastAsia"/>
          <w:sz w:val="24"/>
        </w:rPr>
        <w:t>乙方负责</w:t>
      </w:r>
      <w:r>
        <w:rPr>
          <w:sz w:val="24"/>
        </w:rPr>
        <w:t>合同</w:t>
      </w:r>
      <w:r>
        <w:rPr>
          <w:rFonts w:hint="eastAsia"/>
          <w:sz w:val="24"/>
        </w:rPr>
        <w:t>系统建设、设备材料购置、运维期内的维护，以及对</w:t>
      </w:r>
      <w:r>
        <w:rPr>
          <w:sz w:val="24"/>
        </w:rPr>
        <w:t>验收、运行、维护等相关工作的技术指导</w:t>
      </w:r>
      <w:r>
        <w:rPr>
          <w:rFonts w:hint="eastAsia"/>
          <w:sz w:val="24"/>
        </w:rPr>
        <w:t>。</w:t>
      </w:r>
      <w:r>
        <w:rPr>
          <w:rFonts w:hint="eastAsia"/>
          <w:sz w:val="24"/>
        </w:rPr>
        <w:tab/>
      </w:r>
    </w:p>
    <w:p>
      <w:pPr>
        <w:spacing w:line="360" w:lineRule="auto"/>
        <w:ind w:firstLine="576"/>
      </w:pPr>
      <w:r>
        <w:rPr>
          <w:rFonts w:hint="eastAsia"/>
          <w:sz w:val="24"/>
        </w:rPr>
        <w:t>12.</w:t>
      </w:r>
      <w:r>
        <w:rPr>
          <w:sz w:val="24"/>
        </w:rPr>
        <w:t>技术培训</w:t>
      </w:r>
      <w:r>
        <w:rPr>
          <w:rFonts w:hint="eastAsia"/>
          <w:sz w:val="24"/>
        </w:rPr>
        <w:t>：</w:t>
      </w:r>
      <w:r>
        <w:rPr>
          <w:sz w:val="24"/>
        </w:rPr>
        <w:t>指</w:t>
      </w:r>
      <w:r>
        <w:rPr>
          <w:rFonts w:hint="eastAsia"/>
          <w:sz w:val="24"/>
        </w:rPr>
        <w:t>乙方就系统</w:t>
      </w:r>
      <w:r>
        <w:rPr>
          <w:sz w:val="24"/>
        </w:rPr>
        <w:t>的安装、调试、运行</w:t>
      </w:r>
      <w:r>
        <w:rPr>
          <w:rFonts w:hint="eastAsia"/>
          <w:sz w:val="24"/>
        </w:rPr>
        <w:t>、使用</w:t>
      </w:r>
      <w:r>
        <w:rPr>
          <w:sz w:val="24"/>
        </w:rPr>
        <w:t>和维护等相关工作向</w:t>
      </w:r>
      <w:r>
        <w:rPr>
          <w:rFonts w:hint="eastAsia"/>
          <w:sz w:val="24"/>
        </w:rPr>
        <w:t>甲方</w:t>
      </w:r>
      <w:r>
        <w:rPr>
          <w:sz w:val="24"/>
        </w:rPr>
        <w:t>提供的培训。</w:t>
      </w:r>
      <w:bookmarkStart w:id="15" w:name="_Toc321498837"/>
      <w:bookmarkStart w:id="16" w:name="_Toc324870843"/>
      <w:bookmarkStart w:id="17" w:name="_Toc318878190"/>
      <w:bookmarkStart w:id="18" w:name="_Toc318737188"/>
    </w:p>
    <w:p>
      <w:pPr>
        <w:spacing w:line="360" w:lineRule="auto"/>
        <w:ind w:firstLine="576"/>
        <w:rPr>
          <w:sz w:val="24"/>
        </w:rPr>
        <w:sectPr>
          <w:pgSz w:w="11906" w:h="16838"/>
          <w:pgMar w:top="1089" w:right="1466" w:bottom="1089" w:left="1077" w:header="851" w:footer="992" w:gutter="0"/>
          <w:cols w:space="720" w:num="1"/>
          <w:docGrid w:type="lines" w:linePitch="312" w:charSpace="0"/>
        </w:sectPr>
      </w:pPr>
      <w:r>
        <w:rPr>
          <w:sz w:val="24"/>
        </w:rPr>
        <w:t>13．总工期：自甲方通知的开工日期起计算至项目最终验收合格之日止，共90个日历日。</w:t>
      </w:r>
    </w:p>
    <w:p>
      <w:pPr>
        <w:pStyle w:val="3"/>
        <w:jc w:val="center"/>
      </w:pPr>
      <w:r>
        <w:rPr>
          <w:rFonts w:hint="eastAsia"/>
        </w:rPr>
        <w:t>第二条合同标的</w:t>
      </w:r>
      <w:bookmarkEnd w:id="15"/>
      <w:bookmarkEnd w:id="16"/>
      <w:bookmarkEnd w:id="17"/>
      <w:bookmarkEnd w:id="18"/>
    </w:p>
    <w:p>
      <w:pPr>
        <w:spacing w:line="360" w:lineRule="auto"/>
        <w:ind w:firstLine="576"/>
        <w:rPr>
          <w:sz w:val="24"/>
        </w:rPr>
      </w:pPr>
      <w:r>
        <w:rPr>
          <w:rFonts w:hint="eastAsia"/>
          <w:sz w:val="24"/>
        </w:rPr>
        <w:t>1. 本内容为广州市净水有限公司无纸化会议系统建设项目，包括系统建设、软硬件设备购置、培训、维保。</w:t>
      </w:r>
    </w:p>
    <w:p>
      <w:pPr>
        <w:spacing w:line="360" w:lineRule="auto"/>
        <w:ind w:firstLine="576"/>
        <w:rPr>
          <w:sz w:val="24"/>
        </w:rPr>
      </w:pPr>
      <w:r>
        <w:rPr>
          <w:rFonts w:hint="eastAsia"/>
          <w:sz w:val="24"/>
        </w:rPr>
        <w:t>2. 乙方应向甲方提供所有的设备、软件、技术文件、服务等以便于合同的执行。乙方保证，如果其在合同执行期间乙方提供的服务不能完全满足安全、可靠运行或合同规定的性能，乙方应增加人力物力，尽快向甲方提供达到合同规定性能的服务，并不因此而增加合同价格。</w:t>
      </w:r>
    </w:p>
    <w:p>
      <w:pPr>
        <w:spacing w:line="360" w:lineRule="auto"/>
        <w:ind w:firstLine="576"/>
        <w:rPr>
          <w:sz w:val="24"/>
        </w:rPr>
      </w:pPr>
      <w:r>
        <w:rPr>
          <w:rFonts w:hint="eastAsia"/>
          <w:sz w:val="24"/>
        </w:rPr>
        <w:t>3.乙</w:t>
      </w:r>
      <w:r>
        <w:rPr>
          <w:sz w:val="24"/>
        </w:rPr>
        <w:t>方应根据</w:t>
      </w:r>
      <w:r>
        <w:rPr>
          <w:rFonts w:hint="eastAsia"/>
          <w:sz w:val="24"/>
        </w:rPr>
        <w:t>询价文件</w:t>
      </w:r>
      <w:r>
        <w:rPr>
          <w:sz w:val="24"/>
        </w:rPr>
        <w:t>规定的范围、规格、数量提供相应的服务</w:t>
      </w:r>
      <w:r>
        <w:rPr>
          <w:rFonts w:hint="eastAsia"/>
          <w:sz w:val="24"/>
        </w:rPr>
        <w:t>，以</w:t>
      </w:r>
      <w:r>
        <w:rPr>
          <w:sz w:val="24"/>
        </w:rPr>
        <w:t>保证合同</w:t>
      </w:r>
      <w:r>
        <w:rPr>
          <w:rFonts w:hint="eastAsia"/>
          <w:sz w:val="24"/>
        </w:rPr>
        <w:t>所有设备</w:t>
      </w:r>
      <w:r>
        <w:rPr>
          <w:sz w:val="24"/>
        </w:rPr>
        <w:t>的安全和正常运行。</w:t>
      </w:r>
    </w:p>
    <w:p>
      <w:pPr>
        <w:spacing w:line="360" w:lineRule="auto"/>
        <w:ind w:firstLine="576"/>
        <w:rPr>
          <w:sz w:val="24"/>
        </w:rPr>
      </w:pPr>
      <w:r>
        <w:rPr>
          <w:rFonts w:hint="eastAsia"/>
          <w:sz w:val="24"/>
        </w:rPr>
        <w:t>4. 乙方</w:t>
      </w:r>
      <w:r>
        <w:rPr>
          <w:sz w:val="24"/>
        </w:rPr>
        <w:t>应当派遣</w:t>
      </w:r>
      <w:r>
        <w:rPr>
          <w:rFonts w:hint="eastAsia"/>
          <w:sz w:val="24"/>
        </w:rPr>
        <w:t>足够的、</w:t>
      </w:r>
      <w:r>
        <w:rPr>
          <w:sz w:val="24"/>
        </w:rPr>
        <w:t>有经验的、健康的、合格的人员到</w:t>
      </w:r>
      <w:r>
        <w:rPr>
          <w:rFonts w:hint="eastAsia"/>
          <w:sz w:val="24"/>
        </w:rPr>
        <w:t>甲</w:t>
      </w:r>
      <w:r>
        <w:rPr>
          <w:sz w:val="24"/>
        </w:rPr>
        <w:t>方的项目现场提供技术服务。</w:t>
      </w:r>
    </w:p>
    <w:p>
      <w:pPr>
        <w:spacing w:line="360" w:lineRule="auto"/>
        <w:ind w:firstLine="576"/>
        <w:rPr>
          <w:sz w:val="24"/>
        </w:rPr>
      </w:pPr>
      <w:r>
        <w:rPr>
          <w:rFonts w:hint="eastAsia"/>
          <w:sz w:val="24"/>
        </w:rPr>
        <w:t>5. 乙</w:t>
      </w:r>
      <w:r>
        <w:rPr>
          <w:sz w:val="24"/>
        </w:rPr>
        <w:t>方负责对</w:t>
      </w:r>
      <w:r>
        <w:rPr>
          <w:rFonts w:hint="eastAsia"/>
          <w:sz w:val="24"/>
        </w:rPr>
        <w:t>甲</w:t>
      </w:r>
      <w:r>
        <w:rPr>
          <w:sz w:val="24"/>
        </w:rPr>
        <w:t>方派遣的技术人员</w:t>
      </w:r>
      <w:r>
        <w:rPr>
          <w:rFonts w:hint="eastAsia"/>
          <w:sz w:val="24"/>
        </w:rPr>
        <w:t>和系统用户</w:t>
      </w:r>
      <w:r>
        <w:rPr>
          <w:sz w:val="24"/>
        </w:rPr>
        <w:t>进行培训。</w:t>
      </w:r>
    </w:p>
    <w:p>
      <w:pPr>
        <w:spacing w:line="360" w:lineRule="auto"/>
        <w:ind w:firstLine="576"/>
        <w:rPr>
          <w:sz w:val="24"/>
        </w:rPr>
      </w:pPr>
      <w:r>
        <w:rPr>
          <w:rFonts w:hint="eastAsia"/>
          <w:sz w:val="24"/>
        </w:rPr>
        <w:t>6. 乙方应履行合同约定的其他义务和责任。</w:t>
      </w:r>
    </w:p>
    <w:p>
      <w:pPr>
        <w:pStyle w:val="3"/>
        <w:jc w:val="center"/>
      </w:pPr>
      <w:bookmarkStart w:id="19" w:name="_Toc318737189"/>
      <w:bookmarkStart w:id="20" w:name="_Toc318878191"/>
      <w:bookmarkStart w:id="21" w:name="_Toc324870844"/>
      <w:bookmarkStart w:id="22" w:name="_Toc321498838"/>
      <w:r>
        <w:rPr>
          <w:rFonts w:hint="eastAsia"/>
        </w:rPr>
        <w:t>第三条建设项目</w:t>
      </w:r>
      <w:bookmarkEnd w:id="19"/>
      <w:bookmarkEnd w:id="20"/>
      <w:bookmarkEnd w:id="21"/>
      <w:bookmarkEnd w:id="22"/>
    </w:p>
    <w:p>
      <w:pPr>
        <w:numPr>
          <w:ilvl w:val="0"/>
          <w:numId w:val="8"/>
        </w:numPr>
        <w:spacing w:line="360" w:lineRule="auto"/>
        <w:rPr>
          <w:sz w:val="24"/>
        </w:rPr>
      </w:pPr>
      <w:r>
        <w:rPr>
          <w:rFonts w:hint="eastAsia"/>
          <w:sz w:val="24"/>
        </w:rPr>
        <w:t>项目名称：广州市净水有限无纸化会议系统建设项目</w:t>
      </w:r>
    </w:p>
    <w:p>
      <w:pPr>
        <w:numPr>
          <w:ilvl w:val="0"/>
          <w:numId w:val="8"/>
        </w:numPr>
        <w:spacing w:line="360" w:lineRule="auto"/>
        <w:rPr>
          <w:sz w:val="24"/>
        </w:rPr>
      </w:pPr>
      <w:r>
        <w:rPr>
          <w:rFonts w:hint="eastAsia"/>
          <w:sz w:val="24"/>
        </w:rPr>
        <w:t>项目地点：广州市天河区临江大道501号</w:t>
      </w:r>
    </w:p>
    <w:p>
      <w:pPr>
        <w:numPr>
          <w:ilvl w:val="0"/>
          <w:numId w:val="8"/>
        </w:numPr>
        <w:spacing w:line="360" w:lineRule="auto"/>
        <w:rPr>
          <w:sz w:val="24"/>
        </w:rPr>
      </w:pPr>
      <w:r>
        <w:rPr>
          <w:rFonts w:hint="eastAsia"/>
          <w:sz w:val="24"/>
        </w:rPr>
        <w:t>项目范围：无纸化会议系统的建设、软硬件设备购置、培训、运维。</w:t>
      </w:r>
    </w:p>
    <w:p>
      <w:pPr>
        <w:numPr>
          <w:ilvl w:val="0"/>
          <w:numId w:val="8"/>
        </w:numPr>
        <w:spacing w:line="360" w:lineRule="auto"/>
        <w:rPr>
          <w:sz w:val="24"/>
        </w:rPr>
      </w:pPr>
      <w:r>
        <w:rPr>
          <w:rFonts w:hint="eastAsia"/>
          <w:sz w:val="24"/>
        </w:rPr>
        <w:t>项目目标：</w:t>
      </w:r>
      <w:r>
        <w:rPr>
          <w:sz w:val="24"/>
        </w:rPr>
        <w:t>项目建设的总体目标</w:t>
      </w:r>
      <w:r>
        <w:rPr>
          <w:rFonts w:hint="eastAsia"/>
          <w:sz w:val="24"/>
        </w:rPr>
        <w:t>——完成无纸化会议系统的建设。</w:t>
      </w:r>
    </w:p>
    <w:p>
      <w:pPr>
        <w:pStyle w:val="38"/>
        <w:numPr>
          <w:ilvl w:val="0"/>
          <w:numId w:val="9"/>
        </w:numPr>
        <w:spacing w:line="360" w:lineRule="auto"/>
        <w:ind w:left="0" w:firstLine="480"/>
        <w:rPr>
          <w:rFonts w:ascii="宋体" w:hAnsi="宋体"/>
          <w:sz w:val="24"/>
          <w:szCs w:val="24"/>
        </w:rPr>
      </w:pPr>
      <w:r>
        <w:rPr>
          <w:rFonts w:hint="eastAsia" w:ascii="宋体" w:hAnsi="宋体"/>
          <w:sz w:val="24"/>
          <w:szCs w:val="24"/>
        </w:rPr>
        <w:t>完成询价文件规定的</w:t>
      </w:r>
      <w:r>
        <w:rPr>
          <w:rFonts w:hint="eastAsia"/>
          <w:sz w:val="24"/>
        </w:rPr>
        <w:t>无纸化会议系统建设</w:t>
      </w:r>
      <w:r>
        <w:rPr>
          <w:rFonts w:hint="eastAsia" w:ascii="宋体" w:hAnsi="宋体"/>
          <w:sz w:val="24"/>
          <w:szCs w:val="24"/>
        </w:rPr>
        <w:t>；</w:t>
      </w:r>
    </w:p>
    <w:p>
      <w:pPr>
        <w:pStyle w:val="38"/>
        <w:numPr>
          <w:ilvl w:val="0"/>
          <w:numId w:val="9"/>
        </w:numPr>
        <w:spacing w:line="360" w:lineRule="auto"/>
        <w:ind w:left="0" w:firstLine="480"/>
        <w:rPr>
          <w:rFonts w:ascii="宋体" w:hAnsi="宋体"/>
          <w:sz w:val="24"/>
          <w:szCs w:val="24"/>
        </w:rPr>
      </w:pPr>
      <w:r>
        <w:rPr>
          <w:rFonts w:hint="eastAsia" w:ascii="宋体" w:hAnsi="宋体"/>
          <w:sz w:val="24"/>
          <w:szCs w:val="24"/>
        </w:rPr>
        <w:t>解决系统使用过程中产生的问题；</w:t>
      </w:r>
    </w:p>
    <w:p>
      <w:pPr>
        <w:pStyle w:val="38"/>
        <w:numPr>
          <w:ilvl w:val="0"/>
          <w:numId w:val="9"/>
        </w:numPr>
        <w:spacing w:line="360" w:lineRule="auto"/>
        <w:ind w:left="0" w:firstLine="480"/>
        <w:rPr>
          <w:rFonts w:ascii="宋体" w:hAnsi="宋体"/>
          <w:sz w:val="24"/>
          <w:szCs w:val="24"/>
        </w:rPr>
      </w:pPr>
      <w:r>
        <w:rPr>
          <w:rFonts w:hint="eastAsia" w:ascii="宋体" w:hAnsi="宋体"/>
          <w:sz w:val="24"/>
          <w:szCs w:val="24"/>
        </w:rPr>
        <w:t>提供自验收</w:t>
      </w:r>
      <w:r>
        <w:rPr>
          <w:rFonts w:ascii="宋体" w:hAnsi="宋体"/>
          <w:sz w:val="24"/>
          <w:szCs w:val="24"/>
        </w:rPr>
        <w:t>合格</w:t>
      </w:r>
      <w:r>
        <w:rPr>
          <w:rFonts w:hint="eastAsia" w:ascii="宋体" w:hAnsi="宋体"/>
          <w:sz w:val="24"/>
          <w:szCs w:val="24"/>
        </w:rPr>
        <w:t>日起一年的维保服务；</w:t>
      </w:r>
    </w:p>
    <w:p>
      <w:pPr>
        <w:pStyle w:val="38"/>
        <w:numPr>
          <w:ilvl w:val="0"/>
          <w:numId w:val="9"/>
        </w:numPr>
        <w:spacing w:line="360" w:lineRule="auto"/>
        <w:ind w:left="0" w:firstLine="480"/>
        <w:rPr>
          <w:rFonts w:ascii="宋体" w:hAnsi="宋体"/>
          <w:sz w:val="24"/>
          <w:szCs w:val="24"/>
        </w:rPr>
      </w:pPr>
      <w:r>
        <w:rPr>
          <w:rFonts w:hint="eastAsia" w:ascii="宋体" w:hAnsi="宋体"/>
          <w:sz w:val="24"/>
          <w:szCs w:val="24"/>
        </w:rPr>
        <w:t>根据甲方需求开展用户培训。</w:t>
      </w:r>
    </w:p>
    <w:p>
      <w:pPr>
        <w:pStyle w:val="3"/>
        <w:jc w:val="center"/>
      </w:pPr>
      <w:bookmarkStart w:id="23" w:name="_Toc321498839"/>
      <w:bookmarkStart w:id="24" w:name="_Toc318878192"/>
      <w:bookmarkStart w:id="25" w:name="_Toc324870845"/>
      <w:bookmarkStart w:id="26" w:name="_Toc318737190"/>
      <w:r>
        <w:rPr>
          <w:rFonts w:hint="eastAsia"/>
        </w:rPr>
        <w:t>第四条项目期限</w:t>
      </w:r>
      <w:bookmarkEnd w:id="23"/>
      <w:bookmarkEnd w:id="24"/>
      <w:bookmarkEnd w:id="25"/>
      <w:bookmarkEnd w:id="26"/>
    </w:p>
    <w:p>
      <w:pPr>
        <w:numPr>
          <w:ilvl w:val="0"/>
          <w:numId w:val="10"/>
        </w:numPr>
        <w:spacing w:line="360" w:lineRule="auto"/>
        <w:rPr>
          <w:sz w:val="24"/>
        </w:rPr>
      </w:pPr>
      <w:r>
        <w:rPr>
          <w:rFonts w:hint="eastAsia"/>
          <w:sz w:val="24"/>
        </w:rPr>
        <w:t>在合同签订后7个工作日内，双方协商确定项目开始时间，乙方提交技术方案书和实施计划，经甲方确认后通知开工时间。</w:t>
      </w:r>
    </w:p>
    <w:p>
      <w:pPr>
        <w:numPr>
          <w:ilvl w:val="0"/>
          <w:numId w:val="10"/>
        </w:numPr>
        <w:spacing w:line="360" w:lineRule="auto"/>
        <w:rPr>
          <w:sz w:val="24"/>
        </w:rPr>
      </w:pPr>
      <w:r>
        <w:rPr>
          <w:rFonts w:hint="eastAsia"/>
          <w:sz w:val="24"/>
        </w:rPr>
        <w:t>在乙方保证无纸化会议系统稳定运行的前提下，且系统运行稳定30个工作日后，由甲方发起最终验收通知。</w:t>
      </w:r>
    </w:p>
    <w:p>
      <w:pPr>
        <w:numPr>
          <w:ilvl w:val="0"/>
          <w:numId w:val="10"/>
        </w:numPr>
        <w:spacing w:line="360" w:lineRule="auto"/>
        <w:rPr>
          <w:sz w:val="24"/>
        </w:rPr>
      </w:pPr>
      <w:r>
        <w:rPr>
          <w:rFonts w:hint="eastAsia"/>
          <w:sz w:val="24"/>
        </w:rPr>
        <w:t>如遇下列情况，经甲乙双方以书面形式确认后，工期作相应顺延；</w:t>
      </w:r>
    </w:p>
    <w:p>
      <w:pPr>
        <w:numPr>
          <w:ilvl w:val="0"/>
          <w:numId w:val="11"/>
        </w:numPr>
        <w:spacing w:line="360" w:lineRule="auto"/>
        <w:rPr>
          <w:sz w:val="24"/>
        </w:rPr>
      </w:pPr>
      <w:r>
        <w:rPr>
          <w:rFonts w:hint="eastAsia"/>
          <w:sz w:val="24"/>
        </w:rPr>
        <w:t>由于甲方未履行应负责任而影响乙方进场运维；</w:t>
      </w:r>
    </w:p>
    <w:p>
      <w:pPr>
        <w:numPr>
          <w:ilvl w:val="0"/>
          <w:numId w:val="11"/>
        </w:numPr>
        <w:spacing w:line="360" w:lineRule="auto"/>
        <w:rPr>
          <w:sz w:val="24"/>
        </w:rPr>
      </w:pPr>
      <w:r>
        <w:rPr>
          <w:rFonts w:hint="eastAsia"/>
          <w:sz w:val="24"/>
        </w:rPr>
        <w:t>重大设计变更或工作范围的变化；</w:t>
      </w:r>
    </w:p>
    <w:p>
      <w:pPr>
        <w:numPr>
          <w:ilvl w:val="0"/>
          <w:numId w:val="11"/>
        </w:numPr>
        <w:spacing w:line="360" w:lineRule="auto"/>
        <w:rPr>
          <w:sz w:val="24"/>
        </w:rPr>
      </w:pPr>
      <w:r>
        <w:rPr>
          <w:rFonts w:hint="eastAsia"/>
          <w:sz w:val="24"/>
        </w:rPr>
        <w:t>因不可抗力（如台风、水灾、自然原因发生的火灾、地震等）的因素而影响进度；</w:t>
      </w:r>
    </w:p>
    <w:p>
      <w:pPr>
        <w:numPr>
          <w:ilvl w:val="0"/>
          <w:numId w:val="11"/>
        </w:numPr>
        <w:spacing w:line="360" w:lineRule="auto"/>
        <w:rPr>
          <w:sz w:val="24"/>
        </w:rPr>
      </w:pPr>
      <w:r>
        <w:rPr>
          <w:rFonts w:hint="eastAsia"/>
          <w:sz w:val="24"/>
        </w:rPr>
        <w:t>由于其它工种未能配合而影响进度，经甲方确认的应顺延的情况；</w:t>
      </w:r>
    </w:p>
    <w:p>
      <w:pPr>
        <w:numPr>
          <w:ilvl w:val="0"/>
          <w:numId w:val="11"/>
        </w:numPr>
        <w:spacing w:line="360" w:lineRule="auto"/>
        <w:rPr>
          <w:sz w:val="24"/>
        </w:rPr>
      </w:pPr>
      <w:r>
        <w:rPr>
          <w:rFonts w:hint="eastAsia"/>
          <w:sz w:val="24"/>
        </w:rPr>
        <w:t>甲方同意予以顺延的其他情况。</w:t>
      </w:r>
    </w:p>
    <w:p>
      <w:pPr>
        <w:spacing w:line="360" w:lineRule="auto"/>
        <w:ind w:firstLine="480"/>
        <w:rPr>
          <w:sz w:val="24"/>
        </w:rPr>
      </w:pPr>
      <w:r>
        <w:rPr>
          <w:rFonts w:hint="eastAsia"/>
          <w:sz w:val="24"/>
        </w:rPr>
        <w:t>乙方应在上述情况发生后两天内，就延误的工期及原因以书面形式向甲方提出报告。非上述原因，项目不能按合同工期竣工及调试完毕，乙方承担违约责任。</w:t>
      </w:r>
    </w:p>
    <w:p>
      <w:pPr>
        <w:pStyle w:val="3"/>
        <w:jc w:val="center"/>
      </w:pPr>
      <w:bookmarkStart w:id="27" w:name="_Toc321498841"/>
      <w:bookmarkStart w:id="28" w:name="_Toc318878194"/>
      <w:bookmarkStart w:id="29" w:name="_Toc324870847"/>
      <w:bookmarkStart w:id="30" w:name="_Toc318737192"/>
      <w:r>
        <w:rPr>
          <w:rFonts w:hint="eastAsia"/>
        </w:rPr>
        <w:t>第五条</w:t>
      </w:r>
      <w:bookmarkEnd w:id="27"/>
      <w:bookmarkEnd w:id="28"/>
      <w:bookmarkEnd w:id="29"/>
      <w:bookmarkEnd w:id="30"/>
      <w:r>
        <w:rPr>
          <w:rFonts w:hint="eastAsia"/>
        </w:rPr>
        <w:t>售后服务条款</w:t>
      </w:r>
    </w:p>
    <w:p>
      <w:pPr>
        <w:pStyle w:val="48"/>
        <w:ind w:left="420" w:firstLine="0" w:firstLineChars="0"/>
        <w:rPr>
          <w:rFonts w:ascii="Times New Roman" w:hAnsi="Times New Roman" w:cs="Times New Roman"/>
          <w:szCs w:val="24"/>
        </w:rPr>
      </w:pPr>
      <w:r>
        <w:rPr>
          <w:rFonts w:hint="eastAsia" w:ascii="Times New Roman" w:hAnsi="Times New Roman" w:cs="Times New Roman"/>
          <w:szCs w:val="24"/>
        </w:rPr>
        <w:t>乙方应在系统项目验收合格后一年之内免费提供售后质量保证服务：</w:t>
      </w:r>
    </w:p>
    <w:p>
      <w:pPr>
        <w:pStyle w:val="5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乙方应在合同签订后</w:t>
      </w:r>
      <w:r>
        <w:rPr>
          <w:rFonts w:ascii="Times New Roman" w:hAnsi="Times New Roman"/>
          <w:sz w:val="24"/>
          <w:szCs w:val="24"/>
        </w:rPr>
        <w:t>3</w:t>
      </w:r>
      <w:r>
        <w:rPr>
          <w:rFonts w:hint="eastAsia" w:ascii="Times New Roman" w:hAnsi="Times New Roman"/>
          <w:sz w:val="24"/>
          <w:szCs w:val="24"/>
        </w:rPr>
        <w:t>个工作日之内详细说明提供优质的售后服务的具体保证措施，并提供完整的服务方案。</w:t>
      </w:r>
    </w:p>
    <w:p>
      <w:pPr>
        <w:pStyle w:val="5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质量保证期：从最终验收合格证书签订之日起，质量保证期为1年。</w:t>
      </w:r>
    </w:p>
    <w:p>
      <w:pPr>
        <w:pStyle w:val="5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乙方应能保证：</w:t>
      </w:r>
    </w:p>
    <w:p>
      <w:pPr>
        <w:pStyle w:val="5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提供产品原厂商一年的免费电话</w:t>
      </w:r>
      <w:r>
        <w:rPr>
          <w:rFonts w:ascii="Times New Roman" w:hAnsi="Times New Roman"/>
          <w:sz w:val="24"/>
          <w:szCs w:val="24"/>
        </w:rPr>
        <w:t>技术支持</w:t>
      </w:r>
      <w:r>
        <w:rPr>
          <w:rFonts w:hint="eastAsia" w:ascii="Times New Roman" w:hAnsi="Times New Roman"/>
          <w:sz w:val="24"/>
          <w:szCs w:val="24"/>
        </w:rPr>
        <w:t>服务；</w:t>
      </w:r>
    </w:p>
    <w:p>
      <w:pPr>
        <w:pStyle w:val="5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接到报障电话后，技术人员应即时响应，通过远程连接方式对故障进行处理；</w:t>
      </w:r>
    </w:p>
    <w:p>
      <w:pPr>
        <w:pStyle w:val="5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如果</w:t>
      </w:r>
      <w:r>
        <w:rPr>
          <w:rFonts w:ascii="Times New Roman" w:hAnsi="Times New Roman"/>
          <w:sz w:val="24"/>
          <w:szCs w:val="24"/>
        </w:rPr>
        <w:t>远程无法解决故障，需在</w:t>
      </w:r>
      <w:r>
        <w:rPr>
          <w:rFonts w:hint="eastAsia" w:ascii="Times New Roman" w:hAnsi="Times New Roman"/>
          <w:sz w:val="24"/>
          <w:szCs w:val="24"/>
        </w:rPr>
        <w:t>24小时</w:t>
      </w:r>
      <w:r>
        <w:rPr>
          <w:rFonts w:ascii="Times New Roman" w:hAnsi="Times New Roman"/>
          <w:sz w:val="24"/>
          <w:szCs w:val="24"/>
        </w:rPr>
        <w:t>内到现场进行处理。</w:t>
      </w:r>
    </w:p>
    <w:p>
      <w:pPr>
        <w:pStyle w:val="5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系统使用过程中发生系统或应用迁移等变动时，乙方应提供配合和技术协助。</w:t>
      </w:r>
    </w:p>
    <w:p>
      <w:pPr>
        <w:pStyle w:val="5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乙方应根据项目实施的计划、进度和需要与甲方的合理要求，及时安排对甲方的相关人员进行培训。培训目标为使受训者能够独立、熟练地完成操作，实现本项目所有设备的正常投入使用。具体如下：</w:t>
      </w:r>
    </w:p>
    <w:p>
      <w:pPr>
        <w:pStyle w:val="59"/>
        <w:autoSpaceDE w:val="0"/>
        <w:autoSpaceDN w:val="0"/>
        <w:adjustRightInd w:val="0"/>
        <w:spacing w:line="360" w:lineRule="auto"/>
        <w:ind w:left="420" w:firstLine="0" w:firstLineChars="0"/>
        <w:textAlignment w:val="baseline"/>
        <w:rPr>
          <w:rFonts w:ascii="Times New Roman" w:hAnsi="Times New Roman"/>
          <w:sz w:val="24"/>
          <w:szCs w:val="24"/>
        </w:rPr>
      </w:pPr>
      <w:r>
        <w:rPr>
          <w:rFonts w:hint="eastAsia" w:ascii="Times New Roman" w:hAnsi="Times New Roman"/>
          <w:sz w:val="24"/>
          <w:szCs w:val="24"/>
        </w:rPr>
        <w:t>由乙方组织正式培训，采用准备好的注释、讲义、讨论会、视听演示，以及在现场进行实际操作示范，培训人员应做好操作、管理、维护设备的充分准备，乙方应提交一份培训计划给甲方以获批准。</w:t>
      </w:r>
    </w:p>
    <w:p>
      <w:pPr>
        <w:pStyle w:val="59"/>
        <w:numPr>
          <w:ilvl w:val="0"/>
          <w:numId w:val="14"/>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培训范围：系统管理员、系统用户</w:t>
      </w:r>
    </w:p>
    <w:p>
      <w:pPr>
        <w:pStyle w:val="59"/>
        <w:numPr>
          <w:ilvl w:val="0"/>
          <w:numId w:val="14"/>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培训目的：使系统管理员熟悉系统功能操作等知识、能自主处理部分常见问题，普通用户熟练运用系统功能。系统用户能够熟练使用无纸化会议系统。</w:t>
      </w:r>
    </w:p>
    <w:p>
      <w:pPr>
        <w:pStyle w:val="59"/>
        <w:numPr>
          <w:ilvl w:val="0"/>
          <w:numId w:val="14"/>
        </w:numPr>
        <w:autoSpaceDE w:val="0"/>
        <w:autoSpaceDN w:val="0"/>
        <w:adjustRightInd w:val="0"/>
        <w:spacing w:line="360" w:lineRule="auto"/>
        <w:ind w:firstLineChars="0"/>
        <w:textAlignment w:val="baseline"/>
        <w:rPr>
          <w:rFonts w:ascii="Times New Roman" w:hAnsi="Times New Roman"/>
          <w:sz w:val="24"/>
          <w:szCs w:val="24"/>
        </w:rPr>
      </w:pPr>
      <w:r>
        <w:rPr>
          <w:rFonts w:ascii="Times New Roman" w:hAnsi="Times New Roman"/>
          <w:sz w:val="24"/>
          <w:szCs w:val="24"/>
        </w:rPr>
        <w:t>培训地点：</w:t>
      </w:r>
      <w:r>
        <w:rPr>
          <w:rFonts w:hint="eastAsia" w:ascii="Times New Roman" w:hAnsi="Times New Roman"/>
          <w:sz w:val="24"/>
          <w:szCs w:val="24"/>
        </w:rPr>
        <w:t>广州市净水有限公司</w:t>
      </w:r>
    </w:p>
    <w:p>
      <w:pPr>
        <w:pStyle w:val="59"/>
        <w:numPr>
          <w:ilvl w:val="0"/>
          <w:numId w:val="14"/>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w:t>
      </w:r>
      <w:r>
        <w:rPr>
          <w:rFonts w:ascii="Times New Roman" w:hAnsi="Times New Roman"/>
          <w:sz w:val="24"/>
          <w:szCs w:val="24"/>
        </w:rPr>
        <w:t>时间：</w:t>
      </w:r>
      <w:r>
        <w:rPr>
          <w:rFonts w:hint="eastAsia" w:ascii="Times New Roman" w:hAnsi="Times New Roman"/>
          <w:sz w:val="24"/>
          <w:szCs w:val="24"/>
        </w:rPr>
        <w:t>在</w:t>
      </w:r>
      <w:r>
        <w:rPr>
          <w:rFonts w:hint="eastAsia"/>
          <w:sz w:val="24"/>
        </w:rPr>
        <w:t>无纸化会议系统建设</w:t>
      </w:r>
      <w:r>
        <w:rPr>
          <w:rFonts w:hint="eastAsia" w:ascii="Times New Roman" w:hAnsi="Times New Roman"/>
          <w:sz w:val="24"/>
          <w:szCs w:val="24"/>
        </w:rPr>
        <w:t>完成后在</w:t>
      </w:r>
      <w:r>
        <w:rPr>
          <w:rFonts w:ascii="Times New Roman" w:hAnsi="Times New Roman"/>
          <w:sz w:val="24"/>
          <w:szCs w:val="24"/>
        </w:rPr>
        <w:t>现场</w:t>
      </w:r>
      <w:r>
        <w:rPr>
          <w:rFonts w:hint="eastAsia" w:ascii="Times New Roman" w:hAnsi="Times New Roman"/>
          <w:sz w:val="24"/>
          <w:szCs w:val="24"/>
        </w:rPr>
        <w:t>完成培训。</w:t>
      </w:r>
    </w:p>
    <w:p>
      <w:pPr>
        <w:pStyle w:val="59"/>
        <w:numPr>
          <w:ilvl w:val="0"/>
          <w:numId w:val="14"/>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w:t>
      </w:r>
      <w:r>
        <w:rPr>
          <w:rFonts w:ascii="Times New Roman" w:hAnsi="Times New Roman"/>
          <w:sz w:val="24"/>
          <w:szCs w:val="24"/>
        </w:rPr>
        <w:t>内容</w:t>
      </w:r>
    </w:p>
    <w:p>
      <w:pPr>
        <w:pStyle w:val="59"/>
        <w:autoSpaceDE w:val="0"/>
        <w:autoSpaceDN w:val="0"/>
        <w:adjustRightInd w:val="0"/>
        <w:spacing w:line="360" w:lineRule="auto"/>
        <w:ind w:left="420" w:leftChars="200" w:firstLine="360" w:firstLineChars="150"/>
        <w:textAlignment w:val="baseline"/>
        <w:rPr>
          <w:rFonts w:ascii="Times New Roman" w:hAnsi="Times New Roman"/>
          <w:sz w:val="24"/>
          <w:szCs w:val="24"/>
        </w:rPr>
      </w:pPr>
      <w:r>
        <w:rPr>
          <w:rFonts w:hint="eastAsia" w:ascii="Times New Roman" w:hAnsi="Times New Roman"/>
          <w:sz w:val="24"/>
          <w:szCs w:val="24"/>
        </w:rPr>
        <w:t>在项目验收前对系统管理员进行</w:t>
      </w:r>
      <w:r>
        <w:rPr>
          <w:rFonts w:hint="eastAsia"/>
          <w:sz w:val="24"/>
        </w:rPr>
        <w:t>无纸化会议系统</w:t>
      </w:r>
      <w:r>
        <w:rPr>
          <w:rFonts w:hint="eastAsia" w:ascii="Times New Roman" w:hAnsi="Times New Roman"/>
          <w:sz w:val="24"/>
          <w:szCs w:val="24"/>
        </w:rPr>
        <w:t>的管理功能、权限控制、功能操作、故障排查等进行培训,次数不少于</w:t>
      </w:r>
      <w:r>
        <w:rPr>
          <w:rFonts w:ascii="Times New Roman" w:hAnsi="Times New Roman"/>
          <w:sz w:val="24"/>
          <w:szCs w:val="24"/>
        </w:rPr>
        <w:t>3</w:t>
      </w:r>
      <w:r>
        <w:rPr>
          <w:rFonts w:hint="eastAsia" w:ascii="Times New Roman" w:hAnsi="Times New Roman"/>
          <w:sz w:val="24"/>
          <w:szCs w:val="24"/>
        </w:rPr>
        <w:t>次；</w:t>
      </w:r>
    </w:p>
    <w:p>
      <w:pPr>
        <w:pStyle w:val="59"/>
        <w:autoSpaceDE w:val="0"/>
        <w:autoSpaceDN w:val="0"/>
        <w:adjustRightInd w:val="0"/>
        <w:spacing w:line="360" w:lineRule="auto"/>
        <w:ind w:left="420" w:leftChars="200" w:firstLine="360" w:firstLineChars="150"/>
        <w:textAlignment w:val="baseline"/>
        <w:rPr>
          <w:rFonts w:ascii="Times New Roman" w:hAnsi="Times New Roman"/>
          <w:sz w:val="24"/>
          <w:szCs w:val="24"/>
        </w:rPr>
      </w:pPr>
      <w:r>
        <w:rPr>
          <w:rFonts w:hint="eastAsia" w:ascii="Times New Roman" w:hAnsi="Times New Roman"/>
          <w:sz w:val="24"/>
          <w:szCs w:val="24"/>
        </w:rPr>
        <w:t>若用户对系统管理及使用仍存在疑问，在实施和维护期间乙方必须持续提供咨询服务。</w:t>
      </w:r>
    </w:p>
    <w:p>
      <w:pPr>
        <w:pStyle w:val="3"/>
        <w:jc w:val="center"/>
      </w:pPr>
      <w:bookmarkStart w:id="31" w:name="_Toc318878197"/>
      <w:bookmarkStart w:id="32" w:name="_Toc321498844"/>
      <w:bookmarkStart w:id="33" w:name="_Toc324870850"/>
      <w:bookmarkStart w:id="34" w:name="_Toc318737195"/>
      <w:r>
        <w:rPr>
          <w:rFonts w:hint="eastAsia"/>
        </w:rPr>
        <w:t>第六条双方责任事项</w:t>
      </w:r>
      <w:bookmarkEnd w:id="31"/>
      <w:bookmarkEnd w:id="32"/>
      <w:bookmarkEnd w:id="33"/>
      <w:bookmarkEnd w:id="34"/>
    </w:p>
    <w:p>
      <w:pPr>
        <w:numPr>
          <w:ilvl w:val="0"/>
          <w:numId w:val="15"/>
        </w:numPr>
        <w:spacing w:line="360" w:lineRule="auto"/>
        <w:rPr>
          <w:sz w:val="24"/>
        </w:rPr>
      </w:pPr>
      <w:r>
        <w:rPr>
          <w:rFonts w:hint="eastAsia"/>
          <w:sz w:val="24"/>
        </w:rPr>
        <w:t>甲方的主要责任</w:t>
      </w:r>
    </w:p>
    <w:p>
      <w:pPr>
        <w:numPr>
          <w:ilvl w:val="0"/>
          <w:numId w:val="16"/>
        </w:numPr>
        <w:spacing w:line="360" w:lineRule="auto"/>
        <w:rPr>
          <w:sz w:val="24"/>
        </w:rPr>
      </w:pPr>
      <w:r>
        <w:rPr>
          <w:rFonts w:hint="eastAsia"/>
          <w:sz w:val="24"/>
        </w:rPr>
        <w:t>负责本项目与其他项目的协调工作；</w:t>
      </w:r>
    </w:p>
    <w:p>
      <w:pPr>
        <w:numPr>
          <w:ilvl w:val="0"/>
          <w:numId w:val="16"/>
        </w:numPr>
        <w:spacing w:line="360" w:lineRule="auto"/>
        <w:rPr>
          <w:sz w:val="24"/>
        </w:rPr>
      </w:pPr>
      <w:r>
        <w:rPr>
          <w:rFonts w:hint="eastAsia"/>
          <w:sz w:val="24"/>
        </w:rPr>
        <w:t>依合同按时拨付合同款，结算尾款。</w:t>
      </w:r>
    </w:p>
    <w:p>
      <w:pPr>
        <w:numPr>
          <w:ilvl w:val="0"/>
          <w:numId w:val="15"/>
        </w:numPr>
        <w:spacing w:line="360" w:lineRule="auto"/>
        <w:rPr>
          <w:sz w:val="24"/>
        </w:rPr>
      </w:pPr>
      <w:r>
        <w:rPr>
          <w:rFonts w:hint="eastAsia"/>
          <w:sz w:val="24"/>
        </w:rPr>
        <w:t>乙方的主要责任：</w:t>
      </w:r>
    </w:p>
    <w:p>
      <w:pPr>
        <w:numPr>
          <w:ilvl w:val="0"/>
          <w:numId w:val="17"/>
        </w:numPr>
        <w:spacing w:line="360" w:lineRule="auto"/>
        <w:rPr>
          <w:sz w:val="24"/>
        </w:rPr>
      </w:pPr>
      <w:r>
        <w:rPr>
          <w:rFonts w:hint="eastAsia"/>
          <w:sz w:val="24"/>
        </w:rPr>
        <w:t>乙方应在合同签订后</w:t>
      </w:r>
      <w:r>
        <w:rPr>
          <w:sz w:val="24"/>
        </w:rPr>
        <w:t>3</w:t>
      </w:r>
      <w:r>
        <w:rPr>
          <w:rFonts w:hint="eastAsia"/>
          <w:sz w:val="24"/>
        </w:rPr>
        <w:t>个工作日内向甲方提供开工报告，包括提供实施计划，在项目实施过程中及时提供实施进度及设备的安装调试记录；在竣工验收会前5个工作日内提供竣工验收报告。</w:t>
      </w:r>
    </w:p>
    <w:p>
      <w:pPr>
        <w:numPr>
          <w:ilvl w:val="0"/>
          <w:numId w:val="17"/>
        </w:numPr>
        <w:spacing w:line="360" w:lineRule="auto"/>
        <w:rPr>
          <w:sz w:val="24"/>
        </w:rPr>
      </w:pPr>
      <w:r>
        <w:rPr>
          <w:rFonts w:hint="eastAsia"/>
          <w:sz w:val="24"/>
        </w:rPr>
        <w:t>乙方人员的现场实施，需与甲方或其它单位同场地共同作业时，乙方应做好相互协调与配合，不得擅自干涉他方开展工作；</w:t>
      </w:r>
    </w:p>
    <w:p>
      <w:pPr>
        <w:numPr>
          <w:ilvl w:val="0"/>
          <w:numId w:val="17"/>
        </w:numPr>
        <w:spacing w:line="360" w:lineRule="auto"/>
        <w:rPr>
          <w:sz w:val="24"/>
        </w:rPr>
      </w:pPr>
      <w:r>
        <w:rPr>
          <w:rFonts w:hint="eastAsia"/>
          <w:sz w:val="24"/>
        </w:rPr>
        <w:t>项目未竣工验收、交付使用前的管理（包括运输、保管和安全），一律由乙方负责自行解决并承担所有风险，甲方提供合适的场地和人员方面的协助；</w:t>
      </w:r>
    </w:p>
    <w:p>
      <w:pPr>
        <w:numPr>
          <w:ilvl w:val="0"/>
          <w:numId w:val="17"/>
        </w:numPr>
        <w:spacing w:line="360" w:lineRule="auto"/>
        <w:rPr>
          <w:sz w:val="24"/>
        </w:rPr>
      </w:pPr>
      <w:r>
        <w:rPr>
          <w:rFonts w:hint="eastAsia"/>
          <w:sz w:val="24"/>
        </w:rPr>
        <w:t>乙方必须严格按照技术规范进行安装，确保项目质量，按期完工；</w:t>
      </w:r>
    </w:p>
    <w:p>
      <w:pPr>
        <w:numPr>
          <w:ilvl w:val="0"/>
          <w:numId w:val="17"/>
        </w:numPr>
        <w:spacing w:line="360" w:lineRule="auto"/>
        <w:rPr>
          <w:sz w:val="24"/>
        </w:rPr>
      </w:pPr>
      <w:r>
        <w:rPr>
          <w:rFonts w:hint="eastAsia"/>
          <w:sz w:val="24"/>
        </w:rPr>
        <w:t>若实施过程中甲方按实际需要对方案做改动时，乙方应无条件执行并按合同约定实施；</w:t>
      </w:r>
    </w:p>
    <w:p>
      <w:pPr>
        <w:numPr>
          <w:ilvl w:val="0"/>
          <w:numId w:val="17"/>
        </w:numPr>
        <w:spacing w:line="360" w:lineRule="auto"/>
        <w:rPr>
          <w:sz w:val="24"/>
        </w:rPr>
      </w:pPr>
      <w:r>
        <w:rPr>
          <w:rFonts w:hint="eastAsia"/>
          <w:sz w:val="24"/>
        </w:rPr>
        <w:t>由于该项目实施失误造成的任何损失由乙方负责。</w:t>
      </w:r>
    </w:p>
    <w:p>
      <w:pPr>
        <w:numPr>
          <w:ilvl w:val="0"/>
          <w:numId w:val="15"/>
        </w:numPr>
        <w:spacing w:line="360" w:lineRule="auto"/>
        <w:rPr>
          <w:sz w:val="24"/>
        </w:rPr>
      </w:pPr>
      <w:r>
        <w:rPr>
          <w:rFonts w:hint="eastAsia"/>
          <w:sz w:val="24"/>
        </w:rPr>
        <w:t>双方责任</w:t>
      </w:r>
    </w:p>
    <w:p>
      <w:pPr>
        <w:numPr>
          <w:ilvl w:val="0"/>
          <w:numId w:val="18"/>
        </w:numPr>
        <w:spacing w:line="360" w:lineRule="auto"/>
        <w:rPr>
          <w:sz w:val="24"/>
        </w:rPr>
      </w:pPr>
      <w:r>
        <w:rPr>
          <w:rFonts w:hint="eastAsia"/>
          <w:sz w:val="24"/>
        </w:rPr>
        <w:t>甲乙双方密切合作，共同负责协调施工区管理方面的工作，为项目的顺利进行提供保证；</w:t>
      </w:r>
    </w:p>
    <w:p>
      <w:pPr>
        <w:numPr>
          <w:ilvl w:val="0"/>
          <w:numId w:val="18"/>
        </w:numPr>
        <w:spacing w:line="360" w:lineRule="auto"/>
        <w:rPr>
          <w:sz w:val="24"/>
        </w:rPr>
      </w:pPr>
      <w:r>
        <w:rPr>
          <w:rFonts w:hint="eastAsia"/>
          <w:sz w:val="24"/>
        </w:rPr>
        <w:t>甲乙双方应保守在履行本合同时所接触的对方商业秘密和技术秘密，不得向任何第三方透露，否则违约方必须承担违约责任并赔偿由此给对方造成的损失。此保密义务不因此合同的终止而解除。</w:t>
      </w:r>
    </w:p>
    <w:p>
      <w:pPr>
        <w:numPr>
          <w:ilvl w:val="0"/>
          <w:numId w:val="18"/>
        </w:numPr>
        <w:spacing w:line="360" w:lineRule="auto"/>
        <w:rPr>
          <w:sz w:val="24"/>
        </w:rPr>
      </w:pPr>
      <w:r>
        <w:rPr>
          <w:rFonts w:hint="eastAsia"/>
          <w:sz w:val="24"/>
        </w:rPr>
        <w:t>乙方保留对原有知识产权以及其所开发的应用软件的知识产权和收益。自本合同生效之日起，各方仍应继续拥有其专利、商标、著作权、保密信息、商业秘密和其它知识产权的所有权利、所有权和利益。</w:t>
      </w:r>
    </w:p>
    <w:p>
      <w:pPr>
        <w:spacing w:line="360" w:lineRule="auto"/>
        <w:rPr>
          <w:sz w:val="24"/>
        </w:rPr>
      </w:pPr>
    </w:p>
    <w:p>
      <w:pPr>
        <w:pStyle w:val="3"/>
        <w:jc w:val="center"/>
      </w:pPr>
      <w:bookmarkStart w:id="35" w:name="_Toc318737196"/>
      <w:bookmarkStart w:id="36" w:name="_Toc321498845"/>
      <w:bookmarkStart w:id="37" w:name="_Toc318878198"/>
      <w:bookmarkStart w:id="38" w:name="_Toc324870851"/>
      <w:r>
        <w:rPr>
          <w:rFonts w:hint="eastAsia"/>
        </w:rPr>
        <w:t>第七条项目款项的支付和结算</w:t>
      </w:r>
      <w:bookmarkEnd w:id="35"/>
      <w:bookmarkEnd w:id="36"/>
      <w:bookmarkEnd w:id="37"/>
      <w:bookmarkEnd w:id="38"/>
    </w:p>
    <w:p>
      <w:pPr>
        <w:numPr>
          <w:ilvl w:val="0"/>
          <w:numId w:val="19"/>
        </w:numPr>
        <w:spacing w:line="360" w:lineRule="auto"/>
        <w:rPr>
          <w:sz w:val="24"/>
        </w:rPr>
      </w:pPr>
      <w:r>
        <w:rPr>
          <w:rFonts w:hint="eastAsia"/>
          <w:sz w:val="24"/>
        </w:rPr>
        <w:t>本项目合同总费用暂定为人民币：元，大写：。此费用总价包干，在项目实施期间原则上此总造价均不得调整。</w:t>
      </w:r>
    </w:p>
    <w:p>
      <w:pPr>
        <w:numPr>
          <w:ilvl w:val="0"/>
          <w:numId w:val="19"/>
        </w:numPr>
        <w:spacing w:line="360" w:lineRule="auto"/>
        <w:rPr>
          <w:sz w:val="24"/>
        </w:rPr>
      </w:pPr>
      <w:r>
        <w:rPr>
          <w:rFonts w:hint="eastAsia"/>
          <w:sz w:val="24"/>
        </w:rPr>
        <w:t>甲乙双方签订合同后</w:t>
      </w:r>
      <w:r>
        <w:rPr>
          <w:sz w:val="24"/>
        </w:rPr>
        <w:t>3</w:t>
      </w:r>
      <w:r>
        <w:rPr>
          <w:rFonts w:hint="eastAsia"/>
          <w:sz w:val="24"/>
        </w:rPr>
        <w:t>个工作日内，乙方提交项目实施计划书以及技术方案书，经甲方确认后，甲方支付合同暂定价的</w:t>
      </w:r>
      <w:r>
        <w:rPr>
          <w:sz w:val="24"/>
        </w:rPr>
        <w:t>30</w:t>
      </w:r>
      <w:r>
        <w:rPr>
          <w:rFonts w:hint="eastAsia"/>
          <w:sz w:val="24"/>
        </w:rPr>
        <w:t>%给乙方。</w:t>
      </w:r>
    </w:p>
    <w:p>
      <w:pPr>
        <w:numPr>
          <w:ilvl w:val="0"/>
          <w:numId w:val="19"/>
        </w:numPr>
        <w:spacing w:line="360" w:lineRule="auto"/>
        <w:rPr>
          <w:sz w:val="24"/>
        </w:rPr>
      </w:pPr>
      <w:r>
        <w:rPr>
          <w:sz w:val="24"/>
        </w:rPr>
        <w:t>在</w:t>
      </w:r>
      <w:r>
        <w:rPr>
          <w:rFonts w:hint="eastAsia"/>
          <w:sz w:val="24"/>
        </w:rPr>
        <w:t>项目最终验收合格</w:t>
      </w:r>
      <w:r>
        <w:rPr>
          <w:sz w:val="24"/>
        </w:rPr>
        <w:t>后的15</w:t>
      </w:r>
      <w:r>
        <w:rPr>
          <w:rFonts w:hint="eastAsia"/>
          <w:sz w:val="24"/>
        </w:rPr>
        <w:t>个工作日内且乙方向甲方提供相关产品合格证和实际完成工作量清单后，甲方支付合同暂定价的40%给乙方（付至合同暂定价的7</w:t>
      </w:r>
      <w:r>
        <w:rPr>
          <w:sz w:val="24"/>
        </w:rPr>
        <w:t>0</w:t>
      </w:r>
      <w:r>
        <w:rPr>
          <w:rFonts w:hint="eastAsia"/>
          <w:sz w:val="24"/>
        </w:rPr>
        <w:t>%）。</w:t>
      </w:r>
    </w:p>
    <w:p>
      <w:pPr>
        <w:numPr>
          <w:ilvl w:val="0"/>
          <w:numId w:val="19"/>
        </w:numPr>
        <w:spacing w:line="360" w:lineRule="auto"/>
        <w:rPr>
          <w:sz w:val="24"/>
        </w:rPr>
      </w:pPr>
      <w:r>
        <w:rPr>
          <w:rFonts w:hint="eastAsia"/>
          <w:sz w:val="24"/>
        </w:rPr>
        <w:t>经甲方或相关部门结算终审后，甲方支付至最终结算价的97</w:t>
      </w:r>
      <w:r>
        <w:rPr>
          <w:sz w:val="24"/>
        </w:rPr>
        <w:t>%。</w:t>
      </w:r>
      <w:r>
        <w:rPr>
          <w:rFonts w:hint="eastAsia"/>
          <w:sz w:val="24"/>
        </w:rPr>
        <w:t>审核结算结果如下：如果审核价超过暂定合同价，以暂定合同价作为最终结算价；如果审核价不超过暂定合同价，以审核价作为最终结算价。</w:t>
      </w:r>
    </w:p>
    <w:p>
      <w:pPr>
        <w:numPr>
          <w:ilvl w:val="0"/>
          <w:numId w:val="19"/>
        </w:numPr>
        <w:spacing w:line="360" w:lineRule="auto"/>
        <w:rPr>
          <w:sz w:val="24"/>
        </w:rPr>
      </w:pPr>
      <w:r>
        <w:rPr>
          <w:rFonts w:hint="eastAsia"/>
          <w:sz w:val="24"/>
        </w:rPr>
        <w:t>一年质保期到期后1</w:t>
      </w:r>
      <w:r>
        <w:rPr>
          <w:sz w:val="24"/>
        </w:rPr>
        <w:t>5</w:t>
      </w:r>
      <w:r>
        <w:rPr>
          <w:rFonts w:hint="eastAsia"/>
          <w:sz w:val="24"/>
        </w:rPr>
        <w:t>个工作日内且乙方不存在违约情形的，甲方支付最终结算价的3%(质保金)</w:t>
      </w:r>
    </w:p>
    <w:p>
      <w:pPr>
        <w:numPr>
          <w:ilvl w:val="0"/>
          <w:numId w:val="19"/>
        </w:numPr>
        <w:spacing w:line="360" w:lineRule="auto"/>
        <w:rPr>
          <w:sz w:val="24"/>
        </w:rPr>
      </w:pPr>
      <w:r>
        <w:rPr>
          <w:rFonts w:hint="eastAsia"/>
          <w:sz w:val="24"/>
        </w:rPr>
        <w:t>乙方在收取每一笔合同费用前，应向甲方提供有效的增值税专用发票。</w:t>
      </w:r>
    </w:p>
    <w:p>
      <w:pPr>
        <w:numPr>
          <w:ilvl w:val="0"/>
          <w:numId w:val="19"/>
        </w:numPr>
        <w:spacing w:line="360" w:lineRule="auto"/>
        <w:rPr>
          <w:sz w:val="24"/>
          <w:u w:val="single"/>
        </w:rPr>
      </w:pPr>
      <w:r>
        <w:rPr>
          <w:rFonts w:hint="eastAsia"/>
          <w:sz w:val="24"/>
        </w:rPr>
        <w:t>项目款项的支付和结算必须划（汇）入乙方的开户银行：，帐号：，公司名称：</w:t>
      </w:r>
      <w:bookmarkStart w:id="39" w:name="_Toc318878199"/>
      <w:bookmarkStart w:id="40" w:name="_Toc321498846"/>
      <w:bookmarkStart w:id="41" w:name="_Toc318737197"/>
    </w:p>
    <w:p>
      <w:pPr>
        <w:pStyle w:val="3"/>
        <w:jc w:val="center"/>
      </w:pPr>
      <w:bookmarkStart w:id="42" w:name="_Toc324870852"/>
      <w:r>
        <w:rPr>
          <w:rFonts w:hint="eastAsia"/>
        </w:rPr>
        <w:t>第八条违约责任</w:t>
      </w:r>
      <w:bookmarkEnd w:id="39"/>
      <w:bookmarkEnd w:id="40"/>
      <w:bookmarkEnd w:id="41"/>
      <w:bookmarkEnd w:id="42"/>
    </w:p>
    <w:p>
      <w:pPr>
        <w:numPr>
          <w:ilvl w:val="0"/>
          <w:numId w:val="20"/>
        </w:numPr>
        <w:spacing w:line="360" w:lineRule="auto"/>
        <w:rPr>
          <w:sz w:val="24"/>
        </w:rPr>
      </w:pPr>
      <w:r>
        <w:rPr>
          <w:rFonts w:hint="eastAsia"/>
          <w:sz w:val="24"/>
        </w:rPr>
        <w:t>甲方违约责任</w:t>
      </w:r>
    </w:p>
    <w:p>
      <w:pPr>
        <w:spacing w:line="360" w:lineRule="auto"/>
        <w:ind w:left="285" w:leftChars="1" w:hanging="283" w:hangingChars="118"/>
        <w:rPr>
          <w:sz w:val="24"/>
        </w:rPr>
      </w:pPr>
      <w:r>
        <w:rPr>
          <w:rFonts w:hint="eastAsia"/>
          <w:sz w:val="24"/>
        </w:rPr>
        <w:t>（1）由于甲方自身原因未按合同所订日期付款，超出15天宽限期，每延迟一天，则以逾期支付金额千分之一向乙方缴纳违约金；逾期违约金不得超过合同造价的百分之五。</w:t>
      </w:r>
    </w:p>
    <w:p>
      <w:pPr>
        <w:spacing w:line="360" w:lineRule="auto"/>
        <w:ind w:left="285" w:leftChars="1" w:hanging="283" w:hangingChars="118"/>
        <w:rPr>
          <w:sz w:val="24"/>
        </w:rPr>
      </w:pPr>
      <w:r>
        <w:rPr>
          <w:rFonts w:hint="eastAsia"/>
          <w:sz w:val="24"/>
        </w:rPr>
        <w:t>（2）本合同签订后，因乙方原因或不可抗力，致使甲方提前解除合同，甲方不负任何责任。</w:t>
      </w:r>
    </w:p>
    <w:p>
      <w:pPr>
        <w:numPr>
          <w:ilvl w:val="0"/>
          <w:numId w:val="20"/>
        </w:numPr>
        <w:spacing w:line="360" w:lineRule="auto"/>
        <w:rPr>
          <w:sz w:val="24"/>
        </w:rPr>
      </w:pPr>
      <w:r>
        <w:rPr>
          <w:rFonts w:hint="eastAsia"/>
          <w:sz w:val="24"/>
        </w:rPr>
        <w:t>乙方违约责任</w:t>
      </w:r>
    </w:p>
    <w:p>
      <w:pPr>
        <w:spacing w:line="360" w:lineRule="auto"/>
        <w:ind w:left="285" w:leftChars="1" w:hanging="283" w:hangingChars="118"/>
        <w:rPr>
          <w:sz w:val="24"/>
        </w:rPr>
      </w:pPr>
      <w:r>
        <w:rPr>
          <w:rFonts w:hint="eastAsia"/>
          <w:sz w:val="24"/>
        </w:rPr>
        <w:t>（</w:t>
      </w:r>
      <w:r>
        <w:rPr>
          <w:sz w:val="24"/>
        </w:rPr>
        <w:t>1</w:t>
      </w:r>
      <w:r>
        <w:rPr>
          <w:rFonts w:hint="eastAsia"/>
          <w:sz w:val="24"/>
        </w:rPr>
        <w:t>）乙方须按期提交项目实施计划书以及技术方案书，如乙方未按期提交，每延迟一天，则以逾期支付金额千分之一向甲方缴纳违约金，逾期达到</w:t>
      </w:r>
      <w:r>
        <w:rPr>
          <w:sz w:val="24"/>
        </w:rPr>
        <w:t>10</w:t>
      </w:r>
      <w:r>
        <w:rPr>
          <w:rFonts w:hint="eastAsia"/>
          <w:sz w:val="24"/>
        </w:rPr>
        <w:t>个工作日，甲方有权解除合同。</w:t>
      </w:r>
    </w:p>
    <w:p>
      <w:pPr>
        <w:spacing w:line="360" w:lineRule="auto"/>
        <w:ind w:left="285" w:leftChars="1" w:hanging="283" w:hangingChars="118"/>
        <w:rPr>
          <w:sz w:val="24"/>
        </w:rPr>
      </w:pPr>
      <w:r>
        <w:rPr>
          <w:rFonts w:hint="eastAsia"/>
          <w:sz w:val="24"/>
        </w:rPr>
        <w:t>（</w:t>
      </w:r>
      <w:r>
        <w:rPr>
          <w:sz w:val="24"/>
        </w:rPr>
        <w:t>2</w:t>
      </w:r>
      <w:r>
        <w:rPr>
          <w:rFonts w:hint="eastAsia"/>
          <w:sz w:val="24"/>
        </w:rPr>
        <w:t>）乙方在应按照项目询价文件要求提供相应的产品及技术服务，如在项目实施过程中发现乙方未按照询价文件要求提供相应的产品及服务，甲方有权终止合同，并由乙方负责赔偿甲方因此造成的损失。</w:t>
      </w:r>
    </w:p>
    <w:p>
      <w:pPr>
        <w:spacing w:line="360" w:lineRule="auto"/>
        <w:ind w:left="285" w:leftChars="1" w:hanging="283" w:hangingChars="118"/>
        <w:rPr>
          <w:sz w:val="24"/>
        </w:rPr>
      </w:pPr>
      <w:r>
        <w:rPr>
          <w:rFonts w:hint="eastAsia"/>
          <w:sz w:val="24"/>
        </w:rPr>
        <w:t>（</w:t>
      </w:r>
      <w:r>
        <w:rPr>
          <w:sz w:val="24"/>
        </w:rPr>
        <w:t>3</w:t>
      </w:r>
      <w:r>
        <w:rPr>
          <w:rFonts w:hint="eastAsia"/>
          <w:sz w:val="24"/>
        </w:rPr>
        <w:t>）乙方如需更换项目经理，应具备下列条件：新更换的项目经理必须与报价时所报项目经理的专业一致且资格等级一致或高于；至少提前7天以书面形式通知甲方，并征得甲方书面同意；</w:t>
      </w:r>
    </w:p>
    <w:p>
      <w:pPr>
        <w:spacing w:line="360" w:lineRule="auto"/>
        <w:ind w:left="285" w:leftChars="1" w:hanging="283" w:hangingChars="118"/>
        <w:rPr>
          <w:sz w:val="24"/>
        </w:rPr>
      </w:pPr>
      <w:r>
        <w:rPr>
          <w:rFonts w:hint="eastAsia"/>
          <w:sz w:val="24"/>
        </w:rPr>
        <w:t>（</w:t>
      </w:r>
      <w:r>
        <w:rPr>
          <w:sz w:val="24"/>
        </w:rPr>
        <w:t>4</w:t>
      </w:r>
      <w:r>
        <w:rPr>
          <w:rFonts w:hint="eastAsia"/>
          <w:sz w:val="24"/>
        </w:rPr>
        <w:t>）乙方严禁将承包项目转让或分包。否则，甲方有权单方面以书面通知书形式解除合同，通知书到达乙方即生效，并由乙方支付违约金（合同暂定价的10%）；</w:t>
      </w:r>
    </w:p>
    <w:p>
      <w:pPr>
        <w:spacing w:line="360" w:lineRule="auto"/>
        <w:ind w:left="285" w:leftChars="1" w:hanging="283" w:hangingChars="118"/>
        <w:rPr>
          <w:sz w:val="24"/>
        </w:rPr>
      </w:pPr>
      <w:r>
        <w:rPr>
          <w:rFonts w:hint="eastAsia"/>
          <w:sz w:val="24"/>
        </w:rPr>
        <w:t>（</w:t>
      </w:r>
      <w:r>
        <w:rPr>
          <w:sz w:val="24"/>
        </w:rPr>
        <w:t>5</w:t>
      </w:r>
      <w:r>
        <w:rPr>
          <w:rFonts w:hint="eastAsia"/>
          <w:sz w:val="24"/>
        </w:rPr>
        <w:t>）项目质量不符合合同规定的，乙方负责无偿处理或返工，经甲方催告后仍未完成整改，甲方有权解除合同；</w:t>
      </w:r>
    </w:p>
    <w:p>
      <w:pPr>
        <w:spacing w:line="360" w:lineRule="auto"/>
        <w:ind w:left="285" w:leftChars="1" w:hanging="283" w:hangingChars="118"/>
        <w:rPr>
          <w:sz w:val="24"/>
        </w:rPr>
      </w:pPr>
      <w:r>
        <w:rPr>
          <w:rFonts w:hint="eastAsia"/>
          <w:sz w:val="24"/>
        </w:rPr>
        <w:t>（</w:t>
      </w:r>
      <w:r>
        <w:rPr>
          <w:sz w:val="24"/>
        </w:rPr>
        <w:t>6</w:t>
      </w:r>
      <w:r>
        <w:rPr>
          <w:rFonts w:hint="eastAsia"/>
          <w:sz w:val="24"/>
        </w:rPr>
        <w:t>）项目逾期通过验收的，超出</w:t>
      </w:r>
      <w:r>
        <w:rPr>
          <w:sz w:val="24"/>
        </w:rPr>
        <w:t>5</w:t>
      </w:r>
      <w:r>
        <w:rPr>
          <w:rFonts w:hint="eastAsia"/>
          <w:sz w:val="24"/>
        </w:rPr>
        <w:t>天宽限期后，每延迟一天向甲方赔偿合同总价的千分之一，逾期达到</w:t>
      </w:r>
      <w:r>
        <w:rPr>
          <w:sz w:val="24"/>
        </w:rPr>
        <w:t>15</w:t>
      </w:r>
      <w:r>
        <w:rPr>
          <w:rFonts w:hint="eastAsia"/>
          <w:sz w:val="24"/>
        </w:rPr>
        <w:t>天及以上的，甲方有权解除合同；</w:t>
      </w:r>
    </w:p>
    <w:p>
      <w:pPr>
        <w:spacing w:line="360" w:lineRule="auto"/>
        <w:ind w:left="285" w:leftChars="1" w:hanging="283" w:hangingChars="118"/>
        <w:rPr>
          <w:sz w:val="24"/>
        </w:rPr>
      </w:pPr>
      <w:r>
        <w:rPr>
          <w:rFonts w:hint="eastAsia"/>
          <w:sz w:val="24"/>
        </w:rPr>
        <w:t>（</w:t>
      </w:r>
      <w:r>
        <w:rPr>
          <w:sz w:val="24"/>
        </w:rPr>
        <w:t>7</w:t>
      </w:r>
      <w:r>
        <w:rPr>
          <w:rFonts w:hint="eastAsia"/>
          <w:sz w:val="24"/>
        </w:rPr>
        <w:t>）运维期间乙方操作不当或不周，造成设备的损坏，乙方必须尽快恢复系统的正常运作，不能影响甲方的正常工作，其中修复费用由乙方承担。运维期间对于不能修复的损坏设备，甲方有权要求</w:t>
      </w:r>
      <w:r>
        <w:rPr>
          <w:sz w:val="24"/>
        </w:rPr>
        <w:t>更换</w:t>
      </w:r>
      <w:r>
        <w:rPr>
          <w:rFonts w:hint="eastAsia"/>
          <w:sz w:val="24"/>
        </w:rPr>
        <w:t>，并由乙方承担更换设备的费用；</w:t>
      </w:r>
    </w:p>
    <w:p>
      <w:pPr>
        <w:spacing w:line="360" w:lineRule="auto"/>
        <w:ind w:left="285" w:leftChars="1" w:hanging="283" w:hangingChars="118"/>
        <w:rPr>
          <w:sz w:val="24"/>
        </w:rPr>
      </w:pPr>
      <w:r>
        <w:rPr>
          <w:rFonts w:hint="eastAsia"/>
          <w:sz w:val="24"/>
        </w:rPr>
        <w:t>（</w:t>
      </w:r>
      <w:r>
        <w:rPr>
          <w:sz w:val="24"/>
        </w:rPr>
        <w:t>8</w:t>
      </w:r>
      <w:r>
        <w:rPr>
          <w:rFonts w:hint="eastAsia"/>
          <w:sz w:val="24"/>
        </w:rPr>
        <w:t>）乙方应保证项目质量，保证系统达到本合同</w:t>
      </w:r>
      <w:r>
        <w:rPr>
          <w:sz w:val="24"/>
        </w:rPr>
        <w:t>规定的</w:t>
      </w:r>
      <w:r>
        <w:rPr>
          <w:rFonts w:hint="eastAsia"/>
          <w:sz w:val="24"/>
        </w:rPr>
        <w:t>标准要求；</w:t>
      </w:r>
    </w:p>
    <w:p>
      <w:pPr>
        <w:spacing w:line="360" w:lineRule="auto"/>
        <w:ind w:left="285" w:leftChars="1" w:hanging="283" w:hangingChars="118"/>
        <w:rPr>
          <w:sz w:val="24"/>
        </w:rPr>
      </w:pPr>
      <w:r>
        <w:rPr>
          <w:rFonts w:hint="eastAsia"/>
          <w:sz w:val="24"/>
        </w:rPr>
        <w:t>（</w:t>
      </w:r>
      <w:r>
        <w:rPr>
          <w:sz w:val="24"/>
        </w:rPr>
        <w:t>9</w:t>
      </w:r>
      <w:r>
        <w:rPr>
          <w:rFonts w:hint="eastAsia"/>
          <w:sz w:val="24"/>
        </w:rPr>
        <w:t>）乙方中途违约，不按要求履行合同义务，甲方</w:t>
      </w:r>
      <w:r>
        <w:rPr>
          <w:sz w:val="24"/>
        </w:rPr>
        <w:t>有权</w:t>
      </w:r>
      <w:r>
        <w:rPr>
          <w:rFonts w:hint="eastAsia"/>
          <w:sz w:val="24"/>
        </w:rPr>
        <w:t>解除</w:t>
      </w:r>
      <w:r>
        <w:rPr>
          <w:sz w:val="24"/>
        </w:rPr>
        <w:t>合同，并要求乙方</w:t>
      </w:r>
      <w:r>
        <w:rPr>
          <w:rFonts w:hint="eastAsia"/>
          <w:sz w:val="24"/>
        </w:rPr>
        <w:t>赔偿损失。</w:t>
      </w:r>
    </w:p>
    <w:p>
      <w:pPr>
        <w:spacing w:line="360" w:lineRule="auto"/>
        <w:ind w:left="285" w:leftChars="1" w:hanging="283" w:hangingChars="118"/>
        <w:rPr>
          <w:sz w:val="24"/>
        </w:rPr>
      </w:pPr>
      <w:r>
        <w:rPr>
          <w:rFonts w:hint="eastAsia"/>
          <w:sz w:val="24"/>
        </w:rPr>
        <w:t>（</w:t>
      </w:r>
      <w:r>
        <w:rPr>
          <w:sz w:val="24"/>
        </w:rPr>
        <w:t>10</w:t>
      </w:r>
      <w:r>
        <w:rPr>
          <w:rFonts w:hint="eastAsia"/>
          <w:sz w:val="24"/>
        </w:rPr>
        <w:t>）因乙方原因造成合同解除，由乙方赔付甲方因此造成的损失，支付违约金（合同暂定价的</w:t>
      </w:r>
      <w:r>
        <w:rPr>
          <w:sz w:val="24"/>
        </w:rPr>
        <w:t>2</w:t>
      </w:r>
      <w:r>
        <w:rPr>
          <w:rFonts w:hint="eastAsia"/>
          <w:sz w:val="24"/>
        </w:rPr>
        <w:t>0%），并返还已支付的款项。由甲方返还乙方已购置的设备。</w:t>
      </w:r>
    </w:p>
    <w:p/>
    <w:p>
      <w:pPr>
        <w:pStyle w:val="3"/>
        <w:jc w:val="center"/>
      </w:pPr>
      <w:bookmarkStart w:id="43" w:name="_Toc324870853"/>
      <w:r>
        <w:rPr>
          <w:rFonts w:hint="eastAsia"/>
        </w:rPr>
        <w:t>第九条其他</w:t>
      </w:r>
      <w:bookmarkEnd w:id="43"/>
    </w:p>
    <w:p>
      <w:pPr>
        <w:spacing w:line="360" w:lineRule="auto"/>
        <w:rPr>
          <w:rFonts w:ascii="宋体"/>
          <w:sz w:val="24"/>
        </w:rPr>
      </w:pPr>
      <w:r>
        <w:rPr>
          <w:rFonts w:hint="eastAsia" w:ascii="宋体"/>
          <w:sz w:val="24"/>
        </w:rPr>
        <w:t>1、甲乙双方在履行本合同中出现争议，双方应及时协商解决。双方无法协商解决时，应向甲方所在地的法院提出诉讼。</w:t>
      </w:r>
    </w:p>
    <w:p>
      <w:pPr>
        <w:spacing w:line="360" w:lineRule="auto"/>
        <w:rPr>
          <w:rFonts w:ascii="宋体"/>
          <w:sz w:val="24"/>
        </w:rPr>
      </w:pPr>
      <w:r>
        <w:rPr>
          <w:rFonts w:hint="eastAsia" w:ascii="宋体"/>
          <w:sz w:val="24"/>
        </w:rPr>
        <w:t>2、本合同条款如对特殊情况有未尽事宜，双方可根据具体情况结合有关规定议定特殊条款，特殊条款与合同具有同等效力。</w:t>
      </w:r>
    </w:p>
    <w:p>
      <w:pPr>
        <w:adjustRightInd w:val="0"/>
        <w:spacing w:line="360" w:lineRule="auto"/>
        <w:ind w:right="246"/>
        <w:rPr>
          <w:rFonts w:ascii="宋体" w:hAnsi="宋体" w:cs="宋体"/>
          <w:b/>
          <w:sz w:val="24"/>
        </w:rPr>
      </w:pPr>
      <w:r>
        <w:rPr>
          <w:rFonts w:hint="eastAsia" w:ascii="宋体" w:hAnsi="宋体" w:cs="宋体"/>
          <w:b/>
          <w:sz w:val="24"/>
        </w:rPr>
        <w:t>附件</w:t>
      </w:r>
    </w:p>
    <w:p>
      <w:pPr>
        <w:spacing w:line="360" w:lineRule="auto"/>
        <w:ind w:firstLine="480"/>
        <w:rPr>
          <w:kern w:val="0"/>
        </w:rPr>
      </w:pPr>
      <w:r>
        <w:rPr>
          <w:rFonts w:hint="eastAsia"/>
          <w:kern w:val="0"/>
        </w:rPr>
        <w:t>1.  保密协议</w:t>
      </w:r>
    </w:p>
    <w:p>
      <w:pPr>
        <w:spacing w:line="360" w:lineRule="auto"/>
        <w:ind w:firstLine="480"/>
        <w:rPr>
          <w:kern w:val="0"/>
        </w:rPr>
      </w:pPr>
      <w:r>
        <w:rPr>
          <w:rFonts w:hint="eastAsia"/>
          <w:kern w:val="0"/>
        </w:rPr>
        <w:t>2.  廉政协议书</w:t>
      </w:r>
    </w:p>
    <w:p>
      <w:pPr>
        <w:spacing w:line="360" w:lineRule="auto"/>
        <w:ind w:firstLine="480"/>
        <w:rPr>
          <w:kern w:val="0"/>
        </w:rPr>
        <w:sectPr>
          <w:pgSz w:w="11906" w:h="16838"/>
          <w:pgMar w:top="1089" w:right="1466" w:bottom="1089" w:left="1077" w:header="851" w:footer="992" w:gutter="0"/>
          <w:cols w:space="720" w:num="1"/>
          <w:docGrid w:type="lines" w:linePitch="312" w:charSpace="0"/>
        </w:sectPr>
      </w:pPr>
      <w:r>
        <w:rPr>
          <w:rFonts w:hint="eastAsia"/>
          <w:kern w:val="0"/>
        </w:rPr>
        <w:t>3</w:t>
      </w:r>
      <w:r>
        <w:rPr>
          <w:kern w:val="0"/>
        </w:rPr>
        <w:t xml:space="preserve">.  </w:t>
      </w:r>
      <w:r>
        <w:rPr>
          <w:rFonts w:hint="eastAsia"/>
          <w:kern w:val="0"/>
        </w:rPr>
        <w:t>安全管理协议书</w:t>
      </w:r>
    </w:p>
    <w:p>
      <w:pPr>
        <w:pStyle w:val="47"/>
        <w:spacing w:line="600" w:lineRule="atLeast"/>
        <w:rPr>
          <w:b/>
          <w:szCs w:val="21"/>
        </w:rPr>
      </w:pPr>
      <w:r>
        <w:rPr>
          <w:rFonts w:hint="eastAsia"/>
          <w:sz w:val="32"/>
          <w:szCs w:val="32"/>
        </w:rPr>
        <w:t>附件1：保密协议</w:t>
      </w:r>
    </w:p>
    <w:p>
      <w:pPr>
        <w:spacing w:line="360" w:lineRule="auto"/>
        <w:ind w:left="178" w:firstLine="178"/>
        <w:rPr>
          <w:rFonts w:ascii="宋体" w:hAnsi="宋体" w:cs="宋体"/>
          <w:sz w:val="24"/>
        </w:rPr>
      </w:pPr>
      <w:r>
        <w:rPr>
          <w:rFonts w:hint="eastAsia" w:ascii="宋体" w:hAnsi="宋体" w:cs="宋体"/>
          <w:sz w:val="24"/>
        </w:rPr>
        <w:t>甲方：广州市净水有限公司</w:t>
      </w:r>
    </w:p>
    <w:p>
      <w:pPr>
        <w:spacing w:line="360" w:lineRule="auto"/>
        <w:ind w:left="178" w:firstLine="178"/>
        <w:rPr>
          <w:rFonts w:ascii="宋体" w:hAnsi="宋体" w:cs="宋体"/>
          <w:sz w:val="24"/>
        </w:rPr>
      </w:pPr>
      <w:r>
        <w:rPr>
          <w:rFonts w:hint="eastAsia" w:ascii="宋体" w:hAnsi="宋体" w:cs="宋体"/>
          <w:sz w:val="24"/>
        </w:rPr>
        <w:t xml:space="preserve">乙方： </w:t>
      </w:r>
    </w:p>
    <w:p>
      <w:pPr>
        <w:spacing w:line="360" w:lineRule="auto"/>
        <w:ind w:left="178" w:firstLine="178"/>
        <w:rPr>
          <w:rFonts w:ascii="宋体" w:hAnsi="宋体" w:cs="宋体"/>
          <w:sz w:val="24"/>
        </w:rPr>
      </w:pPr>
      <w:r>
        <w:rPr>
          <w:rFonts w:hint="eastAsia" w:ascii="宋体" w:hAnsi="宋体" w:cs="宋体"/>
          <w:sz w:val="24"/>
        </w:rPr>
        <w:t> </w:t>
      </w:r>
    </w:p>
    <w:p>
      <w:pPr>
        <w:spacing w:line="360" w:lineRule="auto"/>
        <w:ind w:left="178" w:firstLine="178"/>
        <w:rPr>
          <w:rFonts w:ascii="宋体" w:hAnsi="宋体" w:cs="宋体"/>
          <w:sz w:val="24"/>
        </w:rPr>
      </w:pPr>
      <w:r>
        <w:rPr>
          <w:rFonts w:hint="eastAsia" w:ascii="宋体" w:hAnsi="宋体" w:cs="宋体"/>
          <w:sz w:val="24"/>
        </w:rPr>
        <w:t>鉴于：</w:t>
      </w:r>
    </w:p>
    <w:p>
      <w:pPr>
        <w:numPr>
          <w:ilvl w:val="0"/>
          <w:numId w:val="21"/>
        </w:numPr>
        <w:spacing w:line="360" w:lineRule="auto"/>
        <w:ind w:left="178" w:firstLine="178"/>
        <w:rPr>
          <w:rFonts w:ascii="宋体" w:hAnsi="宋体" w:cs="宋体"/>
          <w:sz w:val="24"/>
        </w:rPr>
      </w:pPr>
      <w:r>
        <w:rPr>
          <w:rFonts w:hint="eastAsia" w:ascii="宋体" w:hAnsi="宋体" w:cs="宋体"/>
          <w:sz w:val="24"/>
        </w:rPr>
        <w:t>甲乙双方（以下简称“双方”）互相理解，自愿和工作责任上的考虑；</w:t>
      </w:r>
    </w:p>
    <w:p>
      <w:pPr>
        <w:numPr>
          <w:ilvl w:val="0"/>
          <w:numId w:val="21"/>
        </w:numPr>
        <w:spacing w:line="360" w:lineRule="auto"/>
        <w:ind w:left="178" w:firstLine="178"/>
        <w:rPr>
          <w:rFonts w:ascii="宋体" w:hAnsi="宋体" w:cs="宋体"/>
          <w:sz w:val="24"/>
        </w:rPr>
      </w:pPr>
      <w:r>
        <w:rPr>
          <w:rFonts w:hint="eastAsia" w:ascii="宋体" w:hAnsi="宋体" w:cs="宋体"/>
          <w:sz w:val="24"/>
        </w:rPr>
        <w:t>在甲方业务范围内各工程项目的实施过程中，双方对工程项目进行管理合作（以下简称“合作”），甲方向乙方提供有关保密信息，且该保密信息属甲方合法所有；</w:t>
      </w:r>
    </w:p>
    <w:p>
      <w:pPr>
        <w:numPr>
          <w:ilvl w:val="0"/>
          <w:numId w:val="21"/>
        </w:numPr>
        <w:spacing w:line="360" w:lineRule="auto"/>
        <w:ind w:left="178" w:firstLine="178"/>
        <w:rPr>
          <w:rFonts w:ascii="宋体" w:hAnsi="宋体" w:cs="宋体"/>
          <w:sz w:val="24"/>
        </w:rPr>
      </w:pPr>
      <w:r>
        <w:rPr>
          <w:rFonts w:hint="eastAsia" w:ascii="宋体" w:hAnsi="宋体" w:cs="宋体"/>
          <w:sz w:val="24"/>
        </w:rPr>
        <w:t>甲方希望对本协议所述保密信息予以有效保护。</w:t>
      </w:r>
    </w:p>
    <w:p>
      <w:pPr>
        <w:spacing w:line="360" w:lineRule="auto"/>
        <w:ind w:left="178" w:firstLine="178"/>
        <w:rPr>
          <w:rFonts w:ascii="宋体" w:hAnsi="宋体" w:cs="宋体"/>
          <w:sz w:val="24"/>
        </w:rPr>
      </w:pPr>
      <w:r>
        <w:rPr>
          <w:rFonts w:hint="eastAsia" w:ascii="宋体" w:hAnsi="宋体" w:cs="宋体"/>
          <w:sz w:val="24"/>
        </w:rPr>
        <w:t>经双方协商，达成本协议。</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本协议所指保密信息是指：</w:t>
      </w:r>
    </w:p>
    <w:p>
      <w:pPr>
        <w:spacing w:line="360" w:lineRule="auto"/>
        <w:ind w:left="178" w:firstLine="434" w:firstLineChars="181"/>
        <w:rPr>
          <w:rFonts w:ascii="宋体" w:hAnsi="宋体" w:cs="宋体"/>
          <w:sz w:val="24"/>
        </w:rPr>
      </w:pPr>
      <w:r>
        <w:rPr>
          <w:rFonts w:hint="eastAsia" w:ascii="宋体" w:hAnsi="宋体" w:cs="宋体"/>
          <w:sz w:val="24"/>
        </w:rPr>
        <w:t>在合作过程中，乙方从甲方（或其主管部门、关联部门及下属机构）获得的与合作有关或因合作产生的任何工程电子数据、相关的商业、营销、技术、运营资料或其他性质的资料和成果及其打印图纸和文档，无论以何种形式或载于何种载体，无论在披露时是否以口头、图像或以书面方式表明其具有保密性。</w:t>
      </w:r>
    </w:p>
    <w:p>
      <w:pPr>
        <w:spacing w:line="360" w:lineRule="auto"/>
        <w:ind w:left="178" w:firstLine="434" w:firstLineChars="181"/>
        <w:rPr>
          <w:rFonts w:ascii="宋体" w:hAnsi="宋体" w:cs="宋体"/>
          <w:sz w:val="24"/>
        </w:rPr>
      </w:pPr>
      <w:r>
        <w:rPr>
          <w:rFonts w:hint="eastAsia" w:ascii="宋体" w:hAnsi="宋体" w:cs="宋体"/>
          <w:sz w:val="24"/>
        </w:rPr>
        <w:t>上述保密信息可以以数据、文字及记载上述内容的资料、光盘、软件、图书等有形媒介体现，也可通过口头等视听形式传递。</w:t>
      </w:r>
    </w:p>
    <w:p>
      <w:pPr>
        <w:numPr>
          <w:ilvl w:val="0"/>
          <w:numId w:val="22"/>
        </w:numPr>
        <w:spacing w:line="360" w:lineRule="auto"/>
        <w:ind w:left="178" w:firstLine="178"/>
        <w:rPr>
          <w:rFonts w:ascii="宋体" w:hAnsi="宋体" w:cs="宋体"/>
          <w:sz w:val="24"/>
        </w:rPr>
      </w:pPr>
      <w:r>
        <w:rPr>
          <w:rFonts w:hint="eastAsia" w:ascii="宋体" w:hAnsi="宋体" w:cs="宋体"/>
          <w:sz w:val="24"/>
        </w:rPr>
        <w:t>双方权利与义务</w:t>
      </w:r>
    </w:p>
    <w:p>
      <w:pPr>
        <w:spacing w:line="360" w:lineRule="auto"/>
        <w:ind w:left="356"/>
        <w:rPr>
          <w:rFonts w:ascii="宋体" w:hAnsi="宋体" w:cs="宋体"/>
          <w:sz w:val="24"/>
        </w:rPr>
      </w:pPr>
      <w:r>
        <w:rPr>
          <w:rFonts w:hint="eastAsia" w:ascii="宋体" w:hAnsi="宋体" w:cs="宋体"/>
          <w:sz w:val="24"/>
        </w:rPr>
        <w:t>1.乙方保证该保密信息仅用于与合作有关的用途或目的；</w:t>
      </w:r>
    </w:p>
    <w:p>
      <w:pPr>
        <w:spacing w:line="360" w:lineRule="auto"/>
        <w:ind w:left="356"/>
        <w:rPr>
          <w:rFonts w:ascii="宋体" w:hAnsi="宋体" w:cs="宋体"/>
          <w:sz w:val="24"/>
        </w:rPr>
      </w:pPr>
      <w:r>
        <w:rPr>
          <w:rFonts w:hint="eastAsia" w:ascii="宋体" w:hAnsi="宋体" w:cs="宋体"/>
          <w:sz w:val="24"/>
        </w:rPr>
        <w:t>2.双方各自保证对保密信息予以妥善保存；</w:t>
      </w:r>
    </w:p>
    <w:p>
      <w:pPr>
        <w:spacing w:line="360" w:lineRule="auto"/>
        <w:ind w:left="356"/>
        <w:rPr>
          <w:rFonts w:ascii="宋体" w:hAnsi="宋体" w:cs="宋体"/>
          <w:sz w:val="24"/>
        </w:rPr>
      </w:pPr>
      <w:r>
        <w:rPr>
          <w:rFonts w:hint="eastAsia" w:ascii="宋体" w:hAnsi="宋体" w:cs="宋体"/>
          <w:sz w:val="24"/>
        </w:rPr>
        <w:t xml:space="preserve">3.乙方保证对甲方所提供的保密信息予以保密，仅可在本人以及从事该项目的负责人之间知悉、传阅，并不得以各种方式向第三者传递、散播甲方提供的保密信息，使用完毕立即销毁或者上交至甲方有关负责部门； </w:t>
      </w:r>
    </w:p>
    <w:p>
      <w:pPr>
        <w:spacing w:line="360" w:lineRule="auto"/>
        <w:ind w:left="356"/>
        <w:rPr>
          <w:rFonts w:ascii="宋体" w:hAnsi="宋体" w:cs="宋体"/>
          <w:sz w:val="24"/>
        </w:rPr>
      </w:pPr>
      <w:r>
        <w:rPr>
          <w:rFonts w:hint="eastAsia" w:ascii="宋体" w:hAnsi="宋体" w:cs="宋体"/>
          <w:sz w:val="24"/>
        </w:rPr>
        <w:t>4.乙方知悉该保密信息前，甲方应向其提示保密信息的保密性和应承担的义务，并保证乙方以书面形式同意接受本协议条款的约束；</w:t>
      </w:r>
    </w:p>
    <w:p>
      <w:pPr>
        <w:spacing w:line="360" w:lineRule="auto"/>
        <w:ind w:left="356"/>
        <w:rPr>
          <w:rFonts w:ascii="宋体" w:hAnsi="宋体" w:cs="宋体"/>
          <w:sz w:val="24"/>
        </w:rPr>
      </w:pPr>
      <w:r>
        <w:rPr>
          <w:rFonts w:hint="eastAsia" w:ascii="宋体" w:hAnsi="宋体" w:cs="宋体"/>
          <w:sz w:val="24"/>
        </w:rPr>
        <w:t>5.上述限制条款不适用于以下情况：</w:t>
      </w:r>
    </w:p>
    <w:p>
      <w:pPr>
        <w:spacing w:line="360" w:lineRule="auto"/>
        <w:ind w:left="356"/>
        <w:rPr>
          <w:rFonts w:ascii="宋体" w:hAnsi="宋体" w:cs="宋体"/>
          <w:sz w:val="24"/>
        </w:rPr>
      </w:pPr>
      <w:r>
        <w:rPr>
          <w:rFonts w:hint="eastAsia" w:ascii="宋体" w:hAnsi="宋体" w:cs="宋体"/>
          <w:sz w:val="24"/>
        </w:rPr>
        <w:t>(1)在签署本协议之时或之前，保密信息已以合法方式属接受方所有；</w:t>
      </w:r>
    </w:p>
    <w:p>
      <w:pPr>
        <w:spacing w:line="360" w:lineRule="auto"/>
        <w:ind w:left="356"/>
        <w:rPr>
          <w:rFonts w:ascii="宋体" w:hAnsi="宋体" w:cs="宋体"/>
          <w:sz w:val="24"/>
        </w:rPr>
      </w:pPr>
      <w:r>
        <w:rPr>
          <w:rFonts w:hint="eastAsia" w:ascii="宋体" w:hAnsi="宋体" w:cs="宋体"/>
          <w:sz w:val="24"/>
        </w:rPr>
        <w:t>(2)保密信息在通知给接受方时，已经公开或能从公开领域获得；</w:t>
      </w:r>
    </w:p>
    <w:p>
      <w:pPr>
        <w:spacing w:line="360" w:lineRule="auto"/>
        <w:ind w:left="356"/>
        <w:rPr>
          <w:rFonts w:ascii="宋体" w:hAnsi="宋体" w:cs="宋体"/>
          <w:sz w:val="24"/>
        </w:rPr>
      </w:pPr>
      <w:r>
        <w:rPr>
          <w:rFonts w:hint="eastAsia" w:ascii="宋体" w:hAnsi="宋体" w:cs="宋体"/>
          <w:sz w:val="24"/>
        </w:rPr>
        <w:t>(3)保密信息是接受方从与其没有保密或不透露义务的第三方获得的；</w:t>
      </w:r>
    </w:p>
    <w:p>
      <w:pPr>
        <w:spacing w:line="360" w:lineRule="auto"/>
        <w:ind w:left="356"/>
        <w:rPr>
          <w:rFonts w:ascii="宋体" w:hAnsi="宋体" w:cs="宋体"/>
          <w:sz w:val="24"/>
        </w:rPr>
      </w:pPr>
      <w:r>
        <w:rPr>
          <w:rFonts w:hint="eastAsia" w:ascii="宋体" w:hAnsi="宋体" w:cs="宋体"/>
          <w:sz w:val="24"/>
        </w:rPr>
        <w:t>(4)在不违反本协议项下约定责任的前提下，保密信息已经公开或能从公开领域获得；</w:t>
      </w:r>
    </w:p>
    <w:p>
      <w:pPr>
        <w:spacing w:line="360" w:lineRule="auto"/>
        <w:ind w:left="356"/>
        <w:rPr>
          <w:rFonts w:ascii="宋体" w:hAnsi="宋体" w:cs="宋体"/>
          <w:sz w:val="24"/>
        </w:rPr>
      </w:pPr>
      <w:r>
        <w:rPr>
          <w:rFonts w:hint="eastAsia" w:ascii="宋体" w:hAnsi="宋体" w:cs="宋体"/>
          <w:sz w:val="24"/>
        </w:rPr>
        <w:t>(5)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spacing w:line="360" w:lineRule="auto"/>
        <w:ind w:left="356"/>
        <w:rPr>
          <w:rFonts w:ascii="宋体" w:hAnsi="宋体" w:cs="宋体"/>
          <w:sz w:val="24"/>
        </w:rPr>
      </w:pPr>
      <w:r>
        <w:rPr>
          <w:rFonts w:hint="eastAsia" w:ascii="宋体" w:hAnsi="宋体" w:cs="宋体"/>
          <w:sz w:val="24"/>
        </w:rPr>
        <w:t>6.甲方不保证保密信息的精确性与合理性；</w:t>
      </w:r>
    </w:p>
    <w:p>
      <w:pPr>
        <w:spacing w:line="360" w:lineRule="auto"/>
        <w:ind w:left="356"/>
        <w:rPr>
          <w:rFonts w:ascii="宋体" w:hAnsi="宋体" w:cs="宋体"/>
          <w:sz w:val="24"/>
        </w:rPr>
      </w:pPr>
      <w:r>
        <w:rPr>
          <w:rFonts w:hint="eastAsia" w:ascii="宋体" w:hAnsi="宋体" w:cs="宋体"/>
          <w:sz w:val="24"/>
        </w:rPr>
        <w:t>7.甲方提供的保密信息，如涉及侵犯第三方知识产权的情况，乙方不对此侵权行为负责，且免于由此产生的索赔.</w:t>
      </w:r>
    </w:p>
    <w:p>
      <w:pPr>
        <w:numPr>
          <w:ilvl w:val="0"/>
          <w:numId w:val="22"/>
        </w:numPr>
        <w:spacing w:line="360" w:lineRule="auto"/>
        <w:ind w:left="178" w:firstLine="178"/>
        <w:rPr>
          <w:rFonts w:ascii="宋体" w:hAnsi="宋体" w:cs="宋体"/>
          <w:sz w:val="24"/>
        </w:rPr>
      </w:pPr>
      <w:r>
        <w:rPr>
          <w:rFonts w:hint="eastAsia" w:ascii="宋体" w:hAnsi="宋体" w:cs="宋体"/>
          <w:sz w:val="24"/>
        </w:rPr>
        <w:t>违约责任</w:t>
      </w:r>
    </w:p>
    <w:p>
      <w:pPr>
        <w:spacing w:line="360" w:lineRule="auto"/>
        <w:ind w:left="178" w:firstLine="434" w:firstLineChars="181"/>
        <w:rPr>
          <w:rFonts w:ascii="宋体" w:hAnsi="宋体" w:cs="宋体"/>
          <w:sz w:val="24"/>
        </w:rPr>
      </w:pPr>
      <w:r>
        <w:rPr>
          <w:rFonts w:hint="eastAsia" w:ascii="宋体" w:hAnsi="宋体" w:cs="宋体"/>
          <w:sz w:val="24"/>
        </w:rPr>
        <w:t>任何一方未履行本协议项下的条款均被视为违约。作出违约行为的一方应承担因自己的违约行为而给守约方造成的损失，触犯国家法律法规交由公安机关处理。</w:t>
      </w:r>
    </w:p>
    <w:p>
      <w:pPr>
        <w:numPr>
          <w:ilvl w:val="0"/>
          <w:numId w:val="22"/>
        </w:numPr>
        <w:spacing w:line="360" w:lineRule="auto"/>
        <w:ind w:left="178" w:firstLine="178"/>
        <w:rPr>
          <w:rFonts w:ascii="宋体" w:hAnsi="宋体" w:cs="宋体"/>
          <w:sz w:val="24"/>
        </w:rPr>
      </w:pPr>
      <w:r>
        <w:rPr>
          <w:rFonts w:hint="eastAsia" w:ascii="宋体" w:hAnsi="宋体" w:cs="宋体"/>
          <w:sz w:val="24"/>
        </w:rPr>
        <w:t>免责条款</w:t>
      </w:r>
    </w:p>
    <w:p>
      <w:pPr>
        <w:spacing w:line="360" w:lineRule="auto"/>
        <w:ind w:left="178" w:firstLine="434" w:firstLineChars="181"/>
        <w:rPr>
          <w:rFonts w:ascii="宋体" w:hAnsi="宋体" w:cs="宋体"/>
          <w:sz w:val="24"/>
        </w:rPr>
      </w:pPr>
      <w:r>
        <w:rPr>
          <w:rFonts w:hint="eastAsia" w:ascii="宋体" w:hAnsi="宋体" w:cs="宋体"/>
          <w:sz w:val="24"/>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本协议有效期至乙方与甲方解除工作合同关系后第五年末结束。</w:t>
      </w:r>
    </w:p>
    <w:p>
      <w:pPr>
        <w:numPr>
          <w:ilvl w:val="0"/>
          <w:numId w:val="22"/>
        </w:numPr>
        <w:spacing w:line="360" w:lineRule="auto"/>
        <w:ind w:left="178" w:firstLine="178"/>
        <w:rPr>
          <w:rFonts w:ascii="宋体" w:hAnsi="宋体" w:cs="宋体"/>
          <w:sz w:val="24"/>
        </w:rPr>
      </w:pPr>
      <w:r>
        <w:rPr>
          <w:rFonts w:hint="eastAsia" w:ascii="宋体" w:hAnsi="宋体" w:cs="宋体"/>
          <w:sz w:val="24"/>
        </w:rPr>
        <w:t>争议的解决</w:t>
      </w:r>
    </w:p>
    <w:p>
      <w:pPr>
        <w:spacing w:line="360" w:lineRule="auto"/>
        <w:ind w:left="178" w:firstLine="178"/>
        <w:rPr>
          <w:rFonts w:ascii="宋体" w:hAnsi="宋体" w:cs="宋体"/>
          <w:sz w:val="24"/>
        </w:rPr>
      </w:pPr>
      <w:r>
        <w:rPr>
          <w:rFonts w:hint="eastAsia" w:ascii="宋体" w:hAnsi="宋体" w:cs="宋体"/>
          <w:sz w:val="24"/>
        </w:rPr>
        <w:t>本协议受中华人民共和国（以下简称“中国”）的法律管辖并按照中国的法律进行解释。由于本协议的履行或解释而产生的或与之有关的任何争议，如双方无法协商解决，应提交中国国际经济贸易仲裁委员会并按照其当时有效的仲裁规则和仲裁程序进行最终裁决。</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本协议未尽事宜，双方可签订补充协议。本协议的补充协议为其不可分割的一部分，与本协议具有同等法律效力。</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本协议自双方签字盖章之日起生效。</w:t>
      </w:r>
    </w:p>
    <w:tbl>
      <w:tblPr>
        <w:tblStyle w:val="26"/>
        <w:tblpPr w:leftFromText="180" w:rightFromText="180" w:vertAnchor="text" w:horzAnchor="margin" w:tblpY="158"/>
        <w:tblW w:w="0" w:type="auto"/>
        <w:tblInd w:w="0" w:type="dxa"/>
        <w:tblLayout w:type="fixed"/>
        <w:tblCellMar>
          <w:top w:w="0" w:type="dxa"/>
          <w:left w:w="108" w:type="dxa"/>
          <w:bottom w:w="0" w:type="dxa"/>
          <w:right w:w="108" w:type="dxa"/>
        </w:tblCellMar>
      </w:tblPr>
      <w:tblGrid>
        <w:gridCol w:w="1066"/>
        <w:gridCol w:w="1876"/>
        <w:gridCol w:w="1023"/>
        <w:gridCol w:w="1049"/>
        <w:gridCol w:w="1377"/>
        <w:gridCol w:w="2383"/>
      </w:tblGrid>
      <w:tr>
        <w:tblPrEx>
          <w:tblCellMar>
            <w:top w:w="0" w:type="dxa"/>
            <w:left w:w="108" w:type="dxa"/>
            <w:bottom w:w="0" w:type="dxa"/>
            <w:right w:w="108" w:type="dxa"/>
          </w:tblCellMar>
        </w:tblPrEx>
        <w:tc>
          <w:tcPr>
            <w:tcW w:w="1066" w:type="dxa"/>
            <w:tcBorders>
              <w:top w:val="nil"/>
              <w:left w:val="nil"/>
              <w:bottom w:val="nil"/>
              <w:right w:val="nil"/>
            </w:tcBorders>
          </w:tcPr>
          <w:p>
            <w:pPr>
              <w:spacing w:line="360" w:lineRule="auto"/>
              <w:ind w:left="178"/>
              <w:rPr>
                <w:rFonts w:ascii="宋体" w:hAnsi="宋体" w:cs="宋体"/>
                <w:b/>
                <w:bCs/>
                <w:sz w:val="24"/>
              </w:rPr>
            </w:pPr>
            <w:r>
              <w:rPr>
                <w:rFonts w:hint="eastAsia" w:ascii="宋体" w:hAnsi="宋体" w:cs="宋体"/>
                <w:b/>
                <w:bCs/>
                <w:sz w:val="24"/>
              </w:rPr>
              <w:t>甲方：</w:t>
            </w:r>
          </w:p>
        </w:tc>
        <w:tc>
          <w:tcPr>
            <w:tcW w:w="2899" w:type="dxa"/>
            <w:gridSpan w:val="2"/>
            <w:tcBorders>
              <w:top w:val="nil"/>
              <w:left w:val="nil"/>
              <w:bottom w:val="nil"/>
              <w:right w:val="nil"/>
            </w:tcBorders>
          </w:tcPr>
          <w:p>
            <w:pPr>
              <w:spacing w:line="360" w:lineRule="auto"/>
              <w:ind w:left="63" w:leftChars="30" w:firstLine="72" w:firstLineChars="30"/>
              <w:rPr>
                <w:rFonts w:ascii="宋体" w:hAnsi="宋体" w:cs="宋体"/>
                <w:sz w:val="24"/>
              </w:rPr>
            </w:pPr>
            <w:r>
              <w:rPr>
                <w:rFonts w:hint="eastAsia" w:ascii="宋体" w:hAnsi="宋体" w:cs="宋体"/>
                <w:sz w:val="24"/>
              </w:rPr>
              <w:t>广州市净水有限公司</w:t>
            </w:r>
          </w:p>
        </w:tc>
        <w:tc>
          <w:tcPr>
            <w:tcW w:w="1049" w:type="dxa"/>
            <w:tcBorders>
              <w:top w:val="nil"/>
              <w:left w:val="nil"/>
              <w:bottom w:val="nil"/>
              <w:right w:val="nil"/>
            </w:tcBorders>
          </w:tcPr>
          <w:p>
            <w:pPr>
              <w:spacing w:line="360" w:lineRule="auto"/>
              <w:ind w:left="178"/>
              <w:rPr>
                <w:rFonts w:ascii="宋体" w:hAnsi="宋体" w:cs="宋体"/>
                <w:sz w:val="24"/>
              </w:rPr>
            </w:pPr>
            <w:r>
              <w:rPr>
                <w:rFonts w:hint="eastAsia" w:ascii="宋体" w:hAnsi="宋体" w:cs="宋体"/>
                <w:b/>
                <w:bCs/>
                <w:sz w:val="24"/>
              </w:rPr>
              <w:t>乙方：</w:t>
            </w:r>
          </w:p>
        </w:tc>
        <w:tc>
          <w:tcPr>
            <w:tcW w:w="3760" w:type="dxa"/>
            <w:gridSpan w:val="2"/>
            <w:tcBorders>
              <w:top w:val="nil"/>
              <w:left w:val="nil"/>
              <w:bottom w:val="nil"/>
              <w:right w:val="nil"/>
            </w:tcBorders>
          </w:tcPr>
          <w:p>
            <w:pPr>
              <w:spacing w:line="360" w:lineRule="auto"/>
              <w:ind w:left="63" w:leftChars="30"/>
              <w:rPr>
                <w:rFonts w:ascii="宋体" w:hAnsi="宋体" w:cs="宋体"/>
                <w:b/>
                <w:bCs/>
                <w:sz w:val="24"/>
              </w:rPr>
            </w:pPr>
          </w:p>
        </w:tc>
      </w:tr>
      <w:tr>
        <w:tblPrEx>
          <w:tblCellMar>
            <w:top w:w="0" w:type="dxa"/>
            <w:left w:w="108" w:type="dxa"/>
            <w:bottom w:w="0" w:type="dxa"/>
            <w:right w:w="108" w:type="dxa"/>
          </w:tblCellMar>
        </w:tblPrEx>
        <w:tc>
          <w:tcPr>
            <w:tcW w:w="3965" w:type="dxa"/>
            <w:gridSpan w:val="3"/>
            <w:tcBorders>
              <w:top w:val="nil"/>
              <w:left w:val="nil"/>
              <w:bottom w:val="nil"/>
              <w:right w:val="nil"/>
            </w:tcBorders>
          </w:tcPr>
          <w:p>
            <w:pPr>
              <w:spacing w:line="360" w:lineRule="auto"/>
              <w:ind w:left="178" w:firstLine="480" w:firstLineChars="200"/>
              <w:rPr>
                <w:rFonts w:ascii="宋体" w:hAnsi="宋体" w:cs="宋体"/>
                <w:sz w:val="24"/>
              </w:rPr>
            </w:pPr>
            <w:r>
              <w:rPr>
                <w:rFonts w:hint="eastAsia" w:ascii="宋体" w:hAnsi="宋体" w:cs="宋体"/>
                <w:sz w:val="24"/>
              </w:rPr>
              <w:t>（签章）</w:t>
            </w:r>
          </w:p>
        </w:tc>
        <w:tc>
          <w:tcPr>
            <w:tcW w:w="4809" w:type="dxa"/>
            <w:gridSpan w:val="3"/>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sz w:val="24"/>
              </w:rPr>
              <w:t>  （签章）</w:t>
            </w:r>
          </w:p>
        </w:tc>
      </w:tr>
      <w:tr>
        <w:tblPrEx>
          <w:tblCellMar>
            <w:top w:w="0" w:type="dxa"/>
            <w:left w:w="108" w:type="dxa"/>
            <w:bottom w:w="0" w:type="dxa"/>
            <w:right w:w="108" w:type="dxa"/>
          </w:tblCellMar>
        </w:tblPrEx>
        <w:tc>
          <w:tcPr>
            <w:tcW w:w="3965" w:type="dxa"/>
            <w:gridSpan w:val="3"/>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sz w:val="24"/>
              </w:rPr>
              <w:t>委托人签字：</w:t>
            </w:r>
          </w:p>
        </w:tc>
        <w:tc>
          <w:tcPr>
            <w:tcW w:w="4809" w:type="dxa"/>
            <w:gridSpan w:val="3"/>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sz w:val="24"/>
              </w:rPr>
              <w:t>委托人签字：</w:t>
            </w:r>
          </w:p>
        </w:tc>
      </w:tr>
      <w:tr>
        <w:tblPrEx>
          <w:tblCellMar>
            <w:top w:w="0" w:type="dxa"/>
            <w:left w:w="108" w:type="dxa"/>
            <w:bottom w:w="0" w:type="dxa"/>
            <w:right w:w="108" w:type="dxa"/>
          </w:tblCellMar>
        </w:tblPrEx>
        <w:trPr>
          <w:gridAfter w:val="1"/>
          <w:wAfter w:w="2383" w:type="dxa"/>
        </w:trPr>
        <w:tc>
          <w:tcPr>
            <w:tcW w:w="2942" w:type="dxa"/>
            <w:gridSpan w:val="2"/>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b/>
                <w:bCs/>
                <w:sz w:val="24"/>
              </w:rPr>
              <w:t>日期：</w:t>
            </w:r>
          </w:p>
        </w:tc>
        <w:tc>
          <w:tcPr>
            <w:tcW w:w="3449" w:type="dxa"/>
            <w:gridSpan w:val="3"/>
            <w:tcBorders>
              <w:top w:val="nil"/>
              <w:left w:val="nil"/>
              <w:bottom w:val="nil"/>
              <w:right w:val="nil"/>
            </w:tcBorders>
          </w:tcPr>
          <w:p>
            <w:pPr>
              <w:spacing w:line="360" w:lineRule="auto"/>
              <w:ind w:left="178" w:firstLine="960" w:firstLineChars="400"/>
              <w:rPr>
                <w:rFonts w:ascii="宋体" w:hAnsi="宋体" w:cs="宋体"/>
                <w:sz w:val="24"/>
              </w:rPr>
            </w:pPr>
            <w:r>
              <w:rPr>
                <w:rFonts w:hint="eastAsia" w:ascii="宋体" w:hAnsi="宋体" w:cs="宋体"/>
                <w:sz w:val="24"/>
              </w:rPr>
              <w:t> </w:t>
            </w:r>
            <w:r>
              <w:rPr>
                <w:rFonts w:hint="eastAsia" w:ascii="宋体" w:hAnsi="宋体" w:cs="宋体"/>
                <w:b/>
                <w:bCs/>
                <w:sz w:val="24"/>
              </w:rPr>
              <w:t>日期：</w:t>
            </w:r>
          </w:p>
        </w:tc>
      </w:tr>
    </w:tbl>
    <w:p>
      <w:pPr>
        <w:spacing w:line="360" w:lineRule="auto"/>
        <w:ind w:left="178" w:firstLine="178"/>
        <w:rPr>
          <w:rFonts w:ascii="宋体" w:hAnsi="宋体" w:cs="宋体"/>
        </w:rPr>
      </w:pPr>
    </w:p>
    <w:p>
      <w:pPr>
        <w:pStyle w:val="23"/>
        <w:rPr>
          <w:lang w:val="zh-CN"/>
        </w:rPr>
        <w:sectPr>
          <w:pgSz w:w="11906" w:h="16838"/>
          <w:pgMar w:top="1089" w:right="1466" w:bottom="1089" w:left="1077" w:header="851" w:footer="992" w:gutter="0"/>
          <w:cols w:space="720" w:num="1"/>
          <w:docGrid w:type="lines" w:linePitch="312" w:charSpace="0"/>
        </w:sectPr>
      </w:pPr>
    </w:p>
    <w:p>
      <w:pPr>
        <w:rPr>
          <w:sz w:val="28"/>
          <w:szCs w:val="28"/>
        </w:rPr>
      </w:pPr>
      <w:r>
        <w:rPr>
          <w:rFonts w:hint="eastAsia"/>
          <w:sz w:val="28"/>
          <w:szCs w:val="28"/>
        </w:rPr>
        <w:t>附件2：廉政协议书</w:t>
      </w:r>
    </w:p>
    <w:p>
      <w:pPr>
        <w:adjustRightInd w:val="0"/>
        <w:snapToGrid w:val="0"/>
        <w:spacing w:line="440" w:lineRule="exact"/>
        <w:ind w:firstLine="482" w:firstLineChars="200"/>
        <w:jc w:val="center"/>
        <w:rPr>
          <w:rFonts w:ascii="宋体" w:hAnsi="宋体"/>
          <w:b/>
          <w:bCs/>
          <w:sz w:val="24"/>
        </w:rPr>
      </w:pPr>
      <w:r>
        <w:rPr>
          <w:rFonts w:hint="eastAsia" w:ascii="宋体" w:hAnsi="宋体"/>
          <w:b/>
          <w:bCs/>
          <w:sz w:val="24"/>
        </w:rPr>
        <w:t>廉  洁  协  议</w:t>
      </w:r>
    </w:p>
    <w:p>
      <w:pPr>
        <w:adjustRightInd w:val="0"/>
        <w:snapToGrid w:val="0"/>
        <w:spacing w:line="440" w:lineRule="exact"/>
        <w:ind w:firstLine="480" w:firstLineChars="200"/>
        <w:jc w:val="left"/>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广州市净水有限公司(以下称甲方)与(以下称乙方)，特此订立本协议共同遵照执行。</w:t>
      </w:r>
    </w:p>
    <w:p>
      <w:pPr>
        <w:adjustRightInd w:val="0"/>
        <w:snapToGrid w:val="0"/>
        <w:spacing w:line="440" w:lineRule="exact"/>
        <w:ind w:firstLine="480" w:firstLineChars="200"/>
        <w:jc w:val="left"/>
        <w:rPr>
          <w:rFonts w:ascii="宋体" w:hAnsi="宋体"/>
          <w:sz w:val="24"/>
        </w:rPr>
      </w:pPr>
      <w:r>
        <w:rPr>
          <w:rFonts w:hint="eastAsia" w:ascii="宋体" w:hAnsi="宋体"/>
          <w:sz w:val="24"/>
        </w:rPr>
        <w:t>第一条甲乙双方的权利和义务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adjustRightInd w:val="0"/>
        <w:snapToGrid w:val="0"/>
        <w:spacing w:line="440" w:lineRule="exact"/>
        <w:ind w:firstLine="480" w:firstLineChars="200"/>
        <w:jc w:val="left"/>
        <w:rPr>
          <w:rFonts w:ascii="宋体" w:hAnsi="宋体"/>
          <w:sz w:val="24"/>
        </w:rPr>
      </w:pPr>
      <w:r>
        <w:rPr>
          <w:rFonts w:hint="eastAsia" w:ascii="宋体" w:hAnsi="宋体"/>
          <w:sz w:val="24"/>
        </w:rPr>
        <w:t>（二）严格执行               合同，自觉履行合同约定的相关义务。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（三）在业务活动中坚持公开、公正、诚信、透明的原则，不得损害国家、集体利益。</w:t>
      </w:r>
    </w:p>
    <w:p>
      <w:pPr>
        <w:snapToGrid w:val="0"/>
        <w:spacing w:line="440" w:lineRule="exact"/>
        <w:ind w:firstLine="480" w:firstLineChars="200"/>
        <w:jc w:val="left"/>
        <w:rPr>
          <w:rFonts w:ascii="宋体" w:hAnsi="宋体"/>
          <w:sz w:val="24"/>
        </w:rPr>
      </w:pPr>
      <w:r>
        <w:rPr>
          <w:rFonts w:hint="eastAsia" w:ascii="宋体" w:hAnsi="宋体"/>
          <w:sz w:val="24"/>
        </w:rPr>
        <w:t>（四）建立健全廉政制度，开展廉政教育，公布举报电话，监督并认真查处违法违纪行为。</w:t>
      </w:r>
    </w:p>
    <w:p>
      <w:pPr>
        <w:adjustRightInd w:val="0"/>
        <w:snapToGrid w:val="0"/>
        <w:spacing w:line="440" w:lineRule="exact"/>
        <w:ind w:firstLine="480" w:firstLineChars="200"/>
        <w:jc w:val="left"/>
        <w:rPr>
          <w:rFonts w:ascii="宋体" w:hAnsi="宋体"/>
          <w:sz w:val="24"/>
        </w:rPr>
      </w:pPr>
      <w:r>
        <w:rPr>
          <w:rFonts w:hint="eastAsia" w:ascii="宋体" w:hAnsi="宋体"/>
          <w:sz w:val="24"/>
        </w:rPr>
        <w:t>（五）发现对方在业务活动中有违反廉政规定的行为，应及时提醒对方纠正。情节严重的，应向其上级有关部门举报，建议给予处理，并有权要求告知处理结果。</w:t>
      </w:r>
    </w:p>
    <w:p>
      <w:pPr>
        <w:adjustRightInd w:val="0"/>
        <w:snapToGrid w:val="0"/>
        <w:spacing w:line="440" w:lineRule="exact"/>
        <w:ind w:firstLine="480" w:firstLineChars="200"/>
        <w:jc w:val="left"/>
        <w:rPr>
          <w:rFonts w:ascii="宋体" w:hAnsi="宋体"/>
          <w:sz w:val="24"/>
        </w:rPr>
      </w:pPr>
      <w:r>
        <w:rPr>
          <w:rFonts w:hint="eastAsia" w:ascii="宋体" w:hAnsi="宋体"/>
          <w:sz w:val="24"/>
        </w:rPr>
        <w:t>第二条甲方的义务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adjustRightInd w:val="0"/>
        <w:snapToGrid w:val="0"/>
        <w:spacing w:line="440" w:lineRule="exact"/>
        <w:ind w:firstLine="480" w:firstLineChars="200"/>
        <w:jc w:val="left"/>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line="440" w:lineRule="exact"/>
        <w:ind w:firstLine="480" w:firstLineChars="200"/>
        <w:jc w:val="left"/>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adjustRightInd w:val="0"/>
        <w:snapToGrid w:val="0"/>
        <w:spacing w:line="440" w:lineRule="exact"/>
        <w:ind w:firstLine="480" w:firstLineChars="200"/>
        <w:jc w:val="left"/>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adjustRightInd w:val="0"/>
        <w:snapToGrid w:val="0"/>
        <w:spacing w:line="440" w:lineRule="exact"/>
        <w:ind w:firstLine="480" w:firstLineChars="200"/>
        <w:jc w:val="left"/>
        <w:rPr>
          <w:rFonts w:ascii="宋体" w:hAnsi="宋体"/>
          <w:sz w:val="24"/>
        </w:rPr>
      </w:pPr>
      <w:r>
        <w:rPr>
          <w:rFonts w:hint="eastAsia" w:ascii="宋体" w:hAnsi="宋体"/>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adjustRightInd w:val="0"/>
        <w:snapToGrid w:val="0"/>
        <w:spacing w:line="440" w:lineRule="exact"/>
        <w:ind w:firstLine="480" w:firstLineChars="200"/>
        <w:jc w:val="left"/>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adjustRightInd w:val="0"/>
        <w:snapToGrid w:val="0"/>
        <w:spacing w:line="440" w:lineRule="exact"/>
        <w:ind w:firstLine="480" w:firstLineChars="200"/>
        <w:jc w:val="left"/>
        <w:rPr>
          <w:rFonts w:ascii="宋体" w:hAnsi="宋体"/>
          <w:sz w:val="24"/>
        </w:rPr>
      </w:pPr>
      <w:r>
        <w:rPr>
          <w:rFonts w:hint="eastAsia" w:ascii="宋体" w:hAnsi="宋体"/>
          <w:sz w:val="24"/>
        </w:rPr>
        <w:t>（七）甲方工作人员不得接受乙方给予或赠送的干股或红利。</w:t>
      </w:r>
    </w:p>
    <w:p>
      <w:pPr>
        <w:adjustRightInd w:val="0"/>
        <w:snapToGrid w:val="0"/>
        <w:spacing w:line="440" w:lineRule="exact"/>
        <w:ind w:firstLine="480" w:firstLineChars="200"/>
        <w:jc w:val="left"/>
        <w:rPr>
          <w:rFonts w:ascii="宋体" w:hAnsi="宋体"/>
          <w:sz w:val="24"/>
        </w:rPr>
      </w:pPr>
      <w:r>
        <w:rPr>
          <w:rFonts w:hint="eastAsia" w:ascii="宋体" w:hAnsi="宋体"/>
          <w:sz w:val="24"/>
        </w:rPr>
        <w:t>第三条乙方的义务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（一）乙方不得以任何理由向甲方及其工作人员行贿或馈赠礼金、有价证券、贵重礼品。</w:t>
      </w:r>
    </w:p>
    <w:p>
      <w:pPr>
        <w:adjustRightInd w:val="0"/>
        <w:snapToGrid w:val="0"/>
        <w:spacing w:line="440" w:lineRule="exact"/>
        <w:ind w:firstLine="480" w:firstLineChars="200"/>
        <w:jc w:val="left"/>
        <w:rPr>
          <w:rFonts w:ascii="宋体" w:hAnsi="宋体"/>
          <w:sz w:val="24"/>
        </w:rPr>
      </w:pPr>
      <w:r>
        <w:rPr>
          <w:rFonts w:hint="eastAsia" w:ascii="宋体" w:hAnsi="宋体"/>
          <w:sz w:val="24"/>
        </w:rPr>
        <w:t>（二)乙方不得以任何名义为甲方及其工作人员报销应由甲方单位或个人支付的任何费用。</w:t>
      </w:r>
    </w:p>
    <w:p>
      <w:pPr>
        <w:adjustRightInd w:val="0"/>
        <w:snapToGrid w:val="0"/>
        <w:spacing w:line="440" w:lineRule="exact"/>
        <w:ind w:firstLine="480" w:firstLineChars="200"/>
        <w:jc w:val="left"/>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snapToGrid w:val="0"/>
        <w:spacing w:line="440" w:lineRule="exact"/>
        <w:ind w:firstLine="480" w:firstLineChars="200"/>
        <w:jc w:val="left"/>
        <w:rPr>
          <w:rFonts w:ascii="宋体" w:hAnsi="宋体"/>
          <w:sz w:val="24"/>
        </w:rPr>
      </w:pPr>
      <w:r>
        <w:rPr>
          <w:rFonts w:hint="eastAsia" w:ascii="宋体" w:hAnsi="宋体"/>
          <w:sz w:val="24"/>
        </w:rPr>
        <w:t>（四）乙方不得为甲方单位和个人购置或提供通讯工具和高档办公用品等物品，也不得为甲方提供与工作无关的房屋、汽车等。</w:t>
      </w:r>
    </w:p>
    <w:p>
      <w:pPr>
        <w:adjustRightInd w:val="0"/>
        <w:snapToGrid w:val="0"/>
        <w:spacing w:line="440" w:lineRule="exact"/>
        <w:ind w:firstLine="480" w:firstLineChars="200"/>
        <w:jc w:val="left"/>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adjustRightInd w:val="0"/>
        <w:snapToGrid w:val="0"/>
        <w:spacing w:line="440" w:lineRule="exact"/>
        <w:ind w:firstLine="480" w:firstLineChars="200"/>
        <w:jc w:val="left"/>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adjustRightInd w:val="0"/>
        <w:snapToGrid w:val="0"/>
        <w:spacing w:line="440" w:lineRule="exact"/>
        <w:ind w:firstLine="480" w:firstLineChars="200"/>
        <w:jc w:val="left"/>
        <w:rPr>
          <w:rFonts w:ascii="宋体" w:hAnsi="宋体"/>
          <w:sz w:val="24"/>
        </w:rPr>
      </w:pPr>
      <w:r>
        <w:rPr>
          <w:rFonts w:hint="eastAsia" w:ascii="宋体" w:hAnsi="宋体"/>
          <w:sz w:val="24"/>
        </w:rPr>
        <w:t>（七）乙方不得向甲方工作人员提供干股或红利。</w:t>
      </w:r>
    </w:p>
    <w:p>
      <w:pPr>
        <w:adjustRightInd w:val="0"/>
        <w:snapToGrid w:val="0"/>
        <w:spacing w:line="440" w:lineRule="exact"/>
        <w:ind w:firstLine="480" w:firstLineChars="200"/>
        <w:jc w:val="left"/>
        <w:rPr>
          <w:rFonts w:ascii="宋体" w:hAnsi="宋体"/>
          <w:sz w:val="24"/>
        </w:rPr>
      </w:pPr>
      <w:r>
        <w:rPr>
          <w:rFonts w:hint="eastAsia" w:ascii="宋体" w:hAnsi="宋体"/>
          <w:sz w:val="24"/>
        </w:rPr>
        <w:t>第四条违约责任</w:t>
      </w:r>
    </w:p>
    <w:p>
      <w:pPr>
        <w:adjustRightInd w:val="0"/>
        <w:snapToGrid w:val="0"/>
        <w:spacing w:line="440" w:lineRule="exact"/>
        <w:ind w:firstLine="480" w:firstLineChars="200"/>
        <w:jc w:val="left"/>
        <w:rPr>
          <w:rFonts w:ascii="宋体" w:hAnsi="宋体"/>
          <w:sz w:val="24"/>
        </w:rPr>
      </w:pPr>
      <w:r>
        <w:rPr>
          <w:rFonts w:hint="eastAsia" w:ascii="宋体" w:hAnsi="宋体"/>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line="440" w:lineRule="exact"/>
        <w:ind w:firstLine="480" w:firstLineChars="200"/>
        <w:jc w:val="left"/>
        <w:rPr>
          <w:rFonts w:ascii="宋体" w:hAnsi="宋体"/>
          <w:sz w:val="24"/>
        </w:rPr>
      </w:pPr>
      <w:r>
        <w:rPr>
          <w:rFonts w:hint="eastAsia" w:ascii="宋体" w:hAnsi="宋体"/>
          <w:sz w:val="24"/>
        </w:rPr>
        <w:t>甲方举报投诉联系部门：广州市净水有限公司纪检监察室，联系电话：  020-38890265 。</w:t>
      </w:r>
    </w:p>
    <w:p>
      <w:pPr>
        <w:adjustRightInd w:val="0"/>
        <w:snapToGrid w:val="0"/>
        <w:spacing w:line="440" w:lineRule="exact"/>
        <w:ind w:firstLine="480" w:firstLineChars="200"/>
        <w:jc w:val="left"/>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adjustRightInd w:val="0"/>
        <w:snapToGrid w:val="0"/>
        <w:spacing w:line="440" w:lineRule="exact"/>
        <w:ind w:firstLine="480" w:firstLineChars="200"/>
        <w:jc w:val="left"/>
        <w:rPr>
          <w:rFonts w:ascii="宋体" w:hAnsi="宋体"/>
          <w:sz w:val="24"/>
        </w:rPr>
      </w:pPr>
      <w:r>
        <w:rPr>
          <w:rFonts w:hint="eastAsia" w:ascii="宋体" w:hAnsi="宋体"/>
          <w:sz w:val="24"/>
        </w:rPr>
        <w:t>1、扣除乙方全部履约保证金；</w:t>
      </w:r>
    </w:p>
    <w:p>
      <w:pPr>
        <w:adjustRightInd w:val="0"/>
        <w:snapToGrid w:val="0"/>
        <w:spacing w:line="440" w:lineRule="exact"/>
        <w:ind w:firstLine="480" w:firstLineChars="200"/>
        <w:jc w:val="left"/>
        <w:rPr>
          <w:rFonts w:ascii="宋体" w:hAnsi="宋体"/>
          <w:sz w:val="24"/>
        </w:rPr>
      </w:pPr>
      <w:r>
        <w:rPr>
          <w:rFonts w:hint="eastAsia" w:ascii="宋体" w:hAnsi="宋体"/>
          <w:sz w:val="24"/>
        </w:rPr>
        <w:t>2、解除主合同；</w:t>
      </w:r>
    </w:p>
    <w:p>
      <w:pPr>
        <w:adjustRightInd w:val="0"/>
        <w:snapToGrid w:val="0"/>
        <w:spacing w:line="440" w:lineRule="exact"/>
        <w:ind w:firstLine="480" w:firstLineChars="200"/>
        <w:jc w:val="left"/>
        <w:rPr>
          <w:rFonts w:ascii="宋体" w:hAnsi="宋体"/>
          <w:sz w:val="24"/>
        </w:rPr>
      </w:pPr>
      <w:r>
        <w:rPr>
          <w:rFonts w:hint="eastAsia" w:ascii="宋体" w:hAnsi="宋体"/>
          <w:sz w:val="24"/>
        </w:rPr>
        <w:t>3、追究乙方合同其他违约责任；</w:t>
      </w:r>
    </w:p>
    <w:p>
      <w:pPr>
        <w:adjustRightInd w:val="0"/>
        <w:snapToGrid w:val="0"/>
        <w:spacing w:line="440" w:lineRule="exact"/>
        <w:ind w:firstLine="480" w:firstLineChars="200"/>
        <w:jc w:val="left"/>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adjustRightInd w:val="0"/>
        <w:snapToGrid w:val="0"/>
        <w:spacing w:line="440" w:lineRule="exact"/>
        <w:ind w:firstLine="480" w:firstLineChars="200"/>
        <w:jc w:val="left"/>
        <w:rPr>
          <w:rFonts w:ascii="宋体" w:hAnsi="宋体"/>
          <w:sz w:val="24"/>
        </w:rPr>
      </w:pPr>
      <w:r>
        <w:rPr>
          <w:rFonts w:hint="eastAsia" w:ascii="宋体" w:hAnsi="宋体"/>
          <w:sz w:val="24"/>
        </w:rPr>
        <w:t>第五条本协议由双方或双方上级单位负责监督。可由甲方或甲方上级单位的纪检监察部门约请乙方或乙方上级单位的纪检监察室对本协议履行情况进行检查。</w:t>
      </w:r>
    </w:p>
    <w:p>
      <w:pPr>
        <w:adjustRightInd w:val="0"/>
        <w:snapToGrid w:val="0"/>
        <w:spacing w:line="440" w:lineRule="exact"/>
        <w:ind w:firstLine="480" w:firstLineChars="200"/>
        <w:jc w:val="left"/>
        <w:rPr>
          <w:rFonts w:ascii="宋体" w:hAnsi="宋体"/>
          <w:sz w:val="24"/>
        </w:rPr>
      </w:pPr>
      <w:r>
        <w:rPr>
          <w:rFonts w:hint="eastAsia" w:ascii="宋体" w:hAnsi="宋体"/>
          <w:sz w:val="24"/>
        </w:rPr>
        <w:t>第六条本协议作为（合同名称）+（合同编号）合同的附件，并具有同等的法律效力，本协议自双方签字盖章之日起生效，与主合同同时终止。</w:t>
      </w:r>
    </w:p>
    <w:p>
      <w:pPr>
        <w:adjustRightInd w:val="0"/>
        <w:snapToGrid w:val="0"/>
        <w:spacing w:line="440" w:lineRule="exact"/>
        <w:ind w:firstLine="480" w:firstLineChars="200"/>
        <w:jc w:val="left"/>
        <w:rPr>
          <w:rFonts w:ascii="宋体" w:hAnsi="宋体"/>
          <w:sz w:val="24"/>
        </w:rPr>
      </w:pPr>
      <w:r>
        <w:rPr>
          <w:rFonts w:hint="eastAsia" w:ascii="宋体" w:hAnsi="宋体"/>
          <w:sz w:val="24"/>
        </w:rPr>
        <w:t>第七条本协议一式捌份，甲方伍份，乙方三份。</w:t>
      </w:r>
    </w:p>
    <w:p>
      <w:pPr>
        <w:adjustRightInd w:val="0"/>
        <w:snapToGrid w:val="0"/>
        <w:spacing w:line="440" w:lineRule="exact"/>
        <w:ind w:firstLine="480" w:firstLineChars="200"/>
        <w:jc w:val="left"/>
        <w:rPr>
          <w:rFonts w:ascii="宋体" w:hAnsi="宋体"/>
          <w:sz w:val="24"/>
        </w:rPr>
      </w:pPr>
      <w:r>
        <w:rPr>
          <w:rFonts w:hint="eastAsia" w:ascii="宋体" w:hAnsi="宋体"/>
          <w:sz w:val="24"/>
        </w:rPr>
        <w:br w:type="textWrapping"/>
      </w:r>
      <w:r>
        <w:rPr>
          <w:rFonts w:hint="eastAsia" w:ascii="宋体" w:hAnsi="宋体"/>
          <w:sz w:val="24"/>
        </w:rPr>
        <w:t>甲方（盖章）：                     乙方（盖章）：</w:t>
      </w:r>
    </w:p>
    <w:p>
      <w:pPr>
        <w:adjustRightInd w:val="0"/>
        <w:snapToGrid w:val="0"/>
        <w:spacing w:line="440" w:lineRule="exact"/>
        <w:ind w:left="7200" w:firstLine="480" w:firstLineChars="200"/>
        <w:jc w:val="lef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签约代表：                         签约代表：</w:t>
      </w:r>
    </w:p>
    <w:p>
      <w:pPr>
        <w:spacing w:line="540" w:lineRule="exact"/>
        <w:rPr>
          <w:rFonts w:ascii="宋体" w:hAnsi="宋体"/>
          <w:szCs w:val="21"/>
        </w:rPr>
        <w:sectPr>
          <w:pgSz w:w="11906" w:h="16838"/>
          <w:pgMar w:top="1089" w:right="1466" w:bottom="1089" w:left="1077" w:header="851" w:footer="992" w:gutter="0"/>
          <w:cols w:space="720" w:num="1"/>
          <w:docGrid w:type="lines" w:linePitch="312" w:charSpace="0"/>
        </w:sectPr>
      </w:pPr>
      <w:r>
        <w:rPr>
          <w:rFonts w:hint="eastAsia" w:ascii="宋体" w:hAnsi="宋体"/>
          <w:sz w:val="24"/>
        </w:rPr>
        <w:t xml:space="preserve">签字日期:    年月日                 </w:t>
      </w:r>
      <w:r>
        <w:rPr>
          <w:rFonts w:hint="eastAsia" w:ascii="宋体" w:hAnsi="宋体"/>
          <w:sz w:val="24"/>
        </w:rPr>
        <w:tab/>
      </w:r>
      <w:r>
        <w:rPr>
          <w:rFonts w:hint="eastAsia" w:ascii="宋体" w:hAnsi="宋体"/>
          <w:sz w:val="24"/>
        </w:rPr>
        <w:t>签字日期：年月日</w:t>
      </w:r>
    </w:p>
    <w:p>
      <w:pPr>
        <w:spacing w:line="560" w:lineRule="exact"/>
        <w:rPr>
          <w:rFonts w:ascii="宋体"/>
          <w:b/>
          <w:sz w:val="24"/>
        </w:rPr>
      </w:pPr>
      <w:r>
        <w:rPr>
          <w:rFonts w:hint="eastAsia" w:ascii="宋体" w:hAnsi="宋体"/>
          <w:b/>
          <w:sz w:val="24"/>
        </w:rPr>
        <w:t>附件</w:t>
      </w:r>
      <w:r>
        <w:rPr>
          <w:rFonts w:ascii="宋体" w:hAnsi="宋体"/>
          <w:b/>
          <w:sz w:val="24"/>
        </w:rPr>
        <w:t>3</w:t>
      </w:r>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9"/>
          <w:b w:val="0"/>
          <w:u w:val="single"/>
        </w:rPr>
      </w:pPr>
      <w:r>
        <w:rPr>
          <w:rFonts w:hint="eastAsia" w:ascii="宋体" w:hAnsi="宋体"/>
          <w:sz w:val="24"/>
        </w:rPr>
        <w:t>承包人</w:t>
      </w:r>
      <w:bookmarkStart w:id="44" w:name="_Toc21391"/>
      <w:r>
        <w:rPr>
          <w:rFonts w:hint="eastAsia" w:ascii="宋体" w:hAnsi="宋体"/>
          <w:sz w:val="24"/>
        </w:rPr>
        <w:t>:</w:t>
      </w:r>
      <w:r>
        <w:rPr>
          <w:rFonts w:ascii="宋体" w:hAnsi="宋体"/>
          <w:b/>
          <w:bCs/>
          <w:u w:val="single"/>
        </w:rPr>
        <w:t xml:space="preserve">                      </w:t>
      </w:r>
    </w:p>
    <w:bookmarkEnd w:id="44"/>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23"/>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ascii="宋体" w:hAnsi="宋体"/>
          <w:sz w:val="24"/>
          <w:u w:val="single"/>
        </w:rPr>
        <w:t xml:space="preserve">   </w:t>
      </w:r>
      <w:r>
        <w:rPr>
          <w:rFonts w:hint="eastAsia" w:ascii="宋体" w:hAnsi="宋体"/>
          <w:bCs/>
          <w:sz w:val="24"/>
          <w:u w:val="single"/>
        </w:rPr>
        <w:t xml:space="preserve">无纸化会议系统建设项目合同  </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pStyle w:val="58"/>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仿宋_GB2312" w:hAnsi="仿宋_GB2312" w:eastAsia="仿宋_GB2312" w:cs="仿宋_GB2312"/>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w:t>
      </w:r>
    </w:p>
    <w:p/>
    <w:p/>
    <w:p/>
    <w:p/>
    <w:p/>
    <w:p/>
    <w:p/>
    <w:p/>
    <w:p/>
    <w:p/>
    <w:p/>
    <w:p/>
    <w:p/>
    <w:p/>
    <w:p/>
    <w:p/>
    <w:p>
      <w:pPr>
        <w:tabs>
          <w:tab w:val="left" w:pos="6320"/>
        </w:tabs>
        <w:jc w:val="left"/>
      </w:pPr>
      <w:r>
        <w:rPr>
          <w:rFonts w:hint="eastAsia"/>
        </w:rPr>
        <w:tab/>
      </w:r>
    </w:p>
    <w:p>
      <w:pPr>
        <w:tabs>
          <w:tab w:val="left" w:pos="6320"/>
        </w:tabs>
        <w:jc w:val="left"/>
      </w:pPr>
    </w:p>
    <w:p>
      <w:pPr>
        <w:pStyle w:val="23"/>
        <w:rPr>
          <w:lang w:val="zh-CN"/>
        </w:rPr>
      </w:pPr>
      <w:r>
        <w:rPr>
          <w:rFonts w:hint="eastAsia"/>
          <w:lang w:val="zh-CN"/>
        </w:rPr>
        <w:t>第五部分　响应文件格式</w:t>
      </w:r>
    </w:p>
    <w:p>
      <w:pPr>
        <w:pStyle w:val="14"/>
        <w:spacing w:line="360" w:lineRule="auto"/>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rPr>
      </w:pPr>
    </w:p>
    <w:p>
      <w:pPr>
        <w:pStyle w:val="14"/>
        <w:tabs>
          <w:tab w:val="left" w:pos="1260"/>
        </w:tabs>
        <w:jc w:val="center"/>
        <w:rPr>
          <w:rFonts w:ascii="仿宋_GB2312" w:hAnsi="仿宋_GB2312" w:eastAsia="仿宋_GB2312" w:cs="仿宋_GB2312"/>
          <w:b/>
          <w:kern w:val="0"/>
          <w:sz w:val="28"/>
          <w:szCs w:val="28"/>
        </w:rPr>
      </w:pPr>
    </w:p>
    <w:p>
      <w:pPr>
        <w:pStyle w:val="14"/>
        <w:tabs>
          <w:tab w:val="left" w:pos="1260"/>
        </w:tabs>
        <w:jc w:val="center"/>
        <w:rPr>
          <w:rFonts w:ascii="仿宋_GB2312" w:hAnsi="仿宋_GB2312" w:eastAsia="仿宋_GB2312" w:cs="仿宋_GB2312"/>
          <w:b/>
          <w:kern w:val="0"/>
          <w:sz w:val="28"/>
          <w:szCs w:val="28"/>
          <w:u w:val="single"/>
        </w:rPr>
      </w:pPr>
    </w:p>
    <w:p>
      <w:pPr>
        <w:pStyle w:val="14"/>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广州市净水有限公司无纸化会议系统建设项目</w:t>
      </w:r>
    </w:p>
    <w:p>
      <w:pPr>
        <w:pStyle w:val="14"/>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ascii="仿宋_GB2312" w:hAnsi="仿宋_GB2312" w:eastAsia="仿宋_GB2312" w:cs="仿宋_GB2312"/>
          <w:b/>
          <w:sz w:val="28"/>
          <w:szCs w:val="28"/>
        </w:rPr>
      </w:pPr>
    </w:p>
    <w:p>
      <w:pPr>
        <w:pStyle w:val="14"/>
        <w:jc w:val="center"/>
        <w:rPr>
          <w:rFonts w:ascii="仿宋_GB2312" w:hAnsi="仿宋_GB2312" w:eastAsia="仿宋_GB2312" w:cs="仿宋_GB2312"/>
          <w:b/>
          <w:sz w:val="28"/>
          <w:szCs w:val="28"/>
        </w:rPr>
      </w:pPr>
    </w:p>
    <w:p>
      <w:pPr>
        <w:pStyle w:val="14"/>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3"/>
        <w:spacing w:line="360" w:lineRule="auto"/>
        <w:ind w:firstLine="828" w:firstLineChars="296"/>
        <w:rPr>
          <w:rFonts w:hAnsi="仿宋_GB2312" w:cs="仿宋_GB2312"/>
          <w:sz w:val="28"/>
          <w:szCs w:val="28"/>
          <w:u w:val="single"/>
        </w:rPr>
      </w:pPr>
      <w:r>
        <w:rPr>
          <w:rFonts w:hint="eastAsia" w:hAnsi="仿宋_GB2312" w:cs="仿宋_GB2312"/>
          <w:sz w:val="28"/>
          <w:szCs w:val="28"/>
        </w:rPr>
        <w:t>项目名称：广州市净水有限公司无纸化会议系统建设项目</w:t>
      </w: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8240"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8240;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f+EvO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X/hLz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b2ESG+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日期：年 月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6"/>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0"/>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0"/>
        <w:ind w:firstLine="496"/>
        <w:rPr>
          <w:rFonts w:ascii="仿宋_GB2312" w:hAnsi="仿宋_GB2312" w:eastAsia="仿宋_GB2312" w:cs="仿宋_GB2312"/>
        </w:rPr>
      </w:pPr>
    </w:p>
    <w:p>
      <w:pPr>
        <w:pStyle w:val="40"/>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40"/>
        <w:ind w:firstLine="496"/>
        <w:rPr>
          <w:rFonts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0"/>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10</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26</w:t>
    </w:r>
    <w: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D0883"/>
    <w:multiLevelType w:val="singleLevel"/>
    <w:tmpl w:val="FC8D0883"/>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BB61B9"/>
    <w:multiLevelType w:val="singleLevel"/>
    <w:tmpl w:val="06BB61B9"/>
    <w:lvl w:ilvl="0" w:tentative="0">
      <w:start w:val="1"/>
      <w:numFmt w:val="decimal"/>
      <w:lvlText w:val="(%1)"/>
      <w:lvlJc w:val="left"/>
      <w:pPr>
        <w:tabs>
          <w:tab w:val="left" w:pos="636"/>
        </w:tabs>
        <w:ind w:left="636" w:hanging="276"/>
      </w:pPr>
      <w:rPr>
        <w:rFonts w:hint="eastAsia"/>
      </w:rPr>
    </w:lvl>
  </w:abstractNum>
  <w:abstractNum w:abstractNumId="3">
    <w:nsid w:val="1256292B"/>
    <w:multiLevelType w:val="singleLevel"/>
    <w:tmpl w:val="1256292B"/>
    <w:lvl w:ilvl="0" w:tentative="0">
      <w:start w:val="1"/>
      <w:numFmt w:val="decimal"/>
      <w:lvlText w:val="%1．"/>
      <w:lvlJc w:val="left"/>
      <w:pPr>
        <w:tabs>
          <w:tab w:val="left" w:pos="360"/>
        </w:tabs>
        <w:ind w:left="360" w:hanging="360"/>
      </w:pPr>
      <w:rPr>
        <w:rFonts w:hint="eastAsia"/>
      </w:rPr>
    </w:lvl>
  </w:abstractNum>
  <w:abstractNum w:abstractNumId="4">
    <w:nsid w:val="17874AAB"/>
    <w:multiLevelType w:val="multilevel"/>
    <w:tmpl w:val="17874AA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C3134E1"/>
    <w:multiLevelType w:val="multilevel"/>
    <w:tmpl w:val="1C3134E1"/>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350"/>
        </w:tabs>
        <w:ind w:left="1350" w:hanging="930"/>
      </w:pPr>
      <w:rPr>
        <w:rFonts w:hint="eastAsia"/>
      </w:rPr>
    </w:lvl>
    <w:lvl w:ilvl="2" w:tentative="0">
      <w:start w:val="1"/>
      <w:numFmt w:val="decimal"/>
      <w:lvlText w:val="(%3)"/>
      <w:lvlJc w:val="left"/>
      <w:pPr>
        <w:tabs>
          <w:tab w:val="left" w:pos="1905"/>
        </w:tabs>
        <w:ind w:left="1905" w:hanging="106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90D17ED"/>
    <w:multiLevelType w:val="multilevel"/>
    <w:tmpl w:val="290D17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BD72EC"/>
    <w:multiLevelType w:val="singleLevel"/>
    <w:tmpl w:val="29BD72EC"/>
    <w:lvl w:ilvl="0" w:tentative="0">
      <w:start w:val="1"/>
      <w:numFmt w:val="decimal"/>
      <w:lvlText w:val="(%1)"/>
      <w:lvlJc w:val="left"/>
      <w:pPr>
        <w:tabs>
          <w:tab w:val="left" w:pos="648"/>
        </w:tabs>
        <w:ind w:left="648" w:hanging="288"/>
      </w:pPr>
      <w:rPr>
        <w:rFonts w:hint="default"/>
      </w:rPr>
    </w:lvl>
  </w:abstractNum>
  <w:abstractNum w:abstractNumId="8">
    <w:nsid w:val="310077F0"/>
    <w:multiLevelType w:val="singleLevel"/>
    <w:tmpl w:val="310077F0"/>
    <w:lvl w:ilvl="0" w:tentative="0">
      <w:start w:val="1"/>
      <w:numFmt w:val="decimal"/>
      <w:lvlText w:val="%1．"/>
      <w:lvlJc w:val="left"/>
      <w:pPr>
        <w:tabs>
          <w:tab w:val="left" w:pos="360"/>
        </w:tabs>
        <w:ind w:left="360" w:hanging="360"/>
      </w:pPr>
      <w:rPr>
        <w:rFonts w:hint="eastAsia"/>
      </w:rPr>
    </w:lvl>
  </w:abstractNum>
  <w:abstractNum w:abstractNumId="9">
    <w:nsid w:val="35E671E3"/>
    <w:multiLevelType w:val="singleLevel"/>
    <w:tmpl w:val="35E671E3"/>
    <w:lvl w:ilvl="0" w:tentative="0">
      <w:start w:val="1"/>
      <w:numFmt w:val="decimal"/>
      <w:lvlText w:val="%1．"/>
      <w:lvlJc w:val="left"/>
      <w:pPr>
        <w:tabs>
          <w:tab w:val="left" w:pos="360"/>
        </w:tabs>
        <w:ind w:left="360" w:hanging="360"/>
      </w:pPr>
      <w:rPr>
        <w:rFonts w:hint="eastAsia"/>
      </w:rPr>
    </w:lvl>
  </w:abstractNum>
  <w:abstractNum w:abstractNumId="10">
    <w:nsid w:val="44DD0E5A"/>
    <w:multiLevelType w:val="multilevel"/>
    <w:tmpl w:val="44DD0E5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AB967AD"/>
    <w:multiLevelType w:val="singleLevel"/>
    <w:tmpl w:val="4AB967AD"/>
    <w:lvl w:ilvl="0" w:tentative="0">
      <w:start w:val="1"/>
      <w:numFmt w:val="decimal"/>
      <w:suff w:val="nothing"/>
      <w:lvlText w:val="%1、"/>
      <w:lvlJc w:val="left"/>
    </w:lvl>
  </w:abstractNum>
  <w:abstractNum w:abstractNumId="1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3">
    <w:nsid w:val="528170F2"/>
    <w:multiLevelType w:val="singleLevel"/>
    <w:tmpl w:val="528170F2"/>
    <w:lvl w:ilvl="0" w:tentative="0">
      <w:start w:val="1"/>
      <w:numFmt w:val="decimal"/>
      <w:lvlText w:val="(%1)"/>
      <w:lvlJc w:val="left"/>
      <w:pPr>
        <w:tabs>
          <w:tab w:val="left" w:pos="648"/>
        </w:tabs>
        <w:ind w:left="648" w:hanging="288"/>
      </w:pPr>
      <w:rPr>
        <w:rFonts w:hint="default"/>
      </w:rPr>
    </w:lvl>
  </w:abstractNum>
  <w:abstractNum w:abstractNumId="14">
    <w:nsid w:val="534B5C71"/>
    <w:multiLevelType w:val="singleLevel"/>
    <w:tmpl w:val="534B5C71"/>
    <w:lvl w:ilvl="0" w:tentative="0">
      <w:start w:val="2"/>
      <w:numFmt w:val="decimal"/>
      <w:suff w:val="nothing"/>
      <w:lvlText w:val="%1、"/>
      <w:lvlJc w:val="left"/>
    </w:lvl>
  </w:abstractNum>
  <w:abstractNum w:abstractNumId="15">
    <w:nsid w:val="54981415"/>
    <w:multiLevelType w:val="multilevel"/>
    <w:tmpl w:val="549814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67945613"/>
    <w:multiLevelType w:val="singleLevel"/>
    <w:tmpl w:val="67945613"/>
    <w:lvl w:ilvl="0" w:tentative="0">
      <w:start w:val="1"/>
      <w:numFmt w:val="decimal"/>
      <w:lvlText w:val="%1．"/>
      <w:lvlJc w:val="left"/>
      <w:pPr>
        <w:tabs>
          <w:tab w:val="left" w:pos="408"/>
        </w:tabs>
        <w:ind w:left="408" w:hanging="408"/>
      </w:pPr>
      <w:rPr>
        <w:rFonts w:hint="eastAsia"/>
      </w:rPr>
    </w:lvl>
  </w:abstractNum>
  <w:abstractNum w:abstractNumId="17">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6FA2108"/>
    <w:multiLevelType w:val="singleLevel"/>
    <w:tmpl w:val="76FA2108"/>
    <w:lvl w:ilvl="0" w:tentative="0">
      <w:start w:val="1"/>
      <w:numFmt w:val="decimal"/>
      <w:lvlText w:val="%1．"/>
      <w:lvlJc w:val="left"/>
      <w:pPr>
        <w:tabs>
          <w:tab w:val="left" w:pos="360"/>
        </w:tabs>
        <w:ind w:left="360" w:hanging="360"/>
      </w:pPr>
      <w:rPr>
        <w:rFonts w:hint="eastAsia"/>
      </w:rPr>
    </w:lvl>
  </w:abstractNum>
  <w:abstractNum w:abstractNumId="20">
    <w:nsid w:val="77D73EDE"/>
    <w:multiLevelType w:val="multilevel"/>
    <w:tmpl w:val="77D73ED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C9302E4"/>
    <w:multiLevelType w:val="singleLevel"/>
    <w:tmpl w:val="7C9302E4"/>
    <w:lvl w:ilvl="0" w:tentative="0">
      <w:start w:val="1"/>
      <w:numFmt w:val="decimal"/>
      <w:lvlText w:val="%1."/>
      <w:lvlJc w:val="left"/>
      <w:pPr>
        <w:ind w:left="425" w:hanging="425"/>
      </w:pPr>
      <w:rPr>
        <w:rFonts w:hint="default"/>
      </w:rPr>
    </w:lvl>
  </w:abstractNum>
  <w:abstractNum w:abstractNumId="22">
    <w:nsid w:val="7D85379A"/>
    <w:multiLevelType w:val="singleLevel"/>
    <w:tmpl w:val="7D85379A"/>
    <w:lvl w:ilvl="0" w:tentative="0">
      <w:start w:val="1"/>
      <w:numFmt w:val="decimal"/>
      <w:lvlText w:val="(%1)"/>
      <w:lvlJc w:val="left"/>
      <w:pPr>
        <w:tabs>
          <w:tab w:val="left" w:pos="768"/>
        </w:tabs>
        <w:ind w:left="768" w:hanging="408"/>
      </w:pPr>
      <w:rPr>
        <w:rFonts w:hint="default"/>
      </w:rPr>
    </w:lvl>
  </w:abstractNum>
  <w:num w:numId="1">
    <w:abstractNumId w:val="21"/>
  </w:num>
  <w:num w:numId="2">
    <w:abstractNumId w:val="18"/>
  </w:num>
  <w:num w:numId="3">
    <w:abstractNumId w:val="0"/>
  </w:num>
  <w:num w:numId="4">
    <w:abstractNumId w:val="11"/>
  </w:num>
  <w:num w:numId="5">
    <w:abstractNumId w:val="17"/>
  </w:num>
  <w:num w:numId="6">
    <w:abstractNumId w:val="1"/>
  </w:num>
  <w:num w:numId="7">
    <w:abstractNumId w:val="14"/>
  </w:num>
  <w:num w:numId="8">
    <w:abstractNumId w:val="16"/>
  </w:num>
  <w:num w:numId="9">
    <w:abstractNumId w:val="6"/>
  </w:num>
  <w:num w:numId="10">
    <w:abstractNumId w:val="19"/>
  </w:num>
  <w:num w:numId="11">
    <w:abstractNumId w:val="7"/>
  </w:num>
  <w:num w:numId="12">
    <w:abstractNumId w:val="15"/>
  </w:num>
  <w:num w:numId="13">
    <w:abstractNumId w:val="4"/>
  </w:num>
  <w:num w:numId="14">
    <w:abstractNumId w:val="10"/>
  </w:num>
  <w:num w:numId="15">
    <w:abstractNumId w:val="9"/>
  </w:num>
  <w:num w:numId="16">
    <w:abstractNumId w:val="22"/>
  </w:num>
  <w:num w:numId="17">
    <w:abstractNumId w:val="13"/>
  </w:num>
  <w:num w:numId="18">
    <w:abstractNumId w:val="2"/>
  </w:num>
  <w:num w:numId="19">
    <w:abstractNumId w:val="8"/>
  </w:num>
  <w:num w:numId="20">
    <w:abstractNumId w:val="3"/>
  </w:num>
  <w:num w:numId="21">
    <w:abstractNumId w:val="20"/>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DDA"/>
    <w:rsid w:val="00077066"/>
    <w:rsid w:val="000805A0"/>
    <w:rsid w:val="00085570"/>
    <w:rsid w:val="0008643E"/>
    <w:rsid w:val="00087EA5"/>
    <w:rsid w:val="00090862"/>
    <w:rsid w:val="0009625F"/>
    <w:rsid w:val="00096729"/>
    <w:rsid w:val="000969C0"/>
    <w:rsid w:val="00096D3E"/>
    <w:rsid w:val="00096F25"/>
    <w:rsid w:val="000A019F"/>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3870"/>
    <w:rsid w:val="001076A8"/>
    <w:rsid w:val="00110714"/>
    <w:rsid w:val="0011075C"/>
    <w:rsid w:val="00111D57"/>
    <w:rsid w:val="00112621"/>
    <w:rsid w:val="00113A31"/>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572B2"/>
    <w:rsid w:val="00162F08"/>
    <w:rsid w:val="001642DF"/>
    <w:rsid w:val="0016562A"/>
    <w:rsid w:val="001666C9"/>
    <w:rsid w:val="001670AE"/>
    <w:rsid w:val="001717A2"/>
    <w:rsid w:val="00172A27"/>
    <w:rsid w:val="00180B99"/>
    <w:rsid w:val="00181C0B"/>
    <w:rsid w:val="00184ABC"/>
    <w:rsid w:val="0018733D"/>
    <w:rsid w:val="00191F15"/>
    <w:rsid w:val="00192524"/>
    <w:rsid w:val="001958A6"/>
    <w:rsid w:val="00195E5C"/>
    <w:rsid w:val="00197D65"/>
    <w:rsid w:val="001A31DA"/>
    <w:rsid w:val="001A45CA"/>
    <w:rsid w:val="001A45D0"/>
    <w:rsid w:val="001A4722"/>
    <w:rsid w:val="001A58E8"/>
    <w:rsid w:val="001A6AE4"/>
    <w:rsid w:val="001B0465"/>
    <w:rsid w:val="001B1140"/>
    <w:rsid w:val="001B3D72"/>
    <w:rsid w:val="001B578D"/>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43AD"/>
    <w:rsid w:val="0023030A"/>
    <w:rsid w:val="002356AB"/>
    <w:rsid w:val="002437D1"/>
    <w:rsid w:val="002469E4"/>
    <w:rsid w:val="0024705B"/>
    <w:rsid w:val="00253C14"/>
    <w:rsid w:val="002546AB"/>
    <w:rsid w:val="00255E0C"/>
    <w:rsid w:val="0025616C"/>
    <w:rsid w:val="002566D4"/>
    <w:rsid w:val="00256F67"/>
    <w:rsid w:val="00260826"/>
    <w:rsid w:val="00262C5F"/>
    <w:rsid w:val="0026415F"/>
    <w:rsid w:val="00270D0E"/>
    <w:rsid w:val="0027225B"/>
    <w:rsid w:val="00274D5D"/>
    <w:rsid w:val="002755CA"/>
    <w:rsid w:val="00276CA9"/>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6220"/>
    <w:rsid w:val="003064B7"/>
    <w:rsid w:val="003069BD"/>
    <w:rsid w:val="00307EE1"/>
    <w:rsid w:val="0031038D"/>
    <w:rsid w:val="00310705"/>
    <w:rsid w:val="0032029B"/>
    <w:rsid w:val="00320916"/>
    <w:rsid w:val="00321205"/>
    <w:rsid w:val="0032389B"/>
    <w:rsid w:val="003246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4E63"/>
    <w:rsid w:val="003D72C2"/>
    <w:rsid w:val="003D7753"/>
    <w:rsid w:val="003E1700"/>
    <w:rsid w:val="003E26B6"/>
    <w:rsid w:val="003E3116"/>
    <w:rsid w:val="003E33D1"/>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42A6"/>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76504"/>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696"/>
    <w:rsid w:val="004C6B32"/>
    <w:rsid w:val="004C6E6D"/>
    <w:rsid w:val="004D28EC"/>
    <w:rsid w:val="004D4E18"/>
    <w:rsid w:val="004D7D8A"/>
    <w:rsid w:val="004D7E63"/>
    <w:rsid w:val="004E0DE0"/>
    <w:rsid w:val="004E3046"/>
    <w:rsid w:val="004E3CD4"/>
    <w:rsid w:val="004E4CF5"/>
    <w:rsid w:val="004F3CEA"/>
    <w:rsid w:val="004F4227"/>
    <w:rsid w:val="004F4B2B"/>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B88"/>
    <w:rsid w:val="00537967"/>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51781"/>
    <w:rsid w:val="00653E5B"/>
    <w:rsid w:val="006551CF"/>
    <w:rsid w:val="006553F4"/>
    <w:rsid w:val="0065602D"/>
    <w:rsid w:val="00660CAA"/>
    <w:rsid w:val="00664BBD"/>
    <w:rsid w:val="00667395"/>
    <w:rsid w:val="00672D93"/>
    <w:rsid w:val="00673C52"/>
    <w:rsid w:val="00681790"/>
    <w:rsid w:val="00684B92"/>
    <w:rsid w:val="00685661"/>
    <w:rsid w:val="0068644C"/>
    <w:rsid w:val="00687028"/>
    <w:rsid w:val="00691311"/>
    <w:rsid w:val="00691C25"/>
    <w:rsid w:val="00694D27"/>
    <w:rsid w:val="00694D7D"/>
    <w:rsid w:val="006958A5"/>
    <w:rsid w:val="00697B40"/>
    <w:rsid w:val="006A0081"/>
    <w:rsid w:val="006A01D1"/>
    <w:rsid w:val="006A04A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42D"/>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7B"/>
    <w:rsid w:val="00943631"/>
    <w:rsid w:val="00945FBC"/>
    <w:rsid w:val="009472FF"/>
    <w:rsid w:val="00952A26"/>
    <w:rsid w:val="00954C50"/>
    <w:rsid w:val="00961A48"/>
    <w:rsid w:val="0096253E"/>
    <w:rsid w:val="00964233"/>
    <w:rsid w:val="00967C14"/>
    <w:rsid w:val="00973683"/>
    <w:rsid w:val="009736AA"/>
    <w:rsid w:val="00975835"/>
    <w:rsid w:val="00980306"/>
    <w:rsid w:val="00980932"/>
    <w:rsid w:val="00986A8E"/>
    <w:rsid w:val="00986C5B"/>
    <w:rsid w:val="00991FA3"/>
    <w:rsid w:val="00992B71"/>
    <w:rsid w:val="0099657A"/>
    <w:rsid w:val="00996930"/>
    <w:rsid w:val="009A17EB"/>
    <w:rsid w:val="009A261A"/>
    <w:rsid w:val="009A38FC"/>
    <w:rsid w:val="009B0B41"/>
    <w:rsid w:val="009B1E9C"/>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459F"/>
    <w:rsid w:val="00A55045"/>
    <w:rsid w:val="00A61A20"/>
    <w:rsid w:val="00A62490"/>
    <w:rsid w:val="00A63941"/>
    <w:rsid w:val="00A66AD5"/>
    <w:rsid w:val="00A67B58"/>
    <w:rsid w:val="00A720DD"/>
    <w:rsid w:val="00A8078E"/>
    <w:rsid w:val="00A81CE2"/>
    <w:rsid w:val="00A81F3C"/>
    <w:rsid w:val="00A831B9"/>
    <w:rsid w:val="00A83AB8"/>
    <w:rsid w:val="00A86A72"/>
    <w:rsid w:val="00A86AF2"/>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E06EB"/>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2C65"/>
    <w:rsid w:val="00BA5AD1"/>
    <w:rsid w:val="00BB26C1"/>
    <w:rsid w:val="00BB44D9"/>
    <w:rsid w:val="00BC06F3"/>
    <w:rsid w:val="00BC0E92"/>
    <w:rsid w:val="00BC6CEB"/>
    <w:rsid w:val="00BD10E4"/>
    <w:rsid w:val="00BD19EB"/>
    <w:rsid w:val="00BD2C77"/>
    <w:rsid w:val="00BD371F"/>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7E36"/>
    <w:rsid w:val="00CC159C"/>
    <w:rsid w:val="00CC2276"/>
    <w:rsid w:val="00CC2C87"/>
    <w:rsid w:val="00CC497A"/>
    <w:rsid w:val="00CC552E"/>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6BF3"/>
    <w:rsid w:val="00D42148"/>
    <w:rsid w:val="00D44973"/>
    <w:rsid w:val="00D45357"/>
    <w:rsid w:val="00D50449"/>
    <w:rsid w:val="00D5088F"/>
    <w:rsid w:val="00D50E65"/>
    <w:rsid w:val="00D5220F"/>
    <w:rsid w:val="00D530C6"/>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9F2"/>
    <w:rsid w:val="00DD6EA3"/>
    <w:rsid w:val="00DD75E2"/>
    <w:rsid w:val="00DF34BE"/>
    <w:rsid w:val="00DF3915"/>
    <w:rsid w:val="00DF4481"/>
    <w:rsid w:val="00DF7567"/>
    <w:rsid w:val="00E039D0"/>
    <w:rsid w:val="00E040BA"/>
    <w:rsid w:val="00E04290"/>
    <w:rsid w:val="00E042A0"/>
    <w:rsid w:val="00E0459B"/>
    <w:rsid w:val="00E1065D"/>
    <w:rsid w:val="00E10D34"/>
    <w:rsid w:val="00E113CA"/>
    <w:rsid w:val="00E14C64"/>
    <w:rsid w:val="00E154BD"/>
    <w:rsid w:val="00E15D2B"/>
    <w:rsid w:val="00E17EC1"/>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837"/>
    <w:rsid w:val="00EB1230"/>
    <w:rsid w:val="00EB1347"/>
    <w:rsid w:val="00EB20E3"/>
    <w:rsid w:val="00EB2B36"/>
    <w:rsid w:val="00EB4B52"/>
    <w:rsid w:val="00EB5FEB"/>
    <w:rsid w:val="00EB6494"/>
    <w:rsid w:val="00EC1C3F"/>
    <w:rsid w:val="00EC3DA2"/>
    <w:rsid w:val="00EC4C23"/>
    <w:rsid w:val="00EC5286"/>
    <w:rsid w:val="00EC6810"/>
    <w:rsid w:val="00ED100C"/>
    <w:rsid w:val="00ED1060"/>
    <w:rsid w:val="00ED4F67"/>
    <w:rsid w:val="00ED684A"/>
    <w:rsid w:val="00EE1103"/>
    <w:rsid w:val="00EE5785"/>
    <w:rsid w:val="00EE7EAE"/>
    <w:rsid w:val="00EF0A86"/>
    <w:rsid w:val="00EF384D"/>
    <w:rsid w:val="00EF3C3B"/>
    <w:rsid w:val="00EF3EAD"/>
    <w:rsid w:val="00F008FD"/>
    <w:rsid w:val="00F066D7"/>
    <w:rsid w:val="00F075A8"/>
    <w:rsid w:val="00F1018D"/>
    <w:rsid w:val="00F1250E"/>
    <w:rsid w:val="00F14666"/>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5E20"/>
    <w:rsid w:val="00FC6B72"/>
    <w:rsid w:val="00FC70A1"/>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4A699A"/>
    <w:rsid w:val="01530391"/>
    <w:rsid w:val="016B281D"/>
    <w:rsid w:val="01F10C3B"/>
    <w:rsid w:val="052E61C8"/>
    <w:rsid w:val="078867E3"/>
    <w:rsid w:val="08277D2A"/>
    <w:rsid w:val="0883100C"/>
    <w:rsid w:val="0D154B39"/>
    <w:rsid w:val="158113EE"/>
    <w:rsid w:val="199D1656"/>
    <w:rsid w:val="19EE3E86"/>
    <w:rsid w:val="1B0F26D0"/>
    <w:rsid w:val="1CA26936"/>
    <w:rsid w:val="1CDF1844"/>
    <w:rsid w:val="1DEA4969"/>
    <w:rsid w:val="1FD07C46"/>
    <w:rsid w:val="2206387A"/>
    <w:rsid w:val="23F72B70"/>
    <w:rsid w:val="24264B11"/>
    <w:rsid w:val="25C37987"/>
    <w:rsid w:val="26384A4C"/>
    <w:rsid w:val="27985978"/>
    <w:rsid w:val="27FE053A"/>
    <w:rsid w:val="285F49DA"/>
    <w:rsid w:val="290B1D60"/>
    <w:rsid w:val="2A6C6E62"/>
    <w:rsid w:val="2B392BD9"/>
    <w:rsid w:val="2B4474F0"/>
    <w:rsid w:val="2B6925D3"/>
    <w:rsid w:val="2F51371A"/>
    <w:rsid w:val="31B0147C"/>
    <w:rsid w:val="35312AE1"/>
    <w:rsid w:val="370234E8"/>
    <w:rsid w:val="38C153AA"/>
    <w:rsid w:val="3AA10B23"/>
    <w:rsid w:val="3B643CED"/>
    <w:rsid w:val="3DB54DD9"/>
    <w:rsid w:val="3E001F33"/>
    <w:rsid w:val="3E313242"/>
    <w:rsid w:val="409C2A4E"/>
    <w:rsid w:val="4211708D"/>
    <w:rsid w:val="44956EDF"/>
    <w:rsid w:val="46344980"/>
    <w:rsid w:val="4634511C"/>
    <w:rsid w:val="471449F7"/>
    <w:rsid w:val="480C1B69"/>
    <w:rsid w:val="4A534D14"/>
    <w:rsid w:val="4A7D4EAD"/>
    <w:rsid w:val="4AB81165"/>
    <w:rsid w:val="4BB711DB"/>
    <w:rsid w:val="4C486859"/>
    <w:rsid w:val="4F9710BE"/>
    <w:rsid w:val="515E0CC2"/>
    <w:rsid w:val="558F05DA"/>
    <w:rsid w:val="56287305"/>
    <w:rsid w:val="56E167E1"/>
    <w:rsid w:val="57892C7F"/>
    <w:rsid w:val="5837784E"/>
    <w:rsid w:val="58A01EF7"/>
    <w:rsid w:val="595326AE"/>
    <w:rsid w:val="5A94304A"/>
    <w:rsid w:val="5AF92F8F"/>
    <w:rsid w:val="5C4B6554"/>
    <w:rsid w:val="5D240BC6"/>
    <w:rsid w:val="5DBA5568"/>
    <w:rsid w:val="5DCE1D4E"/>
    <w:rsid w:val="63914A7B"/>
    <w:rsid w:val="63A03689"/>
    <w:rsid w:val="63D83F1F"/>
    <w:rsid w:val="65436320"/>
    <w:rsid w:val="66381321"/>
    <w:rsid w:val="664E14A8"/>
    <w:rsid w:val="68EF0851"/>
    <w:rsid w:val="6A6C6E11"/>
    <w:rsid w:val="6AD7234F"/>
    <w:rsid w:val="6B72112F"/>
    <w:rsid w:val="6E953A27"/>
    <w:rsid w:val="72AD436F"/>
    <w:rsid w:val="75DF3A0D"/>
    <w:rsid w:val="77521644"/>
    <w:rsid w:val="77EB3AC8"/>
    <w:rsid w:val="78B647E8"/>
    <w:rsid w:val="7A672B47"/>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5"/>
    <w:qFormat/>
    <w:uiPriority w:val="0"/>
    <w:rPr>
      <w:rFonts w:ascii="宋体"/>
      <w:sz w:val="18"/>
      <w:szCs w:val="18"/>
    </w:rPr>
  </w:style>
  <w:style w:type="paragraph" w:styleId="10">
    <w:name w:val="annotation text"/>
    <w:basedOn w:val="1"/>
    <w:link w:val="3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6"/>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4"/>
    <w:qFormat/>
    <w:uiPriority w:val="0"/>
    <w:rPr>
      <w:rFonts w:ascii="宋体" w:hAnsi="Courier New" w:cs="Courier New"/>
      <w:szCs w:val="21"/>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link w:val="5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qFormat/>
    <w:uiPriority w:val="0"/>
    <w:pPr>
      <w:adjustRightInd w:val="0"/>
      <w:spacing w:after="120" w:line="312" w:lineRule="atLeast"/>
      <w:ind w:left="420"/>
      <w:textAlignment w:val="baseline"/>
    </w:pPr>
    <w:rPr>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4"/>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37"/>
    <w:qFormat/>
    <w:uiPriority w:val="0"/>
    <w:rPr>
      <w:b/>
      <w:bCs/>
    </w:rPr>
  </w:style>
  <w:style w:type="paragraph" w:styleId="25">
    <w:name w:val="Body Text First Indent"/>
    <w:basedOn w:val="12"/>
    <w:link w:val="57"/>
    <w:qFormat/>
    <w:uiPriority w:val="0"/>
    <w:pPr>
      <w:ind w:firstLine="420" w:firstLineChars="100"/>
    </w:p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qFormat/>
    <w:uiPriority w:val="0"/>
    <w:rPr>
      <w:rFonts w:eastAsia="宋体"/>
      <w:kern w:val="2"/>
      <w:sz w:val="21"/>
      <w:szCs w:val="21"/>
      <w:lang w:val="en-US" w:eastAsia="zh-CN" w:bidi="ar-SA"/>
    </w:rPr>
  </w:style>
  <w:style w:type="character" w:customStyle="1" w:styleId="32">
    <w:name w:val="批注框文本 字符"/>
    <w:link w:val="16"/>
    <w:qFormat/>
    <w:uiPriority w:val="0"/>
    <w:rPr>
      <w:kern w:val="2"/>
      <w:sz w:val="18"/>
      <w:szCs w:val="18"/>
    </w:rPr>
  </w:style>
  <w:style w:type="character" w:customStyle="1" w:styleId="33">
    <w:name w:val="标题 1 字符"/>
    <w:link w:val="2"/>
    <w:qFormat/>
    <w:uiPriority w:val="9"/>
    <w:rPr>
      <w:rFonts w:ascii="Calibri" w:hAnsi="Calibri" w:eastAsia="宋体" w:cs="Times New Roman"/>
      <w:b/>
      <w:bCs/>
      <w:kern w:val="44"/>
      <w:sz w:val="44"/>
      <w:szCs w:val="44"/>
    </w:rPr>
  </w:style>
  <w:style w:type="character" w:customStyle="1" w:styleId="34">
    <w:name w:val="标题 字符"/>
    <w:link w:val="23"/>
    <w:qFormat/>
    <w:uiPriority w:val="0"/>
    <w:rPr>
      <w:rFonts w:ascii="Cambria" w:hAnsi="Cambria" w:cs="Times New Roman"/>
      <w:b/>
      <w:bCs/>
      <w:kern w:val="2"/>
      <w:sz w:val="32"/>
      <w:szCs w:val="32"/>
    </w:rPr>
  </w:style>
  <w:style w:type="character" w:customStyle="1" w:styleId="35">
    <w:name w:val="文档结构图 字符"/>
    <w:link w:val="9"/>
    <w:qFormat/>
    <w:uiPriority w:val="0"/>
    <w:rPr>
      <w:rFonts w:ascii="宋体"/>
      <w:kern w:val="2"/>
      <w:sz w:val="18"/>
      <w:szCs w:val="18"/>
    </w:rPr>
  </w:style>
  <w:style w:type="character" w:customStyle="1" w:styleId="36">
    <w:name w:val="批注文字 字符"/>
    <w:link w:val="10"/>
    <w:qFormat/>
    <w:uiPriority w:val="0"/>
    <w:rPr>
      <w:kern w:val="2"/>
      <w:sz w:val="21"/>
      <w:szCs w:val="24"/>
    </w:rPr>
  </w:style>
  <w:style w:type="character" w:customStyle="1" w:styleId="37">
    <w:name w:val="批注主题 字符"/>
    <w:link w:val="24"/>
    <w:qFormat/>
    <w:uiPriority w:val="0"/>
    <w:rPr>
      <w:b/>
      <w:bCs/>
      <w:kern w:val="2"/>
      <w:sz w:val="21"/>
      <w:szCs w:val="24"/>
    </w:rPr>
  </w:style>
  <w:style w:type="paragraph" w:customStyle="1" w:styleId="38">
    <w:name w:val="_Style 2"/>
    <w:basedOn w:val="1"/>
    <w:qFormat/>
    <w:uiPriority w:val="34"/>
    <w:pPr>
      <w:ind w:firstLine="420" w:firstLineChars="200"/>
    </w:pPr>
    <w:rPr>
      <w:rFonts w:ascii="Calibri" w:hAnsi="Calibri"/>
      <w:szCs w:val="22"/>
    </w:rPr>
  </w:style>
  <w:style w:type="paragraph" w:customStyle="1" w:styleId="39">
    <w:name w:val="Char Char2 Char"/>
    <w:basedOn w:val="1"/>
    <w:qFormat/>
    <w:uiPriority w:val="0"/>
  </w:style>
  <w:style w:type="paragraph" w:customStyle="1" w:styleId="4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1">
    <w:name w:val="z-窗体顶端1"/>
    <w:basedOn w:val="1"/>
    <w:qFormat/>
    <w:uiPriority w:val="34"/>
    <w:pPr>
      <w:ind w:firstLine="420" w:firstLineChars="200"/>
    </w:pPr>
    <w:rPr>
      <w:rFonts w:ascii="Calibri" w:hAnsi="Calibri"/>
      <w:szCs w:val="22"/>
    </w:rPr>
  </w:style>
  <w:style w:type="paragraph" w:customStyle="1" w:styleId="42">
    <w:name w:val="题注4"/>
    <w:basedOn w:val="1"/>
    <w:next w:val="8"/>
    <w:qFormat/>
    <w:uiPriority w:val="0"/>
    <w:pPr>
      <w:ind w:left="-132" w:leftChars="-64" w:right="-105" w:rightChars="-50" w:hanging="2"/>
      <w:jc w:val="center"/>
    </w:pPr>
    <w:rPr>
      <w:b/>
      <w:color w:val="FF0000"/>
      <w:szCs w:val="21"/>
      <w:lang w:val="en-GB"/>
    </w:rPr>
  </w:style>
  <w:style w:type="paragraph" w:customStyle="1" w:styleId="43">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4">
    <w:name w:val="List Paragraph"/>
    <w:basedOn w:val="1"/>
    <w:qFormat/>
    <w:uiPriority w:val="34"/>
    <w:pPr>
      <w:ind w:firstLine="420" w:firstLineChars="200"/>
    </w:pPr>
    <w:rPr>
      <w:rFonts w:ascii="Calibri" w:hAnsi="Calibri"/>
      <w:szCs w:val="22"/>
    </w:rPr>
  </w:style>
  <w:style w:type="paragraph" w:customStyle="1" w:styleId="4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Char"/>
    <w:basedOn w:val="1"/>
    <w:qFormat/>
    <w:uiPriority w:val="0"/>
    <w:pPr>
      <w:spacing w:line="480" w:lineRule="exact"/>
    </w:pPr>
    <w:rPr>
      <w:sz w:val="24"/>
    </w:rPr>
  </w:style>
  <w:style w:type="paragraph" w:customStyle="1" w:styleId="51">
    <w:name w:val="表格文字"/>
    <w:basedOn w:val="1"/>
    <w:qFormat/>
    <w:uiPriority w:val="0"/>
    <w:pPr>
      <w:spacing w:before="25" w:after="25"/>
      <w:jc w:val="left"/>
    </w:pPr>
    <w:rPr>
      <w:bCs/>
      <w:spacing w:val="10"/>
      <w:kern w:val="0"/>
      <w:sz w:val="24"/>
      <w:szCs w:val="20"/>
    </w:rPr>
  </w:style>
  <w:style w:type="paragraph" w:customStyle="1" w:styleId="52">
    <w:name w:val="_Style 1"/>
    <w:basedOn w:val="1"/>
    <w:qFormat/>
    <w:uiPriority w:val="34"/>
    <w:pPr>
      <w:ind w:firstLine="420" w:firstLineChars="200"/>
    </w:pPr>
    <w:rPr>
      <w:rFonts w:ascii="Calibri" w:hAnsi="Calibri"/>
      <w:szCs w:val="22"/>
    </w:rPr>
  </w:style>
  <w:style w:type="paragraph" w:customStyle="1" w:styleId="5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4">
    <w:name w:val="纯文本 字符"/>
    <w:link w:val="14"/>
    <w:qFormat/>
    <w:uiPriority w:val="0"/>
    <w:rPr>
      <w:rFonts w:ascii="宋体" w:hAnsi="Courier New" w:cs="Courier New"/>
      <w:kern w:val="2"/>
      <w:sz w:val="21"/>
      <w:szCs w:val="21"/>
    </w:rPr>
  </w:style>
  <w:style w:type="character" w:customStyle="1" w:styleId="55">
    <w:name w:val="页眉 字符"/>
    <w:link w:val="18"/>
    <w:qFormat/>
    <w:uiPriority w:val="0"/>
    <w:rPr>
      <w:kern w:val="2"/>
      <w:sz w:val="18"/>
      <w:szCs w:val="24"/>
    </w:rPr>
  </w:style>
  <w:style w:type="character" w:customStyle="1" w:styleId="56">
    <w:name w:val="正文文本 字符"/>
    <w:basedOn w:val="28"/>
    <w:link w:val="12"/>
    <w:semiHidden/>
    <w:qFormat/>
    <w:uiPriority w:val="0"/>
    <w:rPr>
      <w:kern w:val="2"/>
      <w:sz w:val="21"/>
      <w:szCs w:val="24"/>
    </w:rPr>
  </w:style>
  <w:style w:type="character" w:customStyle="1" w:styleId="57">
    <w:name w:val="正文首行缩进 字符"/>
    <w:basedOn w:val="56"/>
    <w:link w:val="25"/>
    <w:qFormat/>
    <w:uiPriority w:val="0"/>
    <w:rPr>
      <w:kern w:val="2"/>
      <w:sz w:val="21"/>
      <w:szCs w:val="24"/>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z-窗体顶端2"/>
    <w:basedOn w:val="1"/>
    <w:link w:val="60"/>
    <w:qFormat/>
    <w:uiPriority w:val="34"/>
    <w:pPr>
      <w:ind w:firstLine="420" w:firstLineChars="200"/>
    </w:pPr>
    <w:rPr>
      <w:rFonts w:ascii="Calibri" w:hAnsi="Calibri"/>
      <w:szCs w:val="22"/>
    </w:rPr>
  </w:style>
  <w:style w:type="character" w:customStyle="1" w:styleId="60">
    <w:name w:val="z-窗体顶端 字符"/>
    <w:basedOn w:val="28"/>
    <w:link w:val="59"/>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4305E-9060-4463-84ED-43A8EF1C78C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4461</Words>
  <Characters>25432</Characters>
  <Lines>211</Lines>
  <Paragraphs>59</Paragraphs>
  <TotalTime>1</TotalTime>
  <ScaleCrop>false</ScaleCrop>
  <LinksUpToDate>false</LinksUpToDate>
  <CharactersWithSpaces>29834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2020-09-07T01:58:00Z</dcterms:created>
  <dc:creator>李继能</dc:creator>
  <cp:lastModifiedBy>Lenovo</cp:lastModifiedBy>
  <cp:lastPrinted>2020-09-09T01:30:00Z</cp:lastPrinted>
  <dcterms:modified xsi:type="dcterms:W3CDTF">2020-09-22T01:06:48Z</dcterms:modified>
  <dc:title>询价文件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