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_GB2312" w:hAnsi="仿宋_GB2312" w:eastAsia="仿宋_GB2312" w:cs="仿宋_GB2312"/>
          <w:sz w:val="72"/>
        </w:rPr>
      </w:pPr>
      <w:r>
        <w:rPr>
          <w:rFonts w:hint="eastAsia" w:ascii="仿宋_GB2312" w:hAnsi="仿宋_GB2312" w:eastAsia="仿宋_GB2312" w:cs="仿宋_GB2312"/>
          <w:sz w:val="72"/>
        </w:rPr>
        <w:t>询价文</w:t>
      </w:r>
      <w:bookmarkStart w:id="45" w:name="_GoBack"/>
      <w:bookmarkEnd w:id="45"/>
      <w:r>
        <w:rPr>
          <w:rFonts w:hint="eastAsia" w:ascii="仿宋_GB2312" w:hAnsi="仿宋_GB2312" w:eastAsia="仿宋_GB2312" w:cs="仿宋_GB2312"/>
          <w:sz w:val="72"/>
        </w:rPr>
        <w:t>件</w:t>
      </w:r>
    </w:p>
    <w:p>
      <w:pPr>
        <w:spacing w:line="500" w:lineRule="exact"/>
        <w:jc w:val="center"/>
        <w:rPr>
          <w:rFonts w:ascii="仿宋_GB2312" w:hAnsi="仿宋_GB2312" w:eastAsia="仿宋_GB2312" w:cs="仿宋_GB2312"/>
          <w:bCs/>
        </w:rPr>
      </w:pPr>
    </w:p>
    <w:p>
      <w:pPr>
        <w:spacing w:line="500" w:lineRule="exact"/>
        <w:jc w:val="left"/>
        <w:rPr>
          <w:rFonts w:ascii="仿宋" w:hAnsi="仿宋" w:eastAsia="仿宋" w:cs="仿宋_GB2312"/>
          <w:bCs/>
          <w:sz w:val="28"/>
          <w:szCs w:val="28"/>
        </w:rPr>
      </w:pPr>
      <w:r>
        <w:rPr>
          <w:rFonts w:hint="eastAsia" w:ascii="仿宋" w:hAnsi="仿宋" w:eastAsia="仿宋" w:cs="仿宋_GB2312"/>
          <w:bCs/>
          <w:sz w:val="28"/>
          <w:szCs w:val="28"/>
        </w:rPr>
        <w:t>项目编号：</w:t>
      </w:r>
      <w:r>
        <w:rPr>
          <w:rFonts w:hint="eastAsia" w:ascii="仿宋" w:hAnsi="仿宋" w:eastAsia="仿宋" w:cs="仿宋_GB2312"/>
          <w:bCs/>
          <w:sz w:val="28"/>
          <w:szCs w:val="28"/>
          <w:lang w:val="en-US" w:eastAsia="zh-CN"/>
        </w:rPr>
        <w:t>XE-20200826-4</w:t>
      </w:r>
      <w:r>
        <w:rPr>
          <w:rFonts w:hint="eastAsia" w:ascii="仿宋" w:hAnsi="仿宋" w:eastAsia="仿宋" w:cs="仿宋_GB2312"/>
          <w:bCs/>
          <w:sz w:val="28"/>
          <w:szCs w:val="28"/>
        </w:rPr>
        <w:t xml:space="preserve"> </w:t>
      </w:r>
      <w:r>
        <w:fldChar w:fldCharType="begin"/>
      </w:r>
      <w:r>
        <w:instrText xml:space="preserve"> DOCVARIABLE  采购编号  \* MERGEFORMAT </w:instrText>
      </w:r>
      <w:r>
        <w:fldChar w:fldCharType="end"/>
      </w:r>
    </w:p>
    <w:p>
      <w:pPr>
        <w:spacing w:line="500" w:lineRule="exact"/>
        <w:jc w:val="left"/>
        <w:rPr>
          <w:rFonts w:ascii="仿宋_GB2312" w:hAnsi="仿宋_GB2312" w:eastAsia="仿宋_GB2312" w:cs="仿宋_GB2312"/>
          <w:b/>
          <w:bCs/>
        </w:rPr>
      </w:pPr>
      <w:r>
        <w:rPr>
          <w:rFonts w:hint="eastAsia" w:ascii="仿宋" w:hAnsi="仿宋" w:eastAsia="仿宋" w:cs="仿宋_GB2312"/>
          <w:bCs/>
          <w:sz w:val="28"/>
          <w:szCs w:val="28"/>
        </w:rPr>
        <w:t>项目名称：</w:t>
      </w:r>
      <w:r>
        <w:rPr>
          <w:rFonts w:hint="eastAsia" w:ascii="仿宋" w:hAnsi="仿宋" w:eastAsia="仿宋" w:cs="仿宋_GB2312"/>
          <w:bCs/>
          <w:sz w:val="28"/>
          <w:szCs w:val="28"/>
          <w:lang w:val="en-US" w:eastAsia="zh-CN"/>
        </w:rPr>
        <w:t>广州市净水有限公司</w:t>
      </w:r>
      <w:r>
        <w:rPr>
          <w:rFonts w:hint="eastAsia" w:ascii="仿宋" w:hAnsi="仿宋" w:eastAsia="仿宋" w:cs="仿宋_GB2312"/>
          <w:sz w:val="28"/>
          <w:szCs w:val="28"/>
        </w:rPr>
        <w:t>机房环境监控系统更新改造项目</w:t>
      </w: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36"/>
        </w:rPr>
      </w:pPr>
      <w:r>
        <w:rPr>
          <w:rFonts w:hint="eastAsia" w:ascii="仿宋_GB2312" w:hAnsi="仿宋_GB2312" w:eastAsia="仿宋_GB2312" w:cs="仿宋_GB2312"/>
          <w:b/>
          <w:bCs/>
          <w:sz w:val="36"/>
        </w:rPr>
        <w:t>广州市净水有限公司  编制</w:t>
      </w:r>
    </w:p>
    <w:p>
      <w:pPr>
        <w:spacing w:line="360" w:lineRule="auto"/>
        <w:jc w:val="center"/>
        <w:rPr>
          <w:rFonts w:ascii="仿宋_GB2312" w:hAnsi="仿宋_GB2312" w:eastAsia="仿宋_GB2312" w:cs="仿宋_GB2312"/>
          <w:b/>
          <w:bCs/>
          <w:sz w:val="28"/>
          <w:szCs w:val="28"/>
        </w:rPr>
      </w:pPr>
    </w:p>
    <w:p>
      <w:pPr>
        <w:spacing w:line="360" w:lineRule="auto"/>
        <w:jc w:val="center"/>
        <w:rPr>
          <w:rFonts w:ascii="仿宋_GB2312" w:hAnsi="仿宋_GB2312" w:eastAsia="仿宋_GB2312" w:cs="仿宋_GB2312"/>
          <w:b/>
          <w:bCs/>
          <w:sz w:val="28"/>
        </w:rPr>
      </w:pPr>
      <w:r>
        <w:rPr>
          <w:rFonts w:hint="eastAsia" w:ascii="仿宋_GB2312" w:hAnsi="仿宋_GB2312" w:eastAsia="仿宋_GB2312" w:cs="仿宋_GB2312"/>
          <w:b/>
          <w:bCs/>
          <w:sz w:val="28"/>
        </w:rPr>
        <w:t>发布日期：20</w:t>
      </w:r>
      <w:r>
        <w:rPr>
          <w:rFonts w:ascii="仿宋_GB2312" w:hAnsi="仿宋_GB2312" w:eastAsia="仿宋_GB2312" w:cs="仿宋_GB2312"/>
          <w:b/>
          <w:bCs/>
          <w:sz w:val="28"/>
        </w:rPr>
        <w:t>20</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8</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26</w:t>
      </w:r>
      <w:r>
        <w:rPr>
          <w:rFonts w:hint="eastAsia" w:ascii="仿宋_GB2312" w:hAnsi="仿宋_GB2312" w:eastAsia="仿宋_GB2312" w:cs="仿宋_GB2312"/>
          <w:b/>
          <w:bCs/>
          <w:sz w:val="28"/>
        </w:rPr>
        <w:t>日</w:t>
      </w:r>
    </w:p>
    <w:p>
      <w:pPr>
        <w:pageBreakBefore/>
        <w:jc w:val="center"/>
        <w:rPr>
          <w:rFonts w:ascii="仿宋_GB2312" w:hAnsi="仿宋_GB2312" w:eastAsia="仿宋_GB2312" w:cs="仿宋_GB2312"/>
          <w:b/>
          <w:bCs/>
          <w:caps/>
          <w:sz w:val="28"/>
          <w:szCs w:val="28"/>
        </w:rPr>
      </w:pPr>
      <w:r>
        <w:rPr>
          <w:rFonts w:hint="eastAsia" w:ascii="仿宋_GB2312" w:hAnsi="仿宋_GB2312" w:eastAsia="仿宋_GB2312" w:cs="仿宋_GB2312"/>
          <w:b/>
          <w:bCs/>
          <w:sz w:val="28"/>
          <w:szCs w:val="28"/>
        </w:rPr>
        <w:t>目      录</w:t>
      </w:r>
      <w:r>
        <w:rPr>
          <w:rFonts w:hint="eastAsia" w:ascii="仿宋_GB2312" w:hAnsi="仿宋_GB2312" w:eastAsia="仿宋_GB2312" w:cs="仿宋_GB2312"/>
          <w:b/>
          <w:bCs/>
          <w:caps/>
          <w:sz w:val="28"/>
          <w:szCs w:val="28"/>
        </w:rPr>
        <w:br w:type="textWrapping"/>
      </w:r>
    </w:p>
    <w:p>
      <w:pPr>
        <w:pStyle w:val="18"/>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sz w:val="28"/>
          <w:szCs w:val="28"/>
        </w:rPr>
      </w:pPr>
    </w:p>
    <w:p>
      <w:pPr>
        <w:ind w:firstLine="548" w:firstLineChars="196"/>
        <w:rPr>
          <w:rFonts w:ascii="仿宋_GB2312" w:hAnsi="仿宋_GB2312" w:eastAsia="仿宋_GB2312" w:cs="仿宋_GB2312"/>
          <w:b/>
          <w:sz w:val="28"/>
          <w:szCs w:val="28"/>
        </w:rPr>
      </w:pPr>
    </w:p>
    <w:p>
      <w:pPr>
        <w:autoSpaceDE w:val="0"/>
        <w:autoSpaceDN w:val="0"/>
        <w:adjustRightInd w:val="0"/>
        <w:snapToGrid w:val="0"/>
        <w:spacing w:line="300" w:lineRule="auto"/>
        <w:ind w:right="32"/>
        <w:rPr>
          <w:rFonts w:ascii="仿宋_GB2312" w:hAnsi="仿宋_GB2312" w:eastAsia="仿宋_GB2312" w:cs="仿宋_GB2312"/>
          <w:kern w:val="0"/>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21"/>
        <w:rPr>
          <w:kern w:val="0"/>
        </w:rPr>
      </w:pPr>
      <w:r>
        <w:rPr>
          <w:rFonts w:hint="eastAsia"/>
          <w:kern w:val="0"/>
        </w:rPr>
        <w:t>第一部分报价邀请函</w:t>
      </w:r>
    </w:p>
    <w:p>
      <w:pPr>
        <w:ind w:firstLine="478" w:firstLineChars="171"/>
        <w:rPr>
          <w:rFonts w:ascii="仿宋_GB2312" w:hAnsi="仿宋_GB2312" w:eastAsia="仿宋_GB2312" w:cs="仿宋_GB2312"/>
          <w:kern w:val="0"/>
          <w:sz w:val="28"/>
          <w:szCs w:val="28"/>
        </w:rPr>
      </w:pP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rPr>
        <w:t>广州市净水有限公司机房环境监控系统更新改造项目</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single"/>
          <w:lang w:val="zh-CN"/>
        </w:rPr>
        <w:t>自筹资金</w:t>
      </w:r>
    </w:p>
    <w:p>
      <w:pPr>
        <w:autoSpaceDE w:val="0"/>
        <w:autoSpaceDN w:val="0"/>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 xml:space="preserve">、项目编号：XE-20200826-4 </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广州市净水有限公司机房环境监控系统更新改造项目</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zh-CN"/>
        </w:rPr>
        <w:t>四、最高限价：</w:t>
      </w:r>
      <w:r>
        <w:rPr>
          <w:rFonts w:ascii="仿宋_GB2312" w:hAnsi="仿宋_GB2312" w:eastAsia="仿宋_GB2312" w:cs="仿宋_GB2312"/>
          <w:sz w:val="28"/>
          <w:szCs w:val="28"/>
          <w:u w:val="single"/>
          <w:lang w:val="zh-CN"/>
        </w:rPr>
        <w:t>22.4462</w:t>
      </w:r>
      <w:r>
        <w:rPr>
          <w:rFonts w:hint="eastAsia" w:ascii="仿宋_GB2312" w:hAnsi="仿宋_GB2312" w:eastAsia="仿宋_GB2312" w:cs="仿宋_GB2312"/>
          <w:sz w:val="28"/>
          <w:szCs w:val="28"/>
          <w:lang w:val="zh-CN"/>
        </w:rPr>
        <w:t xml:space="preserve">万元 </w:t>
      </w:r>
      <w:r>
        <w:rPr>
          <w:rFonts w:ascii="仿宋_GB2312" w:hAnsi="仿宋_GB2312" w:eastAsia="仿宋_GB2312" w:cs="仿宋_GB2312"/>
          <w:sz w:val="28"/>
          <w:szCs w:val="28"/>
          <w:lang w:val="zh-CN"/>
        </w:rPr>
        <w:tab/>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对我公司机房进行机房环境监控系统更新改造，并保障其持续稳定运行，详见--第二部分项目内容。</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六、报价单位资格要求：</w:t>
      </w:r>
    </w:p>
    <w:p>
      <w:pPr>
        <w:pStyle w:val="50"/>
        <w:numPr>
          <w:ilvl w:val="0"/>
          <w:numId w:val="1"/>
        </w:numPr>
        <w:ind w:left="840" w:firstLineChars="0"/>
        <w:jc w:val="left"/>
        <w:rPr>
          <w:rFonts w:hint="eastAsia" w:ascii="仿宋" w:hAnsi="仿宋" w:eastAsia="仿宋" w:cs="仿宋_GB2312"/>
          <w:color w:val="000000"/>
          <w:sz w:val="28"/>
          <w:szCs w:val="28"/>
          <w:highlight w:val="none"/>
          <w:lang w:val="zh-CN"/>
        </w:rPr>
      </w:pPr>
      <w:r>
        <w:rPr>
          <w:rFonts w:hint="eastAsia" w:ascii="仿宋" w:hAnsi="仿宋" w:eastAsia="仿宋" w:cs="仿宋_GB2312"/>
          <w:color w:val="000000"/>
          <w:sz w:val="28"/>
          <w:szCs w:val="28"/>
          <w:highlight w:val="none"/>
          <w:lang w:val="zh-CN"/>
        </w:rPr>
        <w:t>营业执照经营范围具有电子产品批发销售</w:t>
      </w:r>
      <w:r>
        <w:rPr>
          <w:rFonts w:hint="eastAsia" w:ascii="仿宋" w:hAnsi="仿宋" w:eastAsia="仿宋" w:cs="仿宋_GB2312"/>
          <w:color w:val="000000"/>
          <w:sz w:val="28"/>
          <w:szCs w:val="28"/>
          <w:highlight w:val="none"/>
          <w:lang w:val="zh-CN" w:eastAsia="zh-CN"/>
        </w:rPr>
        <w:t>或计算机技术开发、技术服务</w:t>
      </w:r>
      <w:r>
        <w:rPr>
          <w:rFonts w:hint="eastAsia" w:ascii="仿宋" w:hAnsi="仿宋" w:eastAsia="仿宋" w:cs="仿宋_GB2312"/>
          <w:color w:val="000000"/>
          <w:sz w:val="28"/>
          <w:szCs w:val="28"/>
          <w:highlight w:val="none"/>
          <w:lang w:val="zh-CN"/>
        </w:rPr>
        <w:t>，且能开具增值税专用发票。如营业执照中没有体现经营范围的，须提供工商部门商事主体信息网站含经营范围的查询打印页。</w:t>
      </w:r>
    </w:p>
    <w:p>
      <w:pPr>
        <w:pStyle w:val="50"/>
        <w:numPr>
          <w:ilvl w:val="0"/>
          <w:numId w:val="1"/>
        </w:numPr>
        <w:ind w:left="840" w:firstLineChars="0"/>
        <w:jc w:val="left"/>
        <w:rPr>
          <w:rFonts w:hint="eastAsia" w:ascii="仿宋" w:hAnsi="仿宋" w:eastAsia="仿宋" w:cs="仿宋_GB2312"/>
          <w:color w:val="000000"/>
          <w:sz w:val="28"/>
          <w:szCs w:val="28"/>
          <w:highlight w:val="none"/>
          <w:lang w:val="zh-CN"/>
        </w:rPr>
      </w:pPr>
      <w:r>
        <w:rPr>
          <w:rFonts w:hint="eastAsia" w:ascii="仿宋" w:hAnsi="仿宋" w:eastAsia="仿宋" w:cs="仿宋_GB2312"/>
          <w:color w:val="000000"/>
          <w:sz w:val="28"/>
          <w:szCs w:val="28"/>
          <w:highlight w:val="none"/>
          <w:lang w:val="zh-CN"/>
        </w:rPr>
        <w:t>2017年</w:t>
      </w:r>
      <w:r>
        <w:rPr>
          <w:rFonts w:hint="eastAsia" w:ascii="仿宋" w:hAnsi="仿宋" w:eastAsia="仿宋" w:cs="仿宋_GB2312"/>
          <w:color w:val="000000"/>
          <w:sz w:val="28"/>
          <w:szCs w:val="28"/>
          <w:lang w:val="en-US" w:eastAsia="zh-CN"/>
        </w:rPr>
        <w:t>1月1日</w:t>
      </w:r>
      <w:r>
        <w:rPr>
          <w:rFonts w:hint="eastAsia" w:ascii="仿宋" w:hAnsi="仿宋" w:eastAsia="仿宋" w:cs="仿宋_GB2312"/>
          <w:color w:val="000000"/>
          <w:sz w:val="28"/>
          <w:szCs w:val="28"/>
          <w:highlight w:val="none"/>
          <w:lang w:val="zh-CN"/>
        </w:rPr>
        <w:t>至今，最少具有一项类似</w:t>
      </w:r>
      <w:r>
        <w:rPr>
          <w:rFonts w:hint="eastAsia" w:ascii="仿宋" w:hAnsi="仿宋" w:eastAsia="仿宋" w:cs="仿宋_GB2312"/>
          <w:color w:val="000000"/>
          <w:sz w:val="28"/>
          <w:szCs w:val="28"/>
          <w:highlight w:val="none"/>
          <w:lang w:val="zh-CN" w:eastAsia="zh-CN"/>
        </w:rPr>
        <w:t>项目</w:t>
      </w:r>
      <w:r>
        <w:rPr>
          <w:rFonts w:hint="eastAsia" w:ascii="仿宋" w:hAnsi="仿宋" w:eastAsia="仿宋" w:cs="仿宋_GB2312"/>
          <w:color w:val="000000"/>
          <w:sz w:val="28"/>
          <w:szCs w:val="28"/>
          <w:highlight w:val="none"/>
          <w:lang w:val="zh-CN"/>
        </w:rPr>
        <w:t>业绩，并提供相关证明文件（合同复印件，加盖单位公章）。</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rPr>
        <w:t>七</w:t>
      </w:r>
      <w:r>
        <w:rPr>
          <w:rFonts w:hint="eastAsia" w:ascii="仿宋" w:hAnsi="仿宋" w:eastAsia="仿宋" w:cs="仿宋_GB2312"/>
          <w:color w:val="000000"/>
          <w:sz w:val="28"/>
          <w:szCs w:val="28"/>
          <w:lang w:val="zh-CN"/>
        </w:rPr>
        <w:t>、现场踏勘(答疑会)时间、地点（也可由报价单位自行踏勘现场）：</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 现场踏勘(答疑会)集合时间：/</w:t>
      </w:r>
    </w:p>
    <w:p>
      <w:pPr>
        <w:autoSpaceDE w:val="0"/>
        <w:autoSpaceDN w:val="0"/>
        <w:ind w:firstLine="560" w:firstLineChars="200"/>
        <w:rPr>
          <w:rFonts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2. 现场踏勘(答疑会)集合地点：/</w:t>
      </w:r>
    </w:p>
    <w:p>
      <w:pPr>
        <w:spacing w:line="540" w:lineRule="exact"/>
        <w:ind w:firstLine="588" w:firstLineChars="210"/>
        <w:rPr>
          <w:rFonts w:hint="eastAsia" w:ascii="仿宋" w:hAnsi="仿宋" w:eastAsia="仿宋" w:cs="仿宋"/>
          <w:color w:val="000000"/>
          <w:sz w:val="28"/>
          <w:szCs w:val="28"/>
        </w:rPr>
      </w:pPr>
      <w:r>
        <w:rPr>
          <w:rFonts w:hint="eastAsia" w:ascii="仿宋" w:hAnsi="仿宋" w:eastAsia="仿宋" w:cs="仿宋"/>
          <w:color w:val="000000"/>
          <w:sz w:val="28"/>
          <w:szCs w:val="28"/>
        </w:rPr>
        <w:t>八、询价文件的获取：在2020年</w:t>
      </w: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日10时30分前，在广州市净水有限公司门户网站免费下载。</w:t>
      </w:r>
    </w:p>
    <w:p>
      <w:pPr>
        <w:spacing w:line="540" w:lineRule="exact"/>
        <w:ind w:firstLine="588" w:firstLineChars="210"/>
        <w:rPr>
          <w:rFonts w:hint="eastAsia" w:ascii="仿宋" w:hAnsi="仿宋" w:eastAsia="仿宋" w:cs="仿宋"/>
          <w:sz w:val="28"/>
          <w:szCs w:val="28"/>
          <w:lang w:eastAsia="zh-CN"/>
        </w:rPr>
      </w:pPr>
      <w:r>
        <w:rPr>
          <w:rFonts w:hint="eastAsia" w:ascii="仿宋" w:hAnsi="仿宋" w:eastAsia="仿宋" w:cs="仿宋"/>
          <w:sz w:val="28"/>
          <w:szCs w:val="28"/>
        </w:rPr>
        <w:t>九、询价响应文件递交时间2020年9月8日9时30分至10时00分；询价响应文件递交截止时间：2020年9月8日10时</w:t>
      </w:r>
      <w:r>
        <w:rPr>
          <w:rFonts w:hint="eastAsia" w:ascii="仿宋" w:hAnsi="仿宋" w:eastAsia="仿宋" w:cs="仿宋"/>
          <w:sz w:val="28"/>
          <w:szCs w:val="28"/>
          <w:lang w:val="en-US" w:eastAsia="zh-CN"/>
        </w:rPr>
        <w:t>00</w:t>
      </w:r>
      <w:r>
        <w:rPr>
          <w:rFonts w:hint="eastAsia" w:ascii="仿宋" w:hAnsi="仿宋" w:eastAsia="仿宋" w:cs="仿宋"/>
          <w:sz w:val="28"/>
          <w:szCs w:val="28"/>
        </w:rPr>
        <w:t>分</w:t>
      </w:r>
      <w:r>
        <w:rPr>
          <w:rFonts w:hint="eastAsia" w:ascii="仿宋" w:hAnsi="仿宋" w:eastAsia="仿宋" w:cs="仿宋"/>
          <w:sz w:val="28"/>
          <w:szCs w:val="28"/>
          <w:lang w:eastAsia="zh-CN"/>
        </w:rPr>
        <w:t>。</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 xml:space="preserve">十、询价响应文件送达地点：广州市天河区临江大道501号广州市净水有限公司               </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十一、评审时间：2020年9月8日10时00分</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十二、评审地点：广州市净水有限公司六楼招标办</w:t>
      </w:r>
    </w:p>
    <w:p>
      <w:pPr>
        <w:spacing w:line="540" w:lineRule="exact"/>
        <w:ind w:firstLine="588" w:firstLineChars="210"/>
        <w:rPr>
          <w:rFonts w:ascii="仿宋" w:hAnsi="仿宋" w:eastAsia="仿宋" w:cs="仿宋"/>
          <w:sz w:val="28"/>
          <w:szCs w:val="28"/>
        </w:rPr>
      </w:pPr>
      <w:r>
        <w:rPr>
          <w:rFonts w:hint="eastAsia" w:ascii="仿宋" w:hAnsi="仿宋" w:eastAsia="仿宋" w:cs="仿宋"/>
          <w:sz w:val="28"/>
          <w:szCs w:val="28"/>
        </w:rPr>
        <w:t>十三、</w:t>
      </w:r>
      <w:r>
        <w:rPr>
          <w:rFonts w:hint="eastAsia" w:ascii="仿宋" w:hAnsi="仿宋" w:eastAsia="仿宋" w:cs="仿宋"/>
          <w:kern w:val="0"/>
          <w:sz w:val="28"/>
          <w:szCs w:val="28"/>
        </w:rPr>
        <w:t>询价人</w:t>
      </w:r>
      <w:r>
        <w:rPr>
          <w:rFonts w:hint="eastAsia" w:ascii="仿宋" w:hAnsi="仿宋" w:eastAsia="仿宋" w:cs="仿宋"/>
          <w:sz w:val="28"/>
          <w:szCs w:val="28"/>
        </w:rPr>
        <w:t>的联系方式</w:t>
      </w:r>
    </w:p>
    <w:p>
      <w:pPr>
        <w:snapToGrid w:val="0"/>
        <w:spacing w:line="540" w:lineRule="exact"/>
        <w:ind w:firstLine="0" w:firstLineChars="0"/>
        <w:rPr>
          <w:rFonts w:ascii="仿宋" w:hAnsi="仿宋" w:eastAsia="仿宋" w:cs="仿宋"/>
          <w:kern w:val="0"/>
          <w:sz w:val="28"/>
          <w:szCs w:val="28"/>
        </w:rPr>
      </w:pPr>
      <w:r>
        <w:rPr>
          <w:rFonts w:hint="eastAsia" w:ascii="仿宋" w:hAnsi="仿宋" w:eastAsia="仿宋" w:cs="仿宋"/>
          <w:kern w:val="0"/>
          <w:sz w:val="28"/>
          <w:szCs w:val="28"/>
        </w:rPr>
        <w:t>询价人：广州市净水有限公司</w:t>
      </w:r>
    </w:p>
    <w:p>
      <w:pPr>
        <w:snapToGrid w:val="0"/>
        <w:spacing w:line="540" w:lineRule="exact"/>
        <w:ind w:firstLine="0" w:firstLineChars="0"/>
        <w:rPr>
          <w:rFonts w:ascii="仿宋" w:hAnsi="仿宋" w:eastAsia="仿宋" w:cs="仿宋"/>
          <w:kern w:val="0"/>
          <w:sz w:val="28"/>
          <w:szCs w:val="28"/>
        </w:rPr>
      </w:pPr>
      <w:r>
        <w:rPr>
          <w:rFonts w:hint="eastAsia" w:ascii="仿宋" w:hAnsi="仿宋" w:eastAsia="仿宋" w:cs="仿宋"/>
          <w:kern w:val="0"/>
          <w:sz w:val="28"/>
          <w:szCs w:val="28"/>
        </w:rPr>
        <w:t xml:space="preserve">联系地址：广州市天河区临江大道501号       </w:t>
      </w:r>
    </w:p>
    <w:p>
      <w:pPr>
        <w:snapToGrid w:val="0"/>
        <w:spacing w:line="360" w:lineRule="auto"/>
        <w:ind w:left="0" w:leftChars="0" w:firstLine="0" w:firstLineChars="0"/>
        <w:rPr>
          <w:rFonts w:ascii="仿宋" w:hAnsi="仿宋" w:eastAsia="仿宋" w:cs="仿宋"/>
          <w:sz w:val="28"/>
          <w:szCs w:val="28"/>
          <w:u w:val="single"/>
        </w:rPr>
      </w:pPr>
      <w:r>
        <w:rPr>
          <w:rFonts w:hint="eastAsia" w:ascii="仿宋" w:hAnsi="仿宋" w:eastAsia="仿宋" w:cs="仿宋"/>
          <w:kern w:val="0"/>
          <w:sz w:val="28"/>
          <w:szCs w:val="28"/>
        </w:rPr>
        <w:t>联系人：黄工         联系方式：020-62315524</w:t>
      </w:r>
    </w:p>
    <w:p>
      <w:pPr>
        <w:ind w:firstLine="4340" w:firstLineChars="1550"/>
        <w:rPr>
          <w:rFonts w:ascii="仿宋" w:hAnsi="仿宋" w:eastAsia="仿宋" w:cs="仿宋"/>
          <w:sz w:val="28"/>
          <w:szCs w:val="28"/>
        </w:rPr>
      </w:pPr>
      <w:r>
        <w:rPr>
          <w:rFonts w:hint="eastAsia" w:ascii="仿宋" w:hAnsi="仿宋" w:eastAsia="仿宋" w:cs="仿宋"/>
          <w:sz w:val="28"/>
          <w:szCs w:val="28"/>
        </w:rPr>
        <w:t xml:space="preserve">       广州市净水有限公司</w:t>
      </w:r>
    </w:p>
    <w:p>
      <w:pPr>
        <w:ind w:firstLine="5600" w:firstLineChars="2000"/>
        <w:rPr>
          <w:rFonts w:ascii="仿宋" w:hAnsi="仿宋" w:eastAsia="仿宋" w:cs="仿宋_GB2312"/>
          <w:sz w:val="28"/>
          <w:szCs w:val="28"/>
        </w:rPr>
      </w:pPr>
      <w:r>
        <w:rPr>
          <w:rFonts w:hint="eastAsia" w:ascii="仿宋" w:hAnsi="仿宋" w:eastAsia="仿宋" w:cs="仿宋"/>
          <w:color w:val="000000"/>
          <w:sz w:val="28"/>
          <w:szCs w:val="28"/>
          <w:u w:val="single"/>
        </w:rPr>
        <w:t>20</w:t>
      </w:r>
      <w:r>
        <w:rPr>
          <w:rFonts w:ascii="仿宋" w:hAnsi="仿宋" w:eastAsia="仿宋" w:cs="仿宋"/>
          <w:color w:val="000000"/>
          <w:sz w:val="28"/>
          <w:szCs w:val="28"/>
          <w:u w:val="single"/>
        </w:rPr>
        <w:t>20</w:t>
      </w:r>
      <w:r>
        <w:rPr>
          <w:rFonts w:hint="eastAsia" w:ascii="仿宋" w:hAnsi="仿宋" w:eastAsia="仿宋" w:cs="仿宋"/>
          <w:color w:val="000000"/>
          <w:sz w:val="28"/>
          <w:szCs w:val="28"/>
        </w:rPr>
        <w:t>年</w:t>
      </w:r>
      <w:r>
        <w:rPr>
          <w:rFonts w:hint="eastAsia" w:cs="仿宋" w:asciiTheme="minorEastAsia" w:hAnsiTheme="minorEastAsia" w:eastAsiaTheme="minorEastAsia"/>
          <w:sz w:val="28"/>
          <w:szCs w:val="28"/>
          <w:u w:val="single"/>
          <w:lang w:val="en-US" w:eastAsia="zh-CN"/>
        </w:rPr>
        <w:t>8</w:t>
      </w:r>
      <w:r>
        <w:rPr>
          <w:rFonts w:hint="eastAsia" w:ascii="仿宋" w:hAnsi="仿宋" w:eastAsia="仿宋" w:cs="仿宋"/>
          <w:color w:val="000000"/>
          <w:sz w:val="28"/>
          <w:szCs w:val="28"/>
        </w:rPr>
        <w:t>月</w:t>
      </w:r>
      <w:r>
        <w:rPr>
          <w:rFonts w:hint="eastAsia" w:cs="仿宋" w:asciiTheme="minorEastAsia" w:hAnsiTheme="minorEastAsia" w:eastAsiaTheme="minorEastAsia"/>
          <w:sz w:val="28"/>
          <w:szCs w:val="28"/>
          <w:u w:val="single"/>
          <w:lang w:val="en-US" w:eastAsia="zh-CN"/>
        </w:rPr>
        <w:t>26</w:t>
      </w:r>
      <w:r>
        <w:rPr>
          <w:rFonts w:hint="eastAsia" w:ascii="仿宋" w:hAnsi="仿宋" w:eastAsia="仿宋" w:cs="仿宋"/>
          <w:color w:val="000000"/>
          <w:sz w:val="28"/>
          <w:szCs w:val="28"/>
        </w:rPr>
        <w:t>日</w:t>
      </w:r>
    </w:p>
    <w:p>
      <w:pPr>
        <w:rPr>
          <w:rFonts w:ascii="仿宋_GB2312" w:hAnsi="仿宋_GB2312" w:eastAsia="仿宋_GB2312" w:cs="仿宋_GB2312"/>
          <w:sz w:val="28"/>
          <w:szCs w:val="28"/>
        </w:rPr>
        <w:sectPr>
          <w:headerReference r:id="rId5" w:type="default"/>
          <w:footerReference r:id="rId6" w:type="default"/>
          <w:footerReference r:id="rId7" w:type="even"/>
          <w:pgSz w:w="11906" w:h="16838"/>
          <w:pgMar w:top="1134" w:right="1134" w:bottom="1134" w:left="1701" w:header="851" w:footer="992" w:gutter="0"/>
          <w:cols w:space="720" w:num="1"/>
          <w:docGrid w:type="linesAndChars" w:linePitch="312" w:charSpace="0"/>
        </w:sectPr>
      </w:pPr>
    </w:p>
    <w:p>
      <w:pPr>
        <w:pStyle w:val="21"/>
        <w:rPr>
          <w:lang w:val="zh-CN"/>
        </w:rPr>
      </w:pPr>
      <w:r>
        <w:rPr>
          <w:rFonts w:hint="eastAsia"/>
          <w:lang w:val="zh-CN"/>
        </w:rPr>
        <w:t>第二部分项目内容</w:t>
      </w:r>
    </w:p>
    <w:p>
      <w:pPr>
        <w:pStyle w:val="14"/>
        <w:adjustRightInd w:val="0"/>
        <w:snapToGrid w:val="0"/>
        <w:spacing w:line="300" w:lineRule="auto"/>
        <w:rPr>
          <w:rFonts w:ascii="仿宋_GB2312" w:hAnsi="仿宋_GB2312" w:eastAsia="仿宋_GB2312" w:cs="仿宋_GB2312"/>
          <w:b/>
          <w:sz w:val="28"/>
          <w:szCs w:val="28"/>
          <w:lang w:val="zh-CN"/>
        </w:rPr>
      </w:pPr>
    </w:p>
    <w:p>
      <w:pPr>
        <w:pStyle w:val="3"/>
      </w:pPr>
      <w:r>
        <w:rPr>
          <w:rFonts w:hint="eastAsia"/>
        </w:rPr>
        <w:t>一、需求：</w:t>
      </w:r>
    </w:p>
    <w:p>
      <w:pPr>
        <w:pStyle w:val="4"/>
        <w:numPr>
          <w:ilvl w:val="0"/>
          <w:numId w:val="2"/>
        </w:numPr>
      </w:pPr>
      <w:r>
        <w:rPr>
          <w:rFonts w:hint="eastAsia"/>
        </w:rPr>
        <w:t>目标</w:t>
      </w:r>
    </w:p>
    <w:p>
      <w:pPr>
        <w:ind w:left="420" w:leftChars="200" w:firstLine="145" w:firstLineChars="52"/>
        <w:rPr>
          <w:rFonts w:ascii="仿宋_GB2312" w:eastAsia="仿宋_GB2312"/>
          <w:sz w:val="28"/>
          <w:szCs w:val="28"/>
        </w:rPr>
      </w:pPr>
      <w:bookmarkStart w:id="0" w:name="OLE_LINK5"/>
      <w:bookmarkStart w:id="1" w:name="OLE_LINK22"/>
      <w:bookmarkStart w:id="2" w:name="OLE_LINK6"/>
      <w:bookmarkStart w:id="3" w:name="OLE_LINK20"/>
      <w:bookmarkStart w:id="4" w:name="OLE_LINK21"/>
      <w:r>
        <w:rPr>
          <w:rFonts w:hint="eastAsia" w:ascii="仿宋_GB2312" w:eastAsia="仿宋_GB2312"/>
          <w:sz w:val="28"/>
          <w:szCs w:val="28"/>
        </w:rPr>
        <w:t>广州市净水有限公司机房环境监控系统更新改造项目</w:t>
      </w:r>
      <w:bookmarkEnd w:id="0"/>
      <w:bookmarkEnd w:id="1"/>
      <w:bookmarkEnd w:id="2"/>
      <w:bookmarkEnd w:id="3"/>
      <w:bookmarkEnd w:id="4"/>
      <w:r>
        <w:rPr>
          <w:rFonts w:hint="eastAsia" w:ascii="仿宋_GB2312" w:eastAsia="仿宋_GB2312"/>
          <w:sz w:val="28"/>
          <w:szCs w:val="28"/>
        </w:rPr>
        <w:t>的建设目标为：</w:t>
      </w:r>
    </w:p>
    <w:p>
      <w:pPr>
        <w:ind w:firstLine="565" w:firstLineChars="202"/>
        <w:rPr>
          <w:rFonts w:ascii="仿宋_GB2312" w:eastAsia="仿宋_GB2312"/>
          <w:sz w:val="28"/>
          <w:szCs w:val="28"/>
        </w:rPr>
      </w:pPr>
      <w:r>
        <w:rPr>
          <w:rFonts w:hint="eastAsia" w:ascii="仿宋_GB2312" w:hAnsi="仿宋_GB2312" w:eastAsia="仿宋_GB2312" w:cs="仿宋_GB2312"/>
          <w:sz w:val="28"/>
          <w:szCs w:val="28"/>
        </w:rPr>
        <w:t>满足网络安全要求和数据快速增长的存储扩容需求，及时响应、处置机房突发状况，改善我公司数据中心机房环境管理。提高机房环境监测数据准确性、及时性，优化我公司机房管理，及时监测预警，以便于发现问题时能够及时进行处置，并保障</w:t>
      </w:r>
      <w:r>
        <w:rPr>
          <w:rFonts w:hint="eastAsia" w:ascii="仿宋_GB2312" w:eastAsia="仿宋_GB2312"/>
          <w:sz w:val="28"/>
          <w:szCs w:val="28"/>
        </w:rPr>
        <w:t>机房环境监控系统运行稳定。</w:t>
      </w:r>
    </w:p>
    <w:p>
      <w:pPr>
        <w:pStyle w:val="4"/>
        <w:numPr>
          <w:ilvl w:val="0"/>
          <w:numId w:val="2"/>
        </w:numPr>
      </w:pPr>
      <w:r>
        <w:rPr>
          <w:rFonts w:hint="eastAsia"/>
        </w:rPr>
        <w:t>项目要求</w:t>
      </w:r>
    </w:p>
    <w:p>
      <w:pPr>
        <w:ind w:left="420" w:leftChars="200" w:firstLine="145" w:firstLineChars="52"/>
        <w:rPr>
          <w:rFonts w:ascii="仿宋_GB2312" w:eastAsia="仿宋_GB2312"/>
          <w:sz w:val="28"/>
          <w:szCs w:val="28"/>
        </w:rPr>
      </w:pPr>
      <w:r>
        <w:rPr>
          <w:rFonts w:hint="eastAsia" w:ascii="仿宋_GB2312" w:eastAsia="仿宋_GB2312"/>
          <w:sz w:val="28"/>
          <w:szCs w:val="28"/>
        </w:rPr>
        <w:t>广州市净水有限公司</w:t>
      </w:r>
      <w:r>
        <w:rPr>
          <w:rFonts w:hint="eastAsia" w:ascii="仿宋_GB2312" w:hAnsi="仿宋_GB2312" w:eastAsia="仿宋_GB2312" w:cs="仿宋_GB2312"/>
          <w:sz w:val="28"/>
          <w:szCs w:val="28"/>
          <w:u w:val="single"/>
        </w:rPr>
        <w:t>机房环境监控系统更新改造项目</w:t>
      </w:r>
      <w:r>
        <w:rPr>
          <w:rFonts w:hint="eastAsia" w:ascii="仿宋_GB2312" w:eastAsia="仿宋_GB2312"/>
          <w:sz w:val="28"/>
          <w:szCs w:val="28"/>
        </w:rPr>
        <w:t>需满足以下基本要求：</w:t>
      </w:r>
    </w:p>
    <w:p>
      <w:pPr>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对机房温湿度、漏水情况、供配电情况、UPS电源、蓄电池、精密空调、消防、新风系统、视频等进行监控，为机房内各系统及设备运行提供高度稳定可靠的监控信息资源，提供实时数据监测以及必要的远程控制、智能控制，及时生成故障预警信息。</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2．强机房门禁监控，提高机房管理水平，促进机房、自动化、智能化管理，节省机房运行管理费用。</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3．平台须具备完善的数据统计和分析功能，为机房管理者提供可靠的参考依据，为机房建设与改进提供充分的决策依据。 </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4．预留充分的扩展功能，适应发展需要，做到方便扩展、容易更改，可适应环境的变化和管理需求的多样化。</w:t>
      </w:r>
    </w:p>
    <w:p>
      <w:pPr>
        <w:ind w:firstLine="560" w:firstLineChars="200"/>
        <w:rPr>
          <w:rFonts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根据用户需求开展不少于</w:t>
      </w:r>
      <w:r>
        <w:rPr>
          <w:rFonts w:ascii="仿宋_GB2312" w:eastAsia="仿宋_GB2312"/>
          <w:sz w:val="28"/>
          <w:szCs w:val="28"/>
          <w:highlight w:val="yellow"/>
        </w:rPr>
        <w:t>2</w:t>
      </w:r>
      <w:r>
        <w:rPr>
          <w:rFonts w:hint="eastAsia" w:ascii="仿宋_GB2312" w:eastAsia="仿宋_GB2312"/>
          <w:sz w:val="28"/>
          <w:szCs w:val="28"/>
        </w:rPr>
        <w:t>次用户培训；</w:t>
      </w:r>
    </w:p>
    <w:p>
      <w:pPr>
        <w:ind w:left="141" w:leftChars="67" w:firstLine="422" w:firstLineChars="151"/>
        <w:rPr>
          <w:rFonts w:ascii="仿宋_GB2312" w:eastAsia="仿宋_GB2312"/>
          <w:sz w:val="28"/>
          <w:szCs w:val="28"/>
        </w:rPr>
      </w:pPr>
      <w:r>
        <w:rPr>
          <w:rFonts w:hint="eastAsia" w:ascii="仿宋_GB2312" w:eastAsia="仿宋_GB2312"/>
          <w:sz w:val="28"/>
          <w:szCs w:val="28"/>
        </w:rPr>
        <w:t>本项目范围包括环境监控系统软硬件设备更新采购、PDU设备更新采购、存储扩容设备采购和安装调试、维护服务及系统管理员培训等全部工作。</w:t>
      </w:r>
    </w:p>
    <w:p>
      <w:pPr>
        <w:ind w:left="141" w:leftChars="67" w:firstLine="425" w:firstLineChars="152"/>
        <w:rPr>
          <w:rFonts w:ascii="仿宋_GB2312" w:eastAsia="仿宋_GB2312"/>
          <w:sz w:val="28"/>
          <w:szCs w:val="28"/>
        </w:rPr>
      </w:pPr>
      <w:r>
        <w:rPr>
          <w:rFonts w:hint="eastAsia" w:ascii="仿宋_GB2312" w:eastAsia="仿宋_GB2312"/>
          <w:sz w:val="28"/>
          <w:szCs w:val="28"/>
          <w:highlight w:val="yellow"/>
          <w:lang w:eastAsia="zh-CN"/>
        </w:rPr>
        <w:t>报价</w:t>
      </w:r>
      <w:r>
        <w:rPr>
          <w:rFonts w:hint="eastAsia" w:ascii="仿宋_GB2312" w:eastAsia="仿宋_GB2312"/>
          <w:sz w:val="28"/>
          <w:szCs w:val="28"/>
          <w:highlight w:val="yellow"/>
        </w:rPr>
        <w:t>方必须提供产品功能文件、维护计划、人员安排清单、培训计划等相关资料。如果说明文件是英文，需提供中文译本。</w:t>
      </w:r>
    </w:p>
    <w:p>
      <w:pPr>
        <w:pStyle w:val="3"/>
      </w:pPr>
      <w:r>
        <w:rPr>
          <w:rFonts w:hint="eastAsia"/>
        </w:rPr>
        <w:t>二、建设要求</w:t>
      </w:r>
    </w:p>
    <w:p>
      <w:pPr>
        <w:ind w:left="420" w:leftChars="200" w:firstLine="145" w:firstLineChars="52"/>
        <w:rPr>
          <w:rFonts w:ascii="仿宋_GB2312" w:eastAsia="仿宋_GB2312"/>
          <w:sz w:val="28"/>
          <w:szCs w:val="28"/>
        </w:rPr>
      </w:pPr>
      <w:r>
        <w:rPr>
          <w:rFonts w:hint="eastAsia" w:ascii="仿宋_GB2312" w:eastAsia="仿宋_GB2312"/>
          <w:sz w:val="28"/>
          <w:szCs w:val="28"/>
        </w:rPr>
        <w:t>该项目必须提供的具体</w:t>
      </w:r>
      <w:r>
        <w:rPr>
          <w:rFonts w:ascii="仿宋_GB2312" w:eastAsia="仿宋_GB2312"/>
          <w:sz w:val="28"/>
          <w:szCs w:val="28"/>
        </w:rPr>
        <w:t>服务内容如下：</w:t>
      </w:r>
    </w:p>
    <w:p>
      <w:pPr>
        <w:ind w:left="426"/>
        <w:rPr>
          <w:rFonts w:ascii="仿宋_GB2312" w:eastAsia="仿宋_GB2312"/>
          <w:sz w:val="28"/>
          <w:szCs w:val="28"/>
        </w:rPr>
      </w:pPr>
      <w:r>
        <w:rPr>
          <w:rFonts w:hint="eastAsia" w:ascii="仿宋_GB2312" w:eastAsia="仿宋_GB2312"/>
          <w:sz w:val="28"/>
          <w:szCs w:val="28"/>
        </w:rPr>
        <w:t>（一）环境监控系统软硬件设备更新采购</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1、温湿度监控系统改造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购置温湿度变送器2个、软件接口一套，改造机房温湿度监控系统。</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监测对象：机房重要区域温湿度。</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监测实现：本地液晶屏实时显示温湿度传感器所在位置的温湿度变化情况，支持远程实时查看。一旦温湿度超出范围，即刻启动报警。</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2、机房漏水监控系统改造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购置漏水检测器2个、漏水软件接口一套、漏水检测线2条，改造机房漏水监控系统。</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监测对象：空调、窗户和易漏水等位置。</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监测实现：将漏水检测线布在精密空调周围静电地板下方位置，实时检测、记录漏水情况，发现漏水水情立即将信息上传至监控中心。</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3、供配电监控系统改造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购置三相电量变送器1个、互感器3个、空开监测仪1个、配电软件接口1套、智能电表1个（更换已坏的指针电表），对供配电监控系统进行改造。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监测对象：供配电系统及市电质量、供配电开关</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控实现：测量三相三线/三相四线/单相系统的各项电压、电流及平均值、零序电流；各相及系统的有功功率、无功功率、视在功率、功率因数、功率因数角等。对机房空调、列头柜等重要的空气开关进行监控，一旦空气开关发生跳闸或者掉电，及时通知值班人员。</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4、气体监控系统改造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购置二氧化碳传感器1个、粉尘变送器1个 、氢气探测器1个、气体软件接口1套，对气体监控系统进行改造。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监测对象：机房内气体含量。</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 xml:space="preserve">监测实现：实时监测空气中的粉尘微粒、氢气、二氧化碳含量。 </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5、UPS监控系统改造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购置智能设备监控主机1台、UPS软件接口1套，对机房现有UPS监控系统进行更新改造。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监测对象：机房内UPS运行状态，包括UPS整流器、逆变器、电池总电压、旁路、负载等各部分的运行状态与参数。</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监测实现功能：</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（1）直观显示实时、历史曲线，可查询一年内历史参数值，并可导出为EXCEL格式。</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（2）可对监测到的各项参数设定越限阀值，一旦UPS发生越限报警或故障，该项状态或参数会变红色并闪烁，提示报警事件并进行记录，第一时间发出手机短信、声光等报警信息。</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6、蓄电池监控系统改造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购置蓄电池监控主机1台、蓄电池巡检仪1个、霍尔传感器1个、开关电源1个、蓄电池检测模块32套、蓄电池软件接口1套，对现有蓄电池监控系统更新改造。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监测对象：机房的UPS后备蓄电池。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监测实现：在线监测每节电池的电压、内阻、蓄电池总电压、充放电电流，对单体蓄电池组以及蓄电池组充放电电流和温度的监测，实现电池状态和电池寿命实时在线管理。</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7、精密空调监控系统改造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购置智能空调设备监控器2个、精密空调软件接口1套、空调切换器1个，对精密空调监控系统进行改造。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监测对象：机房内精密空调运行状态。</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监测实现：实时监测回风温湿度、限值、设定值、运行模式以及压缩机、加热器、制冷器、除湿器运行状态等。增加精密空调智能切换器，实现精密空调智能轮巡工作切换。</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8、消防监控系统改造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购置消防监控模块1套，对消防系统监控进行改造。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监测对象：机房内消防状态。</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监测实现：通过采集现有消防报警主机的告警输出信号来实现机房消防报警。</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9、新风机监控系统改造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购置输入输出模块1个、新风机软件接口1套、交流接触器1个，状态检测器1个，对新风机系统监控系统进行改造。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控制对象：机房内新风系统运行状态</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使用输入输出模块模拟量输入和继电器输出，继电器输出通过交流接触器扩流控制新风机电源，以启动或停止新风机运行，同时可以监测新风机状态输出的模拟量，得到新风状态的反馈，在新风机没有状态输出时，可以采用交流电流变送器，监测新风机工作状态。</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10、视频监控系统改造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购置软件视频监控模块1套，利旧机房已有的监控主机、摄像头等设备，改造视频监控系统。</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监测对象：机房内实时状态视频。</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监测实现：对机房实时状况进行视频监控，视频存储在网络硬盘录像机。可通过远程实时监控机房情况，并形成视频监控记录。</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11、门禁监控系统改造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购置门禁控制器1个、电磁锁1把、按钮开关1个、门禁卡20张、指纹识脸一体机1台、门禁接入模块1套，改造门禁监控系统。</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监测对象：机房内门系统进出记录。</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监测实现：更新电磁锁并增加指纹、人脸识别一体机，对进出人员代码、出入时间进行登记存储与智能化管理，有效地监视人员出入，对暴力强行侵入的行为或异常情况予以报警，保证中心机房安全。</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12、环境综合管理平台改造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购置集中监控管理主机1台、机房集中监控管理系统1套、IE浏览监控平台软件1套、邮件告警软件接口1套、短信平台软件接入模块1套、压电警号1个、按钮开关1个，对环境综合管理平台进行改造。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平台内容：通过监控主机的IP网络把数据传输到总监控中心集中平台，统一管理。</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平台实现：</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（1）数据可视化：数据可以通过图形化界面、列表和曲线的方式反映；</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（2）管理权限：针对不同的管理人员划分相应的管理权限；</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3）报警信息处理：实现自动报警与历史告警查询。当传感器数据或连接出现异常时，将触发短信、电话和电邮模块，通知相关管理人员，同时下发指令到监控管理主机，驱动声光报警器，并在相应机房的平面图显示报警信息。</w:t>
      </w:r>
    </w:p>
    <w:p>
      <w:pPr>
        <w:tabs>
          <w:tab w:val="left" w:pos="1276"/>
        </w:tabs>
        <w:ind w:firstLine="560" w:firstLineChars="200"/>
        <w:rPr>
          <w:rFonts w:hint="eastAsia" w:ascii="仿宋_GB2312" w:eastAsia="仿宋_GB2312"/>
          <w:sz w:val="28"/>
          <w:szCs w:val="28"/>
        </w:rPr>
      </w:pPr>
      <w:r>
        <w:rPr>
          <w:rFonts w:hint="eastAsia" w:ascii="仿宋_GB2312" w:eastAsia="仿宋_GB2312"/>
          <w:sz w:val="28"/>
          <w:szCs w:val="28"/>
        </w:rPr>
        <w:t>（4）传感器联动功能：分析和处理传感器各种信息，实现传感器之间的联动功能。例如：当烟感探测到烟雾时，自动打开门禁；当机房温度过高时，自动打开空调。</w:t>
      </w:r>
    </w:p>
    <w:p>
      <w:pPr>
        <w:pStyle w:val="2"/>
        <w:rPr>
          <w:rFonts w:asciiTheme="minorEastAsia" w:hAnsiTheme="minorEastAsia" w:eastAsiaTheme="minorEastAsia"/>
          <w:color w:val="FF0000"/>
          <w:sz w:val="30"/>
          <w:szCs w:val="30"/>
          <w:highlight w:val="none"/>
        </w:rPr>
      </w:pPr>
      <w:r>
        <w:rPr>
          <w:rFonts w:hint="eastAsia" w:asciiTheme="minorEastAsia" w:hAnsiTheme="minorEastAsia" w:eastAsiaTheme="minorEastAsia"/>
          <w:color w:val="FF0000"/>
          <w:sz w:val="30"/>
          <w:szCs w:val="30"/>
          <w:highlight w:val="none"/>
          <w:lang w:val="en-US" w:eastAsia="zh-CN"/>
        </w:rPr>
        <w:t>动环系统</w:t>
      </w:r>
      <w:r>
        <w:rPr>
          <w:rFonts w:hint="eastAsia" w:asciiTheme="minorEastAsia" w:hAnsiTheme="minorEastAsia" w:eastAsiaTheme="minorEastAsia"/>
          <w:color w:val="FF0000"/>
          <w:sz w:val="30"/>
          <w:szCs w:val="30"/>
          <w:highlight w:val="none"/>
        </w:rPr>
        <w:t xml:space="preserve">主要产品技术要求 </w:t>
      </w:r>
    </w:p>
    <w:tbl>
      <w:tblPr>
        <w:tblStyle w:val="24"/>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347"/>
        <w:gridCol w:w="7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13" w:type="dxa"/>
            <w:shd w:val="clear" w:color="auto" w:fill="auto"/>
          </w:tcPr>
          <w:p>
            <w:pPr>
              <w:pStyle w:val="23"/>
              <w:ind w:firstLine="0" w:firstLineChars="0"/>
              <w:jc w:val="center"/>
              <w:rPr>
                <w:rFonts w:cs="Arial" w:asciiTheme="minorEastAsia" w:hAnsiTheme="minorEastAsia" w:eastAsiaTheme="minorEastAsia"/>
                <w:b/>
                <w:color w:val="FF0000"/>
                <w:szCs w:val="21"/>
                <w:highlight w:val="none"/>
              </w:rPr>
            </w:pPr>
            <w:r>
              <w:rPr>
                <w:rFonts w:hint="eastAsia" w:cs="Arial" w:asciiTheme="minorEastAsia" w:hAnsiTheme="minorEastAsia" w:eastAsiaTheme="minorEastAsia"/>
                <w:b/>
                <w:color w:val="FF0000"/>
                <w:szCs w:val="21"/>
                <w:highlight w:val="none"/>
              </w:rPr>
              <w:t>品项</w:t>
            </w:r>
          </w:p>
        </w:tc>
        <w:tc>
          <w:tcPr>
            <w:tcW w:w="1347" w:type="dxa"/>
            <w:shd w:val="clear" w:color="auto" w:fill="auto"/>
          </w:tcPr>
          <w:p>
            <w:pPr>
              <w:pStyle w:val="23"/>
              <w:ind w:firstLine="0" w:firstLineChars="0"/>
              <w:jc w:val="center"/>
              <w:rPr>
                <w:rFonts w:cs="Arial" w:asciiTheme="minorEastAsia" w:hAnsiTheme="minorEastAsia" w:eastAsiaTheme="minorEastAsia"/>
                <w:b/>
                <w:color w:val="FF0000"/>
                <w:szCs w:val="21"/>
                <w:highlight w:val="none"/>
              </w:rPr>
            </w:pPr>
            <w:r>
              <w:rPr>
                <w:rFonts w:hint="eastAsia" w:cs="Arial" w:asciiTheme="minorEastAsia" w:hAnsiTheme="minorEastAsia" w:eastAsiaTheme="minorEastAsia"/>
                <w:b/>
                <w:color w:val="FF0000"/>
                <w:szCs w:val="21"/>
                <w:highlight w:val="none"/>
              </w:rPr>
              <w:t>产品名称</w:t>
            </w:r>
          </w:p>
        </w:tc>
        <w:tc>
          <w:tcPr>
            <w:tcW w:w="7018" w:type="dxa"/>
            <w:shd w:val="clear" w:color="auto" w:fill="auto"/>
          </w:tcPr>
          <w:p>
            <w:pPr>
              <w:pStyle w:val="23"/>
              <w:ind w:firstLine="0" w:firstLineChars="0"/>
              <w:jc w:val="center"/>
              <w:rPr>
                <w:rFonts w:cs="Arial" w:asciiTheme="minorEastAsia" w:hAnsiTheme="minorEastAsia" w:eastAsiaTheme="minorEastAsia"/>
                <w:b/>
                <w:color w:val="FF0000"/>
                <w:szCs w:val="21"/>
                <w:highlight w:val="none"/>
              </w:rPr>
            </w:pPr>
            <w:r>
              <w:rPr>
                <w:rFonts w:hint="eastAsia" w:cs="Arial" w:asciiTheme="minorEastAsia" w:hAnsiTheme="minorEastAsia" w:eastAsiaTheme="minorEastAsia"/>
                <w:b/>
                <w:color w:val="FF0000"/>
                <w:szCs w:val="21"/>
                <w:highlight w:val="none"/>
              </w:rPr>
              <w:t>主要技术要求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温湿度监控</w:t>
            </w:r>
          </w:p>
        </w:tc>
        <w:tc>
          <w:tcPr>
            <w:tcW w:w="1347" w:type="dxa"/>
            <w:shd w:val="clear" w:color="auto" w:fill="auto"/>
            <w:vAlign w:val="center"/>
          </w:tcPr>
          <w:p>
            <w:pPr>
              <w:widowControl/>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温湿度变送器</w:t>
            </w:r>
          </w:p>
        </w:tc>
        <w:tc>
          <w:tcPr>
            <w:tcW w:w="7018" w:type="dxa"/>
            <w:shd w:val="clear" w:color="auto" w:fill="auto"/>
            <w:vAlign w:val="center"/>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1</w:t>
            </w:r>
            <w:r>
              <w:rPr>
                <w:rFonts w:hint="eastAsia" w:cs="宋体" w:asciiTheme="minorEastAsia" w:hAnsiTheme="minorEastAsia" w:eastAsiaTheme="minorEastAsia"/>
                <w:color w:val="FF0000"/>
                <w:kern w:val="0"/>
                <w:szCs w:val="21"/>
                <w:highlight w:val="none"/>
              </w:rPr>
              <w:t>． 采用高精度数字温度传感器，温度精度不低于0.5℃，湿度精度不低于5%。</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2</w:t>
            </w:r>
            <w:r>
              <w:rPr>
                <w:rFonts w:hint="eastAsia" w:cs="宋体" w:asciiTheme="minorEastAsia" w:hAnsiTheme="minorEastAsia" w:eastAsiaTheme="minorEastAsia"/>
                <w:color w:val="FF0000"/>
                <w:kern w:val="0"/>
                <w:szCs w:val="21"/>
                <w:highlight w:val="none"/>
              </w:rPr>
              <w:t>． 工作电源采用总线供电方式，有电源防接反功能和过压保护功能。</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3</w:t>
            </w:r>
            <w:r>
              <w:rPr>
                <w:rFonts w:hint="eastAsia" w:cs="宋体" w:asciiTheme="minorEastAsia" w:hAnsiTheme="minorEastAsia" w:eastAsiaTheme="minorEastAsia"/>
                <w:color w:val="FF0000"/>
                <w:kern w:val="0"/>
                <w:szCs w:val="21"/>
                <w:highlight w:val="none"/>
              </w:rPr>
              <w:t>． 通信接口采用标准串口（RS485），通信协议采用MODBUS协议，支持ASCII方式。</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4</w:t>
            </w:r>
            <w:r>
              <w:rPr>
                <w:rFonts w:hint="eastAsia" w:cs="宋体" w:asciiTheme="minorEastAsia" w:hAnsiTheme="minorEastAsia" w:eastAsiaTheme="minorEastAsia"/>
                <w:color w:val="FF0000"/>
                <w:kern w:val="0"/>
                <w:szCs w:val="21"/>
                <w:highlight w:val="none"/>
              </w:rPr>
              <w:t>． 带有图形液晶显示，可直接查看系统运行状况以及测量结果，便于现场安装调试。</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5</w:t>
            </w:r>
            <w:r>
              <w:rPr>
                <w:rFonts w:hint="eastAsia" w:cs="宋体" w:asciiTheme="minorEastAsia" w:hAnsiTheme="minorEastAsia" w:eastAsiaTheme="minorEastAsia"/>
                <w:color w:val="FF0000"/>
                <w:kern w:val="0"/>
                <w:szCs w:val="21"/>
                <w:highlight w:val="none"/>
              </w:rPr>
              <w:t>． ▲为了保证产品的质量和性能，制造商应具有完善的CNAS证明文件并加盖公章，此证书需为国家级机构认可的焓差实验室出具。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温湿度软件接口</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1、实时监测：通过温湿度传感器可以实时准确的监测机房内的温湿度；</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2、超正常值报警：可以设置机房温湿度正常上、下限值，当机房的温湿度超过预定值时，系统自动对外发送报警信息，支持多种告警方式；</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3、操作：管理人员接到系统温湿度报警后可通过综合监控系统对机房内的空调进行调节，以完成对机房环境温湿度的控制；</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4、历史曲线：通过历史曲线可以对当天和做了历史记录的任意一天的曲线进行查询；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漏水监控</w:t>
            </w: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漏水检测器</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漏水检测，灵敏度可调，防误报功能。</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w:t>
            </w:r>
            <w:r>
              <w:rPr>
                <w:rFonts w:hint="eastAsia" w:cs="宋体" w:asciiTheme="minorEastAsia" w:hAnsiTheme="minorEastAsia" w:eastAsiaTheme="minorEastAsia"/>
                <w:color w:val="FF0000"/>
                <w:kern w:val="0"/>
                <w:szCs w:val="21"/>
                <w:highlight w:val="none"/>
                <w:lang w:val="en-US" w:eastAsia="zh-CN"/>
              </w:rPr>
              <w:t xml:space="preserve"> </w:t>
            </w:r>
            <w:r>
              <w:rPr>
                <w:rFonts w:hint="eastAsia" w:cs="宋体" w:asciiTheme="minorEastAsia" w:hAnsiTheme="minorEastAsia" w:eastAsiaTheme="minorEastAsia"/>
                <w:color w:val="FF0000"/>
                <w:kern w:val="0"/>
                <w:szCs w:val="21"/>
                <w:highlight w:val="none"/>
              </w:rPr>
              <w:t xml:space="preserve">输出形式：干接点，水浸检出时输出常开、常闭可选。 </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3</w:t>
            </w:r>
            <w:r>
              <w:rPr>
                <w:rFonts w:hint="eastAsia" w:cs="宋体" w:asciiTheme="minorEastAsia" w:hAnsiTheme="minorEastAsia" w:eastAsiaTheme="minorEastAsia"/>
                <w:color w:val="FF0000"/>
                <w:kern w:val="0"/>
                <w:szCs w:val="21"/>
                <w:highlight w:val="none"/>
              </w:rPr>
              <w:t>. 控制器检测长度大于500米。</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4</w:t>
            </w:r>
            <w:r>
              <w:rPr>
                <w:rFonts w:hint="eastAsia" w:cs="宋体" w:asciiTheme="minorEastAsia" w:hAnsiTheme="minorEastAsia" w:eastAsiaTheme="minorEastAsia"/>
                <w:color w:val="FF0000"/>
                <w:kern w:val="0"/>
                <w:szCs w:val="21"/>
                <w:highlight w:val="none"/>
              </w:rPr>
              <w:t>. 以LED指示灯显示漏水、故障、电源状态。</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5</w:t>
            </w:r>
            <w:r>
              <w:rPr>
                <w:rFonts w:hint="eastAsia" w:cs="宋体" w:asciiTheme="minorEastAsia" w:hAnsiTheme="minorEastAsia" w:eastAsiaTheme="minorEastAsia"/>
                <w:color w:val="FF0000"/>
                <w:kern w:val="0"/>
                <w:szCs w:val="21"/>
                <w:highlight w:val="none"/>
              </w:rPr>
              <w:t>. ▲提供第三方检测报告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漏水检测线</w:t>
            </w:r>
          </w:p>
        </w:tc>
        <w:tc>
          <w:tcPr>
            <w:tcW w:w="7018" w:type="dxa"/>
            <w:shd w:val="clear" w:color="auto" w:fill="auto"/>
            <w:vAlign w:val="center"/>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10米，两芯漏水检测绳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漏水软件接口</w:t>
            </w:r>
          </w:p>
        </w:tc>
        <w:tc>
          <w:tcPr>
            <w:tcW w:w="7018" w:type="dxa"/>
            <w:shd w:val="clear" w:color="auto" w:fill="auto"/>
            <w:vAlign w:val="center"/>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可直观展示漏水点位置，并对漏水情况实现不低于三种自定义告警设置。</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 报警日志：系统自动记录漏水系统的报警信息（日志内容包括：发生报警的时间、报警的内容、报警级别、报警是否被确认）；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tcBorders>
              <w:bottom w:val="nil"/>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三相电量变送器</w:t>
            </w:r>
          </w:p>
        </w:tc>
        <w:tc>
          <w:tcPr>
            <w:tcW w:w="7018" w:type="dxa"/>
            <w:shd w:val="clear" w:color="auto" w:fill="auto"/>
          </w:tcPr>
          <w:p>
            <w:pPr>
              <w:widowControl/>
              <w:numPr>
                <w:ilvl w:val="0"/>
                <w:numId w:val="3"/>
              </w:numPr>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可以同时测量电压、电流、频率、有功功率、无功功率、功率因数和累计电量。</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w:t>
            </w:r>
            <w:r>
              <w:rPr>
                <w:rFonts w:hint="eastAsia" w:cs="宋体" w:asciiTheme="minorEastAsia" w:hAnsiTheme="minorEastAsia" w:eastAsiaTheme="minorEastAsia"/>
                <w:color w:val="FF0000"/>
                <w:kern w:val="0"/>
                <w:szCs w:val="21"/>
                <w:highlight w:val="none"/>
                <w:lang w:val="en-US" w:eastAsia="zh-CN"/>
              </w:rPr>
              <w:t xml:space="preserve"> </w:t>
            </w:r>
            <w:r>
              <w:rPr>
                <w:rFonts w:hint="eastAsia" w:cs="宋体" w:asciiTheme="minorEastAsia" w:hAnsiTheme="minorEastAsia" w:eastAsiaTheme="minorEastAsia"/>
                <w:color w:val="FF0000"/>
                <w:kern w:val="0"/>
                <w:szCs w:val="21"/>
                <w:highlight w:val="none"/>
              </w:rPr>
              <w:t>输入电流、电压，标准RS-485数字接口输出，实现与监控主机及其网络连接。</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w:t>
            </w:r>
            <w:r>
              <w:rPr>
                <w:rFonts w:hint="eastAsia" w:cs="宋体" w:asciiTheme="minorEastAsia" w:hAnsiTheme="minorEastAsia" w:eastAsiaTheme="minorEastAsia"/>
                <w:color w:val="FF0000"/>
                <w:kern w:val="0"/>
                <w:szCs w:val="21"/>
                <w:highlight w:val="none"/>
                <w:lang w:val="en-US" w:eastAsia="zh-CN"/>
              </w:rPr>
              <w:t xml:space="preserve"> </w:t>
            </w:r>
            <w:r>
              <w:rPr>
                <w:rFonts w:hint="eastAsia" w:cs="宋体" w:asciiTheme="minorEastAsia" w:hAnsiTheme="minorEastAsia" w:eastAsiaTheme="minorEastAsia"/>
                <w:color w:val="FF0000"/>
                <w:kern w:val="0"/>
                <w:szCs w:val="21"/>
                <w:highlight w:val="none"/>
              </w:rPr>
              <w:t>全隔离处理技术，抗干扰能力强。全数字交流采样技术，精度高，稳定性好。</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w:t>
            </w:r>
            <w:r>
              <w:rPr>
                <w:rFonts w:hint="eastAsia" w:cs="宋体" w:asciiTheme="minorEastAsia" w:hAnsiTheme="minorEastAsia" w:eastAsiaTheme="minorEastAsia"/>
                <w:color w:val="FF0000"/>
                <w:kern w:val="0"/>
                <w:szCs w:val="21"/>
                <w:highlight w:val="none"/>
                <w:lang w:val="en-US" w:eastAsia="zh-CN"/>
              </w:rPr>
              <w:t xml:space="preserve"> </w:t>
            </w:r>
            <w:r>
              <w:rPr>
                <w:rFonts w:hint="eastAsia" w:cs="宋体" w:asciiTheme="minorEastAsia" w:hAnsiTheme="minorEastAsia" w:eastAsiaTheme="minorEastAsia"/>
                <w:color w:val="FF0000"/>
                <w:kern w:val="0"/>
                <w:szCs w:val="21"/>
                <w:highlight w:val="none"/>
              </w:rPr>
              <w:t>精度等级：电压、电流值0.2，其他0.5。</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w:t>
            </w:r>
            <w:r>
              <w:rPr>
                <w:rFonts w:hint="eastAsia" w:cs="宋体" w:asciiTheme="minorEastAsia" w:hAnsiTheme="minorEastAsia" w:eastAsiaTheme="minorEastAsia"/>
                <w:color w:val="FF0000"/>
                <w:kern w:val="0"/>
                <w:szCs w:val="21"/>
                <w:highlight w:val="none"/>
                <w:lang w:val="en-US" w:eastAsia="zh-CN"/>
              </w:rPr>
              <w:t xml:space="preserve"> </w:t>
            </w:r>
            <w:r>
              <w:rPr>
                <w:rFonts w:hint="eastAsia" w:cs="宋体" w:asciiTheme="minorEastAsia" w:hAnsiTheme="minorEastAsia" w:eastAsiaTheme="minorEastAsia"/>
                <w:color w:val="FF0000"/>
                <w:kern w:val="0"/>
                <w:szCs w:val="21"/>
                <w:highlight w:val="none"/>
              </w:rPr>
              <w:t>▲为了保证产品的质量和性能，制造商应具有完善的CNAS证明文件并加盖公章，此证书需为国家级机构认可的焓差实验室出具。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tcBorders>
              <w:top w:val="nil"/>
            </w:tcBorders>
            <w:shd w:val="clear" w:color="auto" w:fill="auto"/>
          </w:tcPr>
          <w:p>
            <w:pPr>
              <w:pStyle w:val="23"/>
              <w:ind w:firstLine="0" w:firstLineChars="0"/>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供配电监控</w:t>
            </w:r>
          </w:p>
        </w:tc>
        <w:tc>
          <w:tcPr>
            <w:tcW w:w="1347" w:type="dxa"/>
            <w:shd w:val="clear" w:color="auto" w:fill="auto"/>
          </w:tcPr>
          <w:p>
            <w:pPr>
              <w:widowControl/>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互感器</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电流输入量程范围5~600A，输出0~500mA</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产品精度范围：0.5~1%级。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空开检测仪</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lang w:val="en-US" w:eastAsia="zh-CN"/>
              </w:rPr>
              <w:t>1</w:t>
            </w:r>
            <w:r>
              <w:rPr>
                <w:rFonts w:hint="eastAsia" w:cs="Arial" w:asciiTheme="minorEastAsia" w:hAnsiTheme="minorEastAsia" w:eastAsiaTheme="minorEastAsia"/>
                <w:color w:val="FF0000"/>
                <w:szCs w:val="21"/>
                <w:highlight w:val="none"/>
              </w:rPr>
              <w:t>. 交流输入检测范围：AC85V～AC265V</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lang w:val="en-US" w:eastAsia="zh-CN"/>
              </w:rPr>
              <w:t>2</w:t>
            </w:r>
            <w:r>
              <w:rPr>
                <w:rFonts w:hint="eastAsia" w:cs="Arial" w:asciiTheme="minorEastAsia" w:hAnsiTheme="minorEastAsia" w:eastAsiaTheme="minorEastAsia"/>
                <w:color w:val="FF0000"/>
                <w:szCs w:val="21"/>
                <w:highlight w:val="none"/>
              </w:rPr>
              <w:t>. 直流输入检测范围：DC30V～DC280V</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lang w:val="en-US" w:eastAsia="zh-CN"/>
              </w:rPr>
              <w:t>3</w:t>
            </w:r>
            <w:r>
              <w:rPr>
                <w:rFonts w:hint="eastAsia" w:cs="Arial" w:asciiTheme="minorEastAsia" w:hAnsiTheme="minorEastAsia" w:eastAsiaTheme="minorEastAsia"/>
                <w:color w:val="FF0000"/>
                <w:szCs w:val="21"/>
                <w:highlight w:val="none"/>
              </w:rPr>
              <w:t>. 通信协议： MODBUS-RTU协议。</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lang w:val="en-US" w:eastAsia="zh-CN"/>
              </w:rPr>
              <w:t>4</w:t>
            </w:r>
            <w:r>
              <w:rPr>
                <w:rFonts w:hint="eastAsia" w:cs="Arial" w:asciiTheme="minorEastAsia" w:hAnsiTheme="minorEastAsia" w:eastAsiaTheme="minorEastAsia"/>
                <w:color w:val="FF0000"/>
                <w:szCs w:val="21"/>
                <w:highlight w:val="none"/>
              </w:rPr>
              <w:t>.▲提供第三方检测报告。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asciiTheme="minorEastAsia" w:hAnsiTheme="minorEastAsia" w:eastAsiaTheme="minorEastAsia"/>
                <w:color w:val="FF0000"/>
                <w:kern w:val="0"/>
                <w:szCs w:val="21"/>
                <w:highlight w:val="none"/>
              </w:rPr>
            </w:pPr>
            <w:r>
              <w:rPr>
                <w:rFonts w:hint="eastAsia" w:asciiTheme="minorEastAsia" w:hAnsiTheme="minorEastAsia" w:eastAsiaTheme="minorEastAsia"/>
                <w:color w:val="FF0000"/>
                <w:kern w:val="0"/>
                <w:szCs w:val="21"/>
                <w:highlight w:val="none"/>
              </w:rPr>
              <w:t>智能电表</w:t>
            </w:r>
          </w:p>
        </w:tc>
        <w:tc>
          <w:tcPr>
            <w:tcW w:w="7018" w:type="dxa"/>
            <w:shd w:val="clear" w:color="auto" w:fill="auto"/>
          </w:tcPr>
          <w:p>
            <w:pPr>
              <w:widowControl/>
              <w:jc w:val="left"/>
              <w:rPr>
                <w:rFonts w:asciiTheme="minorEastAsia" w:hAnsiTheme="minorEastAsia" w:eastAsiaTheme="minorEastAsia"/>
                <w:color w:val="FF0000"/>
                <w:kern w:val="0"/>
                <w:szCs w:val="21"/>
                <w:highlight w:val="none"/>
              </w:rPr>
            </w:pPr>
            <w:r>
              <w:rPr>
                <w:rFonts w:hint="eastAsia" w:asciiTheme="minorEastAsia" w:hAnsiTheme="minorEastAsia" w:eastAsiaTheme="minorEastAsia"/>
                <w:color w:val="FF0000"/>
                <w:kern w:val="0"/>
                <w:szCs w:val="21"/>
                <w:highlight w:val="none"/>
              </w:rPr>
              <w:t>测量相电压、线电压、电流、功率、功率因数、频率，正反向有功电能计量和正反向无功电能计量RS485通讯模块。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asciiTheme="minorEastAsia" w:hAnsiTheme="minorEastAsia" w:eastAsiaTheme="minorEastAsia"/>
                <w:color w:val="FF0000"/>
                <w:kern w:val="0"/>
                <w:szCs w:val="21"/>
                <w:highlight w:val="none"/>
              </w:rPr>
            </w:pPr>
            <w:r>
              <w:rPr>
                <w:rFonts w:hint="eastAsia" w:asciiTheme="minorEastAsia" w:hAnsiTheme="minorEastAsia" w:eastAsiaTheme="minorEastAsia"/>
                <w:color w:val="FF0000"/>
                <w:kern w:val="0"/>
                <w:szCs w:val="21"/>
                <w:highlight w:val="none"/>
              </w:rPr>
              <w:t>配电软件接口</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可针对不同机房的电压情况（比如沿海地区的市电电压普遍低于中部城市），设置不同的策略告警阀值。提供软件配置截图。</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 报警日志：系统自动记录供配电系统的报警信息（日志内容包括：发生报警的时间、报警的内容、报警级别、报警是否被确认等），并可对报警日志信息查询、输出；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气体监测</w:t>
            </w:r>
          </w:p>
        </w:tc>
        <w:tc>
          <w:tcPr>
            <w:tcW w:w="1347" w:type="dxa"/>
            <w:shd w:val="clear" w:color="auto" w:fill="auto"/>
            <w:vAlign w:val="center"/>
          </w:tcPr>
          <w:p>
            <w:pPr>
              <w:widowControl/>
              <w:jc w:val="center"/>
              <w:rPr>
                <w:rFonts w:asciiTheme="minorEastAsia" w:hAnsiTheme="minorEastAsia" w:eastAsiaTheme="minorEastAsia"/>
                <w:color w:val="FF0000"/>
                <w:kern w:val="0"/>
                <w:szCs w:val="21"/>
                <w:highlight w:val="none"/>
              </w:rPr>
            </w:pPr>
            <w:r>
              <w:rPr>
                <w:rFonts w:hint="eastAsia" w:asciiTheme="minorEastAsia" w:hAnsiTheme="minorEastAsia" w:eastAsiaTheme="minorEastAsia"/>
                <w:color w:val="FF0000"/>
                <w:kern w:val="0"/>
                <w:szCs w:val="21"/>
                <w:highlight w:val="none"/>
              </w:rPr>
              <w:t>二氧化碳传感器</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量程：0~2000PPM。</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准确度：±3%。</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输出信号：4~20MA。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asciiTheme="minorEastAsia" w:hAnsiTheme="minorEastAsia" w:eastAsiaTheme="minorEastAsia"/>
                <w:color w:val="FF0000"/>
                <w:kern w:val="0"/>
                <w:szCs w:val="21"/>
                <w:highlight w:val="none"/>
              </w:rPr>
            </w:pPr>
            <w:r>
              <w:rPr>
                <w:rFonts w:asciiTheme="minorEastAsia" w:hAnsiTheme="minorEastAsia" w:eastAsiaTheme="minorEastAsia"/>
                <w:color w:val="FF0000"/>
                <w:sz w:val="20"/>
                <w:szCs w:val="20"/>
                <w:highlight w:val="none"/>
              </w:rPr>
              <w:t>粉尘变送器</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量程：0~8.8千粒/升</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精度：±10%</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输出信号：RS-485</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安装方式：壁挂安装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813" w:type="dxa"/>
            <w:vMerge w:val="continue"/>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asciiTheme="minorEastAsia" w:hAnsiTheme="minorEastAsia" w:eastAsiaTheme="minorEastAsia"/>
                <w:color w:val="FF0000"/>
                <w:sz w:val="20"/>
                <w:szCs w:val="20"/>
                <w:highlight w:val="none"/>
              </w:rPr>
              <w:t>氢气探测器</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量程：0-100%LEL。</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分辨率：0.1%LEL。</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输出：4-20mA或RS485信号+继电器。</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防雷保护。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bottom w:val="single" w:color="auto" w:sz="4" w:space="0"/>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tcBorders>
              <w:bottom w:val="single" w:color="auto" w:sz="4" w:space="0"/>
            </w:tcBorders>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气体软件接口</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1、实时监测：通过气体传感器可以实时准确的监测机房内的各气体浓度；</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2、超正常值报警：可以设置机房气体浓度正常上、下限值，当机房的气体值超过预定值时，系统自动对外发送报警信息，支持多种告警方式；</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3、操作：管理人员接到系统气体浓度报警后可通过综合监控系统对机房内的新风机等进行调节，以完成对机房环境气体的排放；</w:t>
            </w:r>
          </w:p>
          <w:p>
            <w:pPr>
              <w:widowControl/>
              <w:jc w:val="left"/>
              <w:rPr>
                <w:rFonts w:hint="eastAsia" w:cs="Arial" w:asciiTheme="minorEastAsia" w:hAnsiTheme="minorEastAsia" w:eastAsiaTheme="minorEastAsia"/>
                <w:color w:val="FF0000"/>
                <w:szCs w:val="21"/>
                <w:highlight w:val="none"/>
                <w:lang w:eastAsia="zh-CN"/>
              </w:rPr>
            </w:pPr>
            <w:r>
              <w:rPr>
                <w:rFonts w:hint="eastAsia" w:cs="Arial" w:asciiTheme="minorEastAsia" w:hAnsiTheme="minorEastAsia" w:eastAsiaTheme="minorEastAsia"/>
                <w:color w:val="FF0000"/>
                <w:szCs w:val="21"/>
                <w:highlight w:val="none"/>
              </w:rPr>
              <w:t>4、历史曲线：通过历史曲线可以对当天和做了历史记录的任意一天的曲线进行查询</w:t>
            </w:r>
            <w:r>
              <w:rPr>
                <w:rFonts w:hint="eastAsia" w:cs="Arial" w:asciiTheme="minorEastAsia" w:hAnsiTheme="minorEastAsia" w:eastAsiaTheme="minorEastAsia"/>
                <w:color w:val="FF000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tcBorders>
              <w:top w:val="single" w:color="auto" w:sz="4" w:space="0"/>
              <w:bottom w:val="nil"/>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p>
            <w:pPr>
              <w:pStyle w:val="23"/>
              <w:ind w:firstLine="0" w:firstLineChars="0"/>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UPS电源监控</w:t>
            </w:r>
          </w:p>
        </w:tc>
        <w:tc>
          <w:tcPr>
            <w:tcW w:w="1347" w:type="dxa"/>
            <w:tcBorders>
              <w:top w:val="single" w:color="auto" w:sz="4" w:space="0"/>
            </w:tcBorders>
            <w:shd w:val="clear" w:color="auto" w:fill="auto"/>
            <w:vAlign w:val="center"/>
          </w:tcPr>
          <w:p>
            <w:pPr>
              <w:widowControl/>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智能设备监控主机</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1路监控串口，串口可选择为RS232、RS485或RS422，可以实现对UPS、精密空调等智能设备的监控管理，也可以实现监控串口与IP网络接口的透传功能。</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 1路RS232调试接口，可对对设备进行固件升级或者厂家调试。</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 支持CAN接口</w:t>
            </w:r>
            <w:r>
              <w:rPr>
                <w:rFonts w:hint="eastAsia" w:cs="宋体" w:asciiTheme="minorEastAsia" w:hAnsiTheme="minorEastAsia" w:eastAsiaTheme="minorEastAsia"/>
                <w:color w:val="FF0000"/>
                <w:kern w:val="0"/>
                <w:szCs w:val="21"/>
                <w:highlight w:val="none"/>
                <w:lang w:eastAsia="zh-CN"/>
              </w:rPr>
              <w:t>；</w:t>
            </w:r>
            <w:r>
              <w:rPr>
                <w:rFonts w:hint="eastAsia" w:cs="宋体" w:asciiTheme="minorEastAsia" w:hAnsiTheme="minorEastAsia" w:eastAsiaTheme="minorEastAsia"/>
                <w:color w:val="FF0000"/>
                <w:kern w:val="0"/>
                <w:szCs w:val="21"/>
                <w:highlight w:val="none"/>
              </w:rPr>
              <w:t xml:space="preserve"> 1路IP网络接口，10/100M自适应。</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4</w:t>
            </w:r>
            <w:r>
              <w:rPr>
                <w:rFonts w:hint="eastAsia" w:cs="宋体" w:asciiTheme="minorEastAsia" w:hAnsiTheme="minorEastAsia" w:eastAsiaTheme="minorEastAsia"/>
                <w:color w:val="FF0000"/>
                <w:kern w:val="0"/>
                <w:szCs w:val="21"/>
                <w:highlight w:val="none"/>
              </w:rPr>
              <w:t>. ▲具备实时时钟功能。（提供产品彩页证明）</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5</w:t>
            </w:r>
            <w:r>
              <w:rPr>
                <w:rFonts w:hint="eastAsia" w:cs="宋体" w:asciiTheme="minorEastAsia" w:hAnsiTheme="minorEastAsia" w:eastAsiaTheme="minorEastAsia"/>
                <w:color w:val="FF0000"/>
                <w:kern w:val="0"/>
                <w:szCs w:val="21"/>
                <w:highlight w:val="none"/>
              </w:rPr>
              <w:t>. 结合本公司的综合管理软件平台可以实现短信、电话、邮件、声光等告警。</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6</w:t>
            </w:r>
            <w:r>
              <w:rPr>
                <w:rFonts w:hint="eastAsia" w:cs="宋体" w:asciiTheme="minorEastAsia" w:hAnsiTheme="minorEastAsia" w:eastAsiaTheme="minorEastAsia"/>
                <w:color w:val="FF0000"/>
                <w:kern w:val="0"/>
                <w:szCs w:val="21"/>
                <w:highlight w:val="none"/>
              </w:rPr>
              <w:t>. ▲可支持POE供电。（提供产品彩页证明）</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7</w:t>
            </w:r>
            <w:r>
              <w:rPr>
                <w:rFonts w:hint="eastAsia" w:cs="宋体" w:asciiTheme="minorEastAsia" w:hAnsiTheme="minorEastAsia" w:eastAsiaTheme="minorEastAsia"/>
                <w:color w:val="FF0000"/>
                <w:kern w:val="0"/>
                <w:szCs w:val="21"/>
                <w:highlight w:val="none"/>
              </w:rPr>
              <w:t>. 内置WEB服务器，支持B/S架构，管理人员可直接通过浏览器和相应权限就可以实时的查看机房内所有动力环境监控设备的运行状态，可以远程管理、调整相关设备的工作参数。</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8</w:t>
            </w:r>
            <w:r>
              <w:rPr>
                <w:rFonts w:hint="eastAsia" w:cs="宋体" w:asciiTheme="minorEastAsia" w:hAnsiTheme="minorEastAsia" w:eastAsiaTheme="minorEastAsia"/>
                <w:color w:val="FF0000"/>
                <w:kern w:val="0"/>
                <w:szCs w:val="21"/>
                <w:highlight w:val="none"/>
              </w:rPr>
              <w:t>. 嵌入式操作系统，内置硬件看门狗，超低功耗，具有故障自动恢复功能，当主机重新启动后，监控功能随之运行。</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9</w:t>
            </w:r>
            <w:r>
              <w:rPr>
                <w:rFonts w:hint="eastAsia" w:cs="宋体" w:asciiTheme="minorEastAsia" w:hAnsiTheme="minorEastAsia" w:eastAsiaTheme="minorEastAsia"/>
                <w:color w:val="FF0000"/>
                <w:kern w:val="0"/>
                <w:szCs w:val="21"/>
                <w:highlight w:val="none"/>
              </w:rPr>
              <w:t>．▲提供第三方检测报告。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op w:val="single" w:color="auto" w:sz="4" w:space="0"/>
              <w:bottom w:val="single" w:color="auto" w:sz="4" w:space="0"/>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UPS软件接口</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参数监测：UPS的各种电压、电流、频率、功率以及内部整流器、逆变器、电池、旁路、负载等各部件的运行状态进行实时监视。最终监测的内容和控制的项目与该型号通讯协议规定的内容一致。系统可对监测到的各项参数设定越限阀值（包括上下限、恢复上下限）。</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2、监测报警：一旦UPS发生越限报警或故障，系统将自动切换到相应的监控界面，且发生报警的该项状态或参数会变红色并闪烁显示，同时产生报警事件进行记录存储并有相应的处理提示。</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3、事件查询与报表生成：实时记录UPS主要监测量的历史数据，并以曲线、报表等方式汇总，以便于机房管理人员对UPS设备工作情况汇总报表打印，从而形成更为详细机房设备维护记录；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tcBorders>
              <w:top w:val="single" w:color="auto" w:sz="4" w:space="0"/>
              <w:bottom w:val="nil"/>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蓄电池监控</w:t>
            </w:r>
          </w:p>
          <w:p>
            <w:pPr>
              <w:jc w:val="center"/>
              <w:rPr>
                <w:rFonts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蓄电池监控主机</w:t>
            </w:r>
          </w:p>
        </w:tc>
        <w:tc>
          <w:tcPr>
            <w:tcW w:w="7018" w:type="dxa"/>
            <w:shd w:val="clear" w:color="auto" w:fill="auto"/>
          </w:tcPr>
          <w:p>
            <w:pPr>
              <w:widowControl/>
              <w:jc w:val="left"/>
              <w:rPr>
                <w:rFonts w:cs="Arial" w:asciiTheme="minorEastAsia" w:hAnsiTheme="minorEastAsia" w:eastAsiaTheme="minorEastAsia"/>
                <w:color w:val="FF0000"/>
                <w:szCs w:val="21"/>
                <w:highlight w:val="none"/>
                <w:shd w:val="clear" w:color="auto" w:fill="FFFFFF"/>
              </w:rPr>
            </w:pPr>
            <w:r>
              <w:rPr>
                <w:rFonts w:hint="eastAsia" w:cs="Arial" w:asciiTheme="minorEastAsia" w:hAnsiTheme="minorEastAsia" w:eastAsiaTheme="minorEastAsia"/>
                <w:color w:val="FF0000"/>
                <w:szCs w:val="21"/>
                <w:highlight w:val="none"/>
                <w:shd w:val="clear" w:color="auto" w:fill="FFFFFF"/>
              </w:rPr>
              <w:t xml:space="preserve">蓄电池及蓄电池组的信息集中，分析，控制，上传 </w:t>
            </w:r>
          </w:p>
          <w:p>
            <w:pPr>
              <w:widowControl/>
              <w:jc w:val="left"/>
              <w:rPr>
                <w:rFonts w:cs="Arial" w:asciiTheme="minorEastAsia" w:hAnsiTheme="minorEastAsia" w:eastAsiaTheme="minorEastAsia"/>
                <w:color w:val="FF0000"/>
                <w:szCs w:val="21"/>
                <w:highlight w:val="none"/>
                <w:shd w:val="clear" w:color="auto" w:fill="FFFFFF"/>
              </w:rPr>
            </w:pPr>
            <w:r>
              <w:rPr>
                <w:rFonts w:hint="eastAsia" w:cs="Arial" w:asciiTheme="minorEastAsia" w:hAnsiTheme="minorEastAsia" w:eastAsiaTheme="minorEastAsia"/>
                <w:color w:val="FF0000"/>
                <w:szCs w:val="21"/>
                <w:highlight w:val="none"/>
                <w:shd w:val="clear" w:color="auto" w:fill="FFFFFF"/>
              </w:rPr>
              <w:t>可接蓄电池监测单元：160个（带内阻）。</w:t>
            </w:r>
          </w:p>
          <w:p>
            <w:pPr>
              <w:widowControl/>
              <w:jc w:val="left"/>
              <w:rPr>
                <w:rFonts w:cs="Arial" w:asciiTheme="minorEastAsia" w:hAnsiTheme="minorEastAsia" w:eastAsiaTheme="minorEastAsia"/>
                <w:color w:val="FF0000"/>
                <w:szCs w:val="21"/>
                <w:highlight w:val="none"/>
                <w:shd w:val="clear" w:color="auto" w:fill="FFFFFF"/>
              </w:rPr>
            </w:pPr>
            <w:r>
              <w:rPr>
                <w:rFonts w:hint="eastAsia" w:cs="Arial" w:asciiTheme="minorEastAsia" w:hAnsiTheme="minorEastAsia" w:eastAsiaTheme="minorEastAsia"/>
                <w:color w:val="FF0000"/>
                <w:szCs w:val="21"/>
                <w:highlight w:val="none"/>
                <w:shd w:val="clear" w:color="auto" w:fill="FFFFFF"/>
              </w:rPr>
              <w:t>通讯协议：IP、ARP、TCP、UDP、Telnet、SNMP、Http、ICMP。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bottom w:val="nil"/>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蓄电池巡检仪</w:t>
            </w:r>
          </w:p>
        </w:tc>
        <w:tc>
          <w:tcPr>
            <w:tcW w:w="7018" w:type="dxa"/>
            <w:shd w:val="clear" w:color="auto" w:fill="auto"/>
            <w:vAlign w:val="center"/>
          </w:tcPr>
          <w:p>
            <w:pPr>
              <w:widowControl/>
              <w:jc w:val="left"/>
              <w:rPr>
                <w:rFonts w:cs="Arial" w:asciiTheme="minorEastAsia" w:hAnsiTheme="minorEastAsia" w:eastAsiaTheme="minorEastAsia"/>
                <w:color w:val="FF0000"/>
                <w:szCs w:val="21"/>
                <w:highlight w:val="none"/>
                <w:shd w:val="clear" w:color="auto" w:fill="FFFFFF"/>
              </w:rPr>
            </w:pPr>
            <w:r>
              <w:rPr>
                <w:rFonts w:hint="eastAsia" w:cs="Arial" w:asciiTheme="minorEastAsia" w:hAnsiTheme="minorEastAsia" w:eastAsiaTheme="minorEastAsia"/>
                <w:color w:val="FF0000"/>
                <w:szCs w:val="21"/>
                <w:highlight w:val="none"/>
                <w:shd w:val="clear" w:color="auto" w:fill="FFFFFF"/>
              </w:rPr>
              <w:t>蓄电池及蓄电池组的信息集中，分析，控制，上传。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bottom w:val="single" w:color="auto" w:sz="4" w:space="0"/>
            </w:tcBorders>
            <w:shd w:val="clear" w:color="auto" w:fill="auto"/>
            <w:vAlign w:val="center"/>
          </w:tcPr>
          <w:p>
            <w:pPr>
              <w:pStyle w:val="23"/>
              <w:ind w:firstLine="0" w:firstLineChars="0"/>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widowControl/>
              <w:jc w:val="center"/>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蓄电池监测模块</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实时在线监测每节电池的电压、负极温度和内阻，精度高，抗强干扰；</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2</w:t>
            </w:r>
            <w:r>
              <w:rPr>
                <w:rFonts w:hint="eastAsia" w:cs="宋体" w:asciiTheme="minorEastAsia" w:hAnsiTheme="minorEastAsia" w:eastAsiaTheme="minorEastAsia"/>
                <w:color w:val="FF0000"/>
                <w:kern w:val="0"/>
                <w:szCs w:val="21"/>
                <w:highlight w:val="none"/>
              </w:rPr>
              <w:t>. 内阻测量：0.1mΩ– 100mΩ；</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3</w:t>
            </w:r>
            <w:r>
              <w:rPr>
                <w:rFonts w:hint="eastAsia" w:cs="宋体" w:asciiTheme="minorEastAsia" w:hAnsiTheme="minorEastAsia" w:eastAsiaTheme="minorEastAsia"/>
                <w:color w:val="FF0000"/>
                <w:kern w:val="0"/>
                <w:szCs w:val="21"/>
                <w:highlight w:val="none"/>
              </w:rPr>
              <w:t>. 负极温度检测：测量范围 -20～85℃， 采集精度 ±1℃</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4</w:t>
            </w:r>
            <w:r>
              <w:rPr>
                <w:rFonts w:hint="eastAsia" w:cs="宋体" w:asciiTheme="minorEastAsia" w:hAnsiTheme="minorEastAsia" w:eastAsiaTheme="minorEastAsia"/>
                <w:color w:val="FF0000"/>
                <w:kern w:val="0"/>
                <w:szCs w:val="21"/>
                <w:highlight w:val="none"/>
              </w:rPr>
              <w:t>. ▲每个组检测模块及单体模块需配置两种状态灯，区分电池的正常或告警状态；</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5</w:t>
            </w:r>
            <w:r>
              <w:rPr>
                <w:rFonts w:hint="eastAsia" w:cs="宋体" w:asciiTheme="minorEastAsia" w:hAnsiTheme="minorEastAsia" w:eastAsiaTheme="minorEastAsia"/>
                <w:color w:val="FF0000"/>
                <w:kern w:val="0"/>
                <w:szCs w:val="21"/>
                <w:highlight w:val="none"/>
              </w:rPr>
              <w:t>. 单体模块采用热拔插设计，可在线快速更换故障部件，而不至于影响电池检测系统的正常工作，特别不影响原供电系统的安全运行；</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6</w:t>
            </w:r>
            <w:r>
              <w:rPr>
                <w:rFonts w:hint="eastAsia" w:cs="宋体" w:asciiTheme="minorEastAsia" w:hAnsiTheme="minorEastAsia" w:eastAsiaTheme="minorEastAsia"/>
                <w:color w:val="FF0000"/>
                <w:kern w:val="0"/>
                <w:szCs w:val="21"/>
                <w:highlight w:val="none"/>
              </w:rPr>
              <w:t>. ▲单体模块需内置反接电池保护，反接不会损坏单体模块和电池；</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7</w:t>
            </w:r>
            <w:r>
              <w:rPr>
                <w:rFonts w:hint="eastAsia" w:cs="宋体" w:asciiTheme="minorEastAsia" w:hAnsiTheme="minorEastAsia" w:eastAsiaTheme="minorEastAsia"/>
                <w:color w:val="FF0000"/>
                <w:kern w:val="0"/>
                <w:szCs w:val="21"/>
                <w:highlight w:val="none"/>
              </w:rPr>
              <w:t>. ▲符合测量、控制和实验室用的电设备的EMC要求，具备国家实验室出具的检测报告与证书、电磁场人体暴露测试报告。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top w:val="single" w:color="auto" w:sz="4" w:space="0"/>
              <w:bottom w:val="single" w:color="auto" w:sz="4" w:space="0"/>
            </w:tcBorders>
            <w:shd w:val="clear" w:color="auto" w:fill="auto"/>
            <w:vAlign w:val="center"/>
          </w:tcPr>
          <w:p>
            <w:pPr>
              <w:jc w:val="center"/>
              <w:rPr>
                <w:rFonts w:asciiTheme="minorEastAsia" w:hAnsiTheme="minorEastAsia" w:eastAsiaTheme="minorEastAsia"/>
                <w:color w:val="FF0000"/>
                <w:szCs w:val="21"/>
                <w:highlight w:val="none"/>
              </w:rPr>
            </w:pPr>
          </w:p>
        </w:tc>
        <w:tc>
          <w:tcPr>
            <w:tcW w:w="1347" w:type="dxa"/>
            <w:shd w:val="clear" w:color="auto" w:fill="auto"/>
            <w:vAlign w:val="center"/>
          </w:tcPr>
          <w:p>
            <w:pPr>
              <w:jc w:val="center"/>
              <w:rPr>
                <w:rFonts w:asciiTheme="minorEastAsia" w:hAnsiTheme="minorEastAsia" w:eastAsiaTheme="minorEastAsia"/>
                <w:color w:val="FF0000"/>
                <w:szCs w:val="21"/>
                <w:highlight w:val="none"/>
              </w:rPr>
            </w:pPr>
            <w:r>
              <w:rPr>
                <w:rFonts w:hint="eastAsia" w:asciiTheme="minorEastAsia" w:hAnsiTheme="minorEastAsia" w:eastAsiaTheme="minorEastAsia"/>
                <w:color w:val="FF0000"/>
                <w:szCs w:val="21"/>
                <w:highlight w:val="none"/>
              </w:rPr>
              <w:t>蓄电池软件接口</w:t>
            </w:r>
          </w:p>
        </w:tc>
        <w:tc>
          <w:tcPr>
            <w:tcW w:w="7018" w:type="dxa"/>
            <w:shd w:val="clear" w:color="auto" w:fill="auto"/>
          </w:tcPr>
          <w:p>
            <w:pPr>
              <w:widowControl/>
              <w:jc w:val="left"/>
              <w:rPr>
                <w:rFonts w:asciiTheme="minorEastAsia" w:hAnsiTheme="minorEastAsia" w:eastAsiaTheme="minorEastAsia"/>
                <w:color w:val="FF0000"/>
                <w:highlight w:val="none"/>
              </w:rPr>
            </w:pPr>
            <w:r>
              <w:rPr>
                <w:rFonts w:hint="eastAsia" w:cs="宋体" w:asciiTheme="minorEastAsia" w:hAnsiTheme="minorEastAsia" w:eastAsiaTheme="minorEastAsia"/>
                <w:color w:val="FF0000"/>
                <w:kern w:val="0"/>
                <w:szCs w:val="21"/>
                <w:highlight w:val="none"/>
              </w:rPr>
              <w:t>采用分布式架构，电池监控系统由智能网关、组测量单元及单体测量单元组成。每节电池安装单体检测模块，每组安装电池组检测模块；可生成列表、柱状图等显示单节电池数据。可对异常数据进行告警管理。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tcBorders>
              <w:top w:val="single" w:color="auto" w:sz="4" w:space="0"/>
            </w:tcBorders>
            <w:shd w:val="clear" w:color="auto" w:fill="auto"/>
            <w:vAlign w:val="center"/>
          </w:tcPr>
          <w:p>
            <w:pPr>
              <w:jc w:val="center"/>
              <w:rPr>
                <w:rFonts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精密空调监控</w:t>
            </w:r>
          </w:p>
        </w:tc>
        <w:tc>
          <w:tcPr>
            <w:tcW w:w="1347" w:type="dxa"/>
            <w:shd w:val="clear" w:color="auto" w:fill="auto"/>
            <w:vAlign w:val="center"/>
          </w:tcPr>
          <w:p>
            <w:pPr>
              <w:jc w:val="center"/>
              <w:rPr>
                <w:rFonts w:asciiTheme="minorEastAsia" w:hAnsiTheme="minorEastAsia" w:eastAsiaTheme="minorEastAsia"/>
                <w:color w:val="FF0000"/>
                <w:szCs w:val="21"/>
                <w:highlight w:val="none"/>
              </w:rPr>
            </w:pPr>
            <w:r>
              <w:rPr>
                <w:rFonts w:hint="eastAsia" w:cs="宋体" w:asciiTheme="minorEastAsia" w:hAnsiTheme="minorEastAsia" w:eastAsiaTheme="minorEastAsia"/>
                <w:color w:val="FF0000"/>
                <w:kern w:val="0"/>
                <w:szCs w:val="21"/>
                <w:highlight w:val="none"/>
              </w:rPr>
              <w:t>智能空调设备监控器</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1路监控串口，串口可选择为RS232、RS485或RS422，可以实现对UPS、精密空调等智能设备的监控管理，也可以实现监控串口与IP网络接口的透传功能。</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 1路RS232调试接口，可对对设备进行固件升级或者厂家调试。</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 支持CAN接口</w:t>
            </w:r>
            <w:r>
              <w:rPr>
                <w:rFonts w:hint="eastAsia" w:cs="宋体" w:asciiTheme="minorEastAsia" w:hAnsiTheme="minorEastAsia" w:eastAsiaTheme="minorEastAsia"/>
                <w:color w:val="FF0000"/>
                <w:kern w:val="0"/>
                <w:szCs w:val="21"/>
                <w:highlight w:val="none"/>
                <w:lang w:eastAsia="zh-CN"/>
              </w:rPr>
              <w:t>；</w:t>
            </w:r>
            <w:r>
              <w:rPr>
                <w:rFonts w:hint="eastAsia" w:cs="宋体" w:asciiTheme="minorEastAsia" w:hAnsiTheme="minorEastAsia" w:eastAsiaTheme="minorEastAsia"/>
                <w:color w:val="FF0000"/>
                <w:kern w:val="0"/>
                <w:szCs w:val="21"/>
                <w:highlight w:val="none"/>
              </w:rPr>
              <w:t>1路IP网络接口，10/100M自适应。</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4</w:t>
            </w:r>
            <w:r>
              <w:rPr>
                <w:rFonts w:hint="eastAsia" w:cs="宋体" w:asciiTheme="minorEastAsia" w:hAnsiTheme="minorEastAsia" w:eastAsiaTheme="minorEastAsia"/>
                <w:color w:val="FF0000"/>
                <w:kern w:val="0"/>
                <w:szCs w:val="21"/>
                <w:highlight w:val="none"/>
              </w:rPr>
              <w:t>. 具备实时钟功能。（提供产品彩页证明）</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5</w:t>
            </w:r>
            <w:r>
              <w:rPr>
                <w:rFonts w:hint="eastAsia" w:cs="宋体" w:asciiTheme="minorEastAsia" w:hAnsiTheme="minorEastAsia" w:eastAsiaTheme="minorEastAsia"/>
                <w:color w:val="FF0000"/>
                <w:kern w:val="0"/>
                <w:szCs w:val="21"/>
                <w:highlight w:val="none"/>
              </w:rPr>
              <w:t>.</w:t>
            </w:r>
            <w:r>
              <w:rPr>
                <w:rFonts w:hint="eastAsia" w:cs="宋体" w:asciiTheme="minorEastAsia" w:hAnsiTheme="minorEastAsia" w:eastAsiaTheme="minorEastAsia"/>
                <w:color w:val="FF0000"/>
                <w:kern w:val="0"/>
                <w:szCs w:val="21"/>
                <w:highlight w:val="none"/>
                <w:lang w:val="en-US" w:eastAsia="zh-CN"/>
              </w:rPr>
              <w:t xml:space="preserve"> </w:t>
            </w:r>
            <w:r>
              <w:rPr>
                <w:rFonts w:hint="eastAsia" w:cs="宋体" w:asciiTheme="minorEastAsia" w:hAnsiTheme="minorEastAsia" w:eastAsiaTheme="minorEastAsia"/>
                <w:color w:val="FF0000"/>
                <w:kern w:val="0"/>
                <w:szCs w:val="21"/>
                <w:highlight w:val="none"/>
              </w:rPr>
              <w:t>结合本公司的综合管理软件平台可以实现短信、电话、邮件、声光等告警。</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6</w:t>
            </w:r>
            <w:r>
              <w:rPr>
                <w:rFonts w:hint="eastAsia" w:cs="宋体" w:asciiTheme="minorEastAsia" w:hAnsiTheme="minorEastAsia" w:eastAsiaTheme="minorEastAsia"/>
                <w:color w:val="FF0000"/>
                <w:kern w:val="0"/>
                <w:szCs w:val="21"/>
                <w:highlight w:val="none"/>
              </w:rPr>
              <w:t>. 内置WEB服务器，支持B/S架构，管理人员可直接通过浏览器和相应权限就可以实时的查看机房内所有动力环境监控设备的运行状态，可以远程管理、调整相关设备的工作参数。</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lang w:val="en-US" w:eastAsia="zh-CN"/>
              </w:rPr>
              <w:t>7</w:t>
            </w:r>
            <w:r>
              <w:rPr>
                <w:rFonts w:hint="eastAsia" w:cs="宋体" w:asciiTheme="minorEastAsia" w:hAnsiTheme="minorEastAsia" w:eastAsiaTheme="minorEastAsia"/>
                <w:color w:val="FF0000"/>
                <w:kern w:val="0"/>
                <w:szCs w:val="21"/>
                <w:highlight w:val="none"/>
              </w:rPr>
              <w:t>. 嵌入式操作系统，内置硬件看门狗，超低功耗，具有故障自动恢复功能，当主机重新启动后，监控功能随之运行。</w:t>
            </w:r>
          </w:p>
          <w:p>
            <w:pPr>
              <w:widowControl/>
              <w:jc w:val="left"/>
              <w:rPr>
                <w:rFonts w:asciiTheme="minorEastAsia" w:hAnsiTheme="minorEastAsia" w:eastAsiaTheme="minorEastAsia"/>
                <w:color w:val="FF0000"/>
                <w:highlight w:val="none"/>
              </w:rPr>
            </w:pPr>
            <w:r>
              <w:rPr>
                <w:rFonts w:hint="eastAsia" w:cs="宋体" w:asciiTheme="minorEastAsia" w:hAnsiTheme="minorEastAsia" w:eastAsiaTheme="minorEastAsia"/>
                <w:color w:val="FF0000"/>
                <w:kern w:val="0"/>
                <w:szCs w:val="21"/>
                <w:highlight w:val="none"/>
                <w:lang w:val="en-US" w:eastAsia="zh-CN"/>
              </w:rPr>
              <w:t>8</w:t>
            </w:r>
            <w:r>
              <w:rPr>
                <w:rFonts w:hint="eastAsia" w:cs="宋体" w:asciiTheme="minorEastAsia" w:hAnsiTheme="minorEastAsia" w:eastAsiaTheme="minorEastAsia"/>
                <w:color w:val="FF0000"/>
                <w:kern w:val="0"/>
                <w:szCs w:val="21"/>
                <w:highlight w:val="none"/>
              </w:rPr>
              <w:t>．▲提供第三方检测报告。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jc w:val="center"/>
              <w:rPr>
                <w:rFonts w:asciiTheme="minorEastAsia" w:hAnsiTheme="minorEastAsia" w:eastAsiaTheme="minorEastAsia"/>
                <w:color w:val="FF0000"/>
                <w:szCs w:val="21"/>
                <w:highlight w:val="none"/>
              </w:rPr>
            </w:pPr>
          </w:p>
        </w:tc>
        <w:tc>
          <w:tcPr>
            <w:tcW w:w="1347" w:type="dxa"/>
            <w:shd w:val="clear" w:color="auto" w:fill="auto"/>
            <w:vAlign w:val="center"/>
          </w:tcPr>
          <w:p>
            <w:pPr>
              <w:jc w:val="center"/>
              <w:rPr>
                <w:rFonts w:asciiTheme="minorEastAsia" w:hAnsiTheme="minorEastAsia" w:eastAsiaTheme="minorEastAsia"/>
                <w:color w:val="FF0000"/>
                <w:szCs w:val="21"/>
                <w:highlight w:val="none"/>
              </w:rPr>
            </w:pPr>
            <w:r>
              <w:rPr>
                <w:rFonts w:hint="eastAsia" w:cs="宋体" w:asciiTheme="minorEastAsia" w:hAnsiTheme="minorEastAsia" w:eastAsiaTheme="minorEastAsia"/>
                <w:color w:val="FF0000"/>
                <w:kern w:val="0"/>
                <w:szCs w:val="21"/>
                <w:highlight w:val="none"/>
              </w:rPr>
              <w:t>精密空调监控软件接口</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w:t>
            </w:r>
            <w:r>
              <w:rPr>
                <w:rFonts w:cs="宋体" w:asciiTheme="minorEastAsia" w:hAnsiTheme="minorEastAsia" w:eastAsiaTheme="minorEastAsia"/>
                <w:color w:val="FF0000"/>
                <w:kern w:val="0"/>
                <w:szCs w:val="21"/>
                <w:highlight w:val="none"/>
              </w:rPr>
              <w:t xml:space="preserve">. </w:t>
            </w:r>
            <w:r>
              <w:rPr>
                <w:rFonts w:hint="eastAsia" w:cs="宋体" w:asciiTheme="minorEastAsia" w:hAnsiTheme="minorEastAsia" w:eastAsiaTheme="minorEastAsia"/>
                <w:color w:val="FF0000"/>
                <w:kern w:val="0"/>
                <w:szCs w:val="21"/>
                <w:highlight w:val="none"/>
              </w:rPr>
              <w:t>操作：通过综合监控软件可以远程修改空调各设置参数（如：空调温湿度、报警上下限等），对空调进行远程开关机、复位操作；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w:t>
            </w:r>
            <w:r>
              <w:rPr>
                <w:rFonts w:cs="宋体" w:asciiTheme="minorEastAsia" w:hAnsiTheme="minorEastAsia" w:eastAsiaTheme="minorEastAsia"/>
                <w:color w:val="FF0000"/>
                <w:kern w:val="0"/>
                <w:szCs w:val="21"/>
                <w:highlight w:val="none"/>
              </w:rPr>
              <w:t xml:space="preserve">. </w:t>
            </w:r>
            <w:r>
              <w:rPr>
                <w:rFonts w:hint="eastAsia" w:cs="宋体" w:asciiTheme="minorEastAsia" w:hAnsiTheme="minorEastAsia" w:eastAsiaTheme="minorEastAsia"/>
                <w:color w:val="FF0000"/>
                <w:kern w:val="0"/>
                <w:szCs w:val="21"/>
                <w:highlight w:val="none"/>
              </w:rPr>
              <w:t>状态监测：对空调的各部件（(如：压缩机、风机、加热器、加湿器、去湿器、滤网)运行状态正常与否进行实时监控和显示；</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w:t>
            </w:r>
            <w:r>
              <w:rPr>
                <w:rFonts w:cs="宋体" w:asciiTheme="minorEastAsia" w:hAnsiTheme="minorEastAsia" w:eastAsiaTheme="minorEastAsia"/>
                <w:color w:val="FF0000"/>
                <w:kern w:val="0"/>
                <w:szCs w:val="21"/>
                <w:highlight w:val="none"/>
              </w:rPr>
              <w:t xml:space="preserve">. </w:t>
            </w:r>
            <w:r>
              <w:rPr>
                <w:rFonts w:hint="eastAsia" w:cs="宋体" w:asciiTheme="minorEastAsia" w:hAnsiTheme="minorEastAsia" w:eastAsiaTheme="minorEastAsia"/>
                <w:color w:val="FF0000"/>
                <w:kern w:val="0"/>
                <w:szCs w:val="21"/>
                <w:highlight w:val="none"/>
              </w:rPr>
              <w:t>参数监测：对空调运行时各参数（如：回风温湿度、送风温湿度、温湿度的高低报警值、压缩机运行时间）进行实时的监测和显示；</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w:t>
            </w:r>
            <w:r>
              <w:rPr>
                <w:rFonts w:cs="宋体" w:asciiTheme="minorEastAsia" w:hAnsiTheme="minorEastAsia" w:eastAsiaTheme="minorEastAsia"/>
                <w:color w:val="FF0000"/>
                <w:kern w:val="0"/>
                <w:szCs w:val="21"/>
                <w:highlight w:val="none"/>
              </w:rPr>
              <w:t xml:space="preserve">. </w:t>
            </w:r>
            <w:r>
              <w:rPr>
                <w:rFonts w:hint="eastAsia" w:cs="宋体" w:asciiTheme="minorEastAsia" w:hAnsiTheme="minorEastAsia" w:eastAsiaTheme="minorEastAsia"/>
                <w:color w:val="FF0000"/>
                <w:kern w:val="0"/>
                <w:szCs w:val="21"/>
                <w:highlight w:val="none"/>
              </w:rPr>
              <w:t>监测报警：系统一旦监测到有报警或参数越限(如：风机故障、压缩机故障、过滤器堵塞、温度湿度越限)，系统将可以进行支持多种告警方式；</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w:t>
            </w:r>
            <w:r>
              <w:rPr>
                <w:rFonts w:cs="宋体" w:asciiTheme="minorEastAsia" w:hAnsiTheme="minorEastAsia" w:eastAsiaTheme="minorEastAsia"/>
                <w:color w:val="FF0000"/>
                <w:kern w:val="0"/>
                <w:szCs w:val="21"/>
                <w:highlight w:val="none"/>
              </w:rPr>
              <w:t xml:space="preserve">. </w:t>
            </w:r>
            <w:r>
              <w:rPr>
                <w:rFonts w:hint="eastAsia" w:cs="宋体" w:asciiTheme="minorEastAsia" w:hAnsiTheme="minorEastAsia" w:eastAsiaTheme="minorEastAsia"/>
                <w:color w:val="FF0000"/>
                <w:kern w:val="0"/>
                <w:szCs w:val="21"/>
                <w:highlight w:val="none"/>
              </w:rPr>
              <w:t>历史曲线：对重要参数（例如：温湿度），可作曲线图形记录，用户可通过图形记录直观地看到空调机组的运行品质；</w:t>
            </w:r>
          </w:p>
          <w:p>
            <w:pPr>
              <w:widowControl/>
              <w:jc w:val="left"/>
              <w:rPr>
                <w:rFonts w:asciiTheme="minorEastAsia" w:hAnsiTheme="minorEastAsia" w:eastAsiaTheme="minorEastAsia"/>
                <w:color w:val="FF0000"/>
                <w:highlight w:val="none"/>
              </w:rPr>
            </w:pPr>
            <w:r>
              <w:rPr>
                <w:rFonts w:hint="eastAsia" w:cs="宋体" w:asciiTheme="minorEastAsia" w:hAnsiTheme="minorEastAsia" w:eastAsiaTheme="minorEastAsia"/>
                <w:color w:val="FF0000"/>
                <w:kern w:val="0"/>
                <w:szCs w:val="21"/>
                <w:highlight w:val="none"/>
              </w:rPr>
              <w:t>6</w:t>
            </w:r>
            <w:r>
              <w:rPr>
                <w:rFonts w:cs="宋体" w:asciiTheme="minorEastAsia" w:hAnsiTheme="minorEastAsia" w:eastAsiaTheme="minorEastAsia"/>
                <w:color w:val="FF0000"/>
                <w:kern w:val="0"/>
                <w:szCs w:val="21"/>
                <w:highlight w:val="none"/>
              </w:rPr>
              <w:t xml:space="preserve">. </w:t>
            </w:r>
            <w:r>
              <w:rPr>
                <w:rFonts w:hint="eastAsia" w:cs="宋体" w:asciiTheme="minorEastAsia" w:hAnsiTheme="minorEastAsia" w:eastAsiaTheme="minorEastAsia"/>
                <w:color w:val="FF0000"/>
                <w:kern w:val="0"/>
                <w:szCs w:val="21"/>
                <w:highlight w:val="none"/>
              </w:rPr>
              <w:t>事件查询与报表生成：对空调产生的报警事件，可以根据不同的条件进行查询，对查询的结果可生成报表并可打印输出。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jc w:val="center"/>
              <w:rPr>
                <w:rFonts w:asciiTheme="minorEastAsia" w:hAnsiTheme="minorEastAsia" w:eastAsiaTheme="minorEastAsia"/>
                <w:color w:val="FF0000"/>
                <w:szCs w:val="21"/>
                <w:highlight w:val="none"/>
              </w:rPr>
            </w:pPr>
            <w:r>
              <w:rPr>
                <w:rFonts w:hint="eastAsia" w:asciiTheme="minorEastAsia" w:hAnsiTheme="minorEastAsia" w:eastAsiaTheme="minorEastAsia"/>
                <w:color w:val="FF0000"/>
                <w:szCs w:val="21"/>
                <w:highlight w:val="none"/>
              </w:rPr>
              <w:t>消防监控</w:t>
            </w:r>
          </w:p>
        </w:tc>
        <w:tc>
          <w:tcPr>
            <w:tcW w:w="1347" w:type="dxa"/>
            <w:shd w:val="clear" w:color="auto" w:fill="auto"/>
            <w:vAlign w:val="center"/>
          </w:tcPr>
          <w:p>
            <w:pPr>
              <w:jc w:val="center"/>
              <w:rPr>
                <w:rFonts w:asciiTheme="minorEastAsia" w:hAnsiTheme="minorEastAsia" w:eastAsiaTheme="minorEastAsia"/>
                <w:color w:val="FF0000"/>
                <w:szCs w:val="21"/>
                <w:highlight w:val="none"/>
              </w:rPr>
            </w:pPr>
            <w:r>
              <w:rPr>
                <w:rFonts w:hint="eastAsia" w:asciiTheme="minorEastAsia" w:hAnsiTheme="minorEastAsia" w:eastAsiaTheme="minorEastAsia"/>
                <w:color w:val="FF0000"/>
                <w:szCs w:val="21"/>
                <w:highlight w:val="none"/>
              </w:rPr>
              <w:t>消防监控</w:t>
            </w:r>
          </w:p>
        </w:tc>
        <w:tc>
          <w:tcPr>
            <w:tcW w:w="7018" w:type="dxa"/>
            <w:shd w:val="clear" w:color="auto" w:fill="auto"/>
          </w:tcPr>
          <w:p>
            <w:pPr>
              <w:widowControl/>
              <w:jc w:val="left"/>
              <w:rPr>
                <w:rFonts w:asciiTheme="minorEastAsia" w:hAnsiTheme="minorEastAsia" w:eastAsiaTheme="minorEastAsia"/>
                <w:color w:val="FF0000"/>
                <w:highlight w:val="none"/>
              </w:rPr>
            </w:pPr>
            <w:r>
              <w:rPr>
                <w:rFonts w:hint="eastAsia" w:cs="宋体" w:asciiTheme="minorEastAsia" w:hAnsiTheme="minorEastAsia" w:eastAsiaTheme="minorEastAsia"/>
                <w:color w:val="FF0000"/>
                <w:kern w:val="0"/>
                <w:szCs w:val="21"/>
                <w:highlight w:val="none"/>
              </w:rPr>
              <w:t>消防软件接入，一旦出现火警，消防系统发出报警，以便及时掌握事态并做出相应措施。 当发生消防系统报警时，系统能通过相应的画面反映，并且发出相应的信号指示相关的联动系统的状态，并通过短信、电话等方式告警。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shd w:val="clear" w:color="auto" w:fill="auto"/>
          </w:tcPr>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新风系统监控</w:t>
            </w:r>
          </w:p>
        </w:tc>
        <w:tc>
          <w:tcPr>
            <w:tcW w:w="1347" w:type="dxa"/>
            <w:shd w:val="clear" w:color="auto" w:fill="auto"/>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输入输出模块</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1. 6路开关量/模拟量（4~20mA，0-5V）输入，2路开关量输入，2路开关量输出。</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2. ▲提供第三方检测报告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tcPr>
          <w:p>
            <w:pPr>
              <w:jc w:val="center"/>
              <w:rPr>
                <w:rFonts w:cs="Arial" w:asciiTheme="minorEastAsia" w:hAnsiTheme="minorEastAsia" w:eastAsiaTheme="minorEastAsia"/>
                <w:color w:val="FF0000"/>
                <w:szCs w:val="21"/>
                <w:highlight w:val="none"/>
              </w:rPr>
            </w:pPr>
          </w:p>
        </w:tc>
        <w:tc>
          <w:tcPr>
            <w:tcW w:w="1347" w:type="dxa"/>
            <w:shd w:val="clear" w:color="auto" w:fill="auto"/>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新风机软件接口</w:t>
            </w:r>
          </w:p>
        </w:tc>
        <w:tc>
          <w:tcPr>
            <w:tcW w:w="7018" w:type="dxa"/>
            <w:shd w:val="clear" w:color="auto" w:fill="auto"/>
            <w:vAlign w:val="center"/>
          </w:tcPr>
          <w:p>
            <w:pPr>
              <w:widowControl/>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新风系统软件接入，可与机房消防与气体检测实现联动。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视频监控</w:t>
            </w:r>
          </w:p>
        </w:tc>
        <w:tc>
          <w:tcPr>
            <w:tcW w:w="1347" w:type="dxa"/>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软件视频监控模块</w:t>
            </w:r>
          </w:p>
        </w:tc>
        <w:tc>
          <w:tcPr>
            <w:tcW w:w="7018" w:type="dxa"/>
            <w:shd w:val="clear" w:color="auto" w:fill="auto"/>
          </w:tcPr>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视频监控软件接口模块：</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1. 视频监控实时画面监控；</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2. 报警时有告警联动功能和自动启动录像功能；</w:t>
            </w:r>
          </w:p>
          <w:p>
            <w:pPr>
              <w:widowControl/>
              <w:jc w:val="left"/>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3. ▲支持球机预置位与门禁，消防，防盗等实现联动配置。提供材料证明文件。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门禁监控</w:t>
            </w:r>
          </w:p>
        </w:tc>
        <w:tc>
          <w:tcPr>
            <w:tcW w:w="1347" w:type="dxa"/>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门禁控制器</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温 湿 度：-5 至 65度 （10-90%RH 无霜）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管理门数：1</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读卡器数：2</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出门开关：1组</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门磁接口：1组</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继电器：1组</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报警扩展：4入4出 （消防、匪警、防盗、毒气）</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读卡协议：Wiegand 26 \ Wiegand 34 \ Wiegand 66</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注册卡数：2.6（可扩容）</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记录容量：10万（可扩容）</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通信类型：TCP/IP</w:t>
            </w:r>
          </w:p>
          <w:p>
            <w:pPr>
              <w:widowControl/>
              <w:jc w:val="left"/>
              <w:rPr>
                <w:rFonts w:cs="Arial" w:asciiTheme="minorEastAsia" w:hAnsiTheme="minorEastAsia" w:eastAsiaTheme="minorEastAsia"/>
                <w:color w:val="FF0000"/>
                <w:highlight w:val="none"/>
              </w:rPr>
            </w:pPr>
            <w:r>
              <w:rPr>
                <w:rFonts w:hint="eastAsia" w:cs="宋体" w:asciiTheme="minorEastAsia" w:hAnsiTheme="minorEastAsia" w:eastAsiaTheme="minorEastAsia"/>
                <w:color w:val="FF0000"/>
                <w:kern w:val="0"/>
                <w:szCs w:val="21"/>
                <w:highlight w:val="none"/>
              </w:rPr>
              <w:t>配备门禁电源箱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shd w:val="clear" w:color="auto" w:fill="auto"/>
            <w:vAlign w:val="center"/>
          </w:tcPr>
          <w:p>
            <w:pPr>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指纹识脸一体机</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1、设备外观：采用7英寸LCD触摸显示屏，200万像素双目摄像头，面部识别距离大于2m，支持照片视频防假；</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2、设备容量：支持5000张人脸白名单，1：N人脸比对时间＜0.2S/人，支持5000枚指纹，6000张卡片，50000条记录；</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3、认证方式：支持人脸、刷卡、指纹、密码（超级密码）及其组合的认证方式；可读取Mifare卡（IC卡）卡号、CPU序列号、身份证序列号；支持二维码识别（与门口机可识别二维码类型保持一致）；</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4、通讯方式：上行通讯为TCP/IP，支持Ehome跨公网传输；支持外接RS485，Wiegand副读卡器（不支持外接指纹读卡器）；基线支持标准韦根34/26；</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5、视频对讲：支持与云眸、4200客户端、主副室内分机、管理机的视频对讲功能；支持远程视频预览功能，可以通过RTSP协议输出视频码流，编码格式H.264；</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6、输入接口：LAN*1、RS485*1、wiegand * 1、USB*1、门磁*1、报警输入*2、防拆*1、开门按钮*1；</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7、输出接口：电锁*1个，报警输出*1个；</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8、工作电压： DC 12V/3A，不自带电源；</w:t>
            </w:r>
          </w:p>
          <w:p>
            <w:pPr>
              <w:widowControl/>
              <w:jc w:val="left"/>
              <w:rPr>
                <w:rFonts w:cs="宋体" w:asciiTheme="minorEastAsia" w:hAnsiTheme="minorEastAsia" w:eastAsiaTheme="minorEastAsia"/>
                <w:color w:val="FF0000"/>
                <w:kern w:val="0"/>
                <w:szCs w:val="21"/>
                <w:highlight w:val="none"/>
              </w:rPr>
            </w:pPr>
            <w:r>
              <w:rPr>
                <w:rFonts w:cs="宋体" w:asciiTheme="minorEastAsia" w:hAnsiTheme="minorEastAsia" w:eastAsiaTheme="minorEastAsia"/>
                <w:color w:val="FF0000"/>
                <w:kern w:val="0"/>
                <w:szCs w:val="21"/>
                <w:highlight w:val="none"/>
              </w:rPr>
              <w:t>9、使用环境：室内外环境，纯室外使用需要配遮阳罩，避免阳光直射；</w:t>
            </w:r>
          </w:p>
          <w:p>
            <w:pPr>
              <w:widowControl/>
              <w:jc w:val="left"/>
              <w:rPr>
                <w:rFonts w:asciiTheme="minorEastAsia" w:hAnsiTheme="minorEastAsia" w:eastAsiaTheme="minorEastAsia"/>
                <w:color w:val="FF0000"/>
                <w:highlight w:val="none"/>
              </w:rPr>
            </w:pPr>
            <w:r>
              <w:rPr>
                <w:rFonts w:cs="宋体" w:asciiTheme="minorEastAsia" w:hAnsiTheme="minorEastAsia" w:eastAsiaTheme="minorEastAsia"/>
                <w:color w:val="FF0000"/>
                <w:kern w:val="0"/>
                <w:szCs w:val="21"/>
                <w:highlight w:val="none"/>
              </w:rPr>
              <w:t>10、安装方式：标配金属安装挂板，支持明装、86底盒安装；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continue"/>
            <w:tcBorders>
              <w:bottom w:val="single" w:color="auto" w:sz="4" w:space="0"/>
            </w:tcBorders>
            <w:shd w:val="clear" w:color="auto" w:fill="auto"/>
            <w:vAlign w:val="center"/>
          </w:tcPr>
          <w:p>
            <w:pPr>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门禁接入模块</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实时监控：通过监控平台可实时地反映出入口的工作状态。如门的开关、人员进出门区、合法状态、防盗监视点状态等，从而实现监控场所的安全防范要求。</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 刷卡记录：对刷卡信息、日期、时间等数据保存以供查询或直接传输到电脑进行处理，同时对非法刷卡进入行为进行报警。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Merge w:val="restart"/>
            <w:tcBorders>
              <w:top w:val="single" w:color="auto" w:sz="4" w:space="0"/>
              <w:bottom w:val="single" w:color="auto" w:sz="4" w:space="0"/>
            </w:tcBorders>
            <w:shd w:val="clear" w:color="auto" w:fill="auto"/>
            <w:vAlign w:val="center"/>
          </w:tcPr>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监控主机</w:t>
            </w:r>
          </w:p>
        </w:tc>
        <w:tc>
          <w:tcPr>
            <w:tcW w:w="1347" w:type="dxa"/>
            <w:shd w:val="clear" w:color="auto" w:fill="auto"/>
            <w:vAlign w:val="center"/>
          </w:tcPr>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jc w:val="center"/>
              <w:rPr>
                <w:rFonts w:cs="Arial" w:asciiTheme="minorEastAsia" w:hAnsiTheme="minorEastAsia" w:eastAsiaTheme="minorEastAsia"/>
                <w:color w:val="FF0000"/>
                <w:szCs w:val="21"/>
                <w:highlight w:val="none"/>
              </w:rPr>
            </w:pPr>
          </w:p>
          <w:p>
            <w:pP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集中监控管理主机</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 8路光隔离干接点输入，4路模拟量接口，可配置成干接点、0-5V、0-10V、4-20mA等输入；</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 4路photomos光继电器输出，MAX：250VAC，100mA</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 ▲1路门禁接口,内置电锁、读卡器、出门按钮、门磁接口（提供第三方检测报告证明）</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 xml:space="preserve">4. ▲4路普通空调控制接口，支持多台空调轮流启动、温湿度联动控制、远程控制等功能。（提供第三方检测报告证明） </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 2路RS485总线接口，适配多种485总线模块，可设置接入模块数量，支持总线复用功能，任何一个设备损坏不会影响数据上传。</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6. 通过总线为监测的子设备供电（＋12V），总线接口方式为通用端子接口，方便安装部署。</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7. 1个RS232调试接口。提供10/100MRJ45接口，通过以太网络用TCP/IP协议与监控中心通信实现远程监控。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13" w:type="dxa"/>
            <w:vMerge w:val="continue"/>
            <w:tcBorders>
              <w:top w:val="single" w:color="auto" w:sz="4" w:space="0"/>
              <w:bottom w:val="single" w:color="auto" w:sz="4" w:space="0"/>
            </w:tcBorders>
            <w:shd w:val="clear" w:color="auto" w:fill="auto"/>
            <w:vAlign w:val="center"/>
          </w:tcPr>
          <w:p>
            <w:pPr>
              <w:jc w:val="center"/>
              <w:rPr>
                <w:rFonts w:cs="Arial" w:asciiTheme="minorEastAsia" w:hAnsiTheme="minorEastAsia" w:eastAsiaTheme="minorEastAsia"/>
                <w:color w:val="FF0000"/>
                <w:szCs w:val="21"/>
                <w:highlight w:val="none"/>
              </w:rPr>
            </w:pPr>
          </w:p>
        </w:tc>
        <w:tc>
          <w:tcPr>
            <w:tcW w:w="1347" w:type="dxa"/>
            <w:shd w:val="clear" w:color="auto" w:fill="auto"/>
            <w:vAlign w:val="center"/>
          </w:tcPr>
          <w:p>
            <w:pPr>
              <w:jc w:val="center"/>
              <w:rPr>
                <w:rFonts w:cs="Arial" w:asciiTheme="minorEastAsia" w:hAnsiTheme="minorEastAsia" w:eastAsiaTheme="minorEastAsia"/>
                <w:color w:val="FF0000"/>
                <w:szCs w:val="21"/>
                <w:highlight w:val="none"/>
              </w:rPr>
            </w:pPr>
            <w:r>
              <w:rPr>
                <w:rFonts w:hint="eastAsia" w:cs="Arial" w:asciiTheme="minorEastAsia" w:hAnsiTheme="minorEastAsia" w:eastAsiaTheme="minorEastAsia"/>
                <w:color w:val="FF0000"/>
                <w:szCs w:val="21"/>
                <w:highlight w:val="none"/>
              </w:rPr>
              <w:t>集中监控管理系统</w:t>
            </w:r>
          </w:p>
        </w:tc>
        <w:tc>
          <w:tcPr>
            <w:tcW w:w="7018" w:type="dxa"/>
            <w:shd w:val="clear" w:color="auto" w:fill="auto"/>
          </w:tcPr>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一、前端界面</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1.▲纯BS架构；</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2.电子地图：系统支持电子地图展示，可通过GIS地图显示库房所属地理位置信息。</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多屏显示：系统内置多屏展示功能，可将多个主要的监控画面通过分屏的方式放置在一个监控页面中。每个子画面均可单独跳转选择所要显示的内容，支持分为4、9、16画面，在大屏展示时不用占用过多屏幕也可展示更多监控界面。</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4.界面轮询：系统可设定指定的画面按预定义好的顺序、时间间隔轮询。当无人操作时，系统显示的界面按轮询设定的方式跳转画面。当手动操作时，界面轮询自动停止，直到手工再次启动。</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5.设备索检：可在监控系统界面的设备树中搜索设备名称，快速找到需要查看的设备，并跳转至指定设备监控页面。</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6.灵活的界面组态设置：系统支持灵活组装各种监控界面，并使其风格进行统一，可根据需求随时进行更换、调整；数据绑定简单明了。</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二、告警相关</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1.▲集中监控平台报警时支持电话（SIM卡，固定电话）、短信、声光、多媒体语音、微信、邮件、手机APP等推送告警信息，且告警方式不低于5种，并提供告警方式截图。</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告警确认：支持单条或批量告警确认，用户可输入告警相关的确认内容。系统对已经产生的告警按照已确认、未确认、已解除三种状态分类显示。告警确认后可以选择是否对之后的短信、电话、邮件通知进行屏蔽。</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3.告警屏蔽：支持对某些不重要或已经在处理的告警事件进行屏蔽处理，使其在设置的条件内不触发告警。</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4.告警定位：支持一键定位到告警发生的监控区域。</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5.告警升级：当告警满足一定的条件时，系统会根据配置的升级条件进行告警升级，告警通知给更高级别的管理人员。</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6.▲主从事件过滤：当某个事件（比如停电）产生引发多个设备连续报警形成告警风暴时，系统可设置主从事件策略，如有主、从多项告警事件产生时，系统只报主事件，不报从事件。有记录可查。</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7防误报机制：当告警产生后，系统应经过多次告警确认、误码诊断，当同时满足触发报警的多个条件时才触发报警。</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8.无波动数据告警：对于应该会有产生波动的数据，系统可设置一个时间段，当超过设置的时间段数据没有波动变化时产生告警。</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9.▲双向短信：系统支持告警短信的发送，并可以通过发送短信查询需要的设备运行状态信息。</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10.告警模板自定义：支持告警信息自定义发送内容的格式</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三、统计分析</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1.▲针对不同的数据，可生成饼状图，柱状图，曲线图等直观图表展示。提供界面截图；</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2.▲自定义报表功能：可单一类型实现数据查询，可定义不同节点下的同一类型数据的查询。提供软件界面截图。</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3.能耗分析：系统支持灵活配置PUE的算法，并能根据系统的用电数据进行分析得到用电量、能效、费用等分析报表。</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4.资产管理：系统支持机房内各资产的出入库、变更、盘点、维保系信息等相关功能操作。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5.运维管理：系统支持从“工单发起-&gt;处理-&gt;审核-&gt;完成”等一系列运维流程，整个流程可查并根据权限进行操作。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6.专家知识库：系统具备专家知识库，当有告警产生时刻关联知识库提示历史记录的故障产生的原因及处理方法。</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7.值班管理：值班人员登录系统后，首先进行交接班工作，上班交班下班接班，周而复始循环，接班后成为当值人员，根据实际情况可登记运行记录、预警信息登记发布、突发事件登记等常用操作。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8.运维巡检管理功能：系统可以进行巡检模板（巡检地点、设备内容及设备周期）的制作，巡检计划的创建，生成并完成巡检单；</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四、关联动作分析</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1.计划任务：系统可以根据设置的计划时间到达那个时间段执行某些操作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2.▲联动设置：平台支持门禁与消防的联动、温湿度与空调的联动、门禁与视频的联动、红外与视频的联动等各种监控内容的联动需求。提供软件配置界面截图。</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3.无缝集成门禁监控功能：系统支持门禁管理，具备发卡授权、记录查询功能、远程开门、联动开门、计划开门。</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4.无缝集成视频监控功能：系统支持视频播放、回放、查看预置位</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5.视频人脸识别：系统支持视频人脸识别，识别成功后可以联动开门、告警灯关联操作。</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6.误码分析过滤：系统可对通讯数据进行误码分析和过滤，包括对地址进行冲突检查、数据长度检查、特征码检查，发现异常数据可自动过滤，确保数据准确性。</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五、数据处理</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1.数据存储：存储方式包括但不限于按设置的时间点进行的定点存储、根据数据的波动和波动幅度配置的幅度存储、报警产生时触发的报警存储、按设定的时间间隔进行的间隔存储。</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2.数据备份还原：数据可以根据但不限于按照设置的时间进行备份，并根据需要进行数据还原。</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3.多种数据库无缝切换：系统支持Mysql、Sqlserver、Oracle三种数据库无缝切换。</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六、其他</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1.▲具备软件著作权；</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2.▲提供第三方软件评测报告；</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3.软件界面使用符合汉字编码标准的简体中文中文界面，并支持中文输入和输出；</w:t>
            </w:r>
          </w:p>
          <w:p>
            <w:pPr>
              <w:widowControl/>
              <w:jc w:val="left"/>
              <w:rPr>
                <w:rFonts w:cs="宋体" w:asciiTheme="minorEastAsia" w:hAnsiTheme="minorEastAsia" w:eastAsiaTheme="minorEastAsia"/>
                <w:color w:val="FF0000"/>
                <w:kern w:val="0"/>
                <w:szCs w:val="21"/>
                <w:highlight w:val="none"/>
              </w:rPr>
            </w:pPr>
            <w:r>
              <w:rPr>
                <w:rFonts w:hint="eastAsia" w:cs="宋体" w:asciiTheme="minorEastAsia" w:hAnsiTheme="minorEastAsia" w:eastAsiaTheme="minorEastAsia"/>
                <w:color w:val="FF0000"/>
                <w:kern w:val="0"/>
                <w:szCs w:val="21"/>
                <w:highlight w:val="none"/>
              </w:rPr>
              <w:t>4.软件自带有简体中文版用户文档。</w:t>
            </w:r>
          </w:p>
          <w:p>
            <w:pPr>
              <w:widowControl/>
              <w:jc w:val="left"/>
              <w:rPr>
                <w:rFonts w:cs="Arial" w:asciiTheme="minorEastAsia" w:hAnsiTheme="minorEastAsia" w:eastAsiaTheme="minorEastAsia"/>
                <w:color w:val="FF0000"/>
                <w:highlight w:val="none"/>
              </w:rPr>
            </w:pPr>
            <w:r>
              <w:rPr>
                <w:rFonts w:hint="eastAsia" w:cs="宋体" w:asciiTheme="minorEastAsia" w:hAnsiTheme="minorEastAsia" w:eastAsiaTheme="minorEastAsia"/>
                <w:color w:val="FF0000"/>
                <w:kern w:val="0"/>
                <w:szCs w:val="21"/>
                <w:highlight w:val="none"/>
              </w:rPr>
              <w:t>5.▲设备生产企业需提供ISO9001质量体系认证。</w:t>
            </w:r>
          </w:p>
        </w:tc>
      </w:tr>
    </w:tbl>
    <w:p>
      <w:pPr>
        <w:tabs>
          <w:tab w:val="left" w:pos="1276"/>
        </w:tabs>
        <w:ind w:firstLine="560" w:firstLineChars="200"/>
        <w:rPr>
          <w:rFonts w:ascii="仿宋_GB2312" w:eastAsia="仿宋_GB2312"/>
          <w:sz w:val="28"/>
          <w:szCs w:val="28"/>
        </w:rPr>
      </w:pPr>
      <w:r>
        <w:rPr>
          <w:rFonts w:hint="eastAsia" w:ascii="仿宋_GB2312" w:eastAsia="仿宋_GB2312"/>
          <w:sz w:val="28"/>
          <w:szCs w:val="28"/>
        </w:rPr>
        <w:t>（二）PDU设备更新采购</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购置机柜专用机架式PDU（插座）30套，将机房内老旧的PDU拆除更换并增加PDU以供新增设备使用。</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因机房目前已有的电源插座老旧且数量不足，通过工业标准的PDU产品的使用，可提高网络产品的电源安全性，满足了重要设备电源输入的要求， 实现可靠的机架配电功能。</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（三）存储扩容设备采购</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购置1.8T HDD存储柜专用企业级机械硬盘8块，共14.4T,以增加服务器硬盘，满足后期数据增长的存储需求。</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（四）安装调试及维护服务</w:t>
      </w:r>
    </w:p>
    <w:p>
      <w:pPr>
        <w:tabs>
          <w:tab w:val="left" w:pos="1276"/>
        </w:tabs>
        <w:ind w:firstLine="560" w:firstLineChars="200"/>
        <w:rPr>
          <w:rFonts w:ascii="仿宋_GB2312" w:eastAsia="仿宋_GB2312"/>
          <w:sz w:val="28"/>
          <w:szCs w:val="28"/>
        </w:rPr>
      </w:pPr>
      <w:r>
        <w:rPr>
          <w:rFonts w:hint="eastAsia" w:ascii="仿宋_GB2312" w:eastAsia="仿宋_GB2312"/>
          <w:sz w:val="28"/>
          <w:szCs w:val="28"/>
        </w:rPr>
        <w:t>安装调试机房环境监控系统设备，并提供7*24小时的系统维护服务，及时解决故障问题，保障该系统运行稳定、安全，维护期为1年。</w:t>
      </w:r>
    </w:p>
    <w:p>
      <w:pPr>
        <w:pStyle w:val="3"/>
      </w:pPr>
      <w:r>
        <w:rPr>
          <w:rFonts w:hint="eastAsia"/>
        </w:rPr>
        <w:t>三、培训要求</w:t>
      </w:r>
    </w:p>
    <w:p>
      <w:pPr>
        <w:pStyle w:val="39"/>
        <w:autoSpaceDE w:val="0"/>
        <w:autoSpaceDN w:val="0"/>
        <w:adjustRightInd w:val="0"/>
        <w:spacing w:line="360" w:lineRule="auto"/>
        <w:ind w:firstLine="0" w:firstLineChars="0"/>
        <w:textAlignment w:val="baseline"/>
        <w:rPr>
          <w:rFonts w:ascii="仿宋_GB2312" w:hAnsi="宋体" w:eastAsia="仿宋_GB2312"/>
          <w:sz w:val="28"/>
          <w:szCs w:val="28"/>
        </w:rPr>
      </w:pPr>
      <w:r>
        <w:rPr>
          <w:rFonts w:hint="eastAsia" w:ascii="仿宋_GB2312" w:hAnsi="宋体" w:eastAsia="仿宋_GB2312"/>
          <w:sz w:val="28"/>
          <w:szCs w:val="28"/>
        </w:rPr>
        <w:t>★ 承包单位应根据项目实施的计划、进度和需要与询价人的合理要求，及时安排对询价人的相关人员进行培训。</w:t>
      </w:r>
    </w:p>
    <w:p>
      <w:pPr>
        <w:pStyle w:val="39"/>
        <w:autoSpaceDE w:val="0"/>
        <w:autoSpaceDN w:val="0"/>
        <w:adjustRightInd w:val="0"/>
        <w:spacing w:line="360" w:lineRule="auto"/>
        <w:ind w:left="-134" w:leftChars="-64" w:firstLine="560"/>
        <w:textAlignment w:val="baseline"/>
        <w:rPr>
          <w:rFonts w:ascii="仿宋_GB2312" w:hAnsi="宋体" w:eastAsia="仿宋_GB2312"/>
          <w:sz w:val="28"/>
          <w:szCs w:val="28"/>
        </w:rPr>
      </w:pPr>
      <w:r>
        <w:rPr>
          <w:rFonts w:hint="eastAsia" w:ascii="仿宋_GB2312" w:hAnsi="宋体" w:eastAsia="仿宋_GB2312"/>
          <w:sz w:val="28"/>
          <w:szCs w:val="28"/>
        </w:rPr>
        <w:t>培训目标为使受训者能够独立、熟练地完成操作，实现本项目所有设备的基本操作。具体如下：</w:t>
      </w:r>
    </w:p>
    <w:p>
      <w:pPr>
        <w:pStyle w:val="39"/>
        <w:autoSpaceDE w:val="0"/>
        <w:autoSpaceDN w:val="0"/>
        <w:adjustRightInd w:val="0"/>
        <w:spacing w:line="360" w:lineRule="auto"/>
        <w:ind w:left="-142" w:firstLine="560"/>
        <w:textAlignment w:val="baseline"/>
        <w:rPr>
          <w:rFonts w:ascii="仿宋_GB2312" w:hAnsi="宋体" w:eastAsia="仿宋_GB2312"/>
          <w:sz w:val="28"/>
          <w:szCs w:val="28"/>
        </w:rPr>
      </w:pPr>
      <w:r>
        <w:rPr>
          <w:rFonts w:hint="eastAsia" w:ascii="仿宋_GB2312" w:hAnsi="宋体" w:eastAsia="仿宋_GB2312"/>
          <w:sz w:val="28"/>
          <w:szCs w:val="28"/>
        </w:rPr>
        <w:t>由承包单位组织正式培训，采用准备好的注释、讲义、讨论会、视听演示以及在现场进行实际操作示范，培训人员应做好操作、管理、维护的充分准备，</w:t>
      </w:r>
      <w:r>
        <w:rPr>
          <w:rFonts w:hint="eastAsia" w:ascii="仿宋_GB2312" w:hAnsi="宋体" w:eastAsia="仿宋_GB2312"/>
          <w:b/>
          <w:sz w:val="28"/>
          <w:szCs w:val="28"/>
          <w:highlight w:val="yellow"/>
        </w:rPr>
        <w:t>承包单位应提交一份培训计划给询价人以获批准</w:t>
      </w:r>
      <w:r>
        <w:rPr>
          <w:rFonts w:hint="eastAsia" w:ascii="仿宋_GB2312" w:hAnsi="宋体" w:eastAsia="仿宋_GB2312"/>
          <w:sz w:val="28"/>
          <w:szCs w:val="28"/>
          <w:highlight w:val="yellow"/>
        </w:rPr>
        <w:t>。</w:t>
      </w:r>
    </w:p>
    <w:p>
      <w:pPr>
        <w:pStyle w:val="39"/>
        <w:numPr>
          <w:ilvl w:val="0"/>
          <w:numId w:val="4"/>
        </w:numPr>
        <w:autoSpaceDE w:val="0"/>
        <w:autoSpaceDN w:val="0"/>
        <w:adjustRightInd w:val="0"/>
        <w:spacing w:line="360" w:lineRule="auto"/>
        <w:ind w:firstLineChars="0"/>
        <w:textAlignment w:val="baseline"/>
        <w:rPr>
          <w:rFonts w:ascii="仿宋_GB2312" w:hAnsi="宋体" w:eastAsia="仿宋_GB2312"/>
          <w:sz w:val="28"/>
          <w:szCs w:val="28"/>
        </w:rPr>
      </w:pPr>
      <w:r>
        <w:rPr>
          <w:rFonts w:hint="eastAsia" w:ascii="仿宋_GB2312" w:hAnsi="宋体" w:eastAsia="仿宋_GB2312"/>
          <w:sz w:val="28"/>
          <w:szCs w:val="28"/>
        </w:rPr>
        <w:t>培训范围：主要包括对机房环境监控系统的系统管理员进行系统管理功能、权限控制、功能操作培训、故障排查等进行培训。</w:t>
      </w:r>
    </w:p>
    <w:p>
      <w:pPr>
        <w:pStyle w:val="39"/>
        <w:numPr>
          <w:ilvl w:val="0"/>
          <w:numId w:val="4"/>
        </w:numPr>
        <w:autoSpaceDE w:val="0"/>
        <w:autoSpaceDN w:val="0"/>
        <w:adjustRightInd w:val="0"/>
        <w:spacing w:line="360" w:lineRule="auto"/>
        <w:ind w:firstLineChars="0"/>
        <w:textAlignment w:val="baseline"/>
        <w:rPr>
          <w:rFonts w:ascii="仿宋_GB2312" w:hAnsi="宋体" w:eastAsia="仿宋_GB2312"/>
          <w:sz w:val="28"/>
          <w:szCs w:val="28"/>
        </w:rPr>
      </w:pPr>
      <w:r>
        <w:rPr>
          <w:rFonts w:ascii="仿宋_GB2312" w:hAnsi="宋体" w:eastAsia="仿宋_GB2312"/>
          <w:sz w:val="28"/>
          <w:szCs w:val="28"/>
        </w:rPr>
        <w:t>培训地点：</w:t>
      </w:r>
      <w:r>
        <w:rPr>
          <w:rFonts w:hint="eastAsia" w:ascii="仿宋_GB2312" w:hAnsi="宋体" w:eastAsia="仿宋_GB2312"/>
          <w:sz w:val="28"/>
          <w:szCs w:val="28"/>
        </w:rPr>
        <w:t>广州市净水有限公司</w:t>
      </w:r>
    </w:p>
    <w:p>
      <w:pPr>
        <w:pStyle w:val="39"/>
        <w:numPr>
          <w:ilvl w:val="0"/>
          <w:numId w:val="4"/>
        </w:numPr>
        <w:autoSpaceDE w:val="0"/>
        <w:autoSpaceDN w:val="0"/>
        <w:adjustRightInd w:val="0"/>
        <w:spacing w:line="360" w:lineRule="auto"/>
        <w:ind w:firstLineChars="0"/>
        <w:textAlignment w:val="baseline"/>
        <w:rPr>
          <w:rFonts w:ascii="仿宋_GB2312" w:hAnsi="宋体" w:eastAsia="仿宋_GB2312"/>
          <w:sz w:val="28"/>
          <w:szCs w:val="28"/>
        </w:rPr>
      </w:pPr>
      <w:r>
        <w:rPr>
          <w:rFonts w:hint="eastAsia" w:ascii="仿宋_GB2312" w:hAnsi="宋体" w:eastAsia="仿宋_GB2312"/>
          <w:sz w:val="28"/>
          <w:szCs w:val="28"/>
        </w:rPr>
        <w:t>培训</w:t>
      </w:r>
      <w:r>
        <w:rPr>
          <w:rFonts w:ascii="仿宋_GB2312" w:hAnsi="宋体" w:eastAsia="仿宋_GB2312"/>
          <w:sz w:val="28"/>
          <w:szCs w:val="28"/>
        </w:rPr>
        <w:t>时间：</w:t>
      </w:r>
      <w:r>
        <w:rPr>
          <w:rFonts w:hint="eastAsia" w:ascii="仿宋_GB2312" w:hAnsi="宋体" w:eastAsia="仿宋_GB2312"/>
          <w:sz w:val="28"/>
          <w:szCs w:val="28"/>
        </w:rPr>
        <w:t>在系统更新改造完成后进行培训</w:t>
      </w:r>
    </w:p>
    <w:p>
      <w:pPr>
        <w:pStyle w:val="39"/>
        <w:numPr>
          <w:ilvl w:val="0"/>
          <w:numId w:val="4"/>
        </w:numPr>
        <w:autoSpaceDE w:val="0"/>
        <w:autoSpaceDN w:val="0"/>
        <w:adjustRightInd w:val="0"/>
        <w:spacing w:line="360" w:lineRule="auto"/>
        <w:ind w:firstLineChars="0"/>
        <w:textAlignment w:val="baseline"/>
        <w:rPr>
          <w:rFonts w:ascii="仿宋_GB2312" w:hAnsi="宋体" w:eastAsia="仿宋_GB2312"/>
          <w:sz w:val="28"/>
          <w:szCs w:val="28"/>
        </w:rPr>
      </w:pPr>
      <w:r>
        <w:rPr>
          <w:rFonts w:hint="eastAsia" w:ascii="仿宋_GB2312" w:hAnsi="宋体" w:eastAsia="仿宋_GB2312"/>
          <w:sz w:val="28"/>
          <w:szCs w:val="28"/>
        </w:rPr>
        <w:t>培训</w:t>
      </w:r>
      <w:r>
        <w:rPr>
          <w:rFonts w:ascii="仿宋_GB2312" w:hAnsi="宋体" w:eastAsia="仿宋_GB2312"/>
          <w:sz w:val="28"/>
          <w:szCs w:val="28"/>
        </w:rPr>
        <w:t>内容</w:t>
      </w:r>
      <w:r>
        <w:rPr>
          <w:rFonts w:hint="eastAsia" w:ascii="仿宋_GB2312" w:hAnsi="宋体" w:eastAsia="仿宋_GB2312"/>
          <w:sz w:val="28"/>
          <w:szCs w:val="28"/>
        </w:rPr>
        <w:t>：</w:t>
      </w:r>
    </w:p>
    <w:p>
      <w:pPr>
        <w:pStyle w:val="39"/>
        <w:autoSpaceDE w:val="0"/>
        <w:autoSpaceDN w:val="0"/>
        <w:adjustRightInd w:val="0"/>
        <w:spacing w:line="360" w:lineRule="auto"/>
        <w:ind w:left="284" w:firstLine="560"/>
        <w:textAlignment w:val="baseline"/>
        <w:rPr>
          <w:rFonts w:ascii="仿宋_GB2312" w:hAnsi="宋体" w:eastAsia="仿宋_GB2312"/>
          <w:sz w:val="28"/>
          <w:szCs w:val="28"/>
        </w:rPr>
      </w:pPr>
      <w:r>
        <w:rPr>
          <w:rFonts w:hint="eastAsia" w:ascii="仿宋_GB2312" w:hAnsi="宋体" w:eastAsia="仿宋_GB2312"/>
          <w:sz w:val="28"/>
          <w:szCs w:val="28"/>
        </w:rPr>
        <w:t>在系统运维期间对系统管理员、系统用户进行机房环境监控系统的系统管理功能、权限控制、功能操作培训、故障排查等进行培训,根据用户需求提供相关的知识进行培训及答疑，次数不少于5次。</w:t>
      </w:r>
    </w:p>
    <w:p>
      <w:pPr>
        <w:pStyle w:val="39"/>
        <w:autoSpaceDE w:val="0"/>
        <w:autoSpaceDN w:val="0"/>
        <w:adjustRightInd w:val="0"/>
        <w:spacing w:line="360" w:lineRule="auto"/>
        <w:ind w:left="284" w:firstLine="560"/>
        <w:textAlignment w:val="baseline"/>
        <w:rPr>
          <w:rFonts w:ascii="仿宋_GB2312" w:hAnsi="宋体" w:eastAsia="仿宋_GB2312"/>
          <w:sz w:val="28"/>
          <w:szCs w:val="28"/>
        </w:rPr>
      </w:pPr>
      <w:r>
        <w:rPr>
          <w:rFonts w:hint="eastAsia" w:ascii="仿宋_GB2312" w:hAnsi="宋体" w:eastAsia="仿宋_GB2312"/>
          <w:sz w:val="28"/>
          <w:szCs w:val="28"/>
        </w:rPr>
        <w:t>若用户对系统管理及使用仍存在疑问，在运行和维护期间乙方必须持续提供咨询服务。</w:t>
      </w:r>
    </w:p>
    <w:p>
      <w:pPr>
        <w:pStyle w:val="3"/>
      </w:pPr>
      <w:r>
        <w:rPr>
          <w:rFonts w:hint="eastAsia"/>
        </w:rPr>
        <w:t>四、项目商务要求</w:t>
      </w:r>
    </w:p>
    <w:p>
      <w:pPr>
        <w:autoSpaceDE w:val="0"/>
        <w:autoSpaceDN w:val="0"/>
        <w:ind w:left="560"/>
        <w:rPr>
          <w:rFonts w:ascii="仿宋" w:hAnsi="仿宋" w:eastAsia="仿宋" w:cs="仿宋_GB2312"/>
          <w:sz w:val="28"/>
          <w:szCs w:val="28"/>
        </w:rPr>
      </w:pPr>
      <w:r>
        <w:rPr>
          <w:rFonts w:ascii="仿宋" w:hAnsi="仿宋" w:eastAsia="仿宋" w:cs="仿宋_GB2312"/>
          <w:sz w:val="28"/>
          <w:szCs w:val="28"/>
        </w:rPr>
        <w:t>1. 工期</w:t>
      </w:r>
      <w:r>
        <w:rPr>
          <w:rFonts w:hint="eastAsia" w:ascii="仿宋" w:hAnsi="仿宋" w:eastAsia="仿宋" w:cs="仿宋_GB2312"/>
          <w:sz w:val="28"/>
          <w:szCs w:val="28"/>
        </w:rPr>
        <w:t>：90个日历日（含验收）</w:t>
      </w:r>
    </w:p>
    <w:p>
      <w:pPr>
        <w:autoSpaceDE w:val="0"/>
        <w:autoSpaceDN w:val="0"/>
        <w:ind w:left="560"/>
        <w:rPr>
          <w:rFonts w:ascii="仿宋_GB2312" w:hAnsi="仿宋_GB2312" w:eastAsia="仿宋_GB2312" w:cs="仿宋_GB2312"/>
          <w:sz w:val="28"/>
          <w:szCs w:val="28"/>
        </w:rPr>
      </w:pPr>
      <w:r>
        <w:rPr>
          <w:rFonts w:hint="eastAsia" w:ascii="仿宋" w:hAnsi="仿宋" w:eastAsia="仿宋" w:cs="仿宋_GB2312"/>
          <w:sz w:val="28"/>
          <w:szCs w:val="28"/>
        </w:rPr>
        <w:t>2.</w:t>
      </w:r>
      <w:r>
        <w:rPr>
          <w:rFonts w:hint="eastAsia" w:ascii="仿宋_GB2312" w:hAnsi="仿宋_GB2312" w:eastAsia="仿宋_GB2312" w:cs="仿宋_GB2312"/>
          <w:sz w:val="28"/>
          <w:szCs w:val="28"/>
        </w:rPr>
        <w:t>安全文明施工要求：</w:t>
      </w:r>
    </w:p>
    <w:p>
      <w:pPr>
        <w:autoSpaceDE w:val="0"/>
        <w:autoSpaceDN w:val="0"/>
        <w:ind w:firstLine="560" w:firstLineChars="200"/>
        <w:rPr>
          <w:rFonts w:ascii="仿宋_GB2312" w:eastAsia="仿宋_GB2312"/>
          <w:sz w:val="28"/>
          <w:szCs w:val="28"/>
        </w:rPr>
      </w:pPr>
      <w:r>
        <w:rPr>
          <w:rFonts w:hint="eastAsia" w:ascii="仿宋_GB2312" w:hAnsi="仿宋_GB2312" w:eastAsia="仿宋_GB2312" w:cs="仿宋_GB2312"/>
          <w:sz w:val="28"/>
          <w:szCs w:val="28"/>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default" w:ascii="仿宋" w:hAnsi="仿宋" w:eastAsia="仿宋" w:cs="仿宋_GB2312"/>
          <w:sz w:val="28"/>
          <w:szCs w:val="28"/>
          <w:lang w:val="en-US" w:eastAsia="zh-CN"/>
        </w:rPr>
      </w:pPr>
      <w:r>
        <w:rPr>
          <w:rFonts w:hint="eastAsia" w:ascii="仿宋" w:hAnsi="仿宋" w:eastAsia="仿宋" w:cs="仿宋_GB2312"/>
          <w:sz w:val="28"/>
          <w:szCs w:val="28"/>
        </w:rPr>
        <w:t>3.总包及分包规定：本项目不接受分包</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转包</w:t>
      </w:r>
    </w:p>
    <w:p>
      <w:pPr>
        <w:pStyle w:val="14"/>
        <w:spacing w:line="360" w:lineRule="auto"/>
        <w:ind w:left="1" w:firstLine="560" w:firstLineChars="200"/>
        <w:rPr>
          <w:rFonts w:ascii="仿宋" w:hAnsi="仿宋" w:eastAsia="仿宋" w:cs="仿宋"/>
          <w:sz w:val="28"/>
          <w:szCs w:val="28"/>
        </w:rPr>
      </w:pPr>
      <w:r>
        <w:rPr>
          <w:rFonts w:hint="eastAsia" w:ascii="仿宋" w:hAnsi="仿宋" w:eastAsia="仿宋" w:cs="仿宋_GB2312"/>
          <w:sz w:val="28"/>
          <w:szCs w:val="28"/>
        </w:rPr>
        <w:t>4.付款方式：采用支票、网银支付两种形式。</w:t>
      </w:r>
    </w:p>
    <w:p>
      <w:pPr>
        <w:tabs>
          <w:tab w:val="center" w:pos="5156"/>
        </w:tabs>
        <w:autoSpaceDE w:val="0"/>
        <w:autoSpaceDN w:val="0"/>
        <w:ind w:left="560"/>
        <w:rPr>
          <w:rFonts w:ascii="仿宋" w:hAnsi="仿宋" w:eastAsia="仿宋" w:cs="仿宋_GB2312"/>
          <w:sz w:val="28"/>
          <w:szCs w:val="28"/>
        </w:rPr>
      </w:pPr>
      <w:r>
        <w:rPr>
          <w:rFonts w:hint="eastAsia" w:ascii="仿宋" w:hAnsi="仿宋" w:eastAsia="仿宋" w:cs="仿宋_GB2312"/>
          <w:sz w:val="28"/>
          <w:szCs w:val="28"/>
        </w:rPr>
        <w:t>5.承包方式：</w:t>
      </w:r>
      <w:r>
        <w:rPr>
          <w:rFonts w:hint="eastAsia" w:ascii="仿宋" w:hAnsi="仿宋" w:eastAsia="仿宋" w:cs="仿宋_GB2312"/>
          <w:sz w:val="28"/>
          <w:szCs w:val="28"/>
          <w:u w:val="none"/>
        </w:rPr>
        <w:t>包工、包料、包开发、包调试、包培训、包运维（1年）、包验收的总价包干方式。</w:t>
      </w:r>
    </w:p>
    <w:p>
      <w:pPr>
        <w:autoSpaceDE w:val="0"/>
        <w:autoSpaceDN w:val="0"/>
        <w:ind w:left="560"/>
        <w:rPr>
          <w:rFonts w:hint="eastAsia" w:ascii="仿宋" w:hAnsi="仿宋" w:eastAsia="仿宋" w:cs="仿宋_GB2312"/>
          <w:sz w:val="28"/>
          <w:szCs w:val="28"/>
        </w:rPr>
      </w:pPr>
      <w:r>
        <w:rPr>
          <w:rFonts w:ascii="仿宋" w:hAnsi="仿宋" w:eastAsia="仿宋" w:cs="仿宋_GB2312"/>
          <w:sz w:val="28"/>
          <w:szCs w:val="28"/>
        </w:rPr>
        <w:t>6.项目结算：</w:t>
      </w:r>
      <w:r>
        <w:rPr>
          <w:rFonts w:hint="eastAsia" w:ascii="仿宋" w:hAnsi="仿宋" w:eastAsia="仿宋" w:cs="仿宋_GB2312"/>
          <w:sz w:val="28"/>
          <w:szCs w:val="28"/>
        </w:rPr>
        <w:t>按照合同。</w:t>
      </w: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ind w:left="560"/>
        <w:rPr>
          <w:rFonts w:hint="eastAsia" w:ascii="仿宋" w:hAnsi="仿宋" w:eastAsia="仿宋" w:cs="仿宋_GB2312"/>
          <w:sz w:val="28"/>
          <w:szCs w:val="28"/>
        </w:rPr>
      </w:pPr>
    </w:p>
    <w:p>
      <w:pPr>
        <w:autoSpaceDE w:val="0"/>
        <w:autoSpaceDN w:val="0"/>
        <w:rPr>
          <w:rFonts w:hint="eastAsia" w:ascii="仿宋" w:hAnsi="仿宋" w:eastAsia="仿宋" w:cs="仿宋_GB2312"/>
          <w:sz w:val="28"/>
          <w:szCs w:val="28"/>
        </w:rPr>
      </w:pPr>
    </w:p>
    <w:p>
      <w:pPr>
        <w:pStyle w:val="14"/>
        <w:adjustRightInd w:val="0"/>
        <w:snapToGrid w:val="0"/>
        <w:spacing w:line="300" w:lineRule="auto"/>
        <w:ind w:firstLine="562"/>
        <w:jc w:val="center"/>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一、概念释义</w:t>
      </w:r>
    </w:p>
    <w:p>
      <w:pPr>
        <w:pStyle w:val="14"/>
        <w:adjustRightInd w:val="0"/>
        <w:snapToGrid w:val="0"/>
        <w:spacing w:line="300" w:lineRule="auto"/>
        <w:ind w:left="560" w:hanging="560" w:hangingChars="200"/>
        <w:rPr>
          <w:rFonts w:ascii="仿宋" w:hAnsi="仿宋" w:eastAsia="仿宋" w:cs="仿宋_GB2312"/>
          <w:sz w:val="28"/>
          <w:szCs w:val="28"/>
        </w:rPr>
      </w:pPr>
      <w:r>
        <w:rPr>
          <w:rFonts w:hint="eastAsia" w:ascii="仿宋" w:hAnsi="仿宋" w:eastAsia="仿宋" w:cs="仿宋_GB2312"/>
          <w:sz w:val="28"/>
          <w:szCs w:val="28"/>
        </w:rPr>
        <w:t>1.“询价人”是指：广州市净水有限公司。</w:t>
      </w:r>
    </w:p>
    <w:p>
      <w:pPr>
        <w:pStyle w:val="14"/>
        <w:tabs>
          <w:tab w:val="left" w:pos="360"/>
        </w:tabs>
        <w:adjustRightInd w:val="0"/>
        <w:snapToGrid w:val="0"/>
        <w:spacing w:line="300" w:lineRule="auto"/>
        <w:ind w:left="560" w:hanging="560" w:hangingChars="200"/>
        <w:rPr>
          <w:rFonts w:ascii="仿宋" w:hAnsi="仿宋" w:eastAsia="仿宋" w:cs="仿宋_GB2312"/>
          <w:kern w:val="0"/>
          <w:sz w:val="28"/>
          <w:szCs w:val="28"/>
        </w:rPr>
      </w:pPr>
      <w:r>
        <w:rPr>
          <w:rFonts w:hint="eastAsia" w:ascii="仿宋" w:hAnsi="仿宋" w:eastAsia="仿宋" w:cs="仿宋_GB2312"/>
          <w:sz w:val="28"/>
          <w:szCs w:val="28"/>
        </w:rPr>
        <w:t>2.合格的报价单位:</w:t>
      </w:r>
      <w:r>
        <w:rPr>
          <w:rFonts w:hint="eastAsia" w:ascii="仿宋" w:hAnsi="仿宋" w:eastAsia="仿宋" w:cs="仿宋_GB2312"/>
          <w:kern w:val="0"/>
          <w:sz w:val="28"/>
          <w:szCs w:val="28"/>
        </w:rPr>
        <w:t>符合询价文件规定资格</w:t>
      </w:r>
      <w:r>
        <w:rPr>
          <w:rFonts w:hint="eastAsia" w:ascii="仿宋" w:hAnsi="仿宋" w:eastAsia="仿宋" w:cs="仿宋_GB2312"/>
          <w:sz w:val="28"/>
          <w:szCs w:val="28"/>
          <w:lang w:val="zh-CN"/>
        </w:rPr>
        <w:t>要求</w:t>
      </w:r>
      <w:r>
        <w:rPr>
          <w:rFonts w:hint="eastAsia" w:ascii="仿宋" w:hAnsi="仿宋" w:eastAsia="仿宋" w:cs="仿宋_GB2312"/>
          <w:kern w:val="0"/>
          <w:sz w:val="28"/>
          <w:szCs w:val="28"/>
        </w:rPr>
        <w:t>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3.“承包人”是指经法定程序确认并授以合同的报价单位。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 w:hAnsi="仿宋" w:eastAsia="仿宋" w:cs="仿宋_GB2312"/>
          <w:b/>
          <w:sz w:val="28"/>
          <w:szCs w:val="28"/>
        </w:rPr>
      </w:pPr>
      <w:r>
        <w:rPr>
          <w:rFonts w:hint="eastAsia" w:ascii="仿宋" w:hAnsi="仿宋" w:eastAsia="仿宋" w:cs="仿宋_GB2312"/>
          <w:b/>
          <w:sz w:val="28"/>
          <w:szCs w:val="28"/>
        </w:rPr>
        <w:t>二、询价文件</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5．适用范围:本询价文件适用于本报价邀请中所述项目的询价。</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 询价文件的构成</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6.1询价文件包括但不限于下列文件:</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1）报价邀请函</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2) 项目内容</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3) 报价单位须知</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4) 合同书格式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5) 询价响应文件格式</w:t>
      </w:r>
    </w:p>
    <w:p>
      <w:pPr>
        <w:pStyle w:val="14"/>
        <w:adjustRightInd w:val="0"/>
        <w:snapToGrid w:val="0"/>
        <w:spacing w:line="300" w:lineRule="auto"/>
        <w:ind w:firstLine="360"/>
        <w:rPr>
          <w:rFonts w:ascii="仿宋" w:hAnsi="仿宋" w:eastAsia="仿宋" w:cs="仿宋_GB2312"/>
          <w:sz w:val="28"/>
          <w:szCs w:val="28"/>
        </w:rPr>
      </w:pPr>
      <w:r>
        <w:rPr>
          <w:rFonts w:hint="eastAsia" w:ascii="仿宋" w:hAnsi="仿宋" w:eastAsia="仿宋" w:cs="仿宋_GB2312"/>
          <w:sz w:val="28"/>
          <w:szCs w:val="28"/>
        </w:rPr>
        <w:t>6) 在询价过程中由询价人发出的修正和补充文件等</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7. 询价文件的澄清或修改</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７.3询价文件的修改将以书面形式通知所有购买询价文件的报价单位，并对其具有约束力。报价单位在收到上述通知后，应立即向询价人回函确认。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7.4询价人可以视询价具体情况，延长递交询价响应文件截止时间，并将变更时间书面通知所有询价文件收受人。</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三、询价响应文件的编制和数量</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8．询价响应费用</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9．报价的语言及计量</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 w:hAnsi="仿宋" w:eastAsia="仿宋" w:cs="仿宋_GB2312"/>
          <w:sz w:val="28"/>
          <w:szCs w:val="28"/>
        </w:rPr>
      </w:pPr>
      <w:r>
        <w:rPr>
          <w:rFonts w:hint="eastAsia" w:ascii="仿宋" w:hAnsi="仿宋" w:eastAsia="仿宋" w:cs="仿宋_GB2312"/>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10．询价响应文件的构成</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10.1报价单位编制的询价响应文件应包括但不少于本询价文件第五部分《询价响应文件格式》的所有内容。</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11. 询价响应文件编制</w:t>
      </w:r>
    </w:p>
    <w:p>
      <w:pPr>
        <w:spacing w:line="300" w:lineRule="auto"/>
        <w:ind w:left="630" w:hanging="630" w:hangingChars="225"/>
        <w:rPr>
          <w:rFonts w:ascii="仿宋" w:hAnsi="仿宋" w:eastAsia="仿宋" w:cs="仿宋_GB2312"/>
          <w:sz w:val="28"/>
          <w:szCs w:val="28"/>
        </w:rPr>
      </w:pPr>
      <w:r>
        <w:rPr>
          <w:rFonts w:hint="eastAsia" w:ascii="仿宋" w:hAnsi="仿宋" w:eastAsia="仿宋" w:cs="仿宋_GB2312"/>
          <w:sz w:val="28"/>
          <w:szCs w:val="28"/>
        </w:rPr>
        <w:t>11.1报价单位应按响应文件格式编制询价响应文件。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 报价</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sz w:val="28"/>
          <w:szCs w:val="28"/>
        </w:rPr>
      </w:pPr>
      <w:r>
        <w:rPr>
          <w:rFonts w:hint="eastAsia" w:ascii="仿宋" w:hAnsi="仿宋" w:eastAsia="仿宋"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12.3任何有选择性报价的报价，将被视为无效报价。</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 联合体报价</w:t>
      </w:r>
    </w:p>
    <w:p>
      <w:pPr>
        <w:pStyle w:val="14"/>
        <w:adjustRightInd w:val="0"/>
        <w:snapToGrid w:val="0"/>
        <w:spacing w:line="300" w:lineRule="auto"/>
        <w:ind w:left="562" w:leftChars="1"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13.1本项目不接受联合体参加报价。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14. 报价单位资格证明文件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4"/>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14.2资格证明文件必须真实有效，复印件必须加盖单位印章。</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15. 报价有效期</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15.1询价响应文件应在开标之日起</w:t>
      </w:r>
      <w:r>
        <w:rPr>
          <w:rFonts w:hint="eastAsia" w:ascii="仿宋" w:hAnsi="仿宋" w:eastAsia="仿宋" w:cs="仿宋_GB2312"/>
          <w:sz w:val="28"/>
          <w:szCs w:val="28"/>
          <w:u w:val="single"/>
        </w:rPr>
        <w:t>90</w:t>
      </w:r>
      <w:r>
        <w:rPr>
          <w:rFonts w:hint="eastAsia" w:ascii="仿宋" w:hAnsi="仿宋" w:eastAsia="仿宋"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rPr>
      </w:pPr>
      <w:r>
        <w:rPr>
          <w:rFonts w:hint="eastAsia" w:ascii="仿宋" w:hAnsi="仿宋" w:eastAsia="仿宋"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16.1 报价单位应编制询价响应文件一式</w:t>
      </w:r>
      <w:r>
        <w:rPr>
          <w:rFonts w:hint="eastAsia" w:ascii="仿宋" w:hAnsi="仿宋" w:eastAsia="仿宋" w:cs="仿宋_GB2312"/>
          <w:kern w:val="0"/>
          <w:sz w:val="28"/>
          <w:szCs w:val="28"/>
          <w:u w:val="single"/>
        </w:rPr>
        <w:t>2</w:t>
      </w:r>
      <w:r>
        <w:rPr>
          <w:rFonts w:hint="eastAsia" w:ascii="仿宋" w:hAnsi="仿宋" w:eastAsia="仿宋" w:cs="仿宋_GB2312"/>
          <w:kern w:val="0"/>
          <w:sz w:val="28"/>
          <w:szCs w:val="28"/>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sz w:val="28"/>
          <w:szCs w:val="28"/>
        </w:rPr>
      </w:pPr>
      <w:r>
        <w:rPr>
          <w:rFonts w:hint="eastAsia" w:ascii="仿宋" w:hAnsi="仿宋" w:eastAsia="仿宋" w:cs="仿宋_GB2312"/>
          <w:b/>
          <w:sz w:val="28"/>
          <w:szCs w:val="28"/>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kern w:val="0"/>
          <w:sz w:val="28"/>
          <w:szCs w:val="28"/>
        </w:rPr>
      </w:pPr>
      <w:r>
        <w:rPr>
          <w:rFonts w:hint="eastAsia" w:ascii="仿宋" w:hAnsi="仿宋" w:eastAsia="仿宋" w:cs="仿宋_GB2312"/>
          <w:kern w:val="0"/>
          <w:sz w:val="28"/>
          <w:szCs w:val="28"/>
        </w:rPr>
        <w:t>17. 询价响应文件的密封和标记</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17.2每一密封信封均应：</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 w:hAnsi="仿宋" w:eastAsia="仿宋" w:cs="仿宋_GB2312"/>
          <w:kern w:val="0"/>
          <w:sz w:val="28"/>
          <w:szCs w:val="28"/>
        </w:rPr>
      </w:pPr>
      <w:r>
        <w:rPr>
          <w:rFonts w:hint="eastAsia" w:ascii="仿宋" w:hAnsi="仿宋" w:eastAsia="仿宋" w:cs="仿宋_GB2312"/>
          <w:kern w:val="0"/>
          <w:sz w:val="28"/>
          <w:szCs w:val="28"/>
        </w:rPr>
        <w:t>（2）注明“于（递交询价响应文件截止时间）之前不准启封”的字样。</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sz w:val="28"/>
          <w:szCs w:val="28"/>
        </w:rPr>
      </w:pPr>
      <w:r>
        <w:rPr>
          <w:rFonts w:hint="eastAsia" w:ascii="仿宋" w:hAnsi="仿宋" w:eastAsia="仿宋" w:cs="仿宋_GB2312"/>
          <w:sz w:val="28"/>
          <w:szCs w:val="28"/>
        </w:rPr>
        <w:t>18. 询价响应文件递交截止时间</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300" w:lineRule="auto"/>
        <w:ind w:right="32"/>
        <w:rPr>
          <w:rFonts w:ascii="仿宋" w:hAnsi="仿宋" w:eastAsia="仿宋" w:cs="仿宋_GB2312"/>
          <w:sz w:val="28"/>
          <w:szCs w:val="28"/>
        </w:rPr>
      </w:pPr>
      <w:r>
        <w:rPr>
          <w:rFonts w:hint="eastAsia" w:ascii="仿宋" w:hAnsi="仿宋" w:eastAsia="仿宋" w:cs="仿宋_GB2312"/>
          <w:sz w:val="28"/>
          <w:szCs w:val="28"/>
        </w:rPr>
        <w:t>19. 询价响应文件的修改和撤回</w:t>
      </w:r>
    </w:p>
    <w:p>
      <w:pPr>
        <w:pStyle w:val="14"/>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。从询价响应文件递交截止时间至报价单位承诺的报价有效期内，报价单位不得撤回其报价。</w:t>
      </w:r>
    </w:p>
    <w:p>
      <w:pPr>
        <w:pStyle w:val="14"/>
        <w:adjustRightInd w:val="0"/>
        <w:snapToGrid w:val="0"/>
        <w:spacing w:line="300" w:lineRule="auto"/>
        <w:ind w:left="420" w:right="32" w:hanging="420"/>
        <w:rPr>
          <w:rFonts w:ascii="仿宋" w:hAnsi="仿宋" w:eastAsia="仿宋" w:cs="仿宋_GB2312"/>
          <w:sz w:val="28"/>
          <w:szCs w:val="28"/>
        </w:rPr>
      </w:pPr>
      <w:r>
        <w:rPr>
          <w:rFonts w:hint="eastAsia" w:ascii="仿宋" w:hAnsi="仿宋" w:eastAsia="仿宋" w:cs="仿宋_GB2312"/>
          <w:sz w:val="28"/>
          <w:szCs w:val="28"/>
        </w:rPr>
        <w:t>19.3 报价单位所提交的询价响应文件在询价结束后，无论成交与否都不退还。</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五、评审</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20. 询价小组</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 xml:space="preserve">20.1 </w:t>
      </w:r>
      <w:r>
        <w:rPr>
          <w:rFonts w:hint="eastAsia" w:ascii="仿宋" w:hAnsi="仿宋" w:eastAsia="仿宋" w:cs="仿宋_GB2312"/>
          <w:kern w:val="0"/>
          <w:sz w:val="28"/>
          <w:szCs w:val="28"/>
        </w:rPr>
        <w:t>评审由</w:t>
      </w:r>
      <w:r>
        <w:rPr>
          <w:rFonts w:hint="eastAsia" w:ascii="仿宋" w:hAnsi="仿宋" w:eastAsia="仿宋" w:cs="仿宋_GB2312"/>
          <w:sz w:val="28"/>
          <w:szCs w:val="28"/>
          <w:u w:val="single"/>
        </w:rPr>
        <w:t>询价人</w:t>
      </w:r>
      <w:r>
        <w:rPr>
          <w:rFonts w:hint="eastAsia" w:ascii="仿宋" w:hAnsi="仿宋" w:eastAsia="仿宋" w:cs="仿宋_GB2312"/>
          <w:kern w:val="0"/>
          <w:sz w:val="28"/>
          <w:szCs w:val="28"/>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
          <w:bCs/>
          <w:kern w:val="0"/>
          <w:sz w:val="28"/>
          <w:szCs w:val="28"/>
        </w:rPr>
      </w:pPr>
      <w:r>
        <w:rPr>
          <w:rFonts w:hint="eastAsia" w:ascii="仿宋" w:hAnsi="仿宋" w:eastAsia="仿宋" w:cs="仿宋_GB2312"/>
          <w:kern w:val="0"/>
          <w:sz w:val="28"/>
          <w:szCs w:val="28"/>
        </w:rPr>
        <w:t xml:space="preserve">21.4  </w:t>
      </w:r>
      <w:r>
        <w:rPr>
          <w:rFonts w:hint="eastAsia" w:ascii="仿宋" w:hAnsi="仿宋" w:eastAsia="仿宋" w:cs="仿宋_GB2312"/>
          <w:b/>
          <w:bCs/>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22.报价的评审</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大写金额与小写金额不一致的，以大写金额为准；</w:t>
      </w:r>
    </w:p>
    <w:p>
      <w:pPr>
        <w:numPr>
          <w:ilvl w:val="1"/>
          <w:numId w:val="5"/>
        </w:numPr>
        <w:tabs>
          <w:tab w:val="left" w:pos="180"/>
          <w:tab w:val="left" w:pos="360"/>
          <w:tab w:val="left" w:pos="1260"/>
          <w:tab w:val="clear" w:pos="840"/>
        </w:tabs>
        <w:snapToGrid w:val="0"/>
        <w:spacing w:line="300" w:lineRule="auto"/>
        <w:ind w:left="0" w:firstLine="0"/>
        <w:jc w:val="left"/>
        <w:rPr>
          <w:rFonts w:ascii="仿宋" w:hAnsi="仿宋" w:eastAsia="仿宋" w:cs="仿宋_GB2312"/>
          <w:sz w:val="28"/>
          <w:szCs w:val="28"/>
        </w:rPr>
      </w:pPr>
      <w:r>
        <w:rPr>
          <w:rFonts w:hint="eastAsia" w:ascii="仿宋" w:hAnsi="仿宋" w:eastAsia="仿宋"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22.3超过最高限价的报价将被拒绝。</w:t>
      </w:r>
    </w:p>
    <w:p>
      <w:pPr>
        <w:spacing w:line="25" w:lineRule="atLeast"/>
        <w:rPr>
          <w:rFonts w:ascii="仿宋" w:hAnsi="仿宋" w:eastAsia="仿宋" w:cs="仿宋_GB2312"/>
          <w:b/>
          <w:sz w:val="28"/>
          <w:szCs w:val="28"/>
        </w:rPr>
      </w:pPr>
      <w:r>
        <w:rPr>
          <w:rFonts w:hint="eastAsia" w:ascii="仿宋" w:hAnsi="仿宋" w:eastAsia="仿宋" w:cs="仿宋_GB2312"/>
          <w:b/>
          <w:sz w:val="28"/>
          <w:szCs w:val="28"/>
        </w:rPr>
        <w:t>六、确定承包人</w:t>
      </w:r>
    </w:p>
    <w:p>
      <w:pPr>
        <w:autoSpaceDE w:val="0"/>
        <w:autoSpaceDN w:val="0"/>
        <w:adjustRightInd w:val="0"/>
        <w:snapToGrid w:val="0"/>
        <w:spacing w:line="25" w:lineRule="atLeast"/>
        <w:ind w:left="630"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kern w:val="0"/>
          <w:sz w:val="28"/>
          <w:szCs w:val="28"/>
        </w:rPr>
      </w:pPr>
      <w:r>
        <w:rPr>
          <w:rFonts w:hint="eastAsia" w:ascii="仿宋" w:hAnsi="仿宋" w:eastAsia="仿宋" w:cs="仿宋_GB2312"/>
          <w:sz w:val="28"/>
          <w:szCs w:val="28"/>
        </w:rPr>
        <w:t>23.2承包人确定后，询价人</w:t>
      </w:r>
      <w:r>
        <w:rPr>
          <w:rFonts w:hint="eastAsia" w:ascii="仿宋" w:hAnsi="仿宋" w:eastAsia="仿宋" w:cs="仿宋_GB2312"/>
          <w:kern w:val="0"/>
          <w:sz w:val="28"/>
          <w:szCs w:val="28"/>
        </w:rPr>
        <w:t>向承包人发出《发包通知书》，</w:t>
      </w:r>
      <w:r>
        <w:rPr>
          <w:rFonts w:hint="eastAsia" w:ascii="仿宋" w:hAnsi="仿宋" w:eastAsia="仿宋" w:cs="仿宋_GB2312"/>
          <w:sz w:val="28"/>
          <w:szCs w:val="28"/>
        </w:rPr>
        <w:t>对承包人和询价人具有同等法律效力</w:t>
      </w:r>
      <w:r>
        <w:rPr>
          <w:rFonts w:hint="eastAsia" w:ascii="仿宋" w:hAnsi="仿宋" w:eastAsia="仿宋" w:cs="仿宋_GB2312"/>
          <w:kern w:val="0"/>
          <w:sz w:val="28"/>
          <w:szCs w:val="28"/>
        </w:rPr>
        <w:t>。</w:t>
      </w:r>
    </w:p>
    <w:p>
      <w:pPr>
        <w:pStyle w:val="14"/>
        <w:adjustRightInd w:val="0"/>
        <w:snapToGrid w:val="0"/>
        <w:spacing w:line="300" w:lineRule="auto"/>
        <w:rPr>
          <w:rFonts w:ascii="仿宋" w:hAnsi="仿宋" w:eastAsia="仿宋" w:cs="仿宋_GB2312"/>
          <w:b/>
          <w:sz w:val="28"/>
          <w:szCs w:val="28"/>
        </w:rPr>
      </w:pPr>
      <w:r>
        <w:rPr>
          <w:rFonts w:hint="eastAsia" w:ascii="仿宋" w:hAnsi="仿宋" w:eastAsia="仿宋" w:cs="仿宋_GB2312"/>
          <w:b/>
          <w:sz w:val="28"/>
          <w:szCs w:val="28"/>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rPr>
      </w:pPr>
      <w:r>
        <w:rPr>
          <w:rFonts w:hint="eastAsia" w:ascii="仿宋" w:hAnsi="仿宋" w:eastAsia="仿宋" w:cs="仿宋_GB2312"/>
          <w:kern w:val="0"/>
          <w:sz w:val="28"/>
          <w:szCs w:val="28"/>
        </w:rPr>
        <w:t>24. 合同的订立</w:t>
      </w:r>
    </w:p>
    <w:p>
      <w:pPr>
        <w:autoSpaceDE w:val="0"/>
        <w:autoSpaceDN w:val="0"/>
        <w:adjustRightInd w:val="0"/>
        <w:snapToGrid w:val="0"/>
        <w:spacing w:line="300" w:lineRule="auto"/>
        <w:ind w:left="700" w:right="32" w:hanging="700" w:hangingChars="250"/>
        <w:rPr>
          <w:rFonts w:ascii="仿宋" w:hAnsi="仿宋" w:eastAsia="仿宋" w:cs="仿宋_GB2312"/>
          <w:sz w:val="28"/>
          <w:szCs w:val="28"/>
        </w:rPr>
      </w:pPr>
      <w:r>
        <w:rPr>
          <w:rFonts w:hint="eastAsia" w:ascii="仿宋" w:hAnsi="仿宋" w:eastAsia="仿宋" w:cs="仿宋_GB2312"/>
          <w:kern w:val="0"/>
          <w:sz w:val="28"/>
          <w:szCs w:val="28"/>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rPr>
        <w:t>不得超出询价文件和承包人询价响应文件的范围、也不得再行订立背离合同实质性内容的其他协议。</w:t>
      </w:r>
    </w:p>
    <w:p>
      <w:pPr>
        <w:adjustRightInd w:val="0"/>
        <w:snapToGrid w:val="0"/>
        <w:spacing w:line="300" w:lineRule="auto"/>
        <w:rPr>
          <w:rFonts w:ascii="仿宋" w:hAnsi="仿宋" w:eastAsia="仿宋" w:cs="仿宋_GB2312"/>
          <w:kern w:val="0"/>
          <w:sz w:val="28"/>
          <w:szCs w:val="28"/>
        </w:rPr>
      </w:pPr>
      <w:r>
        <w:rPr>
          <w:rFonts w:hint="eastAsia" w:ascii="仿宋" w:hAnsi="仿宋" w:eastAsia="仿宋" w:cs="仿宋_GB2312"/>
          <w:kern w:val="0"/>
          <w:sz w:val="28"/>
          <w:szCs w:val="28"/>
        </w:rPr>
        <w:t>25. 合同的履行</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 w:hAnsi="仿宋" w:eastAsia="仿宋" w:cs="仿宋_GB2312"/>
          <w:kern w:val="0"/>
          <w:sz w:val="28"/>
          <w:szCs w:val="28"/>
        </w:rPr>
      </w:pPr>
      <w:r>
        <w:rPr>
          <w:rFonts w:hint="eastAsia" w:ascii="仿宋" w:hAnsi="仿宋" w:eastAsia="仿宋" w:cs="仿宋_GB2312"/>
          <w:kern w:val="0"/>
          <w:sz w:val="28"/>
          <w:szCs w:val="28"/>
        </w:rPr>
        <w:t>25.2 承包人因不可抗力或者自身原因不能履行承包合同的，询价人</w:t>
      </w:r>
      <w:r>
        <w:rPr>
          <w:rFonts w:hint="eastAsia" w:ascii="仿宋" w:hAnsi="仿宋" w:eastAsia="仿宋" w:cs="仿宋_GB2312"/>
          <w:sz w:val="28"/>
          <w:szCs w:val="28"/>
        </w:rPr>
        <w:t>可以与排位在承包人之后第一位的成交候选报价单位签订承包</w:t>
      </w:r>
      <w:r>
        <w:rPr>
          <w:rFonts w:hint="eastAsia" w:ascii="仿宋" w:hAnsi="仿宋" w:eastAsia="仿宋" w:cs="仿宋_GB2312"/>
          <w:kern w:val="0"/>
          <w:sz w:val="28"/>
          <w:szCs w:val="28"/>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rPr>
      </w:pPr>
      <w:r>
        <w:rPr>
          <w:rFonts w:hint="eastAsia" w:ascii="仿宋" w:hAnsi="仿宋" w:eastAsia="仿宋"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 w:hAnsi="仿宋" w:eastAsia="仿宋" w:cs="仿宋_GB2312"/>
          <w:sz w:val="28"/>
          <w:szCs w:val="28"/>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bCs/>
          <w:color w:val="000000"/>
        </w:rPr>
        <w:sectPr>
          <w:pgSz w:w="11906" w:h="16838"/>
          <w:pgMar w:top="1089" w:right="1466" w:bottom="1089" w:left="1077" w:header="851" w:footer="992" w:gutter="0"/>
          <w:cols w:space="720" w:num="1"/>
          <w:docGrid w:type="lines" w:linePitch="312" w:charSpace="0"/>
        </w:sectPr>
      </w:pPr>
      <w:bookmarkStart w:id="5" w:name="_Toc144974548"/>
      <w:bookmarkStart w:id="6" w:name="_Toc179632599"/>
      <w:bookmarkStart w:id="7" w:name="_Toc247085739"/>
      <w:bookmarkStart w:id="8" w:name="_Toc371433002"/>
      <w:bookmarkStart w:id="9" w:name="_Toc152042358"/>
      <w:bookmarkStart w:id="10" w:name="_Toc152045581"/>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5"/>
      <w:bookmarkEnd w:id="6"/>
      <w:bookmarkEnd w:id="7"/>
      <w:bookmarkEnd w:id="8"/>
      <w:bookmarkEnd w:id="9"/>
      <w:bookmarkEnd w:id="10"/>
    </w:p>
    <w:p>
      <w:pPr>
        <w:spacing w:line="400" w:lineRule="exact"/>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（项目名称）报价记录表</w:t>
      </w:r>
    </w:p>
    <w:p>
      <w:pPr>
        <w:spacing w:line="500" w:lineRule="exact"/>
        <w:ind w:firstLine="3465" w:firstLineChars="1650"/>
        <w:rPr>
          <w:rFonts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000000"/>
                <w:szCs w:val="21"/>
              </w:rPr>
            </w:pPr>
          </w:p>
        </w:tc>
      </w:tr>
    </w:tbl>
    <w:p>
      <w:pPr>
        <w:spacing w:line="440" w:lineRule="exact"/>
        <w:rPr>
          <w:rFonts w:ascii="仿宋_GB2312" w:hAnsi="仿宋_GB2312" w:eastAsia="仿宋_GB2312" w:cs="仿宋_GB2312"/>
          <w:color w:val="000000"/>
        </w:rPr>
      </w:pP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ascii="宋体" w:hAnsi="宋体"/>
          <w:sz w:val="24"/>
        </w:rPr>
        <w:sectPr>
          <w:pgSz w:w="11906" w:h="16838"/>
          <w:pgMar w:top="1089" w:right="1466" w:bottom="1089" w:left="1077" w:header="851" w:footer="992" w:gutter="0"/>
          <w:cols w:space="720" w:num="1"/>
          <w:docGrid w:type="lines" w:linePitch="312" w:charSpace="0"/>
        </w:sect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ascii="仿宋_GB2312" w:hAnsi="仿宋_GB2312" w:eastAsia="仿宋_GB2312" w:cs="仿宋_GB2312"/>
          <w:b/>
          <w:bCs/>
          <w:color w:val="000000"/>
          <w:sz w:val="28"/>
          <w:szCs w:val="36"/>
        </w:rPr>
      </w:pPr>
      <w:r>
        <w:rPr>
          <w:rFonts w:hint="eastAsia" w:ascii="仿宋_GB2312" w:hAnsi="仿宋_GB2312" w:eastAsia="仿宋_GB2312" w:cs="仿宋_GB2312"/>
          <w:b/>
          <w:bCs/>
          <w:color w:val="000000"/>
          <w:sz w:val="28"/>
          <w:szCs w:val="36"/>
        </w:rPr>
        <w:t>广州市净水有限公司非公开招标项目评审记录表</w:t>
      </w:r>
    </w:p>
    <w:p>
      <w:pPr>
        <w:spacing w:line="360" w:lineRule="auto"/>
        <w:ind w:left="1200" w:hanging="1200" w:hangingChars="500"/>
        <w:rPr>
          <w:rFonts w:ascii="宋体" w:hAnsi="宋体"/>
          <w:sz w:val="24"/>
        </w:rPr>
      </w:pPr>
      <w:r>
        <w:rPr>
          <w:rFonts w:hint="eastAsia" w:ascii="宋体" w:hAnsi="宋体"/>
          <w:sz w:val="24"/>
        </w:rPr>
        <w:t>项目名称：</w:t>
      </w:r>
    </w:p>
    <w:tbl>
      <w:tblPr>
        <w:tblStyle w:val="24"/>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宋体" w:hAnsi="宋体"/>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宋体" w:hAnsi="宋体"/>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宋体" w:hAnsi="宋体"/>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楷体_GB2312"/>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eastAsia="楷体_GB2312"/>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宋体" w:hAnsi="宋体"/>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宋体" w:hAnsi="宋体"/>
                <w:sz w:val="24"/>
              </w:rPr>
            </w:pPr>
          </w:p>
        </w:tc>
      </w:tr>
    </w:tbl>
    <w:p>
      <w:pPr>
        <w:ind w:left="840" w:hanging="840" w:hangingChars="400"/>
      </w:pPr>
      <w:r>
        <w:rPr>
          <w:rFonts w:hint="eastAsia"/>
        </w:rPr>
        <w:t>备注：1、审核情况填写“符合”或“不符合；或者打“√”或“×”。</w:t>
      </w:r>
    </w:p>
    <w:p>
      <w:pPr>
        <w:numPr>
          <w:ilvl w:val="0"/>
          <w:numId w:val="6"/>
        </w:numPr>
        <w:ind w:firstLine="630" w:firstLineChars="300"/>
      </w:pPr>
      <w:r>
        <w:rPr>
          <w:rFonts w:hint="eastAsia"/>
        </w:rPr>
        <w:t>本表所有审核情况均为符合的，结论为报名成功。若有一项或以上审核情况为不符合的，结论为报名不成功。</w:t>
      </w:r>
    </w:p>
    <w:p>
      <w:pPr>
        <w:ind w:left="630"/>
      </w:pPr>
    </w:p>
    <w:p>
      <w:pPr>
        <w:rPr>
          <w:rFonts w:ascii="仿宋_GB2312" w:hAnsi="仿宋_GB2312" w:eastAsia="仿宋_GB2312" w:cs="仿宋_GB2312"/>
          <w:b/>
          <w:bCs/>
          <w:color w:val="000000"/>
          <w:sz w:val="32"/>
          <w:szCs w:val="32"/>
        </w:rPr>
      </w:pPr>
    </w:p>
    <w:p>
      <w:pPr>
        <w:rPr>
          <w:rFonts w:ascii="仿宋_GB2312" w:hAnsi="仿宋_GB2312" w:eastAsia="仿宋_GB2312" w:cs="仿宋_GB2312"/>
          <w:b/>
          <w:bCs/>
          <w:color w:val="000000"/>
          <w:sz w:val="32"/>
          <w:szCs w:val="32"/>
        </w:rPr>
      </w:pPr>
    </w:p>
    <w:p>
      <w:pPr>
        <w:pStyle w:val="3"/>
        <w:rPr>
          <w:rFonts w:ascii="仿宋_GB2312" w:hAnsi="仿宋_GB2312" w:eastAsia="仿宋_GB2312" w:cs="仿宋_GB2312"/>
          <w:color w:val="000000"/>
        </w:rPr>
      </w:pPr>
      <w:r>
        <w:rPr>
          <w:rFonts w:hint="eastAsia" w:ascii="仿宋_GB2312" w:hAnsi="仿宋_GB2312" w:eastAsia="仿宋_GB2312" w:cs="仿宋_GB2312"/>
          <w:color w:val="000000"/>
        </w:rPr>
        <w:t>附件三</w:t>
      </w:r>
    </w:p>
    <w:p>
      <w:pPr>
        <w:autoSpaceDE w:val="0"/>
        <w:autoSpaceDN w:val="0"/>
        <w:adjustRightInd w:val="0"/>
        <w:rPr>
          <w:rFonts w:ascii="宋体" w:hAnsi="宋体" w:cs="仿宋_GB2312"/>
          <w:kern w:val="0"/>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pStyle w:val="21"/>
        <w:rPr>
          <w:lang w:val="zh-CN"/>
        </w:rPr>
      </w:pPr>
      <w:r>
        <w:rPr>
          <w:rFonts w:hint="eastAsia"/>
          <w:lang w:val="zh-CN"/>
        </w:rPr>
        <w:t>第四部分合同书格式</w:t>
      </w:r>
    </w:p>
    <w:p>
      <w:pPr>
        <w:spacing w:line="360" w:lineRule="auto"/>
        <w:jc w:val="center"/>
        <w:rPr>
          <w:b/>
          <w:spacing w:val="68"/>
          <w:sz w:val="44"/>
          <w:szCs w:val="44"/>
        </w:rPr>
      </w:pPr>
      <w:r>
        <w:rPr>
          <w:rFonts w:hint="eastAsia"/>
          <w:b/>
          <w:spacing w:val="68"/>
          <w:sz w:val="44"/>
          <w:szCs w:val="44"/>
        </w:rPr>
        <w:t>广州市净水有限公司</w:t>
      </w:r>
    </w:p>
    <w:p>
      <w:pPr>
        <w:spacing w:line="360" w:lineRule="auto"/>
        <w:jc w:val="center"/>
        <w:rPr>
          <w:b/>
          <w:spacing w:val="68"/>
          <w:sz w:val="44"/>
          <w:szCs w:val="44"/>
        </w:rPr>
      </w:pPr>
      <w:r>
        <w:rPr>
          <w:rFonts w:hint="eastAsia"/>
          <w:b/>
          <w:spacing w:val="68"/>
          <w:sz w:val="44"/>
          <w:szCs w:val="44"/>
        </w:rPr>
        <w:t>机房环境监控系统更新改造项目</w:t>
      </w:r>
    </w:p>
    <w:p>
      <w:pPr>
        <w:spacing w:line="360" w:lineRule="auto"/>
        <w:jc w:val="center"/>
        <w:rPr>
          <w:b/>
          <w:spacing w:val="68"/>
          <w:sz w:val="48"/>
        </w:rPr>
      </w:pPr>
    </w:p>
    <w:p>
      <w:pPr>
        <w:spacing w:line="360" w:lineRule="auto"/>
        <w:jc w:val="center"/>
        <w:rPr>
          <w:b/>
          <w:sz w:val="30"/>
        </w:rPr>
      </w:pPr>
      <w:r>
        <w:rPr>
          <w:lang w:val="zh-CN"/>
        </w:rPr>
        <mc:AlternateContent>
          <mc:Choice Requires="wps">
            <w:drawing>
              <wp:anchor distT="0" distB="0" distL="114300" distR="114300" simplePos="0" relativeHeight="251658240" behindDoc="0" locked="0" layoutInCell="0" allowOverlap="1">
                <wp:simplePos x="0" y="0"/>
                <wp:positionH relativeFrom="column">
                  <wp:posOffset>2600325</wp:posOffset>
                </wp:positionH>
                <wp:positionV relativeFrom="paragraph">
                  <wp:posOffset>198120</wp:posOffset>
                </wp:positionV>
                <wp:extent cx="933450" cy="4455795"/>
                <wp:effectExtent l="5080" t="4445" r="13970" b="1651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33450" cy="4455795"/>
                        </a:xfrm>
                        <a:prstGeom prst="rect">
                          <a:avLst/>
                        </a:prstGeom>
                        <a:solidFill>
                          <a:srgbClr val="FFFFFF"/>
                        </a:solidFill>
                        <a:ln w="9525">
                          <a:solidFill>
                            <a:srgbClr val="FFFFFF"/>
                          </a:solidFill>
                          <a:miter lim="800000"/>
                        </a:ln>
                        <a:effectLst/>
                      </wps:spPr>
                      <wps:txbx>
                        <w:txbxContent>
                          <w:p>
                            <w:pPr>
                              <w:rPr>
                                <w:b/>
                                <w:spacing w:val="162"/>
                                <w:sz w:val="84"/>
                              </w:rPr>
                            </w:pPr>
                            <w:r>
                              <w:rPr>
                                <w:rFonts w:hint="eastAsia"/>
                                <w:b/>
                                <w:spacing w:val="162"/>
                                <w:sz w:val="84"/>
                              </w:rPr>
                              <w:t>合同书</w:t>
                            </w:r>
                          </w:p>
                        </w:txbxContent>
                      </wps:txbx>
                      <wps:bodyPr rot="0" vert="eaVert" wrap="square" lIns="91440" tIns="45720" rIns="91440" bIns="45720" anchor="t" anchorCtr="0" upright="1">
                        <a:noAutofit/>
                      </wps:bodyPr>
                    </wps:wsp>
                  </a:graphicData>
                </a:graphic>
              </wp:anchor>
            </w:drawing>
          </mc:Choice>
          <mc:Fallback>
            <w:pict>
              <v:shape id="文本框 1" o:spid="_x0000_s1026" o:spt="202" type="#_x0000_t202" style="position:absolute;left:0pt;margin-left:204.75pt;margin-top:15.6pt;height:350.85pt;width:73.5pt;z-index:251658240;mso-width-relative:page;mso-height-relative:page;" fillcolor="#FFFFFF" filled="t" stroked="t" coordsize="21600,21600" o:allowincell="f" o:gfxdata="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w7sGTWAAAACgEAAA8AAAAAAAAAAQAgAAAAIgAAAGRycy9kb3ducmV2LnhtbFBLAQIUABQAAAAI&#10;AIdO4kCTMgb5KAIAAEkEAAAOAAAAAAAAAAEAIAAAACUBAABkcnMvZTJvRG9jLnhtbFBLBQYAAAAA&#10;BgAGAFkBAAC/BQAAAAA=&#10;">
                <v:fill on="t" focussize="0,0"/>
                <v:stroke color="#FFFFFF" miterlimit="8" joinstyle="miter"/>
                <v:imagedata o:title=""/>
                <o:lock v:ext="edit" aspectratio="f"/>
                <v:textbox style="layout-flow:vertical-ideographic;">
                  <w:txbxContent>
                    <w:p>
                      <w:pPr>
                        <w:rPr>
                          <w:b/>
                          <w:spacing w:val="162"/>
                          <w:sz w:val="84"/>
                        </w:rPr>
                      </w:pPr>
                      <w:r>
                        <w:rPr>
                          <w:rFonts w:hint="eastAsia"/>
                          <w:b/>
                          <w:spacing w:val="162"/>
                          <w:sz w:val="84"/>
                        </w:rPr>
                        <w:t>合同书</w:t>
                      </w:r>
                    </w:p>
                  </w:txbxContent>
                </v:textbox>
              </v:shape>
            </w:pict>
          </mc:Fallback>
        </mc:AlternateContent>
      </w: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jc w:val="center"/>
        <w:rPr>
          <w:b/>
          <w:sz w:val="30"/>
        </w:rPr>
      </w:pPr>
    </w:p>
    <w:p>
      <w:pPr>
        <w:spacing w:line="360" w:lineRule="auto"/>
        <w:ind w:left="1700"/>
        <w:rPr>
          <w:b/>
          <w:sz w:val="30"/>
        </w:rPr>
      </w:pPr>
    </w:p>
    <w:p>
      <w:pPr>
        <w:spacing w:line="360" w:lineRule="auto"/>
        <w:ind w:left="1700"/>
        <w:rPr>
          <w:b/>
          <w:sz w:val="30"/>
        </w:rPr>
      </w:pPr>
    </w:p>
    <w:p>
      <w:pPr>
        <w:spacing w:line="360" w:lineRule="auto"/>
        <w:ind w:firstLine="1656" w:firstLineChars="550"/>
        <w:rPr>
          <w:b/>
          <w:sz w:val="30"/>
        </w:rPr>
      </w:pPr>
      <w:r>
        <w:rPr>
          <w:rFonts w:hint="eastAsia"/>
          <w:b/>
          <w:sz w:val="30"/>
        </w:rPr>
        <w:t>甲方：广州市净水有限公司</w:t>
      </w:r>
    </w:p>
    <w:p>
      <w:pPr>
        <w:spacing w:line="360" w:lineRule="auto"/>
        <w:ind w:firstLine="1644" w:firstLineChars="546"/>
        <w:rPr>
          <w:b/>
          <w:sz w:val="30"/>
        </w:rPr>
      </w:pPr>
      <w:r>
        <w:rPr>
          <w:rFonts w:hint="eastAsia"/>
          <w:b/>
          <w:sz w:val="30"/>
        </w:rPr>
        <w:t>乙方：</w:t>
      </w:r>
    </w:p>
    <w:p>
      <w:pPr>
        <w:spacing w:line="360" w:lineRule="auto"/>
        <w:ind w:left="1701" w:leftChars="810" w:firstLine="557" w:firstLineChars="198"/>
        <w:rPr>
          <w:rFonts w:ascii="仿宋_GB2312" w:eastAsia="仿宋_GB2312"/>
          <w:b/>
          <w:sz w:val="28"/>
        </w:rPr>
      </w:pPr>
    </w:p>
    <w:p>
      <w:pPr>
        <w:spacing w:line="360" w:lineRule="auto"/>
        <w:rPr>
          <w:rFonts w:ascii="仿宋_GB2312" w:eastAsia="仿宋_GB2312"/>
          <w:b/>
          <w:sz w:val="28"/>
        </w:rPr>
      </w:pPr>
    </w:p>
    <w:p>
      <w:pPr>
        <w:spacing w:line="400" w:lineRule="atLeast"/>
        <w:jc w:val="center"/>
        <w:rPr>
          <w:rFonts w:ascii="楷体_GB2312" w:eastAsia="楷体_GB2312"/>
          <w:b/>
          <w:sz w:val="32"/>
        </w:rPr>
        <w:sectPr>
          <w:pgSz w:w="11906" w:h="16838"/>
          <w:pgMar w:top="1089" w:right="1466" w:bottom="1089" w:left="1077" w:header="851" w:footer="992" w:gutter="0"/>
          <w:cols w:space="720" w:num="1"/>
          <w:docGrid w:type="lines" w:linePitch="312" w:charSpace="0"/>
        </w:sectPr>
      </w:pPr>
    </w:p>
    <w:p>
      <w:pPr>
        <w:spacing w:line="400" w:lineRule="atLeast"/>
        <w:jc w:val="center"/>
        <w:rPr>
          <w:rFonts w:ascii="楷体_GB2312" w:eastAsia="楷体_GB2312"/>
          <w:b/>
          <w:sz w:val="32"/>
        </w:rPr>
      </w:pPr>
      <w:r>
        <w:rPr>
          <w:rFonts w:hint="eastAsia" w:ascii="楷体_GB2312" w:eastAsia="楷体_GB2312"/>
          <w:b/>
          <w:sz w:val="32"/>
        </w:rPr>
        <w:t>合 同 协 议 书</w:t>
      </w:r>
    </w:p>
    <w:p>
      <w:pPr>
        <w:spacing w:line="400" w:lineRule="atLeast"/>
        <w:rPr>
          <w:rFonts w:ascii="楷体_GB2312" w:eastAsia="楷体_GB2312"/>
        </w:rPr>
      </w:pPr>
    </w:p>
    <w:p>
      <w:pPr>
        <w:spacing w:line="400" w:lineRule="atLeast"/>
        <w:ind w:firstLine="425"/>
        <w:rPr>
          <w:rFonts w:ascii="楷体_GB2312" w:eastAsia="楷体_GB2312"/>
          <w:sz w:val="24"/>
        </w:rPr>
      </w:pPr>
      <w:r>
        <w:rPr>
          <w:rFonts w:hint="eastAsia" w:ascii="楷体_GB2312" w:eastAsia="楷体_GB2312"/>
          <w:sz w:val="24"/>
        </w:rPr>
        <w:t>本协议书由</w:t>
      </w:r>
      <w:r>
        <w:rPr>
          <w:rFonts w:hint="eastAsia" w:ascii="楷体_GB2312" w:eastAsia="楷体_GB2312"/>
          <w:b/>
          <w:sz w:val="24"/>
          <w:u w:val="single"/>
        </w:rPr>
        <w:t>广州市净水有限公司</w:t>
      </w:r>
      <w:r>
        <w:rPr>
          <w:rFonts w:hint="eastAsia" w:ascii="楷体_GB2312" w:eastAsia="楷体_GB2312"/>
          <w:sz w:val="24"/>
        </w:rPr>
        <w:t>（以下简称“甲方”），与（以下简称“乙方”），于</w:t>
      </w:r>
      <w:r>
        <w:rPr>
          <w:rFonts w:hint="eastAsia" w:ascii="楷体_GB2312" w:eastAsia="楷体_GB2312"/>
          <w:b/>
          <w:sz w:val="24"/>
        </w:rPr>
        <w:t>年月日</w:t>
      </w:r>
      <w:r>
        <w:rPr>
          <w:rFonts w:hint="eastAsia" w:ascii="楷体_GB2312" w:eastAsia="楷体_GB2312"/>
          <w:sz w:val="24"/>
        </w:rPr>
        <w:t>共同达成一致并在广州签署。</w:t>
      </w:r>
    </w:p>
    <w:p>
      <w:pPr>
        <w:spacing w:line="400" w:lineRule="atLeast"/>
        <w:ind w:firstLine="425"/>
        <w:rPr>
          <w:rFonts w:ascii="楷体_GB2312" w:eastAsia="楷体_GB2312"/>
          <w:sz w:val="24"/>
        </w:rPr>
      </w:pPr>
    </w:p>
    <w:p>
      <w:pPr>
        <w:autoSpaceDE w:val="0"/>
        <w:autoSpaceDN w:val="0"/>
        <w:textAlignment w:val="bottom"/>
        <w:rPr>
          <w:rFonts w:ascii="楷体_GB2312" w:eastAsia="楷体_GB2312"/>
          <w:sz w:val="24"/>
        </w:rPr>
      </w:pPr>
      <w:r>
        <w:rPr>
          <w:rFonts w:hint="eastAsia" w:ascii="楷体_GB2312" w:eastAsia="楷体_GB2312"/>
          <w:sz w:val="24"/>
        </w:rPr>
        <w:t xml:space="preserve">    为此双方达成如下协议：</w:t>
      </w:r>
    </w:p>
    <w:p>
      <w:pPr>
        <w:spacing w:line="400" w:lineRule="atLeast"/>
        <w:ind w:left="425"/>
        <w:rPr>
          <w:rFonts w:ascii="楷体_GB2312" w:eastAsia="楷体_GB2312"/>
          <w:sz w:val="24"/>
        </w:rPr>
      </w:pPr>
      <w:r>
        <w:rPr>
          <w:rFonts w:hint="eastAsia" w:ascii="楷体_GB2312" w:eastAsia="楷体_GB2312"/>
          <w:sz w:val="24"/>
        </w:rPr>
        <w:t>1.项目概况：</w:t>
      </w:r>
    </w:p>
    <w:p>
      <w:pPr>
        <w:spacing w:line="400" w:lineRule="atLeast"/>
        <w:ind w:left="425"/>
        <w:rPr>
          <w:rFonts w:ascii="楷体_GB2312" w:eastAsia="楷体_GB2312"/>
          <w:sz w:val="24"/>
        </w:rPr>
      </w:pPr>
      <w:r>
        <w:rPr>
          <w:rFonts w:hint="eastAsia" w:ascii="楷体_GB2312" w:eastAsia="楷体_GB2312"/>
          <w:sz w:val="24"/>
        </w:rPr>
        <w:t>项目内容：</w:t>
      </w:r>
    </w:p>
    <w:p>
      <w:pPr>
        <w:spacing w:line="400" w:lineRule="atLeast"/>
        <w:ind w:left="425"/>
        <w:rPr>
          <w:rFonts w:ascii="楷体_GB2312" w:eastAsia="楷体_GB2312"/>
          <w:sz w:val="24"/>
        </w:rPr>
      </w:pPr>
      <w:r>
        <w:rPr>
          <w:rFonts w:hint="eastAsia" w:ascii="楷体_GB2312" w:eastAsia="楷体_GB2312"/>
          <w:sz w:val="24"/>
        </w:rPr>
        <w:t>广州市净水有限公司机房环境监控系统建设，并在合同规定期内运维该系统。</w:t>
      </w:r>
    </w:p>
    <w:p>
      <w:pPr>
        <w:spacing w:line="400" w:lineRule="atLeast"/>
        <w:ind w:left="425"/>
        <w:rPr>
          <w:rFonts w:ascii="楷体_GB2312" w:eastAsia="楷体_GB2312"/>
          <w:sz w:val="24"/>
        </w:rPr>
      </w:pPr>
      <w:r>
        <w:rPr>
          <w:rFonts w:hint="eastAsia" w:ascii="楷体_GB2312" w:eastAsia="楷体_GB2312"/>
          <w:sz w:val="24"/>
        </w:rPr>
        <w:t>承包方式：</w:t>
      </w:r>
    </w:p>
    <w:p>
      <w:pPr>
        <w:spacing w:line="400" w:lineRule="atLeast"/>
        <w:ind w:left="425"/>
        <w:rPr>
          <w:rFonts w:ascii="楷体_GB2312" w:eastAsia="楷体_GB2312"/>
          <w:sz w:val="24"/>
        </w:rPr>
      </w:pPr>
      <w:r>
        <w:rPr>
          <w:rFonts w:hint="eastAsia" w:ascii="楷体_GB2312" w:eastAsia="楷体_GB2312"/>
          <w:sz w:val="24"/>
        </w:rPr>
        <w:t>包工、包料、包开发、包调试、包验收、包培训、包运维（1年）的总价包干方式。</w:t>
      </w:r>
    </w:p>
    <w:p>
      <w:pPr>
        <w:spacing w:line="400" w:lineRule="atLeast"/>
        <w:ind w:left="425"/>
        <w:rPr>
          <w:rFonts w:ascii="楷体_GB2312" w:eastAsia="楷体_GB2312"/>
          <w:sz w:val="24"/>
        </w:rPr>
      </w:pPr>
      <w:r>
        <w:rPr>
          <w:rFonts w:hint="eastAsia" w:ascii="楷体_GB2312" w:eastAsia="楷体_GB2312"/>
          <w:sz w:val="24"/>
        </w:rPr>
        <w:t>2.本协议书中所用术语的含义与本合同条款中相应术语的含义相同，而且这些术语应作为本协议的一部分来阅读和解释。</w:t>
      </w:r>
    </w:p>
    <w:p>
      <w:pPr>
        <w:spacing w:line="400" w:lineRule="atLeast"/>
        <w:ind w:firstLine="425"/>
        <w:rPr>
          <w:rFonts w:ascii="楷体_GB2312" w:eastAsia="楷体_GB2312"/>
          <w:sz w:val="24"/>
        </w:rPr>
      </w:pPr>
      <w:r>
        <w:rPr>
          <w:rFonts w:hint="eastAsia" w:ascii="楷体_GB2312" w:eastAsia="楷体_GB2312"/>
          <w:sz w:val="24"/>
        </w:rPr>
        <w:t>3.下列文件构成本协议书的组成部分及解释顺序，即：</w:t>
      </w:r>
    </w:p>
    <w:p>
      <w:pPr>
        <w:spacing w:line="400" w:lineRule="atLeast"/>
        <w:ind w:firstLine="840"/>
        <w:rPr>
          <w:rFonts w:ascii="楷体_GB2312" w:eastAsia="楷体_GB2312"/>
          <w:sz w:val="24"/>
        </w:rPr>
      </w:pPr>
      <w:r>
        <w:rPr>
          <w:rFonts w:hint="eastAsia" w:ascii="楷体_GB2312" w:eastAsia="楷体_GB2312"/>
          <w:sz w:val="24"/>
        </w:rPr>
        <w:t>(1)合同补充协议（如有）；</w:t>
      </w:r>
    </w:p>
    <w:p>
      <w:pPr>
        <w:spacing w:line="400" w:lineRule="atLeast"/>
        <w:ind w:firstLine="840"/>
        <w:rPr>
          <w:rFonts w:ascii="楷体_GB2312" w:eastAsia="楷体_GB2312"/>
          <w:sz w:val="24"/>
        </w:rPr>
      </w:pPr>
      <w:r>
        <w:rPr>
          <w:rFonts w:hint="eastAsia" w:ascii="楷体_GB2312" w:eastAsia="楷体_GB2312"/>
          <w:sz w:val="24"/>
        </w:rPr>
        <w:t>(2)合同协议书；</w:t>
      </w:r>
    </w:p>
    <w:p>
      <w:pPr>
        <w:spacing w:line="400" w:lineRule="atLeast"/>
        <w:ind w:firstLine="840"/>
        <w:rPr>
          <w:rFonts w:ascii="楷体_GB2312" w:eastAsia="楷体_GB2312"/>
          <w:sz w:val="24"/>
        </w:rPr>
      </w:pPr>
      <w:r>
        <w:rPr>
          <w:rFonts w:hint="eastAsia" w:ascii="楷体_GB2312" w:eastAsia="楷体_GB2312"/>
          <w:sz w:val="24"/>
        </w:rPr>
        <w:t>(3)合同条款；</w:t>
      </w:r>
    </w:p>
    <w:p>
      <w:pPr>
        <w:spacing w:line="360" w:lineRule="auto"/>
        <w:ind w:firstLine="840"/>
        <w:rPr>
          <w:rFonts w:ascii="楷体_GB2312" w:eastAsia="楷体_GB2312"/>
          <w:sz w:val="24"/>
        </w:rPr>
      </w:pPr>
      <w:r>
        <w:rPr>
          <w:rFonts w:hint="eastAsia" w:ascii="楷体_GB2312" w:eastAsia="楷体_GB2312"/>
          <w:sz w:val="24"/>
        </w:rPr>
        <w:t>(4)发包通知书；</w:t>
      </w:r>
    </w:p>
    <w:p>
      <w:pPr>
        <w:spacing w:line="360" w:lineRule="auto"/>
        <w:ind w:firstLine="840"/>
        <w:rPr>
          <w:rFonts w:ascii="楷体_GB2312" w:eastAsia="楷体_GB2312"/>
          <w:sz w:val="24"/>
        </w:rPr>
      </w:pPr>
      <w:r>
        <w:rPr>
          <w:rFonts w:hint="eastAsia" w:ascii="楷体_GB2312" w:eastAsia="楷体_GB2312"/>
          <w:sz w:val="24"/>
        </w:rPr>
        <w:t>(5)产品功能清单（功能不得低于询价文件的规定）；</w:t>
      </w:r>
    </w:p>
    <w:p>
      <w:pPr>
        <w:spacing w:line="360" w:lineRule="auto"/>
        <w:ind w:firstLine="840"/>
        <w:rPr>
          <w:rFonts w:ascii="楷体_GB2312" w:eastAsia="楷体_GB2312"/>
          <w:sz w:val="24"/>
        </w:rPr>
      </w:pPr>
      <w:r>
        <w:rPr>
          <w:rFonts w:hint="eastAsia" w:ascii="楷体_GB2312" w:eastAsia="楷体_GB2312"/>
          <w:sz w:val="24"/>
        </w:rPr>
        <w:t>(6)询价文件（包括补充、修改、澄清文件、答疑纪要及总说明等）；</w:t>
      </w:r>
    </w:p>
    <w:p>
      <w:pPr>
        <w:spacing w:line="360" w:lineRule="auto"/>
        <w:ind w:firstLine="840"/>
        <w:rPr>
          <w:rFonts w:ascii="楷体_GB2312" w:eastAsia="楷体_GB2312"/>
          <w:sz w:val="24"/>
        </w:rPr>
      </w:pPr>
      <w:r>
        <w:rPr>
          <w:rFonts w:hint="eastAsia" w:ascii="楷体_GB2312" w:eastAsia="楷体_GB2312"/>
          <w:sz w:val="24"/>
        </w:rPr>
        <w:t>(7)询价响应书；</w:t>
      </w:r>
    </w:p>
    <w:p>
      <w:pPr>
        <w:spacing w:line="360" w:lineRule="auto"/>
        <w:ind w:left="424" w:leftChars="202" w:firstLine="360" w:firstLineChars="150"/>
        <w:rPr>
          <w:rFonts w:ascii="楷体_GB2312" w:eastAsia="楷体_GB2312"/>
          <w:sz w:val="24"/>
        </w:rPr>
      </w:pPr>
      <w:r>
        <w:rPr>
          <w:rFonts w:hint="eastAsia" w:ascii="楷体_GB2312" w:eastAsia="楷体_GB2312"/>
          <w:sz w:val="24"/>
        </w:rPr>
        <w:t>（8）技术方案书。</w:t>
      </w:r>
    </w:p>
    <w:p>
      <w:pPr>
        <w:spacing w:line="400" w:lineRule="atLeast"/>
        <w:ind w:left="425"/>
        <w:rPr>
          <w:rFonts w:ascii="楷体_GB2312" w:eastAsia="楷体_GB2312"/>
          <w:sz w:val="24"/>
        </w:rPr>
      </w:pPr>
      <w:r>
        <w:rPr>
          <w:rFonts w:hint="eastAsia" w:ascii="楷体_GB2312" w:eastAsia="楷体_GB2312"/>
          <w:sz w:val="24"/>
        </w:rPr>
        <w:t>4.计划开工日期：年月日</w:t>
      </w:r>
    </w:p>
    <w:p>
      <w:pPr>
        <w:spacing w:line="400" w:lineRule="atLeast"/>
        <w:ind w:left="425" w:firstLine="240" w:firstLineChars="100"/>
        <w:rPr>
          <w:rFonts w:ascii="楷体_GB2312" w:eastAsia="楷体_GB2312"/>
          <w:sz w:val="24"/>
        </w:rPr>
      </w:pPr>
      <w:r>
        <w:rPr>
          <w:rFonts w:hint="eastAsia" w:ascii="楷体_GB2312" w:eastAsia="楷体_GB2312"/>
          <w:sz w:val="24"/>
        </w:rPr>
        <w:t>计划完工日期：年月日</w:t>
      </w:r>
    </w:p>
    <w:p>
      <w:pPr>
        <w:spacing w:line="400" w:lineRule="atLeast"/>
        <w:ind w:left="425" w:firstLine="240" w:firstLineChars="100"/>
        <w:rPr>
          <w:rFonts w:ascii="楷体_GB2312" w:eastAsia="楷体_GB2312"/>
          <w:sz w:val="24"/>
        </w:rPr>
      </w:pPr>
      <w:r>
        <w:rPr>
          <w:rFonts w:hint="eastAsia" w:ascii="楷体_GB2312" w:eastAsia="楷体_GB2312"/>
          <w:sz w:val="24"/>
        </w:rPr>
        <w:t>预计总工期：90个日历日（含验收）</w:t>
      </w:r>
    </w:p>
    <w:p>
      <w:pPr>
        <w:spacing w:line="400" w:lineRule="atLeast"/>
        <w:ind w:firstLine="425"/>
        <w:rPr>
          <w:rFonts w:ascii="楷体_GB2312" w:eastAsia="楷体_GB2312"/>
          <w:sz w:val="24"/>
        </w:rPr>
      </w:pPr>
      <w:r>
        <w:rPr>
          <w:rFonts w:hint="eastAsia" w:ascii="楷体_GB2312" w:eastAsia="楷体_GB2312"/>
          <w:sz w:val="24"/>
        </w:rPr>
        <w:t>5.乙方应保证全面按合同规定完成本项目的系统建设及售后服务。（含保密规定）</w:t>
      </w:r>
    </w:p>
    <w:p>
      <w:pPr>
        <w:spacing w:line="400" w:lineRule="atLeast"/>
        <w:ind w:firstLine="425"/>
        <w:rPr>
          <w:rFonts w:ascii="楷体_GB2312" w:eastAsia="楷体_GB2312"/>
          <w:sz w:val="24"/>
        </w:rPr>
      </w:pPr>
      <w:r>
        <w:rPr>
          <w:rFonts w:hint="eastAsia" w:ascii="楷体_GB2312" w:eastAsia="楷体_GB2312"/>
          <w:sz w:val="24"/>
        </w:rPr>
        <w:t>6.甲方应甲方应保证按合同规定的方式和时间，向乙方支付</w:t>
      </w:r>
      <w:r>
        <w:rPr>
          <w:rFonts w:hint="eastAsia" w:ascii="楷体_GB2312" w:eastAsia="楷体_GB2312"/>
          <w:sz w:val="24"/>
          <w:lang w:eastAsia="zh-CN"/>
        </w:rPr>
        <w:t>承包</w:t>
      </w:r>
      <w:r>
        <w:rPr>
          <w:rFonts w:hint="eastAsia" w:ascii="楷体_GB2312" w:eastAsia="楷体_GB2312"/>
          <w:sz w:val="24"/>
        </w:rPr>
        <w:t>合同费用。本合同价暂定为元。</w:t>
      </w:r>
    </w:p>
    <w:p>
      <w:pPr>
        <w:spacing w:line="400" w:lineRule="atLeast"/>
        <w:ind w:firstLine="425"/>
        <w:rPr>
          <w:rFonts w:ascii="楷体_GB2312" w:eastAsia="楷体_GB2312"/>
          <w:sz w:val="24"/>
        </w:rPr>
      </w:pPr>
      <w:r>
        <w:rPr>
          <w:rFonts w:hint="eastAsia" w:ascii="楷体_GB2312" w:eastAsia="楷体_GB2312"/>
          <w:sz w:val="24"/>
        </w:rPr>
        <w:t>7</w:t>
      </w:r>
      <w:commentRangeStart w:id="0"/>
      <w:r>
        <w:rPr>
          <w:rFonts w:hint="eastAsia" w:ascii="楷体_GB2312" w:eastAsia="楷体_GB2312"/>
          <w:sz w:val="24"/>
        </w:rPr>
        <w:t>.项目质量标准：参照相关质量规范和甲方要求。</w:t>
      </w:r>
      <w:commentRangeEnd w:id="0"/>
      <w:r>
        <w:rPr>
          <w:rStyle w:val="29"/>
        </w:rPr>
        <w:commentReference w:id="0"/>
      </w:r>
    </w:p>
    <w:p>
      <w:pPr>
        <w:spacing w:line="400" w:lineRule="atLeast"/>
        <w:ind w:firstLine="425"/>
        <w:rPr>
          <w:rFonts w:ascii="楷体_GB2312" w:eastAsia="楷体_GB2312"/>
          <w:sz w:val="24"/>
        </w:rPr>
      </w:pPr>
      <w:r>
        <w:rPr>
          <w:rFonts w:hint="eastAsia" w:ascii="楷体_GB2312" w:eastAsia="楷体_GB2312"/>
          <w:sz w:val="24"/>
        </w:rPr>
        <w:t>8.本合同正本一式</w:t>
      </w:r>
      <w:r>
        <w:rPr>
          <w:rFonts w:hint="eastAsia" w:ascii="楷体_GB2312" w:eastAsia="楷体_GB2312"/>
          <w:sz w:val="24"/>
          <w:u w:val="single"/>
        </w:rPr>
        <w:t>2</w:t>
      </w:r>
      <w:r>
        <w:rPr>
          <w:rFonts w:hint="eastAsia" w:ascii="楷体_GB2312" w:eastAsia="楷体_GB2312"/>
          <w:sz w:val="24"/>
        </w:rPr>
        <w:t>份，甲乙双方各执</w:t>
      </w:r>
      <w:r>
        <w:rPr>
          <w:rFonts w:hint="eastAsia" w:ascii="楷体_GB2312" w:eastAsia="楷体_GB2312"/>
          <w:sz w:val="24"/>
          <w:u w:val="single"/>
        </w:rPr>
        <w:t>1</w:t>
      </w:r>
      <w:r>
        <w:rPr>
          <w:rFonts w:hint="eastAsia" w:ascii="楷体_GB2312" w:eastAsia="楷体_GB2312"/>
          <w:sz w:val="24"/>
        </w:rPr>
        <w:t>份。副本</w:t>
      </w:r>
      <w:r>
        <w:rPr>
          <w:rFonts w:ascii="楷体_GB2312" w:eastAsia="楷体_GB2312"/>
          <w:sz w:val="24"/>
          <w:u w:val="single"/>
        </w:rPr>
        <w:t>3</w:t>
      </w:r>
      <w:r>
        <w:rPr>
          <w:rFonts w:hint="eastAsia" w:ascii="楷体_GB2312" w:eastAsia="楷体_GB2312"/>
          <w:sz w:val="24"/>
        </w:rPr>
        <w:t>份，甲方执</w:t>
      </w:r>
      <w:r>
        <w:rPr>
          <w:rFonts w:ascii="楷体_GB2312" w:eastAsia="楷体_GB2312"/>
          <w:sz w:val="24"/>
          <w:u w:val="single"/>
        </w:rPr>
        <w:t>2</w:t>
      </w:r>
      <w:r>
        <w:rPr>
          <w:rFonts w:hint="eastAsia" w:ascii="楷体_GB2312" w:eastAsia="楷体_GB2312"/>
          <w:sz w:val="24"/>
        </w:rPr>
        <w:t>份，乙方执</w:t>
      </w:r>
      <w:r>
        <w:rPr>
          <w:rFonts w:ascii="楷体_GB2312" w:eastAsia="楷体_GB2312"/>
          <w:sz w:val="24"/>
          <w:u w:val="single"/>
        </w:rPr>
        <w:t>1</w:t>
      </w:r>
      <w:r>
        <w:rPr>
          <w:rFonts w:hint="eastAsia" w:ascii="楷体_GB2312" w:eastAsia="楷体_GB2312"/>
          <w:sz w:val="24"/>
        </w:rPr>
        <w:t>份。为此，各方代表在此签字并加盖公章，并自加盖公章之日起生效。</w:t>
      </w: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p>
    <w:p>
      <w:pPr>
        <w:spacing w:line="400" w:lineRule="atLeast"/>
        <w:rPr>
          <w:rFonts w:ascii="楷体_GB2312" w:eastAsia="楷体_GB2312"/>
          <w:b/>
          <w:sz w:val="24"/>
        </w:rPr>
      </w:pPr>
      <w:r>
        <w:rPr>
          <w:rFonts w:hint="eastAsia" w:ascii="楷体_GB2312" w:eastAsia="楷体_GB2312"/>
          <w:b/>
          <w:sz w:val="24"/>
        </w:rPr>
        <w:t>法定代表人：                           法定代表人：</w:t>
      </w:r>
    </w:p>
    <w:p>
      <w:pPr>
        <w:spacing w:line="400" w:lineRule="atLeast"/>
        <w:rPr>
          <w:rFonts w:ascii="楷体_GB2312" w:eastAsia="楷体_GB2312"/>
          <w:b/>
          <w:sz w:val="24"/>
        </w:rPr>
      </w:pPr>
    </w:p>
    <w:p>
      <w:pPr>
        <w:spacing w:line="400" w:lineRule="atLeast"/>
        <w:rPr>
          <w:rFonts w:ascii="楷体_GB2312" w:eastAsia="楷体_GB2312"/>
          <w:b/>
          <w:sz w:val="24"/>
        </w:rPr>
      </w:pPr>
      <w:r>
        <w:rPr>
          <w:rFonts w:hint="eastAsia" w:ascii="楷体_GB2312" w:eastAsia="楷体_GB2312"/>
          <w:b/>
          <w:sz w:val="24"/>
        </w:rPr>
        <w:t>甲方：</w:t>
      </w:r>
      <w:r>
        <w:rPr>
          <w:rFonts w:hint="eastAsia" w:ascii="楷体_GB2312" w:eastAsia="楷体_GB2312"/>
          <w:b/>
          <w:sz w:val="24"/>
        </w:rPr>
        <w:tab/>
      </w:r>
      <w:r>
        <w:rPr>
          <w:rFonts w:hint="eastAsia" w:ascii="楷体_GB2312" w:eastAsia="楷体_GB2312"/>
          <w:b/>
          <w:sz w:val="24"/>
        </w:rPr>
        <w:t xml:space="preserve">广州市净水有限公司乙方： </w:t>
      </w:r>
    </w:p>
    <w:p>
      <w:pPr>
        <w:spacing w:line="400" w:lineRule="atLeast"/>
        <w:ind w:left="723" w:hanging="723" w:hangingChars="300"/>
        <w:rPr>
          <w:rFonts w:ascii="楷体_GB2312" w:eastAsia="楷体_GB2312"/>
          <w:sz w:val="24"/>
        </w:rPr>
      </w:pPr>
      <w:r>
        <w:rPr>
          <w:rFonts w:hint="eastAsia" w:ascii="楷体_GB2312" w:eastAsia="楷体_GB2312"/>
          <w:b/>
          <w:sz w:val="24"/>
        </w:rPr>
        <w:t>联系人：</w:t>
      </w:r>
      <w:r>
        <w:rPr>
          <w:rFonts w:hint="eastAsia" w:ascii="楷体_GB2312" w:eastAsia="楷体_GB2312"/>
          <w:sz w:val="24"/>
          <w:u w:val="single"/>
        </w:rPr>
        <w:t>陈燕</w:t>
      </w:r>
      <w:r>
        <w:rPr>
          <w:rFonts w:hint="eastAsia" w:ascii="楷体_GB2312" w:eastAsia="楷体_GB2312"/>
          <w:b/>
          <w:sz w:val="24"/>
        </w:rPr>
        <w:t>联系人</w:t>
      </w:r>
      <w:r>
        <w:rPr>
          <w:rFonts w:hint="eastAsia" w:ascii="楷体_GB2312" w:eastAsia="楷体_GB2312"/>
          <w:sz w:val="24"/>
        </w:rPr>
        <w:t>：</w:t>
      </w:r>
    </w:p>
    <w:p>
      <w:pPr>
        <w:spacing w:line="400" w:lineRule="atLeast"/>
        <w:rPr>
          <w:rFonts w:ascii="楷体_GB2312" w:eastAsia="楷体_GB2312"/>
          <w:sz w:val="24"/>
          <w:u w:val="single"/>
        </w:rPr>
      </w:pPr>
      <w:r>
        <w:rPr>
          <w:rFonts w:hint="eastAsia" w:ascii="楷体_GB2312" w:eastAsia="楷体_GB2312"/>
          <w:sz w:val="24"/>
        </w:rPr>
        <w:t>地址：</w:t>
      </w:r>
      <w:r>
        <w:rPr>
          <w:rFonts w:hint="eastAsia" w:ascii="楷体_GB2312" w:eastAsia="楷体_GB2312"/>
          <w:sz w:val="24"/>
        </w:rPr>
        <w:tab/>
      </w:r>
      <w:r>
        <w:rPr>
          <w:rFonts w:hint="eastAsia" w:ascii="楷体_GB2312" w:eastAsia="楷体_GB2312"/>
          <w:sz w:val="24"/>
          <w:u w:val="single"/>
        </w:rPr>
        <w:t>广州市天河区临江大道501号</w:t>
      </w:r>
      <w:r>
        <w:rPr>
          <w:rFonts w:hint="eastAsia" w:ascii="楷体_GB2312" w:eastAsia="楷体_GB2312"/>
          <w:sz w:val="24"/>
        </w:rPr>
        <w:t xml:space="preserve">    地址：</w:t>
      </w:r>
    </w:p>
    <w:p>
      <w:pPr>
        <w:spacing w:line="400" w:lineRule="atLeast"/>
        <w:rPr>
          <w:rFonts w:ascii="楷体_GB2312" w:eastAsia="楷体_GB2312"/>
          <w:sz w:val="24"/>
          <w:u w:val="single"/>
        </w:rPr>
      </w:pPr>
      <w:r>
        <w:rPr>
          <w:rFonts w:hint="eastAsia" w:ascii="楷体_GB2312" w:eastAsia="楷体_GB2312"/>
          <w:sz w:val="24"/>
        </w:rPr>
        <w:t>电    话：</w:t>
      </w:r>
      <w:r>
        <w:rPr>
          <w:rFonts w:hint="eastAsia" w:ascii="楷体_GB2312" w:eastAsia="楷体_GB2312"/>
          <w:sz w:val="24"/>
        </w:rPr>
        <w:tab/>
      </w:r>
      <w:r>
        <w:rPr>
          <w:rFonts w:hint="eastAsia" w:ascii="楷体_GB2312" w:eastAsia="楷体_GB2312"/>
          <w:sz w:val="24"/>
          <w:u w:val="single"/>
        </w:rPr>
        <w:t xml:space="preserve">020-38890597         </w:t>
      </w:r>
      <w:r>
        <w:rPr>
          <w:rFonts w:hint="eastAsia" w:ascii="楷体_GB2312" w:eastAsia="楷体_GB2312"/>
          <w:sz w:val="24"/>
        </w:rPr>
        <w:tab/>
      </w:r>
      <w:r>
        <w:rPr>
          <w:rFonts w:hint="eastAsia" w:ascii="楷体_GB2312" w:eastAsia="楷体_GB2312"/>
          <w:sz w:val="24"/>
        </w:rPr>
        <w:t xml:space="preserve">  电    话： </w:t>
      </w:r>
    </w:p>
    <w:p>
      <w:pPr>
        <w:spacing w:line="400" w:lineRule="atLeast"/>
        <w:rPr>
          <w:rFonts w:ascii="楷体_GB2312" w:eastAsia="楷体_GB2312"/>
          <w:sz w:val="24"/>
        </w:rPr>
      </w:pPr>
      <w:r>
        <w:rPr>
          <w:rFonts w:hint="eastAsia" w:ascii="楷体_GB2312" w:eastAsia="楷体_GB2312"/>
          <w:sz w:val="24"/>
        </w:rPr>
        <w:t>传    真：</w:t>
      </w:r>
      <w:r>
        <w:rPr>
          <w:rFonts w:hint="eastAsia" w:ascii="楷体_GB2312" w:eastAsia="楷体_GB2312"/>
          <w:sz w:val="24"/>
        </w:rPr>
        <w:tab/>
      </w:r>
      <w:r>
        <w:rPr>
          <w:rFonts w:hint="eastAsia" w:ascii="楷体_GB2312" w:eastAsia="楷体_GB2312"/>
          <w:sz w:val="24"/>
        </w:rPr>
        <w:tab/>
      </w:r>
      <w:r>
        <w:rPr>
          <w:rFonts w:hint="eastAsia" w:ascii="楷体_GB2312" w:eastAsia="楷体_GB2312"/>
          <w:sz w:val="24"/>
        </w:rPr>
        <w:t xml:space="preserve">  传    真：</w:t>
      </w:r>
    </w:p>
    <w:p>
      <w:pPr>
        <w:spacing w:line="400" w:lineRule="atLeast"/>
        <w:rPr>
          <w:rFonts w:ascii="楷体_GB2312" w:eastAsia="楷体_GB2312"/>
          <w:sz w:val="24"/>
        </w:rPr>
      </w:pPr>
      <w:r>
        <w:rPr>
          <w:rFonts w:hint="eastAsia" w:ascii="楷体_GB2312" w:eastAsia="楷体_GB2312"/>
          <w:sz w:val="24"/>
        </w:rPr>
        <w:t>开户银行：</w:t>
      </w:r>
      <w:r>
        <w:rPr>
          <w:rFonts w:hint="eastAsia" w:ascii="楷体_GB2312" w:eastAsia="楷体_GB2312"/>
          <w:sz w:val="24"/>
          <w:u w:val="single"/>
        </w:rPr>
        <w:t xml:space="preserve"> 建行珠江新城支行      </w:t>
      </w:r>
      <w:r>
        <w:rPr>
          <w:rFonts w:hint="eastAsia" w:ascii="楷体_GB2312" w:eastAsia="楷体_GB2312"/>
          <w:sz w:val="24"/>
        </w:rPr>
        <w:t xml:space="preserve">    开户银行：</w:t>
      </w:r>
    </w:p>
    <w:p>
      <w:pPr>
        <w:spacing w:line="400" w:lineRule="atLeast"/>
        <w:rPr>
          <w:rFonts w:ascii="楷体_GB2312" w:eastAsia="楷体_GB2312"/>
          <w:sz w:val="24"/>
        </w:rPr>
      </w:pPr>
      <w:r>
        <w:rPr>
          <w:rFonts w:hint="eastAsia" w:ascii="楷体_GB2312" w:eastAsia="楷体_GB2312"/>
          <w:sz w:val="24"/>
        </w:rPr>
        <w:t>帐号：</w:t>
      </w:r>
      <w:r>
        <w:rPr>
          <w:rFonts w:hint="eastAsia" w:ascii="楷体_GB2312" w:eastAsia="楷体_GB2312"/>
          <w:sz w:val="24"/>
          <w:u w:val="single"/>
        </w:rPr>
        <w:t xml:space="preserve"> 4400 1420 3140 5017 0338  </w:t>
      </w:r>
      <w:r>
        <w:rPr>
          <w:rFonts w:hint="eastAsia" w:ascii="楷体_GB2312" w:eastAsia="楷体_GB2312"/>
          <w:sz w:val="24"/>
        </w:rPr>
        <w:t>帐号：</w:t>
      </w: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rPr>
          <w:rFonts w:hint="eastAsia" w:ascii="宋体" w:hAnsi="宋体"/>
          <w:sz w:val="24"/>
        </w:rPr>
      </w:pPr>
    </w:p>
    <w:p>
      <w:pPr>
        <w:tabs>
          <w:tab w:val="left" w:pos="720"/>
        </w:tabs>
        <w:spacing w:line="360" w:lineRule="auto"/>
        <w:ind w:firstLine="720" w:firstLineChars="300"/>
        <w:rPr>
          <w:rFonts w:ascii="宋体" w:hAnsi="宋体"/>
          <w:sz w:val="24"/>
        </w:rPr>
      </w:pPr>
      <w:r>
        <w:rPr>
          <w:rFonts w:hint="eastAsia" w:ascii="宋体" w:hAnsi="宋体"/>
          <w:sz w:val="24"/>
        </w:rPr>
        <w:t>依据《中华人民共和国合同法》及相关的法律法规之规定，在自愿、平等、互利互惠、协商一致的基础上，按照广州市净水有限公司系统项目的具体要求，</w:t>
      </w:r>
      <w:r>
        <w:rPr>
          <w:rFonts w:hint="eastAsia"/>
          <w:sz w:val="24"/>
        </w:rPr>
        <w:t>本着友好合作的原则，经双方充分协商一致，签订本合同，以供双方共同遵守。</w:t>
      </w:r>
    </w:p>
    <w:p>
      <w:pPr>
        <w:pStyle w:val="3"/>
        <w:jc w:val="center"/>
      </w:pPr>
      <w:bookmarkStart w:id="11" w:name="_Toc318737187"/>
      <w:bookmarkStart w:id="12" w:name="_Toc321498836"/>
      <w:bookmarkStart w:id="13" w:name="_Toc318878189"/>
      <w:bookmarkStart w:id="14" w:name="_Toc324870842"/>
      <w:r>
        <w:rPr>
          <w:rFonts w:hint="eastAsia"/>
        </w:rPr>
        <w:t>第一条</w:t>
      </w:r>
      <w:r>
        <w:rPr>
          <w:rFonts w:hint="eastAsia"/>
        </w:rPr>
        <w:tab/>
      </w:r>
      <w:r>
        <w:rPr>
          <w:rFonts w:hint="eastAsia"/>
        </w:rPr>
        <w:t>定义</w:t>
      </w:r>
      <w:bookmarkEnd w:id="11"/>
      <w:bookmarkEnd w:id="12"/>
      <w:bookmarkEnd w:id="13"/>
      <w:bookmarkEnd w:id="14"/>
    </w:p>
    <w:p>
      <w:pPr>
        <w:spacing w:line="360" w:lineRule="auto"/>
        <w:ind w:firstLine="576"/>
        <w:rPr>
          <w:sz w:val="24"/>
        </w:rPr>
      </w:pPr>
      <w:r>
        <w:rPr>
          <w:sz w:val="24"/>
        </w:rPr>
        <w:t>本合同以下的用词及词语，应具有本</w:t>
      </w:r>
      <w:r>
        <w:rPr>
          <w:rFonts w:hint="eastAsia"/>
          <w:sz w:val="24"/>
        </w:rPr>
        <w:t>章</w:t>
      </w:r>
      <w:r>
        <w:rPr>
          <w:sz w:val="24"/>
        </w:rPr>
        <w:t>所赋予的含义。</w:t>
      </w:r>
    </w:p>
    <w:p>
      <w:pPr>
        <w:spacing w:line="360" w:lineRule="auto"/>
        <w:ind w:firstLine="576"/>
        <w:rPr>
          <w:sz w:val="24"/>
        </w:rPr>
      </w:pPr>
      <w:r>
        <w:rPr>
          <w:sz w:val="24"/>
        </w:rPr>
        <w:t>1.合同：</w:t>
      </w:r>
      <w:r>
        <w:rPr>
          <w:rFonts w:hint="eastAsia"/>
          <w:sz w:val="24"/>
        </w:rPr>
        <w:t>指甲方、乙方双方共同签署的本合同及附件。</w:t>
      </w:r>
    </w:p>
    <w:p>
      <w:pPr>
        <w:spacing w:line="360" w:lineRule="auto"/>
        <w:ind w:firstLine="576"/>
        <w:rPr>
          <w:sz w:val="24"/>
        </w:rPr>
      </w:pPr>
      <w:r>
        <w:rPr>
          <w:rFonts w:hint="eastAsia"/>
          <w:sz w:val="24"/>
        </w:rPr>
        <w:t>2</w:t>
      </w:r>
      <w:r>
        <w:rPr>
          <w:sz w:val="24"/>
        </w:rPr>
        <w:t>.</w:t>
      </w:r>
      <w:r>
        <w:rPr>
          <w:rFonts w:hint="eastAsia"/>
          <w:sz w:val="24"/>
        </w:rPr>
        <w:t>甲</w:t>
      </w:r>
      <w:r>
        <w:rPr>
          <w:sz w:val="24"/>
        </w:rPr>
        <w:t>方：</w:t>
      </w:r>
      <w:r>
        <w:rPr>
          <w:rFonts w:hint="eastAsia"/>
          <w:sz w:val="24"/>
        </w:rPr>
        <w:t>广州市净水有限公司</w:t>
      </w:r>
    </w:p>
    <w:p>
      <w:pPr>
        <w:spacing w:line="360" w:lineRule="auto"/>
        <w:ind w:firstLine="576"/>
        <w:rPr>
          <w:sz w:val="24"/>
        </w:rPr>
      </w:pPr>
      <w:r>
        <w:rPr>
          <w:sz w:val="24"/>
        </w:rPr>
        <w:t>3</w:t>
      </w:r>
      <w:r>
        <w:rPr>
          <w:rFonts w:hint="eastAsia"/>
          <w:sz w:val="24"/>
        </w:rPr>
        <w:t>.乙</w:t>
      </w:r>
      <w:r>
        <w:rPr>
          <w:sz w:val="24"/>
        </w:rPr>
        <w:t>方：</w:t>
      </w:r>
    </w:p>
    <w:p>
      <w:pPr>
        <w:spacing w:line="360" w:lineRule="auto"/>
        <w:ind w:firstLine="576"/>
        <w:rPr>
          <w:rFonts w:ascii="宋体" w:hAnsi="宋体"/>
          <w:sz w:val="24"/>
        </w:rPr>
      </w:pPr>
      <w:r>
        <w:rPr>
          <w:rFonts w:hint="eastAsia"/>
          <w:sz w:val="24"/>
        </w:rPr>
        <w:t>4.</w:t>
      </w:r>
      <w:r>
        <w:rPr>
          <w:rFonts w:hint="eastAsia"/>
          <w:sz w:val="24"/>
        </w:rPr>
        <w:tab/>
      </w:r>
      <w:r>
        <w:rPr>
          <w:rFonts w:hint="eastAsia"/>
          <w:sz w:val="24"/>
        </w:rPr>
        <w:t>项目</w:t>
      </w:r>
      <w:r>
        <w:rPr>
          <w:sz w:val="24"/>
        </w:rPr>
        <w:t>：</w:t>
      </w:r>
      <w:r>
        <w:rPr>
          <w:rFonts w:hint="eastAsia"/>
          <w:sz w:val="24"/>
        </w:rPr>
        <w:t>广州市净水有限公司机房环境监控系统更新改造项目</w:t>
      </w:r>
    </w:p>
    <w:p>
      <w:pPr>
        <w:spacing w:line="360" w:lineRule="auto"/>
        <w:ind w:firstLine="576"/>
        <w:rPr>
          <w:sz w:val="24"/>
        </w:rPr>
      </w:pPr>
      <w:r>
        <w:rPr>
          <w:rFonts w:hint="eastAsia"/>
          <w:sz w:val="24"/>
        </w:rPr>
        <w:t>5.</w:t>
      </w:r>
      <w:r>
        <w:rPr>
          <w:rFonts w:hint="eastAsia"/>
          <w:sz w:val="24"/>
        </w:rPr>
        <w:tab/>
      </w:r>
      <w:r>
        <w:rPr>
          <w:sz w:val="24"/>
        </w:rPr>
        <w:t>合同价款：</w:t>
      </w:r>
      <w:r>
        <w:rPr>
          <w:rFonts w:hint="eastAsia"/>
          <w:sz w:val="24"/>
        </w:rPr>
        <w:t>指乙方在正确地完全履行本合同约定的义务后，甲方根据本合同约定应支付给乙方的价款。</w:t>
      </w:r>
    </w:p>
    <w:p>
      <w:pPr>
        <w:spacing w:line="360" w:lineRule="auto"/>
        <w:ind w:firstLine="576"/>
        <w:rPr>
          <w:sz w:val="24"/>
        </w:rPr>
      </w:pPr>
      <w:r>
        <w:rPr>
          <w:rFonts w:hint="eastAsia"/>
          <w:sz w:val="24"/>
        </w:rPr>
        <w:t>6.</w:t>
      </w:r>
      <w:r>
        <w:rPr>
          <w:rFonts w:hint="eastAsia"/>
          <w:sz w:val="24"/>
        </w:rPr>
        <w:tab/>
      </w:r>
      <w:r>
        <w:rPr>
          <w:sz w:val="24"/>
        </w:rPr>
        <w:t>现场</w:t>
      </w:r>
      <w:r>
        <w:rPr>
          <w:rFonts w:hint="eastAsia"/>
          <w:sz w:val="24"/>
        </w:rPr>
        <w:t>：广州市天河区临江大道501号。</w:t>
      </w:r>
    </w:p>
    <w:p>
      <w:pPr>
        <w:spacing w:line="360" w:lineRule="auto"/>
        <w:ind w:firstLine="576"/>
        <w:rPr>
          <w:sz w:val="24"/>
        </w:rPr>
      </w:pPr>
      <w:r>
        <w:rPr>
          <w:rFonts w:hint="eastAsia"/>
          <w:sz w:val="24"/>
        </w:rPr>
        <w:t>7.</w:t>
      </w:r>
      <w:r>
        <w:rPr>
          <w:rFonts w:hint="eastAsia"/>
          <w:sz w:val="24"/>
        </w:rPr>
        <w:tab/>
      </w:r>
      <w:r>
        <w:rPr>
          <w:sz w:val="24"/>
        </w:rPr>
        <w:t>验收</w:t>
      </w:r>
      <w:r>
        <w:rPr>
          <w:rFonts w:hint="eastAsia"/>
          <w:sz w:val="24"/>
        </w:rPr>
        <w:t>：</w:t>
      </w:r>
      <w:r>
        <w:rPr>
          <w:sz w:val="24"/>
        </w:rPr>
        <w:t>指</w:t>
      </w:r>
      <w:r>
        <w:rPr>
          <w:rFonts w:hint="eastAsia"/>
          <w:sz w:val="24"/>
        </w:rPr>
        <w:t>本项目更新改造的机房环境监控系统能连续正常稳定地运行30个工作日，并完成相关的培训，完全实现甲方项目需求书上的运行效果与建设目标。最终验收由甲方发起，乙方需要在三个工作日内响应。</w:t>
      </w:r>
      <w:r>
        <w:rPr>
          <w:sz w:val="24"/>
        </w:rPr>
        <w:t>经</w:t>
      </w:r>
      <w:r>
        <w:rPr>
          <w:rFonts w:hint="eastAsia"/>
          <w:sz w:val="24"/>
        </w:rPr>
        <w:t>甲方对最终</w:t>
      </w:r>
      <w:r>
        <w:rPr>
          <w:sz w:val="24"/>
        </w:rPr>
        <w:t>验收确认</w:t>
      </w:r>
      <w:r>
        <w:rPr>
          <w:rFonts w:hint="eastAsia"/>
          <w:sz w:val="24"/>
        </w:rPr>
        <w:t>后</w:t>
      </w:r>
      <w:r>
        <w:rPr>
          <w:sz w:val="24"/>
        </w:rPr>
        <w:t>，</w:t>
      </w:r>
      <w:r>
        <w:rPr>
          <w:rFonts w:hint="eastAsia"/>
          <w:sz w:val="24"/>
        </w:rPr>
        <w:t>甲方</w:t>
      </w:r>
      <w:r>
        <w:rPr>
          <w:sz w:val="24"/>
        </w:rPr>
        <w:t>向</w:t>
      </w:r>
      <w:r>
        <w:rPr>
          <w:rFonts w:hint="eastAsia"/>
          <w:sz w:val="24"/>
        </w:rPr>
        <w:t>乙方</w:t>
      </w:r>
      <w:r>
        <w:rPr>
          <w:sz w:val="24"/>
        </w:rPr>
        <w:t>签发最终验收证书</w:t>
      </w:r>
      <w:r>
        <w:rPr>
          <w:rFonts w:hint="eastAsia"/>
          <w:sz w:val="24"/>
        </w:rPr>
        <w:t>，</w:t>
      </w:r>
      <w:r>
        <w:rPr>
          <w:sz w:val="24"/>
        </w:rPr>
        <w:t>证书由</w:t>
      </w:r>
      <w:r>
        <w:rPr>
          <w:rFonts w:hint="eastAsia"/>
          <w:sz w:val="24"/>
        </w:rPr>
        <w:t>双方</w:t>
      </w:r>
      <w:r>
        <w:rPr>
          <w:sz w:val="24"/>
        </w:rPr>
        <w:t>签字</w:t>
      </w:r>
      <w:r>
        <w:rPr>
          <w:rFonts w:hint="eastAsia"/>
          <w:sz w:val="24"/>
        </w:rPr>
        <w:t>确定</w:t>
      </w:r>
      <w:r>
        <w:rPr>
          <w:sz w:val="24"/>
        </w:rPr>
        <w:t>。</w:t>
      </w:r>
    </w:p>
    <w:p>
      <w:pPr>
        <w:spacing w:line="360" w:lineRule="auto"/>
        <w:ind w:firstLine="576"/>
        <w:rPr>
          <w:sz w:val="24"/>
        </w:rPr>
      </w:pPr>
      <w:r>
        <w:rPr>
          <w:rFonts w:hint="eastAsia"/>
          <w:sz w:val="24"/>
        </w:rPr>
        <w:t>8.</w:t>
      </w:r>
      <w:r>
        <w:rPr>
          <w:sz w:val="24"/>
        </w:rPr>
        <w:t>合同货币</w:t>
      </w:r>
      <w:r>
        <w:rPr>
          <w:rFonts w:hint="eastAsia"/>
          <w:sz w:val="24"/>
        </w:rPr>
        <w:t>：</w:t>
      </w:r>
      <w:r>
        <w:rPr>
          <w:sz w:val="24"/>
        </w:rPr>
        <w:t>指合同付款的货币，即人民币。</w:t>
      </w:r>
    </w:p>
    <w:p>
      <w:pPr>
        <w:spacing w:line="360" w:lineRule="auto"/>
        <w:ind w:firstLine="576"/>
        <w:rPr>
          <w:sz w:val="24"/>
        </w:rPr>
      </w:pPr>
      <w:r>
        <w:rPr>
          <w:rFonts w:hint="eastAsia"/>
          <w:sz w:val="24"/>
        </w:rPr>
        <w:t>9.总价包干方式：包工、包料、包开发、包调试、包验收、包培训、包运维（1年）的总价包干方式。</w:t>
      </w:r>
    </w:p>
    <w:p>
      <w:pPr>
        <w:spacing w:line="360" w:lineRule="auto"/>
        <w:ind w:firstLine="576"/>
        <w:rPr>
          <w:sz w:val="24"/>
        </w:rPr>
      </w:pPr>
      <w:r>
        <w:rPr>
          <w:rFonts w:hint="eastAsia"/>
          <w:sz w:val="24"/>
        </w:rPr>
        <w:t>10.规格：是指在技术或其它开发任务上所设定的关于设备的技术标准、规范。</w:t>
      </w:r>
    </w:p>
    <w:p>
      <w:pPr>
        <w:spacing w:line="360" w:lineRule="auto"/>
        <w:ind w:firstLine="576"/>
        <w:rPr>
          <w:sz w:val="24"/>
        </w:rPr>
      </w:pPr>
      <w:r>
        <w:rPr>
          <w:rFonts w:hint="eastAsia"/>
          <w:sz w:val="24"/>
        </w:rPr>
        <w:t>11.</w:t>
      </w:r>
      <w:r>
        <w:rPr>
          <w:sz w:val="24"/>
        </w:rPr>
        <w:t>技术服务</w:t>
      </w:r>
      <w:r>
        <w:rPr>
          <w:rFonts w:hint="eastAsia"/>
          <w:sz w:val="24"/>
        </w:rPr>
        <w:t>：</w:t>
      </w:r>
      <w:r>
        <w:rPr>
          <w:sz w:val="24"/>
        </w:rPr>
        <w:t>指</w:t>
      </w:r>
      <w:r>
        <w:rPr>
          <w:rFonts w:hint="eastAsia"/>
          <w:sz w:val="24"/>
        </w:rPr>
        <w:t>乙方负责</w:t>
      </w:r>
      <w:r>
        <w:rPr>
          <w:sz w:val="24"/>
        </w:rPr>
        <w:t>合同</w:t>
      </w:r>
      <w:r>
        <w:rPr>
          <w:rFonts w:hint="eastAsia"/>
          <w:sz w:val="24"/>
        </w:rPr>
        <w:t>系统建设、设备材料购置、运维期内的维护，以及对</w:t>
      </w:r>
      <w:r>
        <w:rPr>
          <w:sz w:val="24"/>
        </w:rPr>
        <w:t>验收、运行、维护等相关工作的技术指导</w:t>
      </w:r>
      <w:r>
        <w:rPr>
          <w:rFonts w:hint="eastAsia"/>
          <w:sz w:val="24"/>
        </w:rPr>
        <w:t>。</w:t>
      </w:r>
      <w:r>
        <w:rPr>
          <w:rFonts w:hint="eastAsia"/>
          <w:sz w:val="24"/>
        </w:rPr>
        <w:tab/>
      </w:r>
    </w:p>
    <w:p>
      <w:pPr>
        <w:spacing w:line="360" w:lineRule="auto"/>
        <w:ind w:firstLine="576"/>
      </w:pPr>
      <w:r>
        <w:rPr>
          <w:rFonts w:hint="eastAsia"/>
          <w:sz w:val="24"/>
        </w:rPr>
        <w:t>12.</w:t>
      </w:r>
      <w:r>
        <w:rPr>
          <w:sz w:val="24"/>
        </w:rPr>
        <w:t>技术培训</w:t>
      </w:r>
      <w:r>
        <w:rPr>
          <w:rFonts w:hint="eastAsia"/>
          <w:sz w:val="24"/>
        </w:rPr>
        <w:t>：</w:t>
      </w:r>
      <w:r>
        <w:rPr>
          <w:sz w:val="24"/>
        </w:rPr>
        <w:t>指</w:t>
      </w:r>
      <w:r>
        <w:rPr>
          <w:rFonts w:hint="eastAsia"/>
          <w:sz w:val="24"/>
        </w:rPr>
        <w:t>乙方就系统</w:t>
      </w:r>
      <w:r>
        <w:rPr>
          <w:sz w:val="24"/>
        </w:rPr>
        <w:t>的安装、调试、运行</w:t>
      </w:r>
      <w:r>
        <w:rPr>
          <w:rFonts w:hint="eastAsia"/>
          <w:sz w:val="24"/>
        </w:rPr>
        <w:t>、使用</w:t>
      </w:r>
      <w:r>
        <w:rPr>
          <w:sz w:val="24"/>
        </w:rPr>
        <w:t>和维护等相关工作向</w:t>
      </w:r>
      <w:r>
        <w:rPr>
          <w:rFonts w:hint="eastAsia"/>
          <w:sz w:val="24"/>
        </w:rPr>
        <w:t>甲方</w:t>
      </w:r>
      <w:r>
        <w:rPr>
          <w:sz w:val="24"/>
        </w:rPr>
        <w:t>提供的培训。</w:t>
      </w:r>
      <w:bookmarkStart w:id="15" w:name="_Toc321498837"/>
      <w:bookmarkStart w:id="16" w:name="_Toc324870843"/>
      <w:bookmarkStart w:id="17" w:name="_Toc318737188"/>
      <w:bookmarkStart w:id="18" w:name="_Toc318878190"/>
    </w:p>
    <w:p>
      <w:pPr>
        <w:pStyle w:val="3"/>
        <w:jc w:val="center"/>
        <w:sectPr>
          <w:pgSz w:w="11906" w:h="16838"/>
          <w:pgMar w:top="1089" w:right="1466" w:bottom="1089" w:left="1077" w:header="851" w:footer="992" w:gutter="0"/>
          <w:cols w:space="720" w:num="1"/>
          <w:docGrid w:type="lines" w:linePitch="312" w:charSpace="0"/>
        </w:sectPr>
      </w:pPr>
    </w:p>
    <w:p>
      <w:pPr>
        <w:pStyle w:val="3"/>
        <w:jc w:val="center"/>
      </w:pPr>
      <w:r>
        <w:rPr>
          <w:rFonts w:hint="eastAsia"/>
        </w:rPr>
        <w:t>第二条合同标的</w:t>
      </w:r>
      <w:bookmarkEnd w:id="15"/>
      <w:bookmarkEnd w:id="16"/>
      <w:bookmarkEnd w:id="17"/>
      <w:bookmarkEnd w:id="18"/>
    </w:p>
    <w:p>
      <w:pPr>
        <w:spacing w:line="360" w:lineRule="auto"/>
        <w:ind w:firstLine="576"/>
        <w:rPr>
          <w:sz w:val="24"/>
        </w:rPr>
      </w:pPr>
      <w:r>
        <w:rPr>
          <w:rFonts w:hint="eastAsia"/>
          <w:sz w:val="24"/>
        </w:rPr>
        <w:t>1. 本内容为广州市净水有限公司机房环境监控系统更新改造项目，包括系统建设、软硬件设备购置、培训、维保。</w:t>
      </w:r>
    </w:p>
    <w:p>
      <w:pPr>
        <w:spacing w:line="360" w:lineRule="auto"/>
        <w:ind w:firstLine="576"/>
        <w:rPr>
          <w:sz w:val="24"/>
        </w:rPr>
      </w:pPr>
      <w:r>
        <w:rPr>
          <w:rFonts w:hint="eastAsia"/>
          <w:sz w:val="24"/>
        </w:rPr>
        <w:t>2. 乙方应向甲方提供所有的设备、软件、技术文件、服务等以便于合同的执行。乙方保证，如果其在合同执行期间乙方提供的服务不能完全满足安全、可靠运行或合同规定的性能，乙方应增加人力物力，尽快向甲方提供达到合同规定性能的服务，并不因此而增加合同价格。</w:t>
      </w:r>
    </w:p>
    <w:p>
      <w:pPr>
        <w:spacing w:line="360" w:lineRule="auto"/>
        <w:ind w:firstLine="576"/>
        <w:rPr>
          <w:sz w:val="24"/>
        </w:rPr>
      </w:pPr>
      <w:r>
        <w:rPr>
          <w:rFonts w:hint="eastAsia"/>
          <w:sz w:val="24"/>
        </w:rPr>
        <w:t>3.乙</w:t>
      </w:r>
      <w:r>
        <w:rPr>
          <w:sz w:val="24"/>
        </w:rPr>
        <w:t>方应根据</w:t>
      </w:r>
      <w:r>
        <w:rPr>
          <w:rFonts w:hint="eastAsia"/>
          <w:sz w:val="24"/>
        </w:rPr>
        <w:t>询价文件</w:t>
      </w:r>
      <w:r>
        <w:rPr>
          <w:sz w:val="24"/>
        </w:rPr>
        <w:t>规定的范围、规格、数量提供相应的服务</w:t>
      </w:r>
      <w:r>
        <w:rPr>
          <w:rFonts w:hint="eastAsia"/>
          <w:sz w:val="24"/>
        </w:rPr>
        <w:t>，以</w:t>
      </w:r>
      <w:r>
        <w:rPr>
          <w:sz w:val="24"/>
        </w:rPr>
        <w:t>保证合同</w:t>
      </w:r>
      <w:r>
        <w:rPr>
          <w:rFonts w:hint="eastAsia"/>
          <w:sz w:val="24"/>
        </w:rPr>
        <w:t>所有设备</w:t>
      </w:r>
      <w:r>
        <w:rPr>
          <w:sz w:val="24"/>
        </w:rPr>
        <w:t>的安全和正常运行。</w:t>
      </w:r>
    </w:p>
    <w:p>
      <w:pPr>
        <w:spacing w:line="360" w:lineRule="auto"/>
        <w:ind w:firstLine="576"/>
        <w:rPr>
          <w:sz w:val="24"/>
        </w:rPr>
      </w:pPr>
      <w:r>
        <w:rPr>
          <w:rFonts w:hint="eastAsia"/>
          <w:sz w:val="24"/>
        </w:rPr>
        <w:t>4. 乙方</w:t>
      </w:r>
      <w:r>
        <w:rPr>
          <w:sz w:val="24"/>
        </w:rPr>
        <w:t>应当派遣</w:t>
      </w:r>
      <w:r>
        <w:rPr>
          <w:rFonts w:hint="eastAsia"/>
          <w:sz w:val="24"/>
        </w:rPr>
        <w:t>足够的、</w:t>
      </w:r>
      <w:r>
        <w:rPr>
          <w:sz w:val="24"/>
        </w:rPr>
        <w:t>有经验的、健康的、合格的人员到</w:t>
      </w:r>
      <w:r>
        <w:rPr>
          <w:rFonts w:hint="eastAsia"/>
          <w:sz w:val="24"/>
        </w:rPr>
        <w:t>甲</w:t>
      </w:r>
      <w:r>
        <w:rPr>
          <w:sz w:val="24"/>
        </w:rPr>
        <w:t>方的项目现场提供技术服务。</w:t>
      </w:r>
    </w:p>
    <w:p>
      <w:pPr>
        <w:spacing w:line="360" w:lineRule="auto"/>
        <w:ind w:firstLine="576"/>
        <w:rPr>
          <w:sz w:val="24"/>
        </w:rPr>
      </w:pPr>
      <w:r>
        <w:rPr>
          <w:rFonts w:hint="eastAsia"/>
          <w:sz w:val="24"/>
        </w:rPr>
        <w:t>5. 乙</w:t>
      </w:r>
      <w:r>
        <w:rPr>
          <w:sz w:val="24"/>
        </w:rPr>
        <w:t>方负责对</w:t>
      </w:r>
      <w:r>
        <w:rPr>
          <w:rFonts w:hint="eastAsia"/>
          <w:sz w:val="24"/>
        </w:rPr>
        <w:t>甲</w:t>
      </w:r>
      <w:r>
        <w:rPr>
          <w:sz w:val="24"/>
        </w:rPr>
        <w:t>方派遣的技术人员</w:t>
      </w:r>
      <w:r>
        <w:rPr>
          <w:rFonts w:hint="eastAsia"/>
          <w:sz w:val="24"/>
        </w:rPr>
        <w:t>和系统用户</w:t>
      </w:r>
      <w:r>
        <w:rPr>
          <w:sz w:val="24"/>
        </w:rPr>
        <w:t>进行培训。</w:t>
      </w:r>
    </w:p>
    <w:p>
      <w:pPr>
        <w:spacing w:line="360" w:lineRule="auto"/>
        <w:ind w:firstLine="576"/>
        <w:rPr>
          <w:sz w:val="24"/>
        </w:rPr>
      </w:pPr>
      <w:r>
        <w:rPr>
          <w:rFonts w:hint="eastAsia"/>
          <w:sz w:val="24"/>
        </w:rPr>
        <w:t>6. 乙方应履行合同约定的其他义务和责任。</w:t>
      </w:r>
    </w:p>
    <w:p>
      <w:pPr>
        <w:pStyle w:val="3"/>
        <w:jc w:val="center"/>
      </w:pPr>
      <w:bookmarkStart w:id="19" w:name="_Toc318737189"/>
      <w:bookmarkStart w:id="20" w:name="_Toc318878191"/>
      <w:bookmarkStart w:id="21" w:name="_Toc324870844"/>
      <w:bookmarkStart w:id="22" w:name="_Toc321498838"/>
      <w:r>
        <w:rPr>
          <w:rFonts w:hint="eastAsia"/>
        </w:rPr>
        <w:t>第三条建设项目</w:t>
      </w:r>
      <w:bookmarkEnd w:id="19"/>
      <w:bookmarkEnd w:id="20"/>
      <w:bookmarkEnd w:id="21"/>
      <w:bookmarkEnd w:id="22"/>
    </w:p>
    <w:p>
      <w:pPr>
        <w:numPr>
          <w:ilvl w:val="0"/>
          <w:numId w:val="7"/>
        </w:numPr>
        <w:spacing w:line="360" w:lineRule="auto"/>
        <w:rPr>
          <w:sz w:val="24"/>
        </w:rPr>
      </w:pPr>
      <w:r>
        <w:rPr>
          <w:rFonts w:hint="eastAsia"/>
          <w:sz w:val="24"/>
        </w:rPr>
        <w:t>项目名称：广州市净水有限机房环境监控系统更新改造项目</w:t>
      </w:r>
    </w:p>
    <w:p>
      <w:pPr>
        <w:numPr>
          <w:ilvl w:val="0"/>
          <w:numId w:val="7"/>
        </w:numPr>
        <w:spacing w:line="360" w:lineRule="auto"/>
        <w:rPr>
          <w:sz w:val="24"/>
        </w:rPr>
      </w:pPr>
      <w:r>
        <w:rPr>
          <w:rFonts w:hint="eastAsia"/>
          <w:sz w:val="24"/>
        </w:rPr>
        <w:t>项目地点：广州市天河区临江大道501号</w:t>
      </w:r>
    </w:p>
    <w:p>
      <w:pPr>
        <w:numPr>
          <w:ilvl w:val="0"/>
          <w:numId w:val="7"/>
        </w:numPr>
        <w:spacing w:line="360" w:lineRule="auto"/>
        <w:rPr>
          <w:sz w:val="24"/>
        </w:rPr>
      </w:pPr>
      <w:r>
        <w:rPr>
          <w:rFonts w:hint="eastAsia"/>
          <w:sz w:val="24"/>
        </w:rPr>
        <w:t>项目范围：机房环境监控系统的建设、软硬件设备购置、培训、运维。</w:t>
      </w:r>
    </w:p>
    <w:p>
      <w:pPr>
        <w:numPr>
          <w:ilvl w:val="0"/>
          <w:numId w:val="7"/>
        </w:numPr>
        <w:spacing w:line="360" w:lineRule="auto"/>
        <w:rPr>
          <w:sz w:val="24"/>
        </w:rPr>
      </w:pPr>
      <w:r>
        <w:rPr>
          <w:rFonts w:hint="eastAsia"/>
          <w:sz w:val="24"/>
        </w:rPr>
        <w:t>项目目标：</w:t>
      </w:r>
      <w:r>
        <w:rPr>
          <w:sz w:val="24"/>
        </w:rPr>
        <w:t>项目建设的总体目标</w:t>
      </w:r>
      <w:r>
        <w:rPr>
          <w:rFonts w:hint="eastAsia"/>
          <w:sz w:val="24"/>
        </w:rPr>
        <w:t>——完成机房环境监控系统的建设。</w:t>
      </w:r>
    </w:p>
    <w:p>
      <w:pPr>
        <w:pStyle w:val="36"/>
        <w:numPr>
          <w:ilvl w:val="0"/>
          <w:numId w:val="8"/>
        </w:numPr>
        <w:spacing w:line="360" w:lineRule="auto"/>
        <w:ind w:left="0" w:firstLine="480"/>
        <w:rPr>
          <w:rFonts w:ascii="宋体" w:hAnsi="宋体"/>
          <w:sz w:val="24"/>
          <w:szCs w:val="24"/>
        </w:rPr>
      </w:pPr>
      <w:r>
        <w:rPr>
          <w:rFonts w:hint="eastAsia" w:ascii="宋体" w:hAnsi="宋体"/>
          <w:sz w:val="24"/>
          <w:szCs w:val="24"/>
        </w:rPr>
        <w:t>完成询价文件规定的</w:t>
      </w:r>
      <w:r>
        <w:rPr>
          <w:rFonts w:hint="eastAsia"/>
          <w:sz w:val="24"/>
        </w:rPr>
        <w:t>机房环境监控系统更新改造</w:t>
      </w:r>
      <w:r>
        <w:rPr>
          <w:rFonts w:hint="eastAsia" w:ascii="宋体" w:hAnsi="宋体"/>
          <w:sz w:val="24"/>
          <w:szCs w:val="24"/>
        </w:rPr>
        <w:t>；</w:t>
      </w:r>
    </w:p>
    <w:p>
      <w:pPr>
        <w:pStyle w:val="36"/>
        <w:numPr>
          <w:ilvl w:val="0"/>
          <w:numId w:val="8"/>
        </w:numPr>
        <w:spacing w:line="360" w:lineRule="auto"/>
        <w:ind w:left="0" w:firstLine="480"/>
        <w:rPr>
          <w:rFonts w:ascii="宋体" w:hAnsi="宋体"/>
          <w:sz w:val="24"/>
          <w:szCs w:val="24"/>
        </w:rPr>
      </w:pPr>
      <w:r>
        <w:rPr>
          <w:rFonts w:hint="eastAsia" w:ascii="宋体" w:hAnsi="宋体"/>
          <w:sz w:val="24"/>
          <w:szCs w:val="24"/>
        </w:rPr>
        <w:t>解决系统使用过程中产生的问题；</w:t>
      </w:r>
    </w:p>
    <w:p>
      <w:pPr>
        <w:pStyle w:val="36"/>
        <w:numPr>
          <w:ilvl w:val="0"/>
          <w:numId w:val="8"/>
        </w:numPr>
        <w:spacing w:line="360" w:lineRule="auto"/>
        <w:ind w:left="0" w:firstLine="480"/>
        <w:rPr>
          <w:rFonts w:ascii="宋体" w:hAnsi="宋体"/>
          <w:sz w:val="24"/>
          <w:szCs w:val="24"/>
        </w:rPr>
      </w:pPr>
      <w:r>
        <w:rPr>
          <w:rFonts w:hint="eastAsia" w:ascii="宋体" w:hAnsi="宋体"/>
          <w:sz w:val="24"/>
          <w:szCs w:val="24"/>
        </w:rPr>
        <w:t>提供自验收</w:t>
      </w:r>
      <w:r>
        <w:rPr>
          <w:rFonts w:ascii="宋体" w:hAnsi="宋体"/>
          <w:sz w:val="24"/>
          <w:szCs w:val="24"/>
        </w:rPr>
        <w:t>合格</w:t>
      </w:r>
      <w:r>
        <w:rPr>
          <w:rFonts w:hint="eastAsia" w:ascii="宋体" w:hAnsi="宋体"/>
          <w:sz w:val="24"/>
          <w:szCs w:val="24"/>
        </w:rPr>
        <w:t>日起</w:t>
      </w:r>
      <w:r>
        <w:rPr>
          <w:rFonts w:hint="eastAsia" w:ascii="宋体" w:hAnsi="宋体"/>
          <w:color w:val="FF0000"/>
          <w:sz w:val="24"/>
          <w:szCs w:val="24"/>
        </w:rPr>
        <w:t>一年的维保服务；</w:t>
      </w:r>
    </w:p>
    <w:p>
      <w:pPr>
        <w:pStyle w:val="36"/>
        <w:numPr>
          <w:ilvl w:val="0"/>
          <w:numId w:val="8"/>
        </w:numPr>
        <w:spacing w:line="360" w:lineRule="auto"/>
        <w:ind w:left="0" w:firstLine="480"/>
        <w:rPr>
          <w:rFonts w:ascii="宋体" w:hAnsi="宋体"/>
          <w:sz w:val="24"/>
          <w:szCs w:val="24"/>
        </w:rPr>
      </w:pPr>
      <w:r>
        <w:rPr>
          <w:rFonts w:hint="eastAsia" w:ascii="宋体" w:hAnsi="宋体"/>
          <w:sz w:val="24"/>
          <w:szCs w:val="24"/>
        </w:rPr>
        <w:t>根据用户需求开展用户培训。</w:t>
      </w:r>
    </w:p>
    <w:p>
      <w:pPr>
        <w:pStyle w:val="3"/>
        <w:jc w:val="center"/>
      </w:pPr>
      <w:bookmarkStart w:id="23" w:name="_Toc321498839"/>
      <w:bookmarkStart w:id="24" w:name="_Toc324870845"/>
      <w:bookmarkStart w:id="25" w:name="_Toc318878192"/>
      <w:bookmarkStart w:id="26" w:name="_Toc318737190"/>
      <w:r>
        <w:rPr>
          <w:rFonts w:hint="eastAsia"/>
        </w:rPr>
        <w:t>第四条项目期限</w:t>
      </w:r>
      <w:bookmarkEnd w:id="23"/>
      <w:bookmarkEnd w:id="24"/>
      <w:bookmarkEnd w:id="25"/>
      <w:bookmarkEnd w:id="26"/>
    </w:p>
    <w:p>
      <w:pPr>
        <w:numPr>
          <w:ilvl w:val="0"/>
          <w:numId w:val="9"/>
        </w:numPr>
        <w:spacing w:line="360" w:lineRule="auto"/>
        <w:rPr>
          <w:sz w:val="24"/>
        </w:rPr>
      </w:pPr>
      <w:r>
        <w:rPr>
          <w:rFonts w:hint="eastAsia"/>
          <w:sz w:val="24"/>
        </w:rPr>
        <w:t>在合同签订后7个工作日内，双方协商确定项目开始时间，乙方提交技术方案书和实施计划。</w:t>
      </w:r>
    </w:p>
    <w:p>
      <w:pPr>
        <w:numPr>
          <w:ilvl w:val="0"/>
          <w:numId w:val="9"/>
        </w:numPr>
        <w:spacing w:line="360" w:lineRule="auto"/>
        <w:rPr>
          <w:sz w:val="24"/>
        </w:rPr>
      </w:pPr>
      <w:r>
        <w:rPr>
          <w:rFonts w:hint="eastAsia"/>
          <w:sz w:val="24"/>
        </w:rPr>
        <w:t>在乙方保证机房环境监控系统稳定运行的前提下，且系统运行稳定30个工作日内，由甲方发起最终验收通知。</w:t>
      </w:r>
    </w:p>
    <w:p>
      <w:pPr>
        <w:numPr>
          <w:ilvl w:val="0"/>
          <w:numId w:val="9"/>
        </w:numPr>
        <w:spacing w:line="360" w:lineRule="auto"/>
        <w:rPr>
          <w:sz w:val="24"/>
        </w:rPr>
      </w:pPr>
      <w:r>
        <w:rPr>
          <w:rFonts w:hint="eastAsia"/>
          <w:sz w:val="24"/>
        </w:rPr>
        <w:t>如遇下列情况，经甲乙双方以书面形式确认后，工期作相应顺延；</w:t>
      </w:r>
    </w:p>
    <w:p>
      <w:pPr>
        <w:numPr>
          <w:ilvl w:val="0"/>
          <w:numId w:val="10"/>
        </w:numPr>
        <w:spacing w:line="360" w:lineRule="auto"/>
        <w:rPr>
          <w:sz w:val="24"/>
        </w:rPr>
      </w:pPr>
      <w:r>
        <w:rPr>
          <w:rFonts w:hint="eastAsia"/>
          <w:sz w:val="24"/>
        </w:rPr>
        <w:t>由于甲方未履行应负责任而影响乙方进场运维；</w:t>
      </w:r>
    </w:p>
    <w:p>
      <w:pPr>
        <w:numPr>
          <w:ilvl w:val="0"/>
          <w:numId w:val="10"/>
        </w:numPr>
        <w:spacing w:line="360" w:lineRule="auto"/>
        <w:rPr>
          <w:sz w:val="24"/>
        </w:rPr>
      </w:pPr>
      <w:r>
        <w:rPr>
          <w:rFonts w:hint="eastAsia"/>
          <w:sz w:val="24"/>
        </w:rPr>
        <w:t>重大设计变更或工作范围的变化；</w:t>
      </w:r>
    </w:p>
    <w:p>
      <w:pPr>
        <w:numPr>
          <w:ilvl w:val="0"/>
          <w:numId w:val="10"/>
        </w:numPr>
        <w:spacing w:line="360" w:lineRule="auto"/>
        <w:rPr>
          <w:sz w:val="24"/>
        </w:rPr>
      </w:pPr>
      <w:r>
        <w:rPr>
          <w:rFonts w:hint="eastAsia"/>
          <w:sz w:val="24"/>
        </w:rPr>
        <w:t>因不可抗力（如台风、水灾、自然原因发生的火灾、地震等）的因素而影响进度；</w:t>
      </w:r>
    </w:p>
    <w:p>
      <w:pPr>
        <w:numPr>
          <w:ilvl w:val="0"/>
          <w:numId w:val="10"/>
        </w:numPr>
        <w:spacing w:line="360" w:lineRule="auto"/>
        <w:rPr>
          <w:sz w:val="24"/>
        </w:rPr>
      </w:pPr>
      <w:r>
        <w:rPr>
          <w:rFonts w:hint="eastAsia"/>
          <w:sz w:val="24"/>
        </w:rPr>
        <w:t>由于其它工种未能配合而影响进度，经甲方确认的应顺延的情况；</w:t>
      </w:r>
    </w:p>
    <w:p>
      <w:pPr>
        <w:numPr>
          <w:ilvl w:val="0"/>
          <w:numId w:val="10"/>
        </w:numPr>
        <w:spacing w:line="360" w:lineRule="auto"/>
        <w:rPr>
          <w:sz w:val="24"/>
        </w:rPr>
      </w:pPr>
      <w:r>
        <w:rPr>
          <w:rFonts w:hint="eastAsia"/>
          <w:sz w:val="24"/>
        </w:rPr>
        <w:t>甲方同意予以顺延的其他情况。</w:t>
      </w:r>
    </w:p>
    <w:p>
      <w:pPr>
        <w:spacing w:line="360" w:lineRule="auto"/>
        <w:ind w:firstLine="480"/>
        <w:rPr>
          <w:sz w:val="24"/>
        </w:rPr>
      </w:pPr>
      <w:r>
        <w:rPr>
          <w:rFonts w:hint="eastAsia"/>
          <w:sz w:val="24"/>
        </w:rPr>
        <w:t>乙方应在上述情况发生后两天内，就延误的工期及原因以书面形式向甲方提出报告。非上述原因，项目不能按合同工期竣工及调试完毕，乙方承担违约责任。</w:t>
      </w:r>
    </w:p>
    <w:p>
      <w:pPr>
        <w:pStyle w:val="3"/>
        <w:jc w:val="center"/>
      </w:pPr>
      <w:bookmarkStart w:id="27" w:name="_Toc321498841"/>
      <w:bookmarkStart w:id="28" w:name="_Toc324870847"/>
      <w:bookmarkStart w:id="29" w:name="_Toc318878194"/>
      <w:bookmarkStart w:id="30" w:name="_Toc318737192"/>
      <w:r>
        <w:rPr>
          <w:rFonts w:hint="eastAsia"/>
        </w:rPr>
        <w:t>第五条</w:t>
      </w:r>
      <w:bookmarkEnd w:id="27"/>
      <w:bookmarkEnd w:id="28"/>
      <w:bookmarkEnd w:id="29"/>
      <w:bookmarkEnd w:id="30"/>
      <w:r>
        <w:rPr>
          <w:rFonts w:hint="eastAsia"/>
        </w:rPr>
        <w:t>售后服务条款</w:t>
      </w:r>
    </w:p>
    <w:p>
      <w:pPr>
        <w:pStyle w:val="46"/>
        <w:ind w:left="420" w:firstLine="0" w:firstLineChars="0"/>
        <w:rPr>
          <w:rFonts w:ascii="Times New Roman" w:hAnsi="Times New Roman" w:cs="Times New Roman"/>
          <w:szCs w:val="24"/>
        </w:rPr>
      </w:pPr>
      <w:r>
        <w:rPr>
          <w:rFonts w:hint="eastAsia" w:ascii="Times New Roman" w:hAnsi="Times New Roman" w:cs="Times New Roman"/>
          <w:szCs w:val="24"/>
        </w:rPr>
        <w:t>乙方应在系统项目验收合格后一年之内免费提供售后质量保证服务：</w:t>
      </w:r>
    </w:p>
    <w:p>
      <w:pPr>
        <w:pStyle w:val="39"/>
        <w:numPr>
          <w:ilvl w:val="0"/>
          <w:numId w:val="11"/>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乙方应详细说明提供优质的售后服务的具体保证措施，并提供完整的服务方案。</w:t>
      </w:r>
    </w:p>
    <w:p>
      <w:pPr>
        <w:pStyle w:val="39"/>
        <w:numPr>
          <w:ilvl w:val="0"/>
          <w:numId w:val="11"/>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质量保证期：从最终验收合格证书签订之日起，质量保证期为1年。</w:t>
      </w:r>
    </w:p>
    <w:p>
      <w:pPr>
        <w:pStyle w:val="39"/>
        <w:numPr>
          <w:ilvl w:val="0"/>
          <w:numId w:val="11"/>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乙方应能保证：</w:t>
      </w:r>
    </w:p>
    <w:p>
      <w:pPr>
        <w:pStyle w:val="3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提供产品原厂商一年的免费电话</w:t>
      </w:r>
      <w:r>
        <w:rPr>
          <w:rFonts w:ascii="Times New Roman" w:hAnsi="Times New Roman"/>
          <w:sz w:val="24"/>
          <w:szCs w:val="24"/>
        </w:rPr>
        <w:t>技术支持</w:t>
      </w:r>
      <w:r>
        <w:rPr>
          <w:rFonts w:hint="eastAsia" w:ascii="Times New Roman" w:hAnsi="Times New Roman"/>
          <w:sz w:val="24"/>
          <w:szCs w:val="24"/>
        </w:rPr>
        <w:t>服务；</w:t>
      </w:r>
    </w:p>
    <w:p>
      <w:pPr>
        <w:pStyle w:val="3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接到报障电话后，技术人员应即时响应，通过远程连接方式对故障进行处理；</w:t>
      </w:r>
    </w:p>
    <w:p>
      <w:pPr>
        <w:pStyle w:val="39"/>
        <w:numPr>
          <w:ilvl w:val="0"/>
          <w:numId w:val="12"/>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如果</w:t>
      </w:r>
      <w:r>
        <w:rPr>
          <w:rFonts w:ascii="Times New Roman" w:hAnsi="Times New Roman"/>
          <w:sz w:val="24"/>
          <w:szCs w:val="24"/>
        </w:rPr>
        <w:t>远程无法解决故障，需在</w:t>
      </w:r>
      <w:r>
        <w:rPr>
          <w:rFonts w:hint="eastAsia" w:ascii="Times New Roman" w:hAnsi="Times New Roman"/>
          <w:sz w:val="24"/>
          <w:szCs w:val="24"/>
        </w:rPr>
        <w:t>24小时</w:t>
      </w:r>
      <w:r>
        <w:rPr>
          <w:rFonts w:ascii="Times New Roman" w:hAnsi="Times New Roman"/>
          <w:sz w:val="24"/>
          <w:szCs w:val="24"/>
        </w:rPr>
        <w:t>内到现场进行处理。</w:t>
      </w:r>
    </w:p>
    <w:p>
      <w:pPr>
        <w:pStyle w:val="39"/>
        <w:numPr>
          <w:ilvl w:val="0"/>
          <w:numId w:val="11"/>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系统使用过程中发生系统或应用迁移等变动时，乙方应提供配合和技术协助。</w:t>
      </w:r>
    </w:p>
    <w:p>
      <w:pPr>
        <w:pStyle w:val="39"/>
        <w:numPr>
          <w:ilvl w:val="0"/>
          <w:numId w:val="11"/>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乙方应根据项目实施的计划、进度和需要与甲方的合理要求，及时安排对甲方的相关人员进行培训。培训目标为使受训者能够独立、熟练地完成操作，实现本项目所有设备的正常投入使用。具体如下：</w:t>
      </w:r>
    </w:p>
    <w:p>
      <w:pPr>
        <w:pStyle w:val="39"/>
        <w:autoSpaceDE w:val="0"/>
        <w:autoSpaceDN w:val="0"/>
        <w:adjustRightInd w:val="0"/>
        <w:spacing w:line="360" w:lineRule="auto"/>
        <w:ind w:left="420" w:firstLine="0" w:firstLineChars="0"/>
        <w:textAlignment w:val="baseline"/>
        <w:rPr>
          <w:rFonts w:ascii="Times New Roman" w:hAnsi="Times New Roman"/>
          <w:sz w:val="24"/>
          <w:szCs w:val="24"/>
        </w:rPr>
      </w:pPr>
      <w:r>
        <w:rPr>
          <w:rFonts w:hint="eastAsia" w:ascii="Times New Roman" w:hAnsi="Times New Roman"/>
          <w:sz w:val="24"/>
          <w:szCs w:val="24"/>
        </w:rPr>
        <w:t>由乙方组织正式培训，采用准备好的注释、讲义、讨论会、视听演示，以及在现场进行实际操作示范，培训人员应做好操作、管理、维护设备的充分准备，乙方应提交一份培训计划给甲方以获批准。</w:t>
      </w:r>
    </w:p>
    <w:p>
      <w:pPr>
        <w:pStyle w:val="3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培训范围：系统管理员</w:t>
      </w:r>
    </w:p>
    <w:p>
      <w:pPr>
        <w:pStyle w:val="3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培训目的：使系统管理员熟悉系统功能操作等知识、能自主处理部分常见问题，普通用户熟练运用系统功能。</w:t>
      </w:r>
    </w:p>
    <w:p>
      <w:pPr>
        <w:pStyle w:val="3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ascii="Times New Roman" w:hAnsi="Times New Roman"/>
          <w:sz w:val="24"/>
          <w:szCs w:val="24"/>
        </w:rPr>
        <w:t>培训地点：</w:t>
      </w:r>
      <w:r>
        <w:rPr>
          <w:rFonts w:hint="eastAsia" w:ascii="Times New Roman" w:hAnsi="Times New Roman"/>
          <w:sz w:val="24"/>
          <w:szCs w:val="24"/>
        </w:rPr>
        <w:t>广州市净水有限公司</w:t>
      </w:r>
    </w:p>
    <w:p>
      <w:pPr>
        <w:pStyle w:val="3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w:t>
      </w:r>
      <w:r>
        <w:rPr>
          <w:rFonts w:ascii="Times New Roman" w:hAnsi="Times New Roman"/>
          <w:sz w:val="24"/>
          <w:szCs w:val="24"/>
        </w:rPr>
        <w:t>时间：</w:t>
      </w:r>
      <w:r>
        <w:rPr>
          <w:rFonts w:hint="eastAsia" w:ascii="Times New Roman" w:hAnsi="Times New Roman"/>
          <w:sz w:val="24"/>
          <w:szCs w:val="24"/>
        </w:rPr>
        <w:t>在</w:t>
      </w:r>
      <w:r>
        <w:rPr>
          <w:rFonts w:hint="eastAsia"/>
          <w:sz w:val="24"/>
        </w:rPr>
        <w:t>机房环境监控系统更新改造</w:t>
      </w:r>
      <w:r>
        <w:rPr>
          <w:rFonts w:hint="eastAsia" w:ascii="Times New Roman" w:hAnsi="Times New Roman"/>
          <w:sz w:val="24"/>
          <w:szCs w:val="24"/>
        </w:rPr>
        <w:t>完成后在</w:t>
      </w:r>
      <w:r>
        <w:rPr>
          <w:rFonts w:ascii="Times New Roman" w:hAnsi="Times New Roman"/>
          <w:sz w:val="24"/>
          <w:szCs w:val="24"/>
        </w:rPr>
        <w:t>现场</w:t>
      </w:r>
      <w:r>
        <w:rPr>
          <w:rFonts w:hint="eastAsia" w:ascii="Times New Roman" w:hAnsi="Times New Roman"/>
          <w:sz w:val="24"/>
          <w:szCs w:val="24"/>
        </w:rPr>
        <w:t>完成培训。</w:t>
      </w:r>
    </w:p>
    <w:p>
      <w:pPr>
        <w:pStyle w:val="39"/>
        <w:numPr>
          <w:ilvl w:val="0"/>
          <w:numId w:val="13"/>
        </w:numPr>
        <w:autoSpaceDE w:val="0"/>
        <w:autoSpaceDN w:val="0"/>
        <w:adjustRightInd w:val="0"/>
        <w:spacing w:line="360" w:lineRule="auto"/>
        <w:ind w:firstLineChars="0"/>
        <w:textAlignment w:val="baseline"/>
        <w:rPr>
          <w:rFonts w:ascii="Times New Roman" w:hAnsi="Times New Roman"/>
          <w:sz w:val="24"/>
          <w:szCs w:val="24"/>
        </w:rPr>
      </w:pPr>
      <w:r>
        <w:rPr>
          <w:rFonts w:hint="eastAsia" w:ascii="Times New Roman" w:hAnsi="Times New Roman"/>
          <w:sz w:val="24"/>
          <w:szCs w:val="24"/>
        </w:rPr>
        <w:t>培训</w:t>
      </w:r>
      <w:r>
        <w:rPr>
          <w:rFonts w:ascii="Times New Roman" w:hAnsi="Times New Roman"/>
          <w:sz w:val="24"/>
          <w:szCs w:val="24"/>
        </w:rPr>
        <w:t>内容</w:t>
      </w:r>
    </w:p>
    <w:p>
      <w:pPr>
        <w:pStyle w:val="39"/>
        <w:autoSpaceDE w:val="0"/>
        <w:autoSpaceDN w:val="0"/>
        <w:adjustRightInd w:val="0"/>
        <w:spacing w:line="360" w:lineRule="auto"/>
        <w:ind w:left="420" w:leftChars="200" w:firstLine="360" w:firstLineChars="150"/>
        <w:textAlignment w:val="baseline"/>
        <w:rPr>
          <w:rFonts w:ascii="Times New Roman" w:hAnsi="Times New Roman"/>
          <w:sz w:val="24"/>
          <w:szCs w:val="24"/>
        </w:rPr>
      </w:pPr>
      <w:r>
        <w:rPr>
          <w:rFonts w:hint="eastAsia" w:ascii="Times New Roman" w:hAnsi="Times New Roman"/>
          <w:sz w:val="24"/>
          <w:szCs w:val="24"/>
        </w:rPr>
        <w:t>在项目验收前对系统管理员进行</w:t>
      </w:r>
      <w:r>
        <w:rPr>
          <w:rFonts w:hint="eastAsia"/>
          <w:sz w:val="24"/>
        </w:rPr>
        <w:t>机房环境监控系统</w:t>
      </w:r>
      <w:r>
        <w:rPr>
          <w:rFonts w:hint="eastAsia" w:ascii="Times New Roman" w:hAnsi="Times New Roman"/>
          <w:sz w:val="24"/>
          <w:szCs w:val="24"/>
          <w:highlight w:val="yellow"/>
        </w:rPr>
        <w:t>的管理功能、权限控制、功能操作、故障排查等进行培训,次数不少于</w:t>
      </w:r>
      <w:r>
        <w:rPr>
          <w:rFonts w:ascii="Times New Roman" w:hAnsi="Times New Roman"/>
          <w:sz w:val="24"/>
          <w:szCs w:val="24"/>
          <w:highlight w:val="yellow"/>
        </w:rPr>
        <w:t>2</w:t>
      </w:r>
      <w:r>
        <w:rPr>
          <w:rFonts w:hint="eastAsia" w:ascii="Times New Roman" w:hAnsi="Times New Roman"/>
          <w:sz w:val="24"/>
          <w:szCs w:val="24"/>
          <w:highlight w:val="yellow"/>
        </w:rPr>
        <w:t>次</w:t>
      </w:r>
      <w:r>
        <w:rPr>
          <w:rFonts w:hint="eastAsia" w:ascii="Times New Roman" w:hAnsi="Times New Roman"/>
          <w:sz w:val="24"/>
          <w:szCs w:val="24"/>
        </w:rPr>
        <w:t>；</w:t>
      </w:r>
    </w:p>
    <w:p>
      <w:pPr>
        <w:pStyle w:val="39"/>
        <w:autoSpaceDE w:val="0"/>
        <w:autoSpaceDN w:val="0"/>
        <w:adjustRightInd w:val="0"/>
        <w:spacing w:line="360" w:lineRule="auto"/>
        <w:ind w:left="420" w:leftChars="200" w:firstLine="360" w:firstLineChars="150"/>
        <w:textAlignment w:val="baseline"/>
        <w:rPr>
          <w:rFonts w:ascii="Times New Roman" w:hAnsi="Times New Roman"/>
          <w:sz w:val="24"/>
          <w:szCs w:val="24"/>
        </w:rPr>
      </w:pPr>
      <w:r>
        <w:rPr>
          <w:rFonts w:hint="eastAsia" w:ascii="Times New Roman" w:hAnsi="Times New Roman"/>
          <w:sz w:val="24"/>
          <w:szCs w:val="24"/>
        </w:rPr>
        <w:t>若用户对系统管理及使用仍存在疑问，在实施和维护期间乙方必须持续提供咨询服务。</w:t>
      </w:r>
    </w:p>
    <w:p>
      <w:pPr>
        <w:pStyle w:val="3"/>
        <w:jc w:val="center"/>
      </w:pPr>
      <w:bookmarkStart w:id="31" w:name="_Toc321498844"/>
      <w:bookmarkStart w:id="32" w:name="_Toc324870850"/>
      <w:bookmarkStart w:id="33" w:name="_Toc318878197"/>
      <w:bookmarkStart w:id="34" w:name="_Toc318737195"/>
      <w:r>
        <w:rPr>
          <w:rFonts w:hint="eastAsia"/>
        </w:rPr>
        <w:t>第六条双方责任事项</w:t>
      </w:r>
      <w:bookmarkEnd w:id="31"/>
      <w:bookmarkEnd w:id="32"/>
      <w:bookmarkEnd w:id="33"/>
      <w:bookmarkEnd w:id="34"/>
    </w:p>
    <w:p>
      <w:pPr>
        <w:numPr>
          <w:ilvl w:val="0"/>
          <w:numId w:val="14"/>
        </w:numPr>
        <w:spacing w:line="360" w:lineRule="auto"/>
        <w:rPr>
          <w:sz w:val="24"/>
        </w:rPr>
      </w:pPr>
      <w:r>
        <w:rPr>
          <w:rFonts w:hint="eastAsia"/>
          <w:sz w:val="24"/>
        </w:rPr>
        <w:t>甲方的主要责任</w:t>
      </w:r>
    </w:p>
    <w:p>
      <w:pPr>
        <w:numPr>
          <w:ilvl w:val="0"/>
          <w:numId w:val="15"/>
        </w:numPr>
        <w:spacing w:line="360" w:lineRule="auto"/>
        <w:rPr>
          <w:sz w:val="24"/>
        </w:rPr>
      </w:pPr>
      <w:r>
        <w:rPr>
          <w:rFonts w:hint="eastAsia"/>
          <w:sz w:val="24"/>
        </w:rPr>
        <w:t>负责本项目与其他项目的协调工作；</w:t>
      </w:r>
    </w:p>
    <w:p>
      <w:pPr>
        <w:numPr>
          <w:ilvl w:val="0"/>
          <w:numId w:val="15"/>
        </w:numPr>
        <w:spacing w:line="360" w:lineRule="auto"/>
        <w:rPr>
          <w:sz w:val="24"/>
        </w:rPr>
      </w:pPr>
      <w:r>
        <w:rPr>
          <w:rFonts w:hint="eastAsia"/>
          <w:sz w:val="24"/>
        </w:rPr>
        <w:t>依合同按时拨付合同款，结算尾款。</w:t>
      </w:r>
    </w:p>
    <w:p>
      <w:pPr>
        <w:numPr>
          <w:ilvl w:val="0"/>
          <w:numId w:val="14"/>
        </w:numPr>
        <w:spacing w:line="360" w:lineRule="auto"/>
        <w:rPr>
          <w:sz w:val="24"/>
        </w:rPr>
      </w:pPr>
      <w:r>
        <w:rPr>
          <w:rFonts w:hint="eastAsia"/>
          <w:sz w:val="24"/>
        </w:rPr>
        <w:t>乙方的主要责任：</w:t>
      </w:r>
    </w:p>
    <w:p>
      <w:pPr>
        <w:numPr>
          <w:ilvl w:val="0"/>
          <w:numId w:val="16"/>
        </w:numPr>
        <w:spacing w:line="360" w:lineRule="auto"/>
        <w:rPr>
          <w:sz w:val="24"/>
        </w:rPr>
      </w:pPr>
      <w:r>
        <w:rPr>
          <w:rFonts w:hint="eastAsia"/>
          <w:sz w:val="24"/>
        </w:rPr>
        <w:t>及时向甲方提供竣工报告，提供实施计划、实施进度及设备的安装调试记录；</w:t>
      </w:r>
    </w:p>
    <w:p>
      <w:pPr>
        <w:numPr>
          <w:ilvl w:val="0"/>
          <w:numId w:val="16"/>
        </w:numPr>
        <w:spacing w:line="360" w:lineRule="auto"/>
        <w:rPr>
          <w:sz w:val="24"/>
        </w:rPr>
      </w:pPr>
      <w:r>
        <w:rPr>
          <w:rFonts w:hint="eastAsia"/>
          <w:sz w:val="24"/>
        </w:rPr>
        <w:t>乙方人员的现场实施，需与甲方或其它单位同场地共同作业时，乙方应做好相互协调与配合，不得擅自干涉他方开展工作；</w:t>
      </w:r>
    </w:p>
    <w:p>
      <w:pPr>
        <w:numPr>
          <w:ilvl w:val="0"/>
          <w:numId w:val="16"/>
        </w:numPr>
        <w:spacing w:line="360" w:lineRule="auto"/>
        <w:rPr>
          <w:sz w:val="24"/>
        </w:rPr>
      </w:pPr>
      <w:r>
        <w:rPr>
          <w:rFonts w:hint="eastAsia"/>
          <w:sz w:val="24"/>
        </w:rPr>
        <w:t>项目未竣工验收、交付使用前的管理（包括运输、保管和安全），一律由乙方负责自行解决并承担所有风险，甲方提供合适的场地和人员方面的协助；</w:t>
      </w:r>
    </w:p>
    <w:p>
      <w:pPr>
        <w:numPr>
          <w:ilvl w:val="0"/>
          <w:numId w:val="16"/>
        </w:numPr>
        <w:spacing w:line="360" w:lineRule="auto"/>
        <w:rPr>
          <w:sz w:val="24"/>
        </w:rPr>
      </w:pPr>
      <w:r>
        <w:rPr>
          <w:rFonts w:hint="eastAsia"/>
          <w:sz w:val="24"/>
        </w:rPr>
        <w:t>乙方必须严格按照技术规范进行安装，确保项目质量，按期完工；</w:t>
      </w:r>
    </w:p>
    <w:p>
      <w:pPr>
        <w:numPr>
          <w:ilvl w:val="0"/>
          <w:numId w:val="16"/>
        </w:numPr>
        <w:spacing w:line="360" w:lineRule="auto"/>
        <w:rPr>
          <w:sz w:val="24"/>
        </w:rPr>
      </w:pPr>
      <w:r>
        <w:rPr>
          <w:rFonts w:hint="eastAsia"/>
          <w:sz w:val="24"/>
        </w:rPr>
        <w:t>若实施过程中甲方按实际需要对方案做改动时，乙方应在双方协商一致后按协议实施；</w:t>
      </w:r>
    </w:p>
    <w:p>
      <w:pPr>
        <w:numPr>
          <w:ilvl w:val="0"/>
          <w:numId w:val="16"/>
        </w:numPr>
        <w:spacing w:line="360" w:lineRule="auto"/>
        <w:rPr>
          <w:sz w:val="24"/>
        </w:rPr>
      </w:pPr>
      <w:r>
        <w:rPr>
          <w:rFonts w:hint="eastAsia"/>
          <w:sz w:val="24"/>
        </w:rPr>
        <w:t>由于该项目实施失误造成的任何损失由乙方负责。</w:t>
      </w:r>
    </w:p>
    <w:p>
      <w:pPr>
        <w:numPr>
          <w:ilvl w:val="0"/>
          <w:numId w:val="14"/>
        </w:numPr>
        <w:spacing w:line="360" w:lineRule="auto"/>
        <w:rPr>
          <w:sz w:val="24"/>
        </w:rPr>
      </w:pPr>
      <w:r>
        <w:rPr>
          <w:rFonts w:hint="eastAsia"/>
          <w:sz w:val="24"/>
        </w:rPr>
        <w:t>双方责任</w:t>
      </w:r>
    </w:p>
    <w:p>
      <w:pPr>
        <w:numPr>
          <w:ilvl w:val="0"/>
          <w:numId w:val="17"/>
        </w:numPr>
        <w:spacing w:line="360" w:lineRule="auto"/>
        <w:rPr>
          <w:sz w:val="24"/>
        </w:rPr>
      </w:pPr>
      <w:r>
        <w:rPr>
          <w:rFonts w:hint="eastAsia"/>
          <w:sz w:val="24"/>
        </w:rPr>
        <w:t>甲乙双方密切合作，共同负责协调施工区管理方面的工作，为项目的顺利进行提供保证；</w:t>
      </w:r>
    </w:p>
    <w:p>
      <w:pPr>
        <w:numPr>
          <w:ilvl w:val="0"/>
          <w:numId w:val="17"/>
        </w:numPr>
        <w:spacing w:line="360" w:lineRule="auto"/>
        <w:rPr>
          <w:sz w:val="24"/>
        </w:rPr>
      </w:pPr>
      <w:r>
        <w:rPr>
          <w:rFonts w:hint="eastAsia"/>
          <w:sz w:val="24"/>
        </w:rPr>
        <w:t>甲乙双方应保守在履行本合同时所接触的对方商业秘密和技术秘密，不得向任何第三方透露，否则违约方必须承担违约责任并赔偿由此给对方造成的损失。此保密义务不因此合同的终止而解除。</w:t>
      </w:r>
    </w:p>
    <w:p>
      <w:pPr>
        <w:numPr>
          <w:ilvl w:val="0"/>
          <w:numId w:val="17"/>
        </w:numPr>
        <w:spacing w:line="360" w:lineRule="auto"/>
        <w:rPr>
          <w:sz w:val="24"/>
        </w:rPr>
      </w:pPr>
      <w:r>
        <w:rPr>
          <w:rFonts w:hint="eastAsia"/>
          <w:sz w:val="24"/>
        </w:rPr>
        <w:t>乙方保留对原有</w:t>
      </w:r>
      <w:r>
        <w:rPr>
          <w:sz w:val="24"/>
        </w:rPr>
        <w:t>知识产权以及</w:t>
      </w:r>
      <w:r>
        <w:rPr>
          <w:rFonts w:hint="eastAsia"/>
          <w:sz w:val="24"/>
        </w:rPr>
        <w:t>其所开发的文件和应用软件的所有权利、所有权和收益。自本合同生效之日起，各方仍应继续拥有其专利、商标、著作权、保密信息、商业秘密和其它知识产权的所有权利、所有权和利益。</w:t>
      </w:r>
    </w:p>
    <w:p>
      <w:pPr>
        <w:spacing w:line="360" w:lineRule="auto"/>
        <w:rPr>
          <w:sz w:val="24"/>
        </w:rPr>
      </w:pPr>
    </w:p>
    <w:p>
      <w:pPr>
        <w:pStyle w:val="3"/>
        <w:jc w:val="center"/>
      </w:pPr>
      <w:bookmarkStart w:id="35" w:name="_Toc318878198"/>
      <w:bookmarkStart w:id="36" w:name="_Toc324870851"/>
      <w:bookmarkStart w:id="37" w:name="_Toc321498845"/>
      <w:bookmarkStart w:id="38" w:name="_Toc318737196"/>
      <w:r>
        <w:rPr>
          <w:rFonts w:hint="eastAsia"/>
        </w:rPr>
        <w:t>第七条项目款项的支付和结算</w:t>
      </w:r>
      <w:bookmarkEnd w:id="35"/>
      <w:bookmarkEnd w:id="36"/>
      <w:bookmarkEnd w:id="37"/>
      <w:bookmarkEnd w:id="38"/>
    </w:p>
    <w:p>
      <w:pPr>
        <w:numPr>
          <w:ilvl w:val="0"/>
          <w:numId w:val="18"/>
        </w:numPr>
        <w:spacing w:line="360" w:lineRule="auto"/>
        <w:rPr>
          <w:sz w:val="24"/>
        </w:rPr>
      </w:pPr>
      <w:r>
        <w:rPr>
          <w:rFonts w:hint="eastAsia"/>
          <w:sz w:val="24"/>
        </w:rPr>
        <w:t>本项目合同总费用暂定为人民币：</w:t>
      </w:r>
      <w:r>
        <w:rPr>
          <w:rFonts w:hint="eastAsia"/>
          <w:sz w:val="24"/>
          <w:u w:val="single"/>
          <w:lang w:val="en-US" w:eastAsia="zh-CN"/>
        </w:rPr>
        <w:t xml:space="preserve">      </w:t>
      </w:r>
      <w:r>
        <w:rPr>
          <w:rFonts w:hint="eastAsia"/>
          <w:sz w:val="24"/>
        </w:rPr>
        <w:t>元，大写：</w:t>
      </w:r>
      <w:r>
        <w:rPr>
          <w:rFonts w:hint="eastAsia"/>
          <w:sz w:val="24"/>
          <w:u w:val="single"/>
          <w:lang w:val="en-US" w:eastAsia="zh-CN"/>
        </w:rPr>
        <w:t xml:space="preserve">               </w:t>
      </w:r>
      <w:r>
        <w:rPr>
          <w:rFonts w:hint="eastAsia"/>
          <w:sz w:val="24"/>
        </w:rPr>
        <w:t>。此费用总价包干，在项目实施期间原则上此总造价均不得调整。</w:t>
      </w:r>
    </w:p>
    <w:p>
      <w:pPr>
        <w:numPr>
          <w:ilvl w:val="0"/>
          <w:numId w:val="18"/>
        </w:numPr>
        <w:spacing w:line="360" w:lineRule="auto"/>
        <w:rPr>
          <w:sz w:val="24"/>
        </w:rPr>
      </w:pPr>
      <w:r>
        <w:rPr>
          <w:rFonts w:hint="eastAsia"/>
          <w:sz w:val="24"/>
        </w:rPr>
        <w:t>甲乙双方签订合同后1</w:t>
      </w:r>
      <w:r>
        <w:rPr>
          <w:sz w:val="24"/>
        </w:rPr>
        <w:t>5</w:t>
      </w:r>
      <w:r>
        <w:rPr>
          <w:rFonts w:hint="eastAsia"/>
          <w:sz w:val="24"/>
        </w:rPr>
        <w:t>个工作日内，乙方提交项目实施计划书以及符合甲方要求的施工安全备案资料后，甲方支付合同暂定价的</w:t>
      </w:r>
      <w:r>
        <w:rPr>
          <w:sz w:val="24"/>
        </w:rPr>
        <w:t>30</w:t>
      </w:r>
      <w:r>
        <w:rPr>
          <w:rFonts w:hint="eastAsia"/>
          <w:sz w:val="24"/>
        </w:rPr>
        <w:t>%给乙方。</w:t>
      </w:r>
    </w:p>
    <w:p>
      <w:pPr>
        <w:numPr>
          <w:ilvl w:val="0"/>
          <w:numId w:val="18"/>
        </w:numPr>
        <w:spacing w:line="360" w:lineRule="auto"/>
        <w:rPr>
          <w:sz w:val="24"/>
        </w:rPr>
      </w:pPr>
      <w:r>
        <w:rPr>
          <w:sz w:val="24"/>
        </w:rPr>
        <w:t>在</w:t>
      </w:r>
      <w:r>
        <w:rPr>
          <w:rFonts w:hint="eastAsia"/>
          <w:sz w:val="24"/>
        </w:rPr>
        <w:t>项目总体验收合格</w:t>
      </w:r>
      <w:r>
        <w:rPr>
          <w:sz w:val="24"/>
        </w:rPr>
        <w:t>后的15</w:t>
      </w:r>
      <w:r>
        <w:rPr>
          <w:rFonts w:hint="eastAsia"/>
          <w:sz w:val="24"/>
        </w:rPr>
        <w:t>个工作日内，乙方向甲方提供相关产品合格证和实际完成工作量清单，验收合格后甲方支付合同暂定价的</w:t>
      </w:r>
      <w:r>
        <w:rPr>
          <w:rFonts w:hint="eastAsia"/>
          <w:sz w:val="24"/>
          <w:lang w:val="en-US" w:eastAsia="zh-CN"/>
        </w:rPr>
        <w:t>50</w:t>
      </w:r>
      <w:r>
        <w:rPr>
          <w:rFonts w:hint="eastAsia"/>
          <w:sz w:val="24"/>
        </w:rPr>
        <w:t>%给乙方（付至合同暂定价的</w:t>
      </w:r>
      <w:r>
        <w:rPr>
          <w:rFonts w:hint="eastAsia"/>
          <w:sz w:val="24"/>
          <w:lang w:val="en-US" w:eastAsia="zh-CN"/>
        </w:rPr>
        <w:t>80</w:t>
      </w:r>
      <w:r>
        <w:rPr>
          <w:rFonts w:hint="eastAsia"/>
          <w:sz w:val="24"/>
        </w:rPr>
        <w:t>%）。</w:t>
      </w:r>
    </w:p>
    <w:p>
      <w:pPr>
        <w:numPr>
          <w:ilvl w:val="0"/>
          <w:numId w:val="18"/>
        </w:numPr>
        <w:spacing w:line="360" w:lineRule="auto"/>
        <w:rPr>
          <w:sz w:val="24"/>
        </w:rPr>
      </w:pPr>
      <w:r>
        <w:rPr>
          <w:rFonts w:hint="eastAsia"/>
          <w:sz w:val="24"/>
        </w:rPr>
        <w:t>经甲方或相关部门结算终审后，甲方支付至最终结算价的9</w:t>
      </w:r>
      <w:r>
        <w:rPr>
          <w:rFonts w:hint="eastAsia"/>
          <w:sz w:val="24"/>
          <w:lang w:val="en-US" w:eastAsia="zh-CN"/>
        </w:rPr>
        <w:t>5</w:t>
      </w:r>
      <w:r>
        <w:rPr>
          <w:sz w:val="24"/>
        </w:rPr>
        <w:t>%。</w:t>
      </w:r>
      <w:r>
        <w:rPr>
          <w:rFonts w:hint="eastAsia"/>
          <w:sz w:val="24"/>
        </w:rPr>
        <w:t>审核结算结果如下：在甲方未提出任何新增工作量的情况下，如果最终审核结算价超过暂定合同价，将按暂定合同价支付；如果最终审核结算价不超过暂定合同价，将按最终审核结算价支付。</w:t>
      </w:r>
    </w:p>
    <w:p>
      <w:pPr>
        <w:spacing w:line="360" w:lineRule="auto"/>
        <w:ind w:left="360"/>
        <w:rPr>
          <w:sz w:val="24"/>
        </w:rPr>
      </w:pPr>
      <w:r>
        <w:rPr>
          <w:rFonts w:hint="eastAsia"/>
          <w:sz w:val="24"/>
        </w:rPr>
        <w:t>审核结算结果如下：在甲方未提出任何新增工作量的情况下，如果最终审核结算价超过暂定合同价，将按暂定合同价支付；如果最终审核结算价不超过暂定合同价，将按最终审核结算价支付。</w:t>
      </w:r>
    </w:p>
    <w:p>
      <w:pPr>
        <w:numPr>
          <w:ilvl w:val="0"/>
          <w:numId w:val="18"/>
        </w:numPr>
        <w:spacing w:line="360" w:lineRule="auto"/>
        <w:rPr>
          <w:sz w:val="24"/>
        </w:rPr>
      </w:pPr>
      <w:r>
        <w:rPr>
          <w:rFonts w:hint="eastAsia"/>
          <w:sz w:val="24"/>
        </w:rPr>
        <w:t>1年质保期到期后，甲方支付最终审核结算价的</w:t>
      </w:r>
      <w:r>
        <w:rPr>
          <w:rFonts w:hint="eastAsia"/>
          <w:sz w:val="24"/>
          <w:lang w:val="en-US" w:eastAsia="zh-CN"/>
        </w:rPr>
        <w:t>5</w:t>
      </w:r>
      <w:r>
        <w:rPr>
          <w:rFonts w:hint="eastAsia"/>
          <w:sz w:val="24"/>
        </w:rPr>
        <w:t>%（质保金）的余款给乙方，一年质保期内，本项目未发生2天内不可恢复的重大质量事故，甲方将于质保期到期后15个工作日内付清余款。</w:t>
      </w:r>
    </w:p>
    <w:p>
      <w:pPr>
        <w:numPr>
          <w:ilvl w:val="0"/>
          <w:numId w:val="18"/>
        </w:numPr>
        <w:spacing w:line="360" w:lineRule="auto"/>
        <w:rPr>
          <w:sz w:val="24"/>
        </w:rPr>
      </w:pPr>
      <w:r>
        <w:rPr>
          <w:rFonts w:hint="eastAsia"/>
          <w:sz w:val="24"/>
        </w:rPr>
        <w:t>乙方在收取每一笔合同费用前，应向甲方提供有效的增值税专用发票。</w:t>
      </w:r>
    </w:p>
    <w:p>
      <w:pPr>
        <w:numPr>
          <w:ilvl w:val="0"/>
          <w:numId w:val="18"/>
        </w:numPr>
        <w:spacing w:line="360" w:lineRule="auto"/>
        <w:rPr>
          <w:sz w:val="24"/>
          <w:u w:val="single"/>
        </w:rPr>
      </w:pPr>
      <w:r>
        <w:rPr>
          <w:rFonts w:hint="eastAsia"/>
          <w:sz w:val="24"/>
        </w:rPr>
        <w:t>项目款项的支付和结算必须划（汇）入乙方的开户银行，</w:t>
      </w:r>
    </w:p>
    <w:p>
      <w:pPr>
        <w:numPr>
          <w:ilvl w:val="-1"/>
          <w:numId w:val="0"/>
        </w:numPr>
        <w:spacing w:line="360" w:lineRule="auto"/>
        <w:ind w:left="0" w:firstLine="480" w:firstLineChars="200"/>
        <w:rPr>
          <w:rFonts w:hint="eastAsia"/>
          <w:sz w:val="24"/>
        </w:rPr>
      </w:pPr>
      <w:r>
        <w:rPr>
          <w:rFonts w:hint="eastAsia"/>
          <w:sz w:val="24"/>
        </w:rPr>
        <w:t>帐</w:t>
      </w:r>
      <w:r>
        <w:rPr>
          <w:rFonts w:hint="eastAsia"/>
          <w:sz w:val="24"/>
          <w:lang w:val="en-US" w:eastAsia="zh-CN"/>
        </w:rPr>
        <w:t>户信息</w:t>
      </w:r>
      <w:r>
        <w:rPr>
          <w:rFonts w:hint="eastAsia"/>
          <w:sz w:val="24"/>
        </w:rPr>
        <w:t>：</w:t>
      </w:r>
    </w:p>
    <w:p>
      <w:pPr>
        <w:numPr>
          <w:ilvl w:val="-1"/>
          <w:numId w:val="0"/>
        </w:numPr>
        <w:spacing w:line="360" w:lineRule="auto"/>
        <w:ind w:left="0" w:firstLine="480" w:firstLineChars="200"/>
        <w:rPr>
          <w:rFonts w:hint="eastAsia"/>
          <w:sz w:val="24"/>
        </w:rPr>
      </w:pPr>
      <w:r>
        <w:rPr>
          <w:rFonts w:hint="eastAsia"/>
          <w:sz w:val="24"/>
        </w:rPr>
        <w:t>名称：</w:t>
      </w:r>
      <w:bookmarkStart w:id="39" w:name="_Toc318878199"/>
      <w:bookmarkStart w:id="40" w:name="_Toc318737197"/>
      <w:bookmarkStart w:id="41" w:name="_Toc321498846"/>
    </w:p>
    <w:p>
      <w:pPr>
        <w:numPr>
          <w:ilvl w:val="-1"/>
          <w:numId w:val="0"/>
        </w:numPr>
        <w:spacing w:line="360" w:lineRule="auto"/>
        <w:ind w:left="0" w:firstLine="480" w:firstLineChars="200"/>
        <w:rPr>
          <w:rFonts w:hint="default" w:eastAsia="宋体"/>
          <w:sz w:val="24"/>
          <w:lang w:val="en-US" w:eastAsia="zh-CN"/>
        </w:rPr>
      </w:pPr>
      <w:r>
        <w:rPr>
          <w:rFonts w:hint="eastAsia"/>
          <w:sz w:val="24"/>
          <w:lang w:val="en-US" w:eastAsia="zh-CN"/>
        </w:rPr>
        <w:t>账号</w:t>
      </w:r>
    </w:p>
    <w:p>
      <w:pPr>
        <w:pStyle w:val="3"/>
        <w:jc w:val="center"/>
      </w:pPr>
      <w:bookmarkStart w:id="42" w:name="_Toc324870852"/>
      <w:r>
        <w:rPr>
          <w:rFonts w:hint="eastAsia"/>
        </w:rPr>
        <w:t>第八条违约责任</w:t>
      </w:r>
      <w:bookmarkEnd w:id="39"/>
      <w:bookmarkEnd w:id="40"/>
      <w:bookmarkEnd w:id="41"/>
      <w:bookmarkEnd w:id="42"/>
    </w:p>
    <w:p>
      <w:pPr>
        <w:numPr>
          <w:ilvl w:val="0"/>
          <w:numId w:val="19"/>
        </w:numPr>
        <w:spacing w:line="360" w:lineRule="auto"/>
        <w:rPr>
          <w:sz w:val="24"/>
        </w:rPr>
      </w:pPr>
      <w:r>
        <w:rPr>
          <w:rFonts w:hint="eastAsia"/>
          <w:sz w:val="24"/>
        </w:rPr>
        <w:t>甲方违约责任</w:t>
      </w:r>
    </w:p>
    <w:p>
      <w:pPr>
        <w:numPr>
          <w:ilvl w:val="0"/>
          <w:numId w:val="20"/>
        </w:numPr>
        <w:tabs>
          <w:tab w:val="clear" w:pos="720"/>
        </w:tabs>
        <w:spacing w:line="360" w:lineRule="auto"/>
        <w:ind w:left="426" w:hanging="284"/>
        <w:rPr>
          <w:sz w:val="24"/>
        </w:rPr>
      </w:pPr>
      <w:r>
        <w:rPr>
          <w:rFonts w:hint="eastAsia"/>
          <w:sz w:val="24"/>
        </w:rPr>
        <w:t>由于甲方自身原因未按合同所订日期付款，超出15天宽限期，每延迟一天，则以逾期支付金额万分之五向乙方缴纳违约金；逾期违约金不得超过合同造价的百分之五。</w:t>
      </w:r>
    </w:p>
    <w:p>
      <w:pPr>
        <w:numPr>
          <w:ilvl w:val="0"/>
          <w:numId w:val="20"/>
        </w:numPr>
        <w:spacing w:line="360" w:lineRule="auto"/>
        <w:rPr>
          <w:sz w:val="24"/>
        </w:rPr>
      </w:pPr>
      <w:r>
        <w:rPr>
          <w:rFonts w:hint="eastAsia"/>
          <w:sz w:val="24"/>
        </w:rPr>
        <w:t>本合同签订后，因乙方原因或不可抗力，致使甲方提前解除合同，甲方不负任何责任。</w:t>
      </w:r>
    </w:p>
    <w:p>
      <w:pPr>
        <w:numPr>
          <w:ilvl w:val="0"/>
          <w:numId w:val="19"/>
        </w:numPr>
        <w:spacing w:line="360" w:lineRule="auto"/>
        <w:rPr>
          <w:sz w:val="24"/>
        </w:rPr>
      </w:pPr>
      <w:r>
        <w:rPr>
          <w:rFonts w:hint="eastAsia"/>
          <w:sz w:val="24"/>
        </w:rPr>
        <w:t>乙方违约责任</w:t>
      </w:r>
    </w:p>
    <w:p>
      <w:pPr>
        <w:numPr>
          <w:ilvl w:val="0"/>
          <w:numId w:val="19"/>
        </w:numPr>
        <w:tabs>
          <w:tab w:val="left" w:pos="567"/>
        </w:tabs>
        <w:spacing w:line="360" w:lineRule="auto"/>
        <w:rPr>
          <w:rFonts w:ascii="宋体"/>
          <w:sz w:val="24"/>
        </w:rPr>
      </w:pPr>
      <w:r>
        <w:rPr>
          <w:rFonts w:hint="eastAsia" w:ascii="宋体"/>
          <w:sz w:val="24"/>
        </w:rPr>
        <w:t>乙方如需更换项目经理，应具备下列条件：</w:t>
      </w:r>
      <w:r>
        <w:rPr>
          <w:rFonts w:hint="eastAsia"/>
          <w:sz w:val="24"/>
        </w:rPr>
        <w:t>新更换的项目经理必须与</w:t>
      </w:r>
      <w:r>
        <w:rPr>
          <w:rFonts w:hint="eastAsia"/>
          <w:sz w:val="24"/>
          <w:lang w:eastAsia="zh-CN"/>
        </w:rPr>
        <w:t>报价</w:t>
      </w:r>
      <w:r>
        <w:rPr>
          <w:rFonts w:hint="eastAsia"/>
          <w:sz w:val="24"/>
        </w:rPr>
        <w:t>时所报项目经理的专业一致且资格等级一致或高于；至少提前7天以书面形式通知甲方，并征得甲方书面同意；</w:t>
      </w:r>
    </w:p>
    <w:p>
      <w:pPr>
        <w:numPr>
          <w:ilvl w:val="0"/>
          <w:numId w:val="19"/>
        </w:numPr>
        <w:tabs>
          <w:tab w:val="left" w:pos="567"/>
        </w:tabs>
        <w:spacing w:line="360" w:lineRule="auto"/>
        <w:rPr>
          <w:rFonts w:ascii="宋体"/>
          <w:sz w:val="24"/>
        </w:rPr>
      </w:pPr>
      <w:r>
        <w:rPr>
          <w:rFonts w:hint="eastAsia" w:ascii="宋体"/>
          <w:sz w:val="24"/>
        </w:rPr>
        <w:t>乙方严禁将承包项目转让或分包。否则，甲方有权单方面以书面通知书形式解除合同，通知书到达乙方即生效，并由乙方支付违约金（合同暂定价的10%）；</w:t>
      </w:r>
    </w:p>
    <w:p>
      <w:pPr>
        <w:numPr>
          <w:ilvl w:val="0"/>
          <w:numId w:val="19"/>
        </w:numPr>
        <w:tabs>
          <w:tab w:val="left" w:pos="709"/>
        </w:tabs>
        <w:spacing w:line="360" w:lineRule="auto"/>
        <w:rPr>
          <w:rFonts w:ascii="宋体"/>
          <w:sz w:val="24"/>
        </w:rPr>
      </w:pPr>
      <w:r>
        <w:rPr>
          <w:rFonts w:hint="eastAsia" w:ascii="宋体"/>
          <w:sz w:val="24"/>
        </w:rPr>
        <w:t>项目质量不符合合同规定的，乙方负责无偿处理或返工，并承担由此引起的一切责任；</w:t>
      </w:r>
    </w:p>
    <w:p>
      <w:pPr>
        <w:numPr>
          <w:ilvl w:val="0"/>
          <w:numId w:val="19"/>
        </w:numPr>
        <w:tabs>
          <w:tab w:val="left" w:pos="709"/>
        </w:tabs>
        <w:spacing w:line="360" w:lineRule="auto"/>
        <w:rPr>
          <w:rFonts w:ascii="宋体"/>
          <w:sz w:val="24"/>
        </w:rPr>
      </w:pPr>
      <w:r>
        <w:rPr>
          <w:rFonts w:hint="eastAsia" w:ascii="宋体"/>
          <w:sz w:val="24"/>
        </w:rPr>
        <w:t>项目由于乙方责任造成逾期交付的，超出3天宽限期后，每延迟一天向甲方赔偿合同总价的千分之一，但逾期违约金</w:t>
      </w:r>
      <w:r>
        <w:rPr>
          <w:rFonts w:ascii="宋体"/>
          <w:sz w:val="24"/>
        </w:rPr>
        <w:t>最多不超过合同额的</w:t>
      </w:r>
      <w:r>
        <w:rPr>
          <w:rFonts w:hint="eastAsia" w:ascii="宋体"/>
          <w:sz w:val="24"/>
        </w:rPr>
        <w:t>5</w:t>
      </w:r>
      <w:r>
        <w:rPr>
          <w:rFonts w:ascii="宋体"/>
          <w:sz w:val="24"/>
        </w:rPr>
        <w:t>%</w:t>
      </w:r>
      <w:r>
        <w:rPr>
          <w:rFonts w:hint="eastAsia" w:ascii="宋体"/>
          <w:sz w:val="24"/>
        </w:rPr>
        <w:t>；</w:t>
      </w:r>
    </w:p>
    <w:p>
      <w:pPr>
        <w:numPr>
          <w:ilvl w:val="0"/>
          <w:numId w:val="19"/>
        </w:numPr>
        <w:tabs>
          <w:tab w:val="left" w:pos="709"/>
        </w:tabs>
        <w:spacing w:line="360" w:lineRule="auto"/>
        <w:rPr>
          <w:rFonts w:ascii="宋体"/>
          <w:sz w:val="24"/>
        </w:rPr>
      </w:pPr>
      <w:r>
        <w:rPr>
          <w:rFonts w:hint="eastAsia" w:ascii="宋体"/>
          <w:sz w:val="24"/>
        </w:rPr>
        <w:t>运维期间乙方操作不当或不周，造成设备的损坏，乙方必须尽快恢复系统的正常运作，不能影响甲方的正常工作，其中修复费用由乙方承担。运维期间对于不能修复的损坏设备，甲方有权要求</w:t>
      </w:r>
      <w:r>
        <w:rPr>
          <w:rFonts w:ascii="宋体"/>
          <w:sz w:val="24"/>
        </w:rPr>
        <w:t>更换</w:t>
      </w:r>
      <w:r>
        <w:rPr>
          <w:rFonts w:hint="eastAsia" w:ascii="宋体"/>
          <w:sz w:val="24"/>
        </w:rPr>
        <w:t>，并由乙方承担更换设备的费用；</w:t>
      </w:r>
    </w:p>
    <w:p>
      <w:pPr>
        <w:numPr>
          <w:ilvl w:val="0"/>
          <w:numId w:val="19"/>
        </w:numPr>
        <w:tabs>
          <w:tab w:val="left" w:pos="709"/>
        </w:tabs>
        <w:spacing w:line="360" w:lineRule="auto"/>
        <w:rPr>
          <w:rFonts w:ascii="宋体"/>
          <w:sz w:val="24"/>
        </w:rPr>
      </w:pPr>
      <w:r>
        <w:rPr>
          <w:rFonts w:hint="eastAsia" w:ascii="宋体"/>
          <w:sz w:val="24"/>
        </w:rPr>
        <w:t>乙方应保证项目质量，保证系统达到本合同</w:t>
      </w:r>
      <w:r>
        <w:rPr>
          <w:rFonts w:ascii="宋体"/>
          <w:sz w:val="24"/>
        </w:rPr>
        <w:t>规定的</w:t>
      </w:r>
      <w:r>
        <w:rPr>
          <w:rFonts w:hint="eastAsia" w:ascii="宋体"/>
          <w:sz w:val="24"/>
        </w:rPr>
        <w:t>标准要求；</w:t>
      </w:r>
    </w:p>
    <w:p>
      <w:pPr>
        <w:numPr>
          <w:ilvl w:val="0"/>
          <w:numId w:val="19"/>
        </w:numPr>
        <w:tabs>
          <w:tab w:val="left" w:pos="709"/>
        </w:tabs>
        <w:spacing w:line="360" w:lineRule="auto"/>
        <w:rPr>
          <w:rFonts w:ascii="宋体"/>
          <w:sz w:val="24"/>
        </w:rPr>
      </w:pPr>
      <w:r>
        <w:rPr>
          <w:rFonts w:hint="eastAsia" w:ascii="宋体"/>
          <w:sz w:val="24"/>
        </w:rPr>
        <w:t>乙方中途违约，不按要求履行合同义务，甲方</w:t>
      </w:r>
      <w:r>
        <w:rPr>
          <w:rFonts w:ascii="宋体"/>
          <w:sz w:val="24"/>
        </w:rPr>
        <w:t>有权</w:t>
      </w:r>
      <w:r>
        <w:rPr>
          <w:rFonts w:hint="eastAsia" w:ascii="宋体"/>
          <w:sz w:val="24"/>
        </w:rPr>
        <w:t>解除</w:t>
      </w:r>
      <w:r>
        <w:rPr>
          <w:rFonts w:ascii="宋体"/>
          <w:sz w:val="24"/>
        </w:rPr>
        <w:t>合同，并要求乙方</w:t>
      </w:r>
      <w:r>
        <w:rPr>
          <w:rFonts w:hint="eastAsia" w:ascii="宋体"/>
          <w:sz w:val="24"/>
        </w:rPr>
        <w:t>赔偿损失。</w:t>
      </w:r>
    </w:p>
    <w:p>
      <w:pPr>
        <w:numPr>
          <w:ilvl w:val="0"/>
          <w:numId w:val="19"/>
        </w:numPr>
        <w:tabs>
          <w:tab w:val="left" w:pos="709"/>
        </w:tabs>
        <w:spacing w:line="360" w:lineRule="auto"/>
        <w:rPr>
          <w:rFonts w:ascii="宋体"/>
          <w:sz w:val="24"/>
        </w:rPr>
      </w:pPr>
      <w:r>
        <w:rPr>
          <w:rFonts w:hint="eastAsia" w:ascii="宋体"/>
          <w:sz w:val="24"/>
        </w:rPr>
        <w:t>因乙方原因造成合同解除，由乙方赔付甲方因此造成的损失，支付违约金（合同暂定价的</w:t>
      </w:r>
      <w:r>
        <w:rPr>
          <w:rFonts w:ascii="宋体"/>
          <w:sz w:val="24"/>
        </w:rPr>
        <w:t>2</w:t>
      </w:r>
      <w:r>
        <w:rPr>
          <w:rFonts w:hint="eastAsia" w:ascii="宋体"/>
          <w:sz w:val="24"/>
        </w:rPr>
        <w:t>0%），并返还已支付的款项。由甲方返还乙方已购置的设备。</w:t>
      </w:r>
    </w:p>
    <w:p/>
    <w:p>
      <w:pPr>
        <w:pStyle w:val="3"/>
        <w:jc w:val="center"/>
      </w:pPr>
      <w:bookmarkStart w:id="43" w:name="_Toc324870853"/>
      <w:r>
        <w:rPr>
          <w:rFonts w:hint="eastAsia"/>
        </w:rPr>
        <w:t>第九条其他</w:t>
      </w:r>
      <w:bookmarkEnd w:id="43"/>
    </w:p>
    <w:p>
      <w:pPr>
        <w:spacing w:line="360" w:lineRule="auto"/>
        <w:rPr>
          <w:rFonts w:ascii="宋体"/>
          <w:sz w:val="24"/>
        </w:rPr>
      </w:pPr>
      <w:r>
        <w:rPr>
          <w:rFonts w:hint="eastAsia" w:ascii="宋体"/>
          <w:sz w:val="24"/>
        </w:rPr>
        <w:t>1、甲乙双方在履行本合同中出现争议，双方应及时协商解决。双方无法协商解决时，应向甲方所在地的法院提出诉讼。</w:t>
      </w:r>
    </w:p>
    <w:p>
      <w:pPr>
        <w:spacing w:line="360" w:lineRule="auto"/>
        <w:rPr>
          <w:rFonts w:ascii="宋体"/>
          <w:sz w:val="24"/>
        </w:rPr>
      </w:pPr>
      <w:r>
        <w:rPr>
          <w:rFonts w:hint="eastAsia" w:ascii="宋体"/>
          <w:sz w:val="24"/>
        </w:rPr>
        <w:t>2、本合同条款如对特殊情况有未尽事宜，双方可根据具体情况结合有关规定议定特殊条款，特殊条款与合同具有同等效力。</w:t>
      </w:r>
    </w:p>
    <w:p>
      <w:pPr>
        <w:adjustRightInd w:val="0"/>
        <w:spacing w:line="360" w:lineRule="auto"/>
        <w:ind w:right="246"/>
        <w:rPr>
          <w:rFonts w:ascii="宋体" w:hAnsi="宋体" w:cs="宋体"/>
          <w:b/>
          <w:sz w:val="24"/>
        </w:rPr>
      </w:pPr>
      <w:r>
        <w:rPr>
          <w:rFonts w:hint="eastAsia" w:ascii="宋体" w:hAnsi="宋体" w:cs="宋体"/>
          <w:b/>
          <w:sz w:val="24"/>
        </w:rPr>
        <w:t>附件</w:t>
      </w:r>
    </w:p>
    <w:p>
      <w:pPr>
        <w:spacing w:line="360" w:lineRule="auto"/>
        <w:ind w:firstLine="480"/>
        <w:rPr>
          <w:kern w:val="0"/>
        </w:rPr>
      </w:pPr>
      <w:r>
        <w:rPr>
          <w:rFonts w:hint="eastAsia"/>
          <w:kern w:val="0"/>
        </w:rPr>
        <w:t>1.  保密协议</w:t>
      </w:r>
    </w:p>
    <w:p>
      <w:pPr>
        <w:spacing w:line="360" w:lineRule="auto"/>
        <w:ind w:firstLine="480"/>
        <w:rPr>
          <w:kern w:val="0"/>
        </w:rPr>
      </w:pPr>
      <w:r>
        <w:rPr>
          <w:rFonts w:hint="eastAsia"/>
          <w:kern w:val="0"/>
        </w:rPr>
        <w:t>2.  廉政协议书</w:t>
      </w:r>
    </w:p>
    <w:p>
      <w:pPr>
        <w:spacing w:line="360" w:lineRule="auto"/>
        <w:ind w:firstLine="480"/>
        <w:rPr>
          <w:kern w:val="0"/>
        </w:rPr>
        <w:sectPr>
          <w:pgSz w:w="11906" w:h="16838"/>
          <w:pgMar w:top="1089" w:right="1466" w:bottom="1089" w:left="1077" w:header="851" w:footer="992" w:gutter="0"/>
          <w:cols w:space="720" w:num="1"/>
          <w:docGrid w:type="lines" w:linePitch="312" w:charSpace="0"/>
        </w:sectPr>
      </w:pPr>
      <w:r>
        <w:rPr>
          <w:rFonts w:hint="eastAsia"/>
          <w:kern w:val="0"/>
        </w:rPr>
        <w:t>3</w:t>
      </w:r>
      <w:r>
        <w:rPr>
          <w:kern w:val="0"/>
        </w:rPr>
        <w:t xml:space="preserve">.  </w:t>
      </w:r>
      <w:r>
        <w:rPr>
          <w:rFonts w:hint="eastAsia"/>
          <w:kern w:val="0"/>
        </w:rPr>
        <w:t>安全管理协议书</w:t>
      </w:r>
    </w:p>
    <w:p>
      <w:pPr>
        <w:pStyle w:val="45"/>
        <w:spacing w:line="600" w:lineRule="atLeast"/>
        <w:rPr>
          <w:b/>
          <w:szCs w:val="21"/>
        </w:rPr>
      </w:pPr>
      <w:r>
        <w:rPr>
          <w:rFonts w:hint="eastAsia"/>
          <w:sz w:val="32"/>
          <w:szCs w:val="32"/>
        </w:rPr>
        <w:t>附件1：保密协议</w:t>
      </w:r>
    </w:p>
    <w:p>
      <w:pPr>
        <w:spacing w:line="360" w:lineRule="auto"/>
        <w:ind w:left="178" w:firstLine="178"/>
        <w:rPr>
          <w:rFonts w:ascii="宋体" w:hAnsi="宋体" w:cs="宋体"/>
          <w:sz w:val="24"/>
        </w:rPr>
      </w:pPr>
      <w:r>
        <w:rPr>
          <w:rFonts w:hint="eastAsia" w:ascii="宋体" w:hAnsi="宋体" w:cs="宋体"/>
          <w:sz w:val="24"/>
        </w:rPr>
        <w:t>甲方：广州市净水有限公司</w:t>
      </w:r>
    </w:p>
    <w:p>
      <w:pPr>
        <w:spacing w:line="360" w:lineRule="auto"/>
        <w:ind w:left="178" w:firstLine="178"/>
        <w:rPr>
          <w:rFonts w:ascii="宋体" w:hAnsi="宋体" w:cs="宋体"/>
          <w:sz w:val="24"/>
        </w:rPr>
      </w:pPr>
      <w:r>
        <w:rPr>
          <w:rFonts w:hint="eastAsia" w:ascii="宋体" w:hAnsi="宋体" w:cs="宋体"/>
          <w:sz w:val="24"/>
        </w:rPr>
        <w:t xml:space="preserve">乙方： </w:t>
      </w:r>
    </w:p>
    <w:p>
      <w:pPr>
        <w:spacing w:line="360" w:lineRule="auto"/>
        <w:ind w:left="178" w:firstLine="178"/>
        <w:rPr>
          <w:rFonts w:ascii="宋体" w:hAnsi="宋体" w:cs="宋体"/>
          <w:sz w:val="24"/>
        </w:rPr>
      </w:pPr>
      <w:r>
        <w:rPr>
          <w:rFonts w:hint="eastAsia" w:ascii="宋体" w:hAnsi="宋体" w:cs="宋体"/>
          <w:sz w:val="24"/>
        </w:rPr>
        <w:t> </w:t>
      </w:r>
    </w:p>
    <w:p>
      <w:pPr>
        <w:spacing w:line="360" w:lineRule="auto"/>
        <w:ind w:left="178" w:firstLine="178"/>
        <w:rPr>
          <w:rFonts w:ascii="宋体" w:hAnsi="宋体" w:cs="宋体"/>
          <w:sz w:val="24"/>
        </w:rPr>
      </w:pPr>
      <w:r>
        <w:rPr>
          <w:rFonts w:hint="eastAsia" w:ascii="宋体" w:hAnsi="宋体" w:cs="宋体"/>
          <w:sz w:val="24"/>
        </w:rPr>
        <w:t>鉴于：</w:t>
      </w:r>
    </w:p>
    <w:p>
      <w:pPr>
        <w:numPr>
          <w:ilvl w:val="0"/>
          <w:numId w:val="21"/>
        </w:numPr>
        <w:spacing w:line="360" w:lineRule="auto"/>
        <w:ind w:left="178" w:firstLine="178"/>
        <w:rPr>
          <w:rFonts w:ascii="宋体" w:hAnsi="宋体" w:cs="宋体"/>
          <w:sz w:val="24"/>
        </w:rPr>
      </w:pPr>
      <w:r>
        <w:rPr>
          <w:rFonts w:hint="eastAsia" w:ascii="宋体" w:hAnsi="宋体" w:cs="宋体"/>
          <w:sz w:val="24"/>
        </w:rPr>
        <w:t>甲乙双方（以下简称“双方”）互相理解，自愿和工作责任上的考虑；</w:t>
      </w:r>
    </w:p>
    <w:p>
      <w:pPr>
        <w:numPr>
          <w:ilvl w:val="0"/>
          <w:numId w:val="21"/>
        </w:numPr>
        <w:spacing w:line="360" w:lineRule="auto"/>
        <w:ind w:left="178" w:firstLine="178"/>
        <w:rPr>
          <w:rFonts w:ascii="宋体" w:hAnsi="宋体" w:cs="宋体"/>
          <w:sz w:val="24"/>
        </w:rPr>
      </w:pPr>
      <w:r>
        <w:rPr>
          <w:rFonts w:hint="eastAsia" w:ascii="宋体" w:hAnsi="宋体" w:cs="宋体"/>
          <w:sz w:val="24"/>
        </w:rPr>
        <w:t>在甲方业务范围内各工程项目的实施过程中，双方对工程项目进行管理合作（以下简称“合作”），甲方向乙方提供有关保密信息，且该保密信息属甲方合法所有；</w:t>
      </w:r>
    </w:p>
    <w:p>
      <w:pPr>
        <w:numPr>
          <w:ilvl w:val="0"/>
          <w:numId w:val="21"/>
        </w:numPr>
        <w:spacing w:line="360" w:lineRule="auto"/>
        <w:ind w:left="178" w:firstLine="178"/>
        <w:rPr>
          <w:rFonts w:ascii="宋体" w:hAnsi="宋体" w:cs="宋体"/>
          <w:sz w:val="24"/>
        </w:rPr>
      </w:pPr>
      <w:r>
        <w:rPr>
          <w:rFonts w:hint="eastAsia" w:ascii="宋体" w:hAnsi="宋体" w:cs="宋体"/>
          <w:sz w:val="24"/>
        </w:rPr>
        <w:t>甲方希望对本协议所述保密信息予以有效保护。</w:t>
      </w:r>
    </w:p>
    <w:p>
      <w:pPr>
        <w:spacing w:line="360" w:lineRule="auto"/>
        <w:ind w:left="178" w:firstLine="178"/>
        <w:rPr>
          <w:rFonts w:ascii="宋体" w:hAnsi="宋体" w:cs="宋体"/>
          <w:sz w:val="24"/>
        </w:rPr>
      </w:pPr>
      <w:r>
        <w:rPr>
          <w:rFonts w:hint="eastAsia" w:ascii="宋体" w:hAnsi="宋体" w:cs="宋体"/>
          <w:sz w:val="24"/>
        </w:rPr>
        <w:t>经双方协商，达成本协议。</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本协议所指保密信息是指：</w:t>
      </w:r>
    </w:p>
    <w:p>
      <w:pPr>
        <w:spacing w:line="360" w:lineRule="auto"/>
        <w:ind w:left="178" w:firstLine="434" w:firstLineChars="181"/>
        <w:rPr>
          <w:rFonts w:ascii="宋体" w:hAnsi="宋体" w:cs="宋体"/>
          <w:sz w:val="24"/>
        </w:rPr>
      </w:pPr>
      <w:r>
        <w:rPr>
          <w:rFonts w:hint="eastAsia" w:ascii="宋体" w:hAnsi="宋体" w:cs="宋体"/>
          <w:sz w:val="24"/>
        </w:rPr>
        <w:t>在合作过程中，乙方从甲方（或其主管部门、关联部门及下属机构）获得的与合作有关或因合作产生的任何工程电子数据、相关的商业、营销、技术、运营资料或其他性质的资料和成果及其打印图纸和文档，无论以何种形式或载于何种载体，无论在披露时是否以口头、图像或以书面方式表明其具有保密性。</w:t>
      </w:r>
    </w:p>
    <w:p>
      <w:pPr>
        <w:spacing w:line="360" w:lineRule="auto"/>
        <w:ind w:left="178" w:firstLine="434" w:firstLineChars="181"/>
        <w:rPr>
          <w:rFonts w:ascii="宋体" w:hAnsi="宋体" w:cs="宋体"/>
          <w:sz w:val="24"/>
        </w:rPr>
      </w:pPr>
      <w:r>
        <w:rPr>
          <w:rFonts w:hint="eastAsia" w:ascii="宋体" w:hAnsi="宋体" w:cs="宋体"/>
          <w:sz w:val="24"/>
        </w:rPr>
        <w:t>上述保密信息可以以数据、文字及记载上述内容的资料、光盘、软件、图书等有形媒介体现，也可通过口头等视听形式传递。</w:t>
      </w:r>
    </w:p>
    <w:p>
      <w:pPr>
        <w:numPr>
          <w:ilvl w:val="0"/>
          <w:numId w:val="22"/>
        </w:numPr>
        <w:spacing w:line="360" w:lineRule="auto"/>
        <w:ind w:left="178" w:firstLine="178"/>
        <w:rPr>
          <w:rFonts w:ascii="宋体" w:hAnsi="宋体" w:cs="宋体"/>
          <w:sz w:val="24"/>
        </w:rPr>
      </w:pPr>
      <w:r>
        <w:rPr>
          <w:rFonts w:hint="eastAsia" w:ascii="宋体" w:hAnsi="宋体" w:cs="宋体"/>
          <w:sz w:val="24"/>
        </w:rPr>
        <w:t>双方权利与义务</w:t>
      </w:r>
    </w:p>
    <w:p>
      <w:pPr>
        <w:spacing w:line="360" w:lineRule="auto"/>
        <w:ind w:left="356"/>
        <w:rPr>
          <w:rFonts w:ascii="宋体" w:hAnsi="宋体" w:cs="宋体"/>
          <w:sz w:val="24"/>
        </w:rPr>
      </w:pPr>
      <w:r>
        <w:rPr>
          <w:rFonts w:hint="eastAsia" w:ascii="宋体" w:hAnsi="宋体" w:cs="宋体"/>
          <w:sz w:val="24"/>
        </w:rPr>
        <w:t>1.乙方保证该保密信息仅用于与合作有关的用途或目的；</w:t>
      </w:r>
    </w:p>
    <w:p>
      <w:pPr>
        <w:spacing w:line="360" w:lineRule="auto"/>
        <w:ind w:left="356"/>
        <w:rPr>
          <w:rFonts w:ascii="宋体" w:hAnsi="宋体" w:cs="宋体"/>
          <w:sz w:val="24"/>
        </w:rPr>
      </w:pPr>
      <w:r>
        <w:rPr>
          <w:rFonts w:hint="eastAsia" w:ascii="宋体" w:hAnsi="宋体" w:cs="宋体"/>
          <w:sz w:val="24"/>
        </w:rPr>
        <w:t>2.双方各自保证对保密信息予以妥善保存；</w:t>
      </w:r>
    </w:p>
    <w:p>
      <w:pPr>
        <w:spacing w:line="360" w:lineRule="auto"/>
        <w:ind w:left="356"/>
        <w:rPr>
          <w:rFonts w:ascii="宋体" w:hAnsi="宋体" w:cs="宋体"/>
          <w:sz w:val="24"/>
        </w:rPr>
      </w:pPr>
      <w:r>
        <w:rPr>
          <w:rFonts w:hint="eastAsia" w:ascii="宋体" w:hAnsi="宋体" w:cs="宋体"/>
          <w:sz w:val="24"/>
        </w:rPr>
        <w:t xml:space="preserve">3.乙方保证对甲方所提供的保密信息予以保密，仅可在本人以及从事该项目的负责人之间知悉、传阅，并不得以各种方式向第三者传递、散播甲方提供的保密信息，使用完毕立即销毁或者上交至甲方有关负责部门； </w:t>
      </w:r>
    </w:p>
    <w:p>
      <w:pPr>
        <w:spacing w:line="360" w:lineRule="auto"/>
        <w:ind w:left="356"/>
        <w:rPr>
          <w:rFonts w:ascii="宋体" w:hAnsi="宋体" w:cs="宋体"/>
          <w:sz w:val="24"/>
        </w:rPr>
      </w:pPr>
      <w:r>
        <w:rPr>
          <w:rFonts w:hint="eastAsia" w:ascii="宋体" w:hAnsi="宋体" w:cs="宋体"/>
          <w:sz w:val="24"/>
        </w:rPr>
        <w:t>4.乙方知悉该保密信息前，甲方应向其提示保密信息的保密性和应承担的义务，并保证乙方以书面形式同意接受本协议条款的约束；</w:t>
      </w:r>
    </w:p>
    <w:p>
      <w:pPr>
        <w:spacing w:line="360" w:lineRule="auto"/>
        <w:ind w:left="356"/>
        <w:rPr>
          <w:rFonts w:ascii="宋体" w:hAnsi="宋体" w:cs="宋体"/>
          <w:sz w:val="24"/>
        </w:rPr>
      </w:pPr>
      <w:r>
        <w:rPr>
          <w:rFonts w:hint="eastAsia" w:ascii="宋体" w:hAnsi="宋体" w:cs="宋体"/>
          <w:sz w:val="24"/>
        </w:rPr>
        <w:t>5.上述限制条款不适用于以下情况：</w:t>
      </w:r>
    </w:p>
    <w:p>
      <w:pPr>
        <w:spacing w:line="360" w:lineRule="auto"/>
        <w:ind w:left="356"/>
        <w:rPr>
          <w:rFonts w:ascii="宋体" w:hAnsi="宋体" w:cs="宋体"/>
          <w:sz w:val="24"/>
        </w:rPr>
      </w:pPr>
      <w:r>
        <w:rPr>
          <w:rFonts w:hint="eastAsia" w:ascii="宋体" w:hAnsi="宋体" w:cs="宋体"/>
          <w:sz w:val="24"/>
        </w:rPr>
        <w:t>(1)在签署本协议之时或之前，保密信息已以合法方式属接受方所有；</w:t>
      </w:r>
    </w:p>
    <w:p>
      <w:pPr>
        <w:spacing w:line="360" w:lineRule="auto"/>
        <w:ind w:left="356"/>
        <w:rPr>
          <w:rFonts w:ascii="宋体" w:hAnsi="宋体" w:cs="宋体"/>
          <w:sz w:val="24"/>
        </w:rPr>
      </w:pPr>
      <w:r>
        <w:rPr>
          <w:rFonts w:hint="eastAsia" w:ascii="宋体" w:hAnsi="宋体" w:cs="宋体"/>
          <w:sz w:val="24"/>
        </w:rPr>
        <w:t>(2)保密信息在通知给接受方时，已经公开或能从公开领域获得；</w:t>
      </w:r>
    </w:p>
    <w:p>
      <w:pPr>
        <w:spacing w:line="360" w:lineRule="auto"/>
        <w:ind w:left="356"/>
        <w:rPr>
          <w:rFonts w:ascii="宋体" w:hAnsi="宋体" w:cs="宋体"/>
          <w:sz w:val="24"/>
        </w:rPr>
      </w:pPr>
      <w:r>
        <w:rPr>
          <w:rFonts w:hint="eastAsia" w:ascii="宋体" w:hAnsi="宋体" w:cs="宋体"/>
          <w:sz w:val="24"/>
        </w:rPr>
        <w:t>(3)保密信息是接受方从与其没有保密或不透露义务的第三方获得的；</w:t>
      </w:r>
    </w:p>
    <w:p>
      <w:pPr>
        <w:spacing w:line="360" w:lineRule="auto"/>
        <w:ind w:left="356"/>
        <w:rPr>
          <w:rFonts w:ascii="宋体" w:hAnsi="宋体" w:cs="宋体"/>
          <w:sz w:val="24"/>
        </w:rPr>
      </w:pPr>
      <w:r>
        <w:rPr>
          <w:rFonts w:hint="eastAsia" w:ascii="宋体" w:hAnsi="宋体" w:cs="宋体"/>
          <w:sz w:val="24"/>
        </w:rPr>
        <w:t>(4)在不违反本协议项下约定责任的前提下，保密信息已经公开或能从公开领域获得；</w:t>
      </w:r>
    </w:p>
    <w:p>
      <w:pPr>
        <w:spacing w:line="360" w:lineRule="auto"/>
        <w:ind w:left="356"/>
        <w:rPr>
          <w:rFonts w:ascii="宋体" w:hAnsi="宋体" w:cs="宋体"/>
          <w:sz w:val="24"/>
        </w:rPr>
      </w:pPr>
      <w:r>
        <w:rPr>
          <w:rFonts w:hint="eastAsia" w:ascii="宋体" w:hAnsi="宋体" w:cs="宋体"/>
          <w:sz w:val="24"/>
        </w:rPr>
        <w:t>(5)接受方应法院或其它法律、行政管理部门要求披露的信息（通过口头提问、询问、要求资料或文件、传唤、民事或刑事调查或其他程序）因而透露保密信息，在该种情况发生时，接受方应立即向披露方发出通知，并作出必要说明。</w:t>
      </w:r>
    </w:p>
    <w:p>
      <w:pPr>
        <w:spacing w:line="360" w:lineRule="auto"/>
        <w:ind w:left="356"/>
        <w:rPr>
          <w:rFonts w:ascii="宋体" w:hAnsi="宋体" w:cs="宋体"/>
          <w:sz w:val="24"/>
        </w:rPr>
      </w:pPr>
      <w:r>
        <w:rPr>
          <w:rFonts w:hint="eastAsia" w:ascii="宋体" w:hAnsi="宋体" w:cs="宋体"/>
          <w:sz w:val="24"/>
        </w:rPr>
        <w:t>6.甲方不保证保密信息的精确性与合理性；</w:t>
      </w:r>
    </w:p>
    <w:p>
      <w:pPr>
        <w:spacing w:line="360" w:lineRule="auto"/>
        <w:ind w:left="356"/>
        <w:rPr>
          <w:rFonts w:ascii="宋体" w:hAnsi="宋体" w:cs="宋体"/>
          <w:sz w:val="24"/>
        </w:rPr>
      </w:pPr>
      <w:r>
        <w:rPr>
          <w:rFonts w:hint="eastAsia" w:ascii="宋体" w:hAnsi="宋体" w:cs="宋体"/>
          <w:sz w:val="24"/>
        </w:rPr>
        <w:t>7.甲方提供的保密信息，如涉及侵犯第三方知识产权的情况，乙方不对此侵权行为负责，且免于由此产生的索赔.</w:t>
      </w:r>
    </w:p>
    <w:p>
      <w:pPr>
        <w:numPr>
          <w:ilvl w:val="0"/>
          <w:numId w:val="22"/>
        </w:numPr>
        <w:spacing w:line="360" w:lineRule="auto"/>
        <w:ind w:left="178" w:firstLine="178"/>
        <w:rPr>
          <w:rFonts w:ascii="宋体" w:hAnsi="宋体" w:cs="宋体"/>
          <w:sz w:val="24"/>
        </w:rPr>
      </w:pPr>
      <w:r>
        <w:rPr>
          <w:rFonts w:hint="eastAsia" w:ascii="宋体" w:hAnsi="宋体" w:cs="宋体"/>
          <w:sz w:val="24"/>
        </w:rPr>
        <w:t>违约责任</w:t>
      </w:r>
    </w:p>
    <w:p>
      <w:pPr>
        <w:spacing w:line="360" w:lineRule="auto"/>
        <w:ind w:left="178" w:firstLine="434" w:firstLineChars="181"/>
        <w:rPr>
          <w:rFonts w:ascii="宋体" w:hAnsi="宋体" w:cs="宋体"/>
          <w:sz w:val="24"/>
        </w:rPr>
      </w:pPr>
      <w:r>
        <w:rPr>
          <w:rFonts w:hint="eastAsia" w:ascii="宋体" w:hAnsi="宋体" w:cs="宋体"/>
          <w:sz w:val="24"/>
        </w:rPr>
        <w:t>任何一方未履行本协议项下的条款均被视为违约。作出违约行为的一方应承担因自己的违约行为而给守约方造成的损失，触犯国家法律法规交由公安机关处理。</w:t>
      </w:r>
    </w:p>
    <w:p>
      <w:pPr>
        <w:numPr>
          <w:ilvl w:val="0"/>
          <w:numId w:val="22"/>
        </w:numPr>
        <w:spacing w:line="360" w:lineRule="auto"/>
        <w:ind w:left="178" w:firstLine="178"/>
        <w:rPr>
          <w:rFonts w:ascii="宋体" w:hAnsi="宋体" w:cs="宋体"/>
          <w:sz w:val="24"/>
        </w:rPr>
      </w:pPr>
      <w:r>
        <w:rPr>
          <w:rFonts w:hint="eastAsia" w:ascii="宋体" w:hAnsi="宋体" w:cs="宋体"/>
          <w:sz w:val="24"/>
        </w:rPr>
        <w:t>免责条款</w:t>
      </w:r>
    </w:p>
    <w:p>
      <w:pPr>
        <w:spacing w:line="360" w:lineRule="auto"/>
        <w:ind w:left="178" w:firstLine="434" w:firstLineChars="181"/>
        <w:rPr>
          <w:rFonts w:ascii="宋体" w:hAnsi="宋体" w:cs="宋体"/>
          <w:sz w:val="24"/>
        </w:rPr>
      </w:pPr>
      <w:r>
        <w:rPr>
          <w:rFonts w:hint="eastAsia" w:ascii="宋体" w:hAnsi="宋体" w:cs="宋体"/>
          <w:sz w:val="24"/>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本协议有效期至乙方与甲方解除工作合同关系后第五年末结束。</w:t>
      </w:r>
    </w:p>
    <w:p>
      <w:pPr>
        <w:numPr>
          <w:ilvl w:val="0"/>
          <w:numId w:val="22"/>
        </w:numPr>
        <w:spacing w:line="360" w:lineRule="auto"/>
        <w:ind w:left="178" w:firstLine="178"/>
        <w:rPr>
          <w:rFonts w:ascii="宋体" w:hAnsi="宋体" w:cs="宋体"/>
          <w:sz w:val="24"/>
        </w:rPr>
      </w:pPr>
      <w:r>
        <w:rPr>
          <w:rFonts w:hint="eastAsia" w:ascii="宋体" w:hAnsi="宋体" w:cs="宋体"/>
          <w:sz w:val="24"/>
        </w:rPr>
        <w:t>争议的解决</w:t>
      </w:r>
    </w:p>
    <w:p>
      <w:pPr>
        <w:spacing w:line="360" w:lineRule="auto"/>
        <w:ind w:left="178" w:firstLine="178"/>
        <w:rPr>
          <w:rFonts w:ascii="宋体" w:hAnsi="宋体" w:cs="宋体"/>
          <w:sz w:val="24"/>
        </w:rPr>
      </w:pPr>
      <w:r>
        <w:rPr>
          <w:rFonts w:hint="eastAsia" w:ascii="宋体" w:hAnsi="宋体" w:cs="宋体"/>
          <w:sz w:val="24"/>
        </w:rPr>
        <w:t>本协议受中华人民共和国（以下简称“中国”）的法律管辖并按照中国的法律进行解释。由于本协议的履行或解释而产生的或与之有关的任何争议，如双方无法协商解决，应提交中国国际经济贸易仲裁委员会并按照其当时有效的仲裁规则和仲裁程序进行最终裁决。</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本协议未尽事宜，双方可签订补充协议。本协议的补充协议为其不可分割的一部分，与本协议具有同等法律效力。</w:t>
      </w:r>
    </w:p>
    <w:p>
      <w:pPr>
        <w:numPr>
          <w:ilvl w:val="0"/>
          <w:numId w:val="22"/>
        </w:numPr>
        <w:spacing w:line="360" w:lineRule="auto"/>
        <w:ind w:left="178" w:firstLine="178"/>
        <w:rPr>
          <w:rFonts w:ascii="宋体" w:hAnsi="宋体" w:cs="宋体"/>
          <w:sz w:val="24"/>
        </w:rPr>
      </w:pPr>
      <w:r>
        <w:rPr>
          <w:rFonts w:hint="eastAsia" w:ascii="宋体" w:hAnsi="宋体" w:cs="宋体"/>
          <w:sz w:val="24"/>
        </w:rPr>
        <w:t>本协议自双方签字盖章之日起生效。</w:t>
      </w:r>
    </w:p>
    <w:tbl>
      <w:tblPr>
        <w:tblStyle w:val="24"/>
        <w:tblpPr w:leftFromText="180" w:rightFromText="180" w:vertAnchor="text" w:horzAnchor="margin" w:tblpY="158"/>
        <w:tblW w:w="0" w:type="auto"/>
        <w:tblInd w:w="0" w:type="dxa"/>
        <w:tblLayout w:type="fixed"/>
        <w:tblCellMar>
          <w:top w:w="0" w:type="dxa"/>
          <w:left w:w="108" w:type="dxa"/>
          <w:bottom w:w="0" w:type="dxa"/>
          <w:right w:w="108" w:type="dxa"/>
        </w:tblCellMar>
      </w:tblPr>
      <w:tblGrid>
        <w:gridCol w:w="1066"/>
        <w:gridCol w:w="1876"/>
        <w:gridCol w:w="1023"/>
        <w:gridCol w:w="1049"/>
        <w:gridCol w:w="1377"/>
        <w:gridCol w:w="2383"/>
      </w:tblGrid>
      <w:tr>
        <w:tblPrEx>
          <w:tblCellMar>
            <w:top w:w="0" w:type="dxa"/>
            <w:left w:w="108" w:type="dxa"/>
            <w:bottom w:w="0" w:type="dxa"/>
            <w:right w:w="108" w:type="dxa"/>
          </w:tblCellMar>
        </w:tblPrEx>
        <w:tc>
          <w:tcPr>
            <w:tcW w:w="1066" w:type="dxa"/>
            <w:tcBorders>
              <w:top w:val="nil"/>
              <w:left w:val="nil"/>
              <w:bottom w:val="nil"/>
              <w:right w:val="nil"/>
            </w:tcBorders>
          </w:tcPr>
          <w:p>
            <w:pPr>
              <w:spacing w:line="360" w:lineRule="auto"/>
              <w:ind w:left="178"/>
              <w:rPr>
                <w:rFonts w:ascii="宋体" w:hAnsi="宋体" w:cs="宋体"/>
                <w:b/>
                <w:bCs/>
                <w:sz w:val="24"/>
              </w:rPr>
            </w:pPr>
            <w:r>
              <w:rPr>
                <w:rFonts w:hint="eastAsia" w:ascii="宋体" w:hAnsi="宋体" w:cs="宋体"/>
                <w:b/>
                <w:bCs/>
                <w:sz w:val="24"/>
              </w:rPr>
              <w:t>甲方：</w:t>
            </w:r>
          </w:p>
        </w:tc>
        <w:tc>
          <w:tcPr>
            <w:tcW w:w="2899" w:type="dxa"/>
            <w:gridSpan w:val="2"/>
            <w:tcBorders>
              <w:top w:val="nil"/>
              <w:left w:val="nil"/>
              <w:bottom w:val="nil"/>
              <w:right w:val="nil"/>
            </w:tcBorders>
          </w:tcPr>
          <w:p>
            <w:pPr>
              <w:spacing w:line="360" w:lineRule="auto"/>
              <w:ind w:left="63" w:leftChars="30" w:firstLine="72" w:firstLineChars="30"/>
              <w:rPr>
                <w:rFonts w:ascii="宋体" w:hAnsi="宋体" w:cs="宋体"/>
                <w:sz w:val="24"/>
              </w:rPr>
            </w:pPr>
            <w:r>
              <w:rPr>
                <w:rFonts w:hint="eastAsia" w:ascii="宋体" w:hAnsi="宋体" w:cs="宋体"/>
                <w:sz w:val="24"/>
              </w:rPr>
              <w:t>广州市净水有限公司</w:t>
            </w:r>
          </w:p>
        </w:tc>
        <w:tc>
          <w:tcPr>
            <w:tcW w:w="1049" w:type="dxa"/>
            <w:tcBorders>
              <w:top w:val="nil"/>
              <w:left w:val="nil"/>
              <w:bottom w:val="nil"/>
              <w:right w:val="nil"/>
            </w:tcBorders>
          </w:tcPr>
          <w:p>
            <w:pPr>
              <w:spacing w:line="360" w:lineRule="auto"/>
              <w:ind w:left="178"/>
              <w:rPr>
                <w:rFonts w:ascii="宋体" w:hAnsi="宋体" w:cs="宋体"/>
                <w:sz w:val="24"/>
              </w:rPr>
            </w:pPr>
            <w:r>
              <w:rPr>
                <w:rFonts w:hint="eastAsia" w:ascii="宋体" w:hAnsi="宋体" w:cs="宋体"/>
                <w:b/>
                <w:bCs/>
                <w:sz w:val="24"/>
              </w:rPr>
              <w:t>乙方：</w:t>
            </w:r>
          </w:p>
        </w:tc>
        <w:tc>
          <w:tcPr>
            <w:tcW w:w="3760" w:type="dxa"/>
            <w:gridSpan w:val="2"/>
            <w:tcBorders>
              <w:top w:val="nil"/>
              <w:left w:val="nil"/>
              <w:bottom w:val="nil"/>
              <w:right w:val="nil"/>
            </w:tcBorders>
          </w:tcPr>
          <w:p>
            <w:pPr>
              <w:spacing w:line="360" w:lineRule="auto"/>
              <w:ind w:left="63" w:leftChars="30"/>
              <w:rPr>
                <w:rFonts w:ascii="宋体" w:hAnsi="宋体" w:cs="宋体"/>
                <w:b/>
                <w:bCs/>
                <w:sz w:val="24"/>
              </w:rPr>
            </w:pPr>
          </w:p>
        </w:tc>
      </w:tr>
      <w:tr>
        <w:tblPrEx>
          <w:tblCellMar>
            <w:top w:w="0" w:type="dxa"/>
            <w:left w:w="108" w:type="dxa"/>
            <w:bottom w:w="0" w:type="dxa"/>
            <w:right w:w="108" w:type="dxa"/>
          </w:tblCellMar>
        </w:tblPrEx>
        <w:tc>
          <w:tcPr>
            <w:tcW w:w="3965" w:type="dxa"/>
            <w:gridSpan w:val="3"/>
            <w:tcBorders>
              <w:top w:val="nil"/>
              <w:left w:val="nil"/>
              <w:bottom w:val="nil"/>
              <w:right w:val="nil"/>
            </w:tcBorders>
          </w:tcPr>
          <w:p>
            <w:pPr>
              <w:spacing w:line="360" w:lineRule="auto"/>
              <w:ind w:left="178" w:firstLine="480" w:firstLineChars="200"/>
              <w:rPr>
                <w:rFonts w:ascii="宋体" w:hAnsi="宋体" w:cs="宋体"/>
                <w:sz w:val="24"/>
              </w:rPr>
            </w:pPr>
            <w:r>
              <w:rPr>
                <w:rFonts w:hint="eastAsia" w:ascii="宋体" w:hAnsi="宋体" w:cs="宋体"/>
                <w:sz w:val="24"/>
              </w:rPr>
              <w:t>（签章）</w:t>
            </w:r>
          </w:p>
        </w:tc>
        <w:tc>
          <w:tcPr>
            <w:tcW w:w="4809" w:type="dxa"/>
            <w:gridSpan w:val="3"/>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sz w:val="24"/>
              </w:rPr>
              <w:t>  （签章）</w:t>
            </w:r>
          </w:p>
        </w:tc>
      </w:tr>
      <w:tr>
        <w:tblPrEx>
          <w:tblCellMar>
            <w:top w:w="0" w:type="dxa"/>
            <w:left w:w="108" w:type="dxa"/>
            <w:bottom w:w="0" w:type="dxa"/>
            <w:right w:w="108" w:type="dxa"/>
          </w:tblCellMar>
        </w:tblPrEx>
        <w:tc>
          <w:tcPr>
            <w:tcW w:w="3965" w:type="dxa"/>
            <w:gridSpan w:val="3"/>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sz w:val="24"/>
              </w:rPr>
              <w:t>委托人签字：</w:t>
            </w:r>
          </w:p>
        </w:tc>
        <w:tc>
          <w:tcPr>
            <w:tcW w:w="4809" w:type="dxa"/>
            <w:gridSpan w:val="3"/>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sz w:val="24"/>
              </w:rPr>
              <w:t>委托人签字：</w:t>
            </w:r>
          </w:p>
        </w:tc>
      </w:tr>
      <w:tr>
        <w:tblPrEx>
          <w:tblCellMar>
            <w:top w:w="0" w:type="dxa"/>
            <w:left w:w="108" w:type="dxa"/>
            <w:bottom w:w="0" w:type="dxa"/>
            <w:right w:w="108" w:type="dxa"/>
          </w:tblCellMar>
        </w:tblPrEx>
        <w:trPr>
          <w:gridAfter w:val="1"/>
          <w:wAfter w:w="2383" w:type="dxa"/>
        </w:trPr>
        <w:tc>
          <w:tcPr>
            <w:tcW w:w="2942" w:type="dxa"/>
            <w:gridSpan w:val="2"/>
            <w:tcBorders>
              <w:top w:val="nil"/>
              <w:left w:val="nil"/>
              <w:bottom w:val="nil"/>
              <w:right w:val="nil"/>
            </w:tcBorders>
          </w:tcPr>
          <w:p>
            <w:pPr>
              <w:spacing w:line="360" w:lineRule="auto"/>
              <w:ind w:left="178" w:firstLine="178"/>
              <w:rPr>
                <w:rFonts w:ascii="宋体" w:hAnsi="宋体" w:cs="宋体"/>
                <w:sz w:val="24"/>
              </w:rPr>
            </w:pPr>
            <w:r>
              <w:rPr>
                <w:rFonts w:hint="eastAsia" w:ascii="宋体" w:hAnsi="宋体" w:cs="宋体"/>
                <w:b/>
                <w:bCs/>
                <w:sz w:val="24"/>
              </w:rPr>
              <w:t>日期：</w:t>
            </w:r>
          </w:p>
        </w:tc>
        <w:tc>
          <w:tcPr>
            <w:tcW w:w="3449" w:type="dxa"/>
            <w:gridSpan w:val="3"/>
            <w:tcBorders>
              <w:top w:val="nil"/>
              <w:left w:val="nil"/>
              <w:bottom w:val="nil"/>
              <w:right w:val="nil"/>
            </w:tcBorders>
          </w:tcPr>
          <w:p>
            <w:pPr>
              <w:spacing w:line="360" w:lineRule="auto"/>
              <w:ind w:left="178" w:firstLine="960" w:firstLineChars="400"/>
              <w:rPr>
                <w:rFonts w:ascii="宋体" w:hAnsi="宋体" w:cs="宋体"/>
                <w:sz w:val="24"/>
              </w:rPr>
            </w:pPr>
            <w:r>
              <w:rPr>
                <w:rFonts w:hint="eastAsia" w:ascii="宋体" w:hAnsi="宋体" w:cs="宋体"/>
                <w:sz w:val="24"/>
              </w:rPr>
              <w:t> </w:t>
            </w:r>
            <w:r>
              <w:rPr>
                <w:rFonts w:hint="eastAsia" w:ascii="宋体" w:hAnsi="宋体" w:cs="宋体"/>
                <w:b/>
                <w:bCs/>
                <w:sz w:val="24"/>
              </w:rPr>
              <w:t>日期：</w:t>
            </w:r>
          </w:p>
        </w:tc>
      </w:tr>
    </w:tbl>
    <w:p>
      <w:pPr>
        <w:spacing w:line="360" w:lineRule="auto"/>
        <w:ind w:left="178" w:firstLine="178"/>
        <w:rPr>
          <w:rFonts w:ascii="宋体" w:hAnsi="宋体" w:cs="宋体"/>
        </w:rPr>
      </w:pPr>
    </w:p>
    <w:p>
      <w:pPr>
        <w:pStyle w:val="21"/>
        <w:rPr>
          <w:lang w:val="zh-CN"/>
        </w:rPr>
        <w:sectPr>
          <w:pgSz w:w="11906" w:h="16838"/>
          <w:pgMar w:top="1089" w:right="1466" w:bottom="1089" w:left="1077" w:header="851" w:footer="992" w:gutter="0"/>
          <w:cols w:space="720" w:num="1"/>
          <w:docGrid w:type="lines" w:linePitch="312" w:charSpace="0"/>
        </w:sectPr>
      </w:pPr>
    </w:p>
    <w:p>
      <w:pPr>
        <w:rPr>
          <w:sz w:val="28"/>
          <w:szCs w:val="28"/>
        </w:rPr>
      </w:pPr>
      <w:r>
        <w:rPr>
          <w:rFonts w:hint="eastAsia"/>
          <w:sz w:val="28"/>
          <w:szCs w:val="28"/>
        </w:rPr>
        <w:t>附件2：廉政协议书</w:t>
      </w:r>
    </w:p>
    <w:p>
      <w:pPr>
        <w:jc w:val="center"/>
        <w:rPr>
          <w:rFonts w:ascii="宋体" w:hAnsi="宋体"/>
          <w:b/>
          <w:sz w:val="24"/>
        </w:rPr>
      </w:pPr>
      <w:r>
        <w:rPr>
          <w:rFonts w:hint="eastAsia" w:ascii="宋体" w:hAnsi="宋体"/>
          <w:b/>
          <w:sz w:val="24"/>
        </w:rPr>
        <w:t>建设工程廉洁协议书</w:t>
      </w:r>
    </w:p>
    <w:p>
      <w:pPr>
        <w:spacing w:line="540" w:lineRule="exact"/>
        <w:rPr>
          <w:rFonts w:ascii="宋体" w:hAnsi="宋体"/>
          <w:szCs w:val="21"/>
        </w:rPr>
      </w:pPr>
      <w:r>
        <w:rPr>
          <w:rFonts w:hint="eastAsia" w:ascii="宋体" w:hAnsi="宋体"/>
          <w:szCs w:val="21"/>
        </w:rPr>
        <w:t>发包人（甲方）：</w:t>
      </w:r>
      <w:r>
        <w:rPr>
          <w:rFonts w:hint="eastAsia"/>
          <w:szCs w:val="21"/>
        </w:rPr>
        <w:t>广州市净水有限公司</w:t>
      </w:r>
    </w:p>
    <w:p>
      <w:pPr>
        <w:spacing w:line="540" w:lineRule="exact"/>
        <w:rPr>
          <w:rFonts w:ascii="宋体" w:hAnsi="宋体"/>
          <w:szCs w:val="21"/>
        </w:rPr>
      </w:pPr>
      <w:r>
        <w:rPr>
          <w:rFonts w:hint="eastAsia" w:ascii="宋体" w:hAnsi="宋体"/>
          <w:szCs w:val="21"/>
        </w:rPr>
        <w:t>承包人（乙方）：</w:t>
      </w:r>
    </w:p>
    <w:p>
      <w:pPr>
        <w:tabs>
          <w:tab w:val="left" w:pos="709"/>
        </w:tabs>
        <w:spacing w:line="540" w:lineRule="exact"/>
        <w:ind w:firstLine="420" w:firstLineChars="200"/>
        <w:rPr>
          <w:rFonts w:ascii="宋体" w:hAnsi="宋体"/>
          <w:szCs w:val="21"/>
          <w:u w:val="single"/>
        </w:rPr>
      </w:pPr>
      <w:r>
        <w:rPr>
          <w:rFonts w:hint="eastAsia" w:ascii="宋体" w:hAnsi="宋体"/>
          <w:szCs w:val="21"/>
        </w:rPr>
        <w:t>为加强建设工程廉洁建设，防止工程建设中各种谋取不正当利益的违法违纪行为的发生，发包人、承包人双方经共同协商，在双方签订的</w:t>
      </w:r>
      <w:r>
        <w:rPr>
          <w:rFonts w:hint="eastAsia" w:ascii="宋体" w:hAnsi="宋体"/>
          <w:szCs w:val="21"/>
          <w:u w:val="single"/>
        </w:rPr>
        <w:t xml:space="preserve"> 广州市净水有限公司机房环境监控系统更新改造项目</w:t>
      </w:r>
      <w:r>
        <w:rPr>
          <w:rFonts w:hint="eastAsia" w:ascii="宋体" w:hAnsi="宋体"/>
          <w:szCs w:val="21"/>
        </w:rPr>
        <w:t>（以下简称“本工程项目”）建设工程合同（合同编号：，以下简称“主合同”）约定条款的基础上，签订本协议以保证合作双方员工的廉洁自律，保护国家、集体和协议双方的合同权益。据此，根据国家有关工程建设的法律法规和廉洁建设的有关规定，特订立本廉洁协议书，以资共同遵守。</w:t>
      </w:r>
    </w:p>
    <w:p>
      <w:pPr>
        <w:spacing w:before="93" w:beforeLines="30" w:line="540" w:lineRule="exact"/>
        <w:ind w:firstLine="417" w:firstLineChars="199"/>
        <w:rPr>
          <w:rFonts w:ascii="宋体" w:hAnsi="宋体"/>
          <w:szCs w:val="21"/>
        </w:rPr>
      </w:pPr>
      <w:r>
        <w:rPr>
          <w:rFonts w:hint="eastAsia" w:ascii="宋体" w:hAnsi="宋体"/>
          <w:szCs w:val="21"/>
        </w:rPr>
        <w:t>一、双方的责任</w:t>
      </w:r>
    </w:p>
    <w:p>
      <w:pPr>
        <w:spacing w:line="540" w:lineRule="exact"/>
        <w:ind w:firstLine="308" w:firstLineChars="147"/>
        <w:rPr>
          <w:rFonts w:ascii="宋体" w:hAnsi="宋体"/>
          <w:szCs w:val="21"/>
        </w:rPr>
      </w:pPr>
      <w:r>
        <w:rPr>
          <w:rFonts w:hint="eastAsia" w:ascii="宋体" w:hAnsi="宋体"/>
          <w:szCs w:val="21"/>
        </w:rPr>
        <w:t>（一）应严格遵守国家关于市场准入、项目招标投标、工程建设和市场经营活动等有关法律、法规，相关政策，以及廉洁建设的各项规定。</w:t>
      </w:r>
    </w:p>
    <w:p>
      <w:pPr>
        <w:spacing w:line="540" w:lineRule="exact"/>
        <w:ind w:firstLine="308" w:firstLineChars="147"/>
        <w:rPr>
          <w:rFonts w:ascii="宋体" w:hAnsi="宋体"/>
          <w:szCs w:val="21"/>
        </w:rPr>
      </w:pPr>
      <w:r>
        <w:rPr>
          <w:rFonts w:hint="eastAsia" w:ascii="宋体" w:hAnsi="宋体"/>
          <w:szCs w:val="21"/>
        </w:rPr>
        <w:t>（二）严格执行主合同文件，自觉按合同办事。</w:t>
      </w:r>
    </w:p>
    <w:p>
      <w:pPr>
        <w:spacing w:line="540" w:lineRule="exact"/>
        <w:ind w:firstLine="308" w:firstLineChars="147"/>
        <w:rPr>
          <w:rFonts w:ascii="宋体" w:hAnsi="宋体"/>
          <w:szCs w:val="21"/>
        </w:rPr>
      </w:pPr>
      <w:r>
        <w:rPr>
          <w:rFonts w:hint="eastAsia" w:ascii="宋体" w:hAnsi="宋体"/>
          <w:szCs w:val="21"/>
        </w:rPr>
        <w:t>（三）各项活动必须坚持公开、公平、公正、诚信的原则（除法律法规另有规定者外），不得为获取不正当的利益，损害国家、集体和对方利益，不得违反建设工程管理的规章制度。</w:t>
      </w:r>
    </w:p>
    <w:p>
      <w:pPr>
        <w:tabs>
          <w:tab w:val="left" w:pos="709"/>
        </w:tabs>
        <w:spacing w:line="540" w:lineRule="exact"/>
        <w:ind w:firstLine="308" w:firstLineChars="147"/>
        <w:rPr>
          <w:rFonts w:ascii="宋体" w:hAnsi="宋体"/>
          <w:szCs w:val="21"/>
        </w:rPr>
      </w:pPr>
      <w:r>
        <w:rPr>
          <w:rFonts w:hint="eastAsia" w:ascii="宋体" w:hAnsi="宋体"/>
          <w:szCs w:val="21"/>
        </w:rPr>
        <w:t>（四）发现在业务活动中任何一方单位或人员有违规、违纪、违法行为的，有义务向其上级主管部门或纪检监察、司法等机关举报。</w:t>
      </w:r>
    </w:p>
    <w:p>
      <w:pPr>
        <w:spacing w:before="93" w:beforeLines="30" w:line="540" w:lineRule="exact"/>
        <w:ind w:firstLine="417" w:firstLineChars="199"/>
        <w:rPr>
          <w:rFonts w:ascii="宋体" w:hAnsi="宋体"/>
          <w:szCs w:val="21"/>
        </w:rPr>
      </w:pPr>
      <w:r>
        <w:rPr>
          <w:rFonts w:hint="eastAsia" w:ascii="宋体" w:hAnsi="宋体"/>
          <w:szCs w:val="21"/>
        </w:rPr>
        <w:t xml:space="preserve">二、甲方责任 </w:t>
      </w:r>
    </w:p>
    <w:p>
      <w:pPr>
        <w:spacing w:line="540" w:lineRule="exact"/>
        <w:ind w:firstLine="315" w:firstLineChars="150"/>
        <w:rPr>
          <w:rFonts w:ascii="宋体" w:hAnsi="宋体"/>
          <w:szCs w:val="21"/>
        </w:rPr>
      </w:pPr>
      <w:r>
        <w:rPr>
          <w:rFonts w:hint="eastAsia" w:ascii="宋体" w:hAnsi="宋体"/>
          <w:szCs w:val="21"/>
        </w:rPr>
        <w:t>（一）甲方有责任向乙方介绍本单位的有关廉洁建设的各项制度和规定。</w:t>
      </w:r>
    </w:p>
    <w:p>
      <w:pPr>
        <w:spacing w:line="540" w:lineRule="exact"/>
        <w:ind w:firstLine="315" w:firstLineChars="150"/>
        <w:rPr>
          <w:rFonts w:ascii="宋体" w:hAnsi="宋体"/>
          <w:szCs w:val="21"/>
        </w:rPr>
      </w:pPr>
      <w:r>
        <w:rPr>
          <w:rFonts w:hint="eastAsia" w:ascii="宋体" w:hAnsi="宋体"/>
          <w:szCs w:val="21"/>
        </w:rPr>
        <w:t>（二）甲方有责任对本单位工程项目人员进行廉洁</w:t>
      </w:r>
      <w:r>
        <w:fldChar w:fldCharType="begin"/>
      </w:r>
      <w:r>
        <w:instrText xml:space="preserve"> HYPERLINK "http://www.jianshe99.com/web/wangxiao/" \t "_blank" \o "教育" </w:instrText>
      </w:r>
      <w:r>
        <w:fldChar w:fldCharType="separate"/>
      </w:r>
      <w:r>
        <w:rPr>
          <w:rFonts w:hint="eastAsia" w:ascii="宋体" w:hAnsi="宋体"/>
          <w:szCs w:val="21"/>
        </w:rPr>
        <w:t>教育</w:t>
      </w:r>
      <w:r>
        <w:rPr>
          <w:rFonts w:hint="eastAsia" w:ascii="宋体" w:hAnsi="宋体"/>
          <w:szCs w:val="21"/>
        </w:rPr>
        <w:fldChar w:fldCharType="end"/>
      </w:r>
      <w:r>
        <w:rPr>
          <w:rFonts w:hint="eastAsia" w:ascii="宋体" w:hAnsi="宋体"/>
          <w:szCs w:val="21"/>
        </w:rPr>
        <w:t>；督促甲方人员严格遵守本单位制度和工程项目建设中如下廉洁规定：</w:t>
      </w:r>
    </w:p>
    <w:p>
      <w:pPr>
        <w:spacing w:line="540" w:lineRule="exact"/>
        <w:ind w:firstLine="420" w:firstLineChars="200"/>
        <w:rPr>
          <w:rFonts w:ascii="宋体" w:hAnsi="宋体"/>
          <w:szCs w:val="21"/>
        </w:rPr>
      </w:pPr>
      <w:r>
        <w:rPr>
          <w:rFonts w:hint="eastAsia" w:ascii="宋体" w:hAnsi="宋体"/>
          <w:szCs w:val="21"/>
        </w:rPr>
        <w:t>1.不得向乙方和相关单位索要或接受回扣、礼金、有价证券、贵重物品和好处费、感谢费等，难以拒收的，必须按有关规定登记上交。</w:t>
      </w:r>
    </w:p>
    <w:p>
      <w:pPr>
        <w:spacing w:line="540" w:lineRule="exact"/>
        <w:ind w:firstLine="420" w:firstLineChars="200"/>
        <w:rPr>
          <w:rFonts w:ascii="宋体" w:hAnsi="宋体"/>
          <w:szCs w:val="21"/>
        </w:rPr>
      </w:pPr>
      <w:r>
        <w:rPr>
          <w:rFonts w:hint="eastAsia" w:ascii="宋体" w:hAnsi="宋体"/>
          <w:szCs w:val="21"/>
        </w:rPr>
        <w:t>2.不得在乙方和相关单位报销任何应由发包人或个人支付的费用。</w:t>
      </w:r>
    </w:p>
    <w:p>
      <w:pPr>
        <w:spacing w:line="540" w:lineRule="exact"/>
        <w:ind w:firstLine="420" w:firstLineChars="200"/>
        <w:rPr>
          <w:rFonts w:ascii="宋体" w:hAnsi="宋体"/>
          <w:szCs w:val="21"/>
        </w:rPr>
      </w:pPr>
      <w:r>
        <w:rPr>
          <w:rFonts w:hint="eastAsia" w:ascii="宋体" w:hAnsi="宋体"/>
          <w:szCs w:val="21"/>
        </w:rPr>
        <w:t>3.不得要求、暗示或接受乙方和相关单位为其装修住房、婚丧嫁娶、配偶子女的工作安排以及出国（境）、旅游等提供方便。</w:t>
      </w:r>
    </w:p>
    <w:p>
      <w:pPr>
        <w:spacing w:line="540" w:lineRule="exact"/>
        <w:ind w:firstLine="420" w:firstLineChars="200"/>
        <w:rPr>
          <w:rFonts w:ascii="宋体" w:hAnsi="宋体"/>
          <w:szCs w:val="21"/>
        </w:rPr>
      </w:pPr>
      <w:r>
        <w:rPr>
          <w:rFonts w:hint="eastAsia" w:ascii="宋体" w:hAnsi="宋体"/>
          <w:szCs w:val="21"/>
        </w:rPr>
        <w:t>4.不得参加有可能影响公正履行岗位职责的乙方和相关单位安排的宴请、健身、娱乐等活动。</w:t>
      </w:r>
    </w:p>
    <w:p>
      <w:pPr>
        <w:spacing w:line="540" w:lineRule="exact"/>
        <w:ind w:firstLine="420" w:firstLineChars="200"/>
        <w:rPr>
          <w:rFonts w:ascii="宋体" w:hAnsi="宋体"/>
          <w:szCs w:val="21"/>
        </w:rPr>
      </w:pPr>
      <w:r>
        <w:rPr>
          <w:rFonts w:hint="eastAsia" w:ascii="宋体" w:hAnsi="宋体"/>
          <w:szCs w:val="21"/>
        </w:rPr>
        <w:t>5.不得向乙方和相关单位介绍或为配偶、子女、亲属参与同发包人建设项目有关的业务活动；不得以任何理由要求承包人和相关单位使用某种产品、材料和设备。</w:t>
      </w:r>
    </w:p>
    <w:p>
      <w:pPr>
        <w:spacing w:line="540" w:lineRule="exact"/>
        <w:ind w:firstLine="420" w:firstLineChars="200"/>
        <w:rPr>
          <w:rFonts w:ascii="宋体" w:hAnsi="宋体"/>
          <w:szCs w:val="21"/>
        </w:rPr>
      </w:pPr>
      <w:r>
        <w:rPr>
          <w:rFonts w:hint="eastAsia" w:ascii="宋体" w:hAnsi="宋体"/>
          <w:szCs w:val="21"/>
        </w:rPr>
        <w:t>6.其他可能影响公正履行岗位职责的行为。</w:t>
      </w:r>
    </w:p>
    <w:p>
      <w:pPr>
        <w:spacing w:line="540" w:lineRule="exact"/>
        <w:ind w:firstLine="308" w:firstLineChars="147"/>
        <w:rPr>
          <w:rFonts w:ascii="宋体" w:hAnsi="宋体"/>
          <w:szCs w:val="21"/>
        </w:rPr>
      </w:pPr>
      <w:r>
        <w:rPr>
          <w:rFonts w:hint="eastAsia" w:ascii="宋体" w:hAnsi="宋体"/>
          <w:szCs w:val="21"/>
        </w:rPr>
        <w:t>（三）甲方有权对乙方在本工程项目建设中保持廉洁的情况实行监督，定期或不定期检查甲乙双方履行本协议情况。</w:t>
      </w:r>
    </w:p>
    <w:p>
      <w:pPr>
        <w:spacing w:before="93" w:beforeLines="30" w:line="540" w:lineRule="exact"/>
        <w:ind w:firstLine="417" w:firstLineChars="199"/>
        <w:rPr>
          <w:rFonts w:ascii="宋体" w:hAnsi="宋体"/>
          <w:szCs w:val="21"/>
        </w:rPr>
      </w:pPr>
      <w:r>
        <w:rPr>
          <w:rFonts w:hint="eastAsia" w:ascii="宋体" w:hAnsi="宋体"/>
          <w:szCs w:val="21"/>
        </w:rPr>
        <w:t>三、乙方责任</w:t>
      </w:r>
    </w:p>
    <w:p>
      <w:pPr>
        <w:spacing w:line="540" w:lineRule="exact"/>
        <w:ind w:firstLine="308" w:firstLineChars="147"/>
        <w:rPr>
          <w:rFonts w:ascii="宋体" w:hAnsi="宋体"/>
          <w:szCs w:val="21"/>
        </w:rPr>
      </w:pPr>
      <w:r>
        <w:rPr>
          <w:rFonts w:hint="eastAsia" w:ascii="宋体" w:hAnsi="宋体"/>
          <w:szCs w:val="21"/>
        </w:rPr>
        <w:t>（一）乙方应了解甲方单位有关廉洁建设的各项制度和规定，支持甲方执行有关规定和制度。</w:t>
      </w:r>
    </w:p>
    <w:p>
      <w:pPr>
        <w:spacing w:line="540" w:lineRule="exact"/>
        <w:ind w:firstLine="308" w:firstLineChars="147"/>
        <w:rPr>
          <w:rFonts w:ascii="宋体" w:hAnsi="宋体"/>
          <w:szCs w:val="21"/>
        </w:rPr>
      </w:pPr>
      <w:r>
        <w:rPr>
          <w:rFonts w:hint="eastAsia" w:ascii="宋体" w:hAnsi="宋体"/>
          <w:szCs w:val="21"/>
        </w:rPr>
        <w:t>（二）乙方有责任对本单位工程项目人员进行廉洁教育（包括甲方单位制定的有关廉洁建设方面的规定），按时出席甲方召集的有关会议。</w:t>
      </w:r>
    </w:p>
    <w:p>
      <w:pPr>
        <w:spacing w:line="540" w:lineRule="exact"/>
        <w:ind w:firstLine="308" w:firstLineChars="147"/>
        <w:rPr>
          <w:rFonts w:ascii="宋体" w:hAnsi="宋体"/>
          <w:szCs w:val="21"/>
        </w:rPr>
      </w:pPr>
      <w:r>
        <w:rPr>
          <w:rFonts w:hint="eastAsia" w:ascii="宋体" w:hAnsi="宋体"/>
          <w:szCs w:val="21"/>
        </w:rPr>
        <w:t>（三）乙方应与甲方保持正常的业务交往，并遵守以下廉洁规定：</w:t>
      </w:r>
    </w:p>
    <w:p>
      <w:pPr>
        <w:spacing w:line="540" w:lineRule="exact"/>
        <w:ind w:firstLine="420" w:firstLineChars="200"/>
        <w:rPr>
          <w:rFonts w:ascii="宋体" w:hAnsi="宋体"/>
          <w:szCs w:val="21"/>
        </w:rPr>
      </w:pPr>
      <w:r>
        <w:rPr>
          <w:rFonts w:hint="eastAsia" w:ascii="宋体" w:hAnsi="宋体"/>
          <w:szCs w:val="21"/>
        </w:rPr>
        <w:t>1.不得以任何理由向甲方及其工作人员索要、接受或赠送礼金、有价证券、贵重物品及回扣、好处费、感谢费等。</w:t>
      </w:r>
    </w:p>
    <w:p>
      <w:pPr>
        <w:spacing w:line="540" w:lineRule="exact"/>
        <w:ind w:firstLine="420" w:firstLineChars="200"/>
        <w:rPr>
          <w:rFonts w:ascii="宋体" w:hAnsi="宋体"/>
          <w:szCs w:val="21"/>
        </w:rPr>
      </w:pPr>
      <w:r>
        <w:rPr>
          <w:rFonts w:hint="eastAsia" w:ascii="宋体" w:hAnsi="宋体"/>
          <w:szCs w:val="21"/>
        </w:rPr>
        <w:t>2.不得以任何理由为甲方和相关单位报销应由对方或个人支付的费用。</w:t>
      </w:r>
    </w:p>
    <w:p>
      <w:pPr>
        <w:spacing w:line="540" w:lineRule="exact"/>
        <w:ind w:firstLine="420" w:firstLineChars="200"/>
        <w:rPr>
          <w:rFonts w:ascii="宋体" w:hAnsi="宋体"/>
          <w:szCs w:val="21"/>
        </w:rPr>
      </w:pPr>
      <w:r>
        <w:rPr>
          <w:rFonts w:hint="eastAsia" w:ascii="宋体" w:hAnsi="宋体"/>
          <w:szCs w:val="21"/>
        </w:rPr>
        <w:t>3.不得接受或暗示为甲方、相关单位或个人装修住房、婚丧嫁娶、配偶子女的工作安排以及出国（境）、旅游等提供方便。</w:t>
      </w:r>
    </w:p>
    <w:p>
      <w:pPr>
        <w:spacing w:line="540" w:lineRule="exact"/>
        <w:ind w:firstLine="420" w:firstLineChars="200"/>
        <w:rPr>
          <w:rFonts w:ascii="宋体" w:hAnsi="宋体"/>
          <w:szCs w:val="21"/>
        </w:rPr>
      </w:pPr>
      <w:r>
        <w:rPr>
          <w:rFonts w:hint="eastAsia" w:ascii="宋体" w:hAnsi="宋体"/>
          <w:szCs w:val="21"/>
        </w:rPr>
        <w:t>4.不得以任何理由为甲方、相关单位或个人组织提供有可能影响公正履行岗位职责的宴请、健身、娱乐等活动。</w:t>
      </w:r>
    </w:p>
    <w:p>
      <w:pPr>
        <w:spacing w:line="540" w:lineRule="exact"/>
        <w:ind w:firstLine="420" w:firstLineChars="200"/>
        <w:rPr>
          <w:rFonts w:ascii="宋体" w:hAnsi="宋体"/>
          <w:szCs w:val="21"/>
        </w:rPr>
      </w:pPr>
      <w:r>
        <w:rPr>
          <w:rFonts w:hint="eastAsia" w:ascii="宋体" w:hAnsi="宋体"/>
          <w:szCs w:val="21"/>
        </w:rPr>
        <w:t>5.其他可能影响公正履行岗位职责的行为。</w:t>
      </w:r>
    </w:p>
    <w:p>
      <w:pPr>
        <w:spacing w:before="93" w:beforeLines="30" w:line="540" w:lineRule="exact"/>
        <w:ind w:firstLine="417" w:firstLineChars="199"/>
        <w:rPr>
          <w:rFonts w:ascii="宋体" w:hAnsi="宋体"/>
          <w:szCs w:val="21"/>
        </w:rPr>
      </w:pPr>
      <w:r>
        <w:rPr>
          <w:rFonts w:hint="eastAsia" w:ascii="宋体" w:hAnsi="宋体"/>
          <w:szCs w:val="21"/>
        </w:rPr>
        <w:t>四、违约责任及处理</w:t>
      </w:r>
    </w:p>
    <w:p>
      <w:pPr>
        <w:spacing w:line="540" w:lineRule="exact"/>
        <w:ind w:firstLine="308" w:firstLineChars="147"/>
        <w:rPr>
          <w:rFonts w:ascii="宋体" w:hAnsi="宋体"/>
          <w:szCs w:val="21"/>
        </w:rPr>
      </w:pPr>
      <w:r>
        <w:rPr>
          <w:rFonts w:hint="eastAsia" w:ascii="宋体" w:hAnsi="宋体"/>
          <w:szCs w:val="21"/>
        </w:rPr>
        <w:t>（一）甲方工作人员有违反本协议书第一、二条责任行为的，视情节轻重，依据有关法律、法规和甲方相关制度规定给予组织处理、党纪政纪处分；涉嫌犯罪的，移交司法机关追究刑事责任。</w:t>
      </w:r>
    </w:p>
    <w:p>
      <w:pPr>
        <w:spacing w:line="540" w:lineRule="exact"/>
        <w:ind w:firstLine="308" w:firstLineChars="147"/>
        <w:rPr>
          <w:rFonts w:ascii="宋体" w:hAnsi="宋体"/>
          <w:szCs w:val="21"/>
          <w:u w:val="single"/>
        </w:rPr>
      </w:pPr>
      <w:r>
        <w:rPr>
          <w:rFonts w:hint="eastAsia" w:ascii="宋体" w:hAnsi="宋体"/>
          <w:szCs w:val="21"/>
        </w:rPr>
        <w:t>（二）乙方或乙方工作人员有违反本协议书第一、三条责任行为的，甲方有权向乙方单位纪检监察部门、有关行政管理部门等提出对乙方进行责任追究和处罚，涉嫌犯罪的，移送司法机关追究刑事责任。</w:t>
      </w:r>
    </w:p>
    <w:p>
      <w:pPr>
        <w:tabs>
          <w:tab w:val="left" w:pos="709"/>
        </w:tabs>
        <w:spacing w:line="540" w:lineRule="exact"/>
        <w:ind w:firstLine="308" w:firstLineChars="147"/>
        <w:rPr>
          <w:rFonts w:ascii="宋体" w:hAnsi="宋体"/>
          <w:szCs w:val="21"/>
        </w:rPr>
      </w:pPr>
      <w:r>
        <w:rPr>
          <w:rFonts w:hint="eastAsia" w:ascii="宋体" w:hAnsi="宋体"/>
          <w:szCs w:val="21"/>
        </w:rPr>
        <w:t>（三）根据广州市及公司关于水务工程勘察设计、施工和监理企业诚信评价的有关规定，若乙方存在被纪检监察部门认定有行贿行为、被法院判决犯有行贿罪记录等违反廉洁规定的，甲方书面提请水务行政主管部门处理。</w:t>
      </w:r>
    </w:p>
    <w:p>
      <w:pPr>
        <w:tabs>
          <w:tab w:val="left" w:pos="7513"/>
        </w:tabs>
        <w:spacing w:before="93" w:beforeLines="30" w:line="540" w:lineRule="exact"/>
        <w:ind w:firstLine="417" w:firstLineChars="199"/>
        <w:rPr>
          <w:rFonts w:ascii="宋体" w:hAnsi="宋体"/>
          <w:szCs w:val="21"/>
        </w:rPr>
      </w:pPr>
      <w:r>
        <w:rPr>
          <w:rFonts w:hint="eastAsia" w:ascii="宋体" w:hAnsi="宋体"/>
          <w:szCs w:val="21"/>
        </w:rPr>
        <w:t>五、协议书有效期</w:t>
      </w:r>
    </w:p>
    <w:p>
      <w:pPr>
        <w:spacing w:line="540" w:lineRule="exact"/>
        <w:ind w:firstLine="308" w:firstLineChars="147"/>
        <w:rPr>
          <w:rFonts w:ascii="宋体" w:hAnsi="宋体"/>
          <w:szCs w:val="21"/>
          <w:u w:val="single"/>
        </w:rPr>
      </w:pPr>
      <w:r>
        <w:rPr>
          <w:rFonts w:hint="eastAsia" w:ascii="宋体" w:hAnsi="宋体"/>
          <w:szCs w:val="21"/>
        </w:rPr>
        <w:t>（一）本协议书作为</w:t>
      </w:r>
      <w:r>
        <w:rPr>
          <w:rFonts w:hint="eastAsia" w:ascii="宋体" w:hAnsi="宋体"/>
          <w:szCs w:val="21"/>
          <w:u w:val="single"/>
        </w:rPr>
        <w:t>广州市净水有限公司机房环境监控系统更新改造项目</w:t>
      </w:r>
      <w:r>
        <w:rPr>
          <w:rFonts w:hint="eastAsia" w:ascii="宋体" w:hAnsi="宋体"/>
          <w:szCs w:val="21"/>
        </w:rPr>
        <w:t>建设工程合同（合同编号：）的组成部分，与建设工程合同具有同等法律效力。经双方签署后立即生效。</w:t>
      </w:r>
    </w:p>
    <w:p>
      <w:pPr>
        <w:spacing w:line="540" w:lineRule="exact"/>
        <w:ind w:firstLine="308" w:firstLineChars="147"/>
        <w:rPr>
          <w:rFonts w:ascii="宋体" w:hAnsi="宋体"/>
          <w:szCs w:val="21"/>
        </w:rPr>
      </w:pPr>
      <w:r>
        <w:rPr>
          <w:rFonts w:hint="eastAsia" w:ascii="宋体" w:hAnsi="宋体"/>
          <w:szCs w:val="21"/>
        </w:rPr>
        <w:t>（二）本协议书的有效期为双方签署之日起至本工程项目质保期结束时止。</w:t>
      </w:r>
    </w:p>
    <w:p>
      <w:pPr>
        <w:spacing w:line="540" w:lineRule="exact"/>
        <w:rPr>
          <w:rFonts w:ascii="宋体" w:hAnsi="宋体"/>
          <w:szCs w:val="21"/>
        </w:rPr>
      </w:pPr>
      <w:r>
        <w:rPr>
          <w:rFonts w:hint="eastAsia" w:ascii="宋体" w:hAnsi="宋体"/>
          <w:szCs w:val="21"/>
        </w:rPr>
        <w:t>发包人：               （公章）      承包人：                 （公章）</w:t>
      </w:r>
    </w:p>
    <w:p>
      <w:pPr>
        <w:spacing w:line="540" w:lineRule="exact"/>
        <w:rPr>
          <w:rFonts w:ascii="宋体" w:hAnsi="宋体"/>
          <w:szCs w:val="21"/>
        </w:rPr>
      </w:pPr>
    </w:p>
    <w:p>
      <w:pPr>
        <w:spacing w:line="540" w:lineRule="exact"/>
        <w:rPr>
          <w:rFonts w:ascii="宋体" w:hAnsi="宋体"/>
          <w:szCs w:val="21"/>
        </w:rPr>
      </w:pPr>
      <w:r>
        <w:rPr>
          <w:rFonts w:hint="eastAsia" w:ascii="宋体" w:hAnsi="宋体"/>
          <w:szCs w:val="21"/>
        </w:rPr>
        <w:t xml:space="preserve">签约代表： </w:t>
      </w:r>
      <w:r>
        <w:rPr>
          <w:rFonts w:ascii="宋体" w:hAnsi="宋体"/>
          <w:szCs w:val="21"/>
        </w:rPr>
        <w:t xml:space="preserve">                         </w:t>
      </w:r>
      <w:r>
        <w:rPr>
          <w:rFonts w:hint="eastAsia" w:ascii="宋体" w:hAnsi="宋体"/>
          <w:szCs w:val="21"/>
        </w:rPr>
        <w:t xml:space="preserve"> 签约代表： </w:t>
      </w:r>
    </w:p>
    <w:p>
      <w:pPr>
        <w:spacing w:line="540" w:lineRule="exact"/>
        <w:rPr>
          <w:rFonts w:ascii="宋体" w:hAnsi="宋体"/>
          <w:szCs w:val="21"/>
        </w:rPr>
      </w:pPr>
    </w:p>
    <w:p>
      <w:pPr>
        <w:spacing w:line="540" w:lineRule="exact"/>
        <w:rPr>
          <w:rFonts w:ascii="宋体" w:hAnsi="宋体"/>
          <w:szCs w:val="21"/>
        </w:rPr>
        <w:sectPr>
          <w:pgSz w:w="11906" w:h="16838"/>
          <w:pgMar w:top="1089" w:right="1466" w:bottom="1089" w:left="1077" w:header="851" w:footer="992" w:gutter="0"/>
          <w:cols w:space="720" w:num="1"/>
          <w:docGrid w:type="lines" w:linePitch="312" w:charSpace="0"/>
        </w:sectPr>
      </w:pPr>
      <w:r>
        <w:rPr>
          <w:rFonts w:hint="eastAsia" w:ascii="宋体" w:hAnsi="宋体"/>
          <w:szCs w:val="21"/>
        </w:rPr>
        <w:t xml:space="preserve">日期： </w:t>
      </w:r>
      <w:r>
        <w:rPr>
          <w:rFonts w:ascii="宋体" w:hAnsi="宋体"/>
          <w:szCs w:val="21"/>
        </w:rPr>
        <w:t xml:space="preserve">                               </w:t>
      </w:r>
      <w:r>
        <w:rPr>
          <w:rFonts w:hint="eastAsia" w:ascii="宋体" w:hAnsi="宋体"/>
          <w:szCs w:val="21"/>
        </w:rPr>
        <w:t>日期：</w:t>
      </w:r>
    </w:p>
    <w:p>
      <w:pPr>
        <w:spacing w:line="560" w:lineRule="exact"/>
        <w:rPr>
          <w:rFonts w:ascii="宋体"/>
          <w:b/>
          <w:sz w:val="24"/>
        </w:rPr>
      </w:pPr>
      <w:r>
        <w:rPr>
          <w:rFonts w:hint="eastAsia" w:ascii="宋体" w:hAnsi="宋体"/>
          <w:b/>
          <w:sz w:val="24"/>
        </w:rPr>
        <w:t>附件</w:t>
      </w:r>
      <w:r>
        <w:rPr>
          <w:rFonts w:ascii="宋体" w:hAnsi="宋体"/>
          <w:b/>
          <w:sz w:val="24"/>
        </w:rPr>
        <w:t>3</w:t>
      </w:r>
      <w:r>
        <w:rPr>
          <w:rFonts w:hint="eastAsia" w:ascii="宋体" w:hAnsi="宋体"/>
          <w:b/>
          <w:sz w:val="24"/>
        </w:rPr>
        <w:t>：安全管理协议书</w:t>
      </w:r>
    </w:p>
    <w:p>
      <w:pPr>
        <w:spacing w:line="440" w:lineRule="exact"/>
        <w:jc w:val="center"/>
        <w:rPr>
          <w:b/>
          <w:bCs/>
          <w:sz w:val="32"/>
          <w:szCs w:val="32"/>
        </w:rPr>
      </w:pPr>
      <w:r>
        <w:rPr>
          <w:rFonts w:hint="eastAsia"/>
          <w:b/>
          <w:bCs/>
          <w:sz w:val="32"/>
          <w:szCs w:val="32"/>
        </w:rPr>
        <w:t>安全管理协议书</w:t>
      </w:r>
    </w:p>
    <w:p>
      <w:pPr>
        <w:spacing w:line="440" w:lineRule="exact"/>
        <w:rPr>
          <w:rFonts w:ascii="宋体" w:hAnsi="宋体"/>
          <w:sz w:val="24"/>
        </w:rPr>
      </w:pPr>
    </w:p>
    <w:p>
      <w:pPr>
        <w:adjustRightInd w:val="0"/>
        <w:snapToGrid w:val="0"/>
        <w:spacing w:line="440" w:lineRule="exact"/>
        <w:ind w:firstLine="480" w:firstLineChars="200"/>
        <w:jc w:val="left"/>
        <w:rPr>
          <w:rFonts w:ascii="宋体" w:hAnsi="宋体"/>
          <w:sz w:val="24"/>
        </w:rPr>
      </w:pPr>
      <w:r>
        <w:rPr>
          <w:rFonts w:hint="eastAsia" w:ascii="宋体" w:hAnsi="宋体"/>
          <w:sz w:val="24"/>
        </w:rPr>
        <w:t>发包人：</w:t>
      </w:r>
      <w:r>
        <w:rPr>
          <w:rFonts w:hint="eastAsia" w:ascii="宋体" w:hAnsi="宋体"/>
          <w:sz w:val="24"/>
          <w:u w:val="single"/>
        </w:rPr>
        <w:t>广州市净水有限公司</w:t>
      </w:r>
    </w:p>
    <w:p>
      <w:pPr>
        <w:adjustRightInd w:val="0"/>
        <w:snapToGrid w:val="0"/>
        <w:spacing w:line="440" w:lineRule="exact"/>
        <w:ind w:firstLine="480" w:firstLineChars="200"/>
        <w:jc w:val="left"/>
        <w:rPr>
          <w:rStyle w:val="27"/>
          <w:b w:val="0"/>
          <w:u w:val="single"/>
        </w:rPr>
      </w:pPr>
      <w:r>
        <w:rPr>
          <w:rFonts w:hint="eastAsia" w:ascii="宋体" w:hAnsi="宋体"/>
          <w:sz w:val="24"/>
        </w:rPr>
        <w:t>承包人</w:t>
      </w:r>
      <w:bookmarkStart w:id="44" w:name="_Toc21391"/>
      <w:r>
        <w:rPr>
          <w:rFonts w:hint="eastAsia" w:ascii="宋体" w:hAnsi="宋体"/>
          <w:sz w:val="24"/>
        </w:rPr>
        <w:t>:</w:t>
      </w:r>
      <w:r>
        <w:rPr>
          <w:rFonts w:ascii="宋体" w:hAnsi="宋体"/>
          <w:b/>
          <w:bCs/>
          <w:u w:val="single"/>
        </w:rPr>
        <w:t xml:space="preserve">                      </w:t>
      </w:r>
    </w:p>
    <w:bookmarkEnd w:id="44"/>
    <w:p>
      <w:pPr>
        <w:adjustRightInd w:val="0"/>
        <w:snapToGrid w:val="0"/>
        <w:spacing w:line="440" w:lineRule="exact"/>
        <w:ind w:firstLine="480" w:firstLineChars="200"/>
        <w:jc w:val="left"/>
        <w:rPr>
          <w:rFonts w:ascii="宋体" w:hAnsi="宋体"/>
          <w:sz w:val="24"/>
        </w:rPr>
      </w:pPr>
      <w:r>
        <w:rPr>
          <w:rFonts w:ascii="宋体" w:hAnsi="宋体"/>
          <w:sz w:val="24"/>
        </w:rPr>
        <w:t>根据</w:t>
      </w:r>
      <w:r>
        <w:rPr>
          <w:rFonts w:hint="eastAsia" w:ascii="宋体" w:hAnsi="宋体"/>
          <w:sz w:val="24"/>
        </w:rPr>
        <w:t>《中华人民共和国</w:t>
      </w:r>
      <w:r>
        <w:rPr>
          <w:rFonts w:ascii="宋体" w:hAnsi="宋体"/>
          <w:sz w:val="24"/>
        </w:rPr>
        <w:t>安全生产法》</w:t>
      </w:r>
      <w:r>
        <w:rPr>
          <w:rFonts w:hint="eastAsia" w:ascii="宋体" w:hAnsi="宋体"/>
          <w:sz w:val="24"/>
        </w:rPr>
        <w:t>、《中华人民共和国建筑法》、《建设工程安全生产管理条例》、《生产安全事故报告和调查处理条例》和</w:t>
      </w:r>
      <w:r>
        <w:rPr>
          <w:rFonts w:ascii="宋体" w:hAnsi="宋体"/>
          <w:sz w:val="24"/>
        </w:rPr>
        <w:t>《</w:t>
      </w:r>
      <w:r>
        <w:rPr>
          <w:rFonts w:hint="eastAsia" w:ascii="宋体" w:hAnsi="宋体"/>
          <w:sz w:val="24"/>
        </w:rPr>
        <w:t>广州市安全生产管理规定（试行）》</w:t>
      </w:r>
      <w:r>
        <w:rPr>
          <w:rFonts w:ascii="宋体" w:hAnsi="宋体"/>
          <w:sz w:val="24"/>
        </w:rPr>
        <w:t>等一系列有关安全生产的法律法规</w:t>
      </w:r>
      <w:r>
        <w:rPr>
          <w:rFonts w:hint="eastAsia" w:ascii="宋体" w:hAnsi="宋体"/>
          <w:sz w:val="24"/>
        </w:rPr>
        <w:t>, 经</w:t>
      </w:r>
      <w:r>
        <w:rPr>
          <w:rFonts w:ascii="宋体" w:hAnsi="宋体"/>
          <w:sz w:val="24"/>
        </w:rPr>
        <w:t>双方协商，签订本</w:t>
      </w:r>
      <w:r>
        <w:rPr>
          <w:rFonts w:hint="eastAsia" w:ascii="宋体" w:hAnsi="宋体"/>
          <w:sz w:val="24"/>
        </w:rPr>
        <w:t>协议书</w:t>
      </w:r>
      <w:r>
        <w:rPr>
          <w:rFonts w:ascii="宋体" w:hAnsi="宋体"/>
          <w:sz w:val="24"/>
        </w:rPr>
        <w:t>，以明确各自的安全生产责任并共同遵守</w:t>
      </w:r>
      <w:r>
        <w:rPr>
          <w:rFonts w:hint="eastAsia" w:ascii="宋体" w:hAnsi="宋体"/>
          <w:sz w:val="24"/>
        </w:rPr>
        <w:t>。</w:t>
      </w:r>
    </w:p>
    <w:p>
      <w:pPr>
        <w:numPr>
          <w:ilvl w:val="0"/>
          <w:numId w:val="23"/>
        </w:numPr>
        <w:adjustRightInd w:val="0"/>
        <w:snapToGrid w:val="0"/>
        <w:spacing w:line="440" w:lineRule="exact"/>
        <w:jc w:val="left"/>
        <w:rPr>
          <w:rFonts w:ascii="宋体" w:hAnsi="宋体"/>
          <w:sz w:val="24"/>
        </w:rPr>
      </w:pPr>
      <w:r>
        <w:rPr>
          <w:rFonts w:hint="eastAsia" w:ascii="宋体" w:hAnsi="宋体"/>
          <w:sz w:val="24"/>
        </w:rPr>
        <w:t>本协议与主协议的关系</w:t>
      </w:r>
    </w:p>
    <w:p>
      <w:pPr>
        <w:adjustRightInd w:val="0"/>
        <w:snapToGrid w:val="0"/>
        <w:spacing w:line="440" w:lineRule="exact"/>
        <w:ind w:left="105" w:firstLine="480" w:firstLineChars="200"/>
        <w:jc w:val="left"/>
        <w:rPr>
          <w:rFonts w:ascii="宋体" w:hAnsi="宋体"/>
          <w:sz w:val="24"/>
        </w:rPr>
      </w:pPr>
      <w:r>
        <w:rPr>
          <w:rFonts w:hint="eastAsia" w:ascii="宋体" w:hAnsi="宋体"/>
          <w:sz w:val="24"/>
        </w:rPr>
        <w:t>本协议作为</w:t>
      </w:r>
      <w:r>
        <w:rPr>
          <w:rFonts w:ascii="宋体" w:hAnsi="宋体"/>
          <w:sz w:val="24"/>
          <w:u w:val="single"/>
        </w:rPr>
        <w:t xml:space="preserve">   </w:t>
      </w:r>
      <w:r>
        <w:rPr>
          <w:rFonts w:hint="eastAsia" w:ascii="宋体" w:hAnsi="宋体"/>
          <w:bCs/>
          <w:sz w:val="24"/>
          <w:u w:val="single"/>
        </w:rPr>
        <w:t xml:space="preserve">机房环境监控系统更新改造项目合同  </w:t>
      </w:r>
      <w:r>
        <w:rPr>
          <w:rFonts w:hint="eastAsia" w:ascii="宋体" w:hAnsi="宋体"/>
          <w:sz w:val="24"/>
        </w:rPr>
        <w:t>的组成部分，与主合同具有同等法律。</w:t>
      </w:r>
    </w:p>
    <w:p>
      <w:pPr>
        <w:adjustRightInd w:val="0"/>
        <w:snapToGrid w:val="0"/>
        <w:spacing w:line="440" w:lineRule="exact"/>
        <w:jc w:val="left"/>
        <w:rPr>
          <w:rFonts w:ascii="宋体" w:hAnsi="宋体"/>
          <w:sz w:val="24"/>
        </w:rPr>
      </w:pPr>
      <w:r>
        <w:rPr>
          <w:rFonts w:ascii="宋体" w:hAnsi="宋体"/>
          <w:sz w:val="24"/>
        </w:rPr>
        <w:t xml:space="preserve"> </w:t>
      </w:r>
      <w:r>
        <w:rPr>
          <w:rFonts w:hint="eastAsia" w:ascii="宋体" w:hAnsi="宋体"/>
          <w:sz w:val="24"/>
        </w:rPr>
        <w:t>二、甲乙双方的责任、权利和义务</w:t>
      </w:r>
    </w:p>
    <w:p>
      <w:pPr>
        <w:adjustRightInd w:val="0"/>
        <w:snapToGrid w:val="0"/>
        <w:spacing w:line="440" w:lineRule="exact"/>
        <w:jc w:val="left"/>
        <w:rPr>
          <w:rFonts w:ascii="宋体" w:hAnsi="宋体"/>
          <w:sz w:val="24"/>
        </w:rPr>
      </w:pPr>
      <w:r>
        <w:rPr>
          <w:rFonts w:hint="eastAsia" w:ascii="宋体" w:hAnsi="宋体"/>
          <w:sz w:val="24"/>
        </w:rPr>
        <w:t>（一）发包人的责任、权利和义务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贯彻落实国家、地方及发包人有关</w:t>
      </w:r>
      <w:r>
        <w:rPr>
          <w:rFonts w:ascii="宋体" w:hAnsi="宋体"/>
          <w:sz w:val="24"/>
        </w:rPr>
        <w:t>安全</w:t>
      </w:r>
      <w:r>
        <w:rPr>
          <w:rFonts w:hint="eastAsia" w:ascii="宋体" w:hAnsi="宋体"/>
          <w:sz w:val="24"/>
        </w:rPr>
        <w:t>管理的法律法规和规章制度，对承包人承包作业的</w:t>
      </w:r>
      <w:r>
        <w:rPr>
          <w:rFonts w:ascii="宋体" w:hAnsi="宋体"/>
          <w:sz w:val="24"/>
        </w:rPr>
        <w:t>安全</w:t>
      </w:r>
      <w:r>
        <w:rPr>
          <w:rFonts w:hint="eastAsia" w:ascii="宋体" w:hAnsi="宋体"/>
          <w:sz w:val="24"/>
        </w:rPr>
        <w:t>管理工作进行监督管理。</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审查承包人</w:t>
      </w:r>
      <w:r>
        <w:rPr>
          <w:rFonts w:ascii="宋体" w:hAnsi="宋体"/>
          <w:sz w:val="24"/>
        </w:rPr>
        <w:t>安全</w:t>
      </w:r>
      <w:r>
        <w:rPr>
          <w:rFonts w:hint="eastAsia" w:ascii="宋体" w:hAnsi="宋体"/>
          <w:sz w:val="24"/>
        </w:rPr>
        <w:t>资质，确保承包人具备与承包内容资质相一致的外协条件。</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要求承包人建立健全承包作业的各项</w:t>
      </w:r>
      <w:r>
        <w:rPr>
          <w:rFonts w:ascii="宋体" w:hAnsi="宋体"/>
          <w:sz w:val="24"/>
        </w:rPr>
        <w:t>安全</w:t>
      </w:r>
      <w:r>
        <w:rPr>
          <w:rFonts w:hint="eastAsia" w:ascii="宋体" w:hAnsi="宋体"/>
          <w:sz w:val="24"/>
        </w:rPr>
        <w:t>管理制度及标准，监督承包人制定相应的安全生产方案并严格落实。</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对承包人技术服务过程的</w:t>
      </w:r>
      <w:r>
        <w:rPr>
          <w:rFonts w:ascii="宋体" w:hAnsi="宋体"/>
          <w:sz w:val="24"/>
        </w:rPr>
        <w:t>安全</w:t>
      </w:r>
      <w:r>
        <w:rPr>
          <w:rFonts w:hint="eastAsia" w:ascii="宋体" w:hAnsi="宋体"/>
          <w:sz w:val="24"/>
        </w:rPr>
        <w:t>管理进行监督检查；及时纠正承包人生产作业人员违章指挥、违章作业、违反劳动纪律等行为，并按照发包人的</w:t>
      </w:r>
      <w:r>
        <w:rPr>
          <w:rFonts w:ascii="宋体" w:hAnsi="宋体"/>
          <w:sz w:val="24"/>
        </w:rPr>
        <w:t>安全</w:t>
      </w:r>
      <w:r>
        <w:rPr>
          <w:rFonts w:hint="eastAsia" w:ascii="宋体" w:hAnsi="宋体"/>
          <w:sz w:val="24"/>
        </w:rPr>
        <w:t>管理制度对承包人进行经济处罚；对承包人生产区域内的事故隐患，开具隐患通知单，责令限期整改。</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对承包人人员的</w:t>
      </w:r>
      <w:r>
        <w:rPr>
          <w:rFonts w:ascii="宋体" w:hAnsi="宋体"/>
          <w:sz w:val="24"/>
        </w:rPr>
        <w:t>安全</w:t>
      </w:r>
      <w:r>
        <w:rPr>
          <w:rFonts w:hint="eastAsia" w:ascii="宋体" w:hAnsi="宋体"/>
          <w:sz w:val="24"/>
        </w:rPr>
        <w:t>培训、劳动保护用品的配发和使用以及危险告知工作提出指导意见，监督落实情况，并对承包人管理人员及主要作业人员进行</w:t>
      </w:r>
      <w:r>
        <w:rPr>
          <w:rFonts w:ascii="宋体" w:hAnsi="宋体"/>
          <w:sz w:val="24"/>
        </w:rPr>
        <w:t>安全</w:t>
      </w:r>
      <w:r>
        <w:rPr>
          <w:rFonts w:hint="eastAsia" w:ascii="宋体" w:hAnsi="宋体"/>
          <w:sz w:val="24"/>
        </w:rPr>
        <w:t>教育培训，告知承包人发包人的</w:t>
      </w:r>
      <w:r>
        <w:rPr>
          <w:rFonts w:ascii="宋体" w:hAnsi="宋体"/>
          <w:sz w:val="24"/>
        </w:rPr>
        <w:t>安全</w:t>
      </w:r>
      <w:r>
        <w:rPr>
          <w:rFonts w:hint="eastAsia" w:ascii="宋体" w:hAnsi="宋体"/>
          <w:sz w:val="24"/>
        </w:rPr>
        <w:t>管理制度，对承包人提出的安全生产请求积极提供帮助。</w:t>
      </w:r>
    </w:p>
    <w:p>
      <w:pPr>
        <w:adjustRightInd w:val="0"/>
        <w:snapToGrid w:val="0"/>
        <w:spacing w:line="440" w:lineRule="exact"/>
        <w:jc w:val="left"/>
        <w:rPr>
          <w:rFonts w:ascii="宋体" w:hAnsi="宋体"/>
          <w:sz w:val="24"/>
        </w:rPr>
      </w:pPr>
      <w:r>
        <w:rPr>
          <w:rFonts w:hint="eastAsia" w:ascii="宋体" w:hAnsi="宋体"/>
          <w:sz w:val="24"/>
        </w:rPr>
        <w:t>（二）承包人的责任、权利和义务</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对技术服务范围内的</w:t>
      </w:r>
      <w:r>
        <w:rPr>
          <w:rFonts w:ascii="宋体" w:hAnsi="宋体"/>
          <w:sz w:val="24"/>
        </w:rPr>
        <w:t>安全</w:t>
      </w:r>
      <w:r>
        <w:rPr>
          <w:rFonts w:hint="eastAsia" w:ascii="宋体" w:hAnsi="宋体"/>
          <w:sz w:val="24"/>
        </w:rPr>
        <w:t>管理工作负主体责任。贯彻落实国家有关</w:t>
      </w:r>
      <w:r>
        <w:rPr>
          <w:rFonts w:ascii="宋体" w:hAnsi="宋体"/>
          <w:sz w:val="24"/>
        </w:rPr>
        <w:t>安全</w:t>
      </w:r>
      <w:r>
        <w:rPr>
          <w:rFonts w:hint="eastAsia" w:ascii="宋体" w:hAnsi="宋体"/>
          <w:sz w:val="24"/>
        </w:rPr>
        <w:t>管理的法律法规和管理规定，遵守发包人的各项管理制度，建立健全安全生产责任制及各项</w:t>
      </w:r>
      <w:r>
        <w:rPr>
          <w:rFonts w:ascii="宋体" w:hAnsi="宋体"/>
          <w:sz w:val="24"/>
        </w:rPr>
        <w:t>安全</w:t>
      </w:r>
      <w:r>
        <w:rPr>
          <w:rFonts w:hint="eastAsia" w:ascii="宋体" w:hAnsi="宋体"/>
          <w:sz w:val="24"/>
        </w:rPr>
        <w:t>管理制度，并严格贯彻落实。</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严格按照资质范围进行作业，不得进行超资质范围的技术服务作业，不得将所承担的承包项目再次转包。</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承包人特种作业人员必须持有效证件上岗；新录用人员不得单独操作，须经相关安全、技能培训合格，取得特种作业资格证后方可单独操作。</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接受发包人对</w:t>
      </w:r>
      <w:r>
        <w:rPr>
          <w:rFonts w:ascii="宋体" w:hAnsi="宋体"/>
          <w:sz w:val="24"/>
        </w:rPr>
        <w:t>安全</w:t>
      </w:r>
      <w:r>
        <w:rPr>
          <w:rFonts w:hint="eastAsia" w:ascii="宋体" w:hAnsi="宋体"/>
          <w:sz w:val="24"/>
        </w:rPr>
        <w:t>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对自行携带和使用的设备负有</w:t>
      </w:r>
      <w:r>
        <w:rPr>
          <w:rFonts w:ascii="宋体" w:hAnsi="宋体"/>
          <w:sz w:val="24"/>
        </w:rPr>
        <w:t>安全</w:t>
      </w:r>
      <w:r>
        <w:rPr>
          <w:rFonts w:hint="eastAsia" w:ascii="宋体" w:hAnsi="宋体"/>
          <w:sz w:val="24"/>
        </w:rPr>
        <w:t>管理和维护保养的全部责任，并符合相关标准。使（租）用大型机械设备时，应在使用前向发包人备案。</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承包人必须统一组织、严格管理，不得随意换人、加人和顶替，若需换人、加人必须向发包人提出申请，并履行书面手续。</w:t>
      </w:r>
    </w:p>
    <w:p>
      <w:pPr>
        <w:adjustRightInd w:val="0"/>
        <w:snapToGrid w:val="0"/>
        <w:spacing w:line="440" w:lineRule="exact"/>
        <w:jc w:val="left"/>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在有毒有害、化学危险品、粉尘、噪音、高温环境、有限空间中作业施工必须按照发包人相应管理规定执行。</w:t>
      </w:r>
    </w:p>
    <w:p>
      <w:pPr>
        <w:adjustRightInd w:val="0"/>
        <w:snapToGrid w:val="0"/>
        <w:spacing w:line="440" w:lineRule="exact"/>
        <w:jc w:val="left"/>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承包人必须组织人员进行内部安全教育，并参加我公司安全交底，确认知悉并签订安全承诺书后方可进入现场作业。</w:t>
      </w:r>
    </w:p>
    <w:p>
      <w:pPr>
        <w:adjustRightInd w:val="0"/>
        <w:snapToGrid w:val="0"/>
        <w:spacing w:line="440" w:lineRule="exact"/>
        <w:jc w:val="left"/>
        <w:rPr>
          <w:rFonts w:ascii="宋体" w:hAnsi="宋体"/>
          <w:sz w:val="24"/>
        </w:rPr>
      </w:pPr>
      <w:r>
        <w:rPr>
          <w:rFonts w:hint="eastAsia" w:ascii="宋体" w:hAnsi="宋体"/>
          <w:sz w:val="24"/>
        </w:rPr>
        <w:t>三、协议内容</w:t>
      </w:r>
      <w:r>
        <w:rPr>
          <w:rFonts w:ascii="宋体" w:hAnsi="宋体"/>
          <w:sz w:val="24"/>
        </w:rPr>
        <w:t xml:space="preserve">                                                </w:t>
      </w:r>
    </w:p>
    <w:p>
      <w:pPr>
        <w:adjustRightInd w:val="0"/>
        <w:snapToGrid w:val="0"/>
        <w:spacing w:line="440" w:lineRule="exact"/>
        <w:jc w:val="left"/>
        <w:rPr>
          <w:rFonts w:ascii="宋体" w:hAnsi="宋体"/>
          <w:sz w:val="24"/>
        </w:rPr>
      </w:pPr>
      <w:r>
        <w:rPr>
          <w:rFonts w:ascii="宋体" w:hAnsi="宋体"/>
          <w:sz w:val="24"/>
        </w:rPr>
        <w:t>1.</w:t>
      </w:r>
      <w:r>
        <w:rPr>
          <w:rFonts w:hint="eastAsia" w:ascii="宋体" w:hAnsi="宋体"/>
          <w:sz w:val="24"/>
        </w:rPr>
        <w:t>甲乙双方均具有独立法人资格，按照责任权利对等的原则，承包人对承包的技术服务工作实行自主管理，负主体责任，发包人对承包人承包的工作实施监督管理。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sz w:val="24"/>
        </w:rPr>
      </w:pPr>
      <w:r>
        <w:rPr>
          <w:rFonts w:ascii="宋体" w:hAnsi="宋体"/>
          <w:sz w:val="24"/>
        </w:rPr>
        <w:t>2.</w:t>
      </w:r>
      <w:r>
        <w:rPr>
          <w:rFonts w:hint="eastAsia" w:ascii="宋体" w:hAnsi="宋体"/>
          <w:sz w:val="24"/>
        </w:rPr>
        <w:t>承包人必须向发包人提供</w:t>
      </w:r>
      <w:r>
        <w:rPr>
          <w:rFonts w:ascii="宋体" w:hAnsi="宋体"/>
          <w:sz w:val="24"/>
        </w:rPr>
        <w:t>安全</w:t>
      </w:r>
      <w:r>
        <w:rPr>
          <w:rFonts w:hint="eastAsia" w:ascii="宋体" w:hAnsi="宋体"/>
          <w:sz w:val="24"/>
        </w:rPr>
        <w:t>资质以待审查，审查合格后方可办理进厂手续。</w:t>
      </w:r>
    </w:p>
    <w:p>
      <w:pPr>
        <w:adjustRightInd w:val="0"/>
        <w:snapToGrid w:val="0"/>
        <w:spacing w:line="440" w:lineRule="exact"/>
        <w:jc w:val="left"/>
        <w:rPr>
          <w:rFonts w:ascii="宋体" w:hAnsi="宋体"/>
          <w:sz w:val="24"/>
        </w:rPr>
      </w:pPr>
      <w:r>
        <w:rPr>
          <w:rFonts w:ascii="宋体" w:hAnsi="宋体"/>
          <w:sz w:val="24"/>
        </w:rPr>
        <w:t>3.</w:t>
      </w:r>
      <w:r>
        <w:rPr>
          <w:rFonts w:hint="eastAsia" w:ascii="宋体" w:hAnsi="宋体"/>
          <w:sz w:val="24"/>
        </w:rPr>
        <w:t>承包人应根据岗位需要以及作业人员数量按</w:t>
      </w:r>
      <w:r>
        <w:rPr>
          <w:rFonts w:ascii="宋体" w:hAnsi="宋体"/>
          <w:sz w:val="24"/>
        </w:rPr>
        <w:t>50:1</w:t>
      </w:r>
      <w:r>
        <w:rPr>
          <w:rFonts w:hint="eastAsia" w:ascii="宋体" w:hAnsi="宋体"/>
          <w:sz w:val="24"/>
        </w:rPr>
        <w:t>的比例配备相应的专（兼）职</w:t>
      </w:r>
      <w:r>
        <w:rPr>
          <w:rFonts w:ascii="宋体" w:hAnsi="宋体"/>
          <w:sz w:val="24"/>
        </w:rPr>
        <w:t>安全</w:t>
      </w:r>
      <w:r>
        <w:rPr>
          <w:rFonts w:hint="eastAsia" w:ascii="宋体" w:hAnsi="宋体"/>
          <w:sz w:val="24"/>
        </w:rPr>
        <w:t>管理人员（不足</w:t>
      </w:r>
      <w:r>
        <w:rPr>
          <w:rFonts w:ascii="宋体" w:hAnsi="宋体"/>
          <w:sz w:val="24"/>
        </w:rPr>
        <w:t>50</w:t>
      </w:r>
      <w:r>
        <w:rPr>
          <w:rFonts w:hint="eastAsia" w:ascii="宋体" w:hAnsi="宋体"/>
          <w:sz w:val="24"/>
        </w:rPr>
        <w:t>人时，至少配备</w:t>
      </w:r>
      <w:r>
        <w:rPr>
          <w:rFonts w:ascii="宋体" w:hAnsi="宋体"/>
          <w:sz w:val="24"/>
        </w:rPr>
        <w:t>1</w:t>
      </w:r>
      <w:r>
        <w:rPr>
          <w:rFonts w:hint="eastAsia" w:ascii="宋体" w:hAnsi="宋体"/>
          <w:sz w:val="24"/>
        </w:rPr>
        <w:t>名），进行现场</w:t>
      </w:r>
      <w:r>
        <w:rPr>
          <w:rFonts w:ascii="宋体" w:hAnsi="宋体"/>
          <w:sz w:val="24"/>
        </w:rPr>
        <w:t>安全</w:t>
      </w:r>
      <w:r>
        <w:rPr>
          <w:rFonts w:hint="eastAsia" w:ascii="宋体" w:hAnsi="宋体"/>
          <w:sz w:val="24"/>
        </w:rPr>
        <w:t>管理以及生产作业过程中的协调、联系。</w:t>
      </w:r>
    </w:p>
    <w:p>
      <w:pPr>
        <w:adjustRightInd w:val="0"/>
        <w:snapToGrid w:val="0"/>
        <w:spacing w:line="440" w:lineRule="exact"/>
        <w:jc w:val="left"/>
        <w:rPr>
          <w:rFonts w:ascii="宋体" w:hAnsi="宋体"/>
          <w:sz w:val="24"/>
        </w:rPr>
      </w:pPr>
      <w:r>
        <w:rPr>
          <w:rFonts w:ascii="宋体" w:hAnsi="宋体"/>
          <w:sz w:val="24"/>
        </w:rPr>
        <w:t>4.</w:t>
      </w:r>
      <w:r>
        <w:rPr>
          <w:rFonts w:hint="eastAsia" w:ascii="宋体" w:hAnsi="宋体"/>
          <w:sz w:val="24"/>
        </w:rPr>
        <w:t>承包人必须严格按照国家相关规定雇佣作业人员，同时满足发包人用工条件。</w:t>
      </w:r>
    </w:p>
    <w:p>
      <w:pPr>
        <w:adjustRightInd w:val="0"/>
        <w:snapToGrid w:val="0"/>
        <w:spacing w:line="440" w:lineRule="exact"/>
        <w:jc w:val="left"/>
        <w:rPr>
          <w:rFonts w:ascii="宋体" w:hAnsi="宋体"/>
          <w:sz w:val="24"/>
        </w:rPr>
      </w:pPr>
      <w:r>
        <w:rPr>
          <w:rFonts w:ascii="宋体" w:hAnsi="宋体"/>
          <w:sz w:val="24"/>
        </w:rPr>
        <w:t>5.</w:t>
      </w:r>
      <w:r>
        <w:rPr>
          <w:rFonts w:hint="eastAsia" w:ascii="宋体" w:hAnsi="宋体"/>
          <w:sz w:val="24"/>
        </w:rPr>
        <w:t>承包人应遵照国家相关法律标准对作业人员进行必要的</w:t>
      </w:r>
      <w:r>
        <w:rPr>
          <w:rFonts w:ascii="宋体" w:hAnsi="宋体"/>
          <w:sz w:val="24"/>
        </w:rPr>
        <w:t>安全</w:t>
      </w:r>
      <w:r>
        <w:rPr>
          <w:rFonts w:hint="eastAsia" w:ascii="宋体" w:hAnsi="宋体"/>
          <w:sz w:val="24"/>
        </w:rPr>
        <w:t>教育培训，使其知识和能力与岗位要求相匹配，并满足发包人相关要求。</w:t>
      </w:r>
    </w:p>
    <w:p>
      <w:pPr>
        <w:adjustRightInd w:val="0"/>
        <w:snapToGrid w:val="0"/>
        <w:spacing w:line="440" w:lineRule="exact"/>
        <w:jc w:val="left"/>
        <w:rPr>
          <w:rFonts w:ascii="宋体" w:hAnsi="宋体"/>
          <w:sz w:val="24"/>
        </w:rPr>
      </w:pPr>
      <w:r>
        <w:rPr>
          <w:rFonts w:ascii="宋体" w:hAnsi="宋体"/>
          <w:sz w:val="24"/>
        </w:rPr>
        <w:t>6.</w:t>
      </w:r>
      <w:r>
        <w:rPr>
          <w:rFonts w:hint="eastAsia" w:ascii="宋体" w:hAnsi="宋体"/>
          <w:sz w:val="24"/>
        </w:rPr>
        <w:t>承包人每次作业前必须做好安全交底工作，现场负责人要定期对现场进行检查，消除隐患。</w:t>
      </w:r>
    </w:p>
    <w:p>
      <w:pPr>
        <w:adjustRightInd w:val="0"/>
        <w:snapToGrid w:val="0"/>
        <w:spacing w:line="440" w:lineRule="exact"/>
        <w:jc w:val="left"/>
        <w:rPr>
          <w:rFonts w:ascii="宋体" w:hAnsi="宋体"/>
          <w:sz w:val="24"/>
        </w:rPr>
      </w:pPr>
      <w:r>
        <w:rPr>
          <w:rFonts w:ascii="宋体" w:hAnsi="宋体"/>
          <w:sz w:val="24"/>
        </w:rPr>
        <w:t>7.</w:t>
      </w:r>
      <w:r>
        <w:rPr>
          <w:rFonts w:hint="eastAsia" w:ascii="宋体" w:hAnsi="宋体"/>
          <w:sz w:val="24"/>
        </w:rPr>
        <w:t>发包人提供的设备、设施、器材、工具等，承包人负责全面管理，由于承包人人员的检查、维护、操作、保管等原因造成的非正常损坏，承担经济责任。</w:t>
      </w:r>
    </w:p>
    <w:p>
      <w:pPr>
        <w:adjustRightInd w:val="0"/>
        <w:snapToGrid w:val="0"/>
        <w:spacing w:line="440" w:lineRule="exact"/>
        <w:jc w:val="left"/>
        <w:rPr>
          <w:rFonts w:ascii="宋体" w:hAnsi="宋体"/>
          <w:sz w:val="24"/>
        </w:rPr>
      </w:pPr>
      <w:r>
        <w:rPr>
          <w:rFonts w:ascii="宋体" w:hAnsi="宋体"/>
          <w:sz w:val="24"/>
        </w:rPr>
        <w:t>8.</w:t>
      </w:r>
      <w:r>
        <w:rPr>
          <w:rFonts w:hint="eastAsia" w:ascii="宋体" w:hAnsi="宋体"/>
          <w:sz w:val="24"/>
        </w:rPr>
        <w:t>承包人必须为其从业人员配备劳动防护用品并确保正确使用。</w:t>
      </w:r>
    </w:p>
    <w:p>
      <w:pPr>
        <w:adjustRightInd w:val="0"/>
        <w:snapToGrid w:val="0"/>
        <w:spacing w:line="440" w:lineRule="exact"/>
        <w:jc w:val="left"/>
        <w:rPr>
          <w:rFonts w:ascii="宋体" w:hAnsi="宋体"/>
          <w:sz w:val="24"/>
        </w:rPr>
      </w:pPr>
      <w:r>
        <w:rPr>
          <w:rFonts w:ascii="宋体" w:hAnsi="宋体"/>
          <w:sz w:val="24"/>
        </w:rPr>
        <w:t>9.</w:t>
      </w:r>
      <w:r>
        <w:rPr>
          <w:rFonts w:hint="eastAsia" w:ascii="宋体" w:hAnsi="宋体"/>
          <w:sz w:val="24"/>
        </w:rPr>
        <w:t>承包人作业人员应在技术服务工作区域内活动，不得进入发包人或第三方生产作业现场，同时对技术服务工作区域安全文明生产管理工作负责。</w:t>
      </w:r>
    </w:p>
    <w:p>
      <w:pPr>
        <w:adjustRightInd w:val="0"/>
        <w:snapToGrid w:val="0"/>
        <w:spacing w:line="440" w:lineRule="exact"/>
        <w:jc w:val="left"/>
        <w:rPr>
          <w:rFonts w:ascii="宋体" w:hAnsi="宋体"/>
          <w:sz w:val="24"/>
        </w:rPr>
      </w:pPr>
      <w:r>
        <w:rPr>
          <w:rFonts w:ascii="宋体" w:hAnsi="宋体"/>
          <w:sz w:val="24"/>
        </w:rPr>
        <w:t>10.</w:t>
      </w:r>
      <w:r>
        <w:rPr>
          <w:rFonts w:hint="eastAsia" w:ascii="宋体" w:hAnsi="宋体"/>
          <w:sz w:val="24"/>
        </w:rPr>
        <w:t>发包人有权随时对承包人进行</w:t>
      </w:r>
      <w:r>
        <w:rPr>
          <w:rFonts w:ascii="宋体" w:hAnsi="宋体"/>
          <w:sz w:val="24"/>
        </w:rPr>
        <w:t>安全</w:t>
      </w:r>
      <w:r>
        <w:rPr>
          <w:rFonts w:hint="eastAsia" w:ascii="宋体" w:hAnsi="宋体"/>
          <w:sz w:val="24"/>
        </w:rPr>
        <w:t>工作检查，制止违章作业，对违反发包人</w:t>
      </w:r>
      <w:r>
        <w:rPr>
          <w:rFonts w:ascii="宋体" w:hAnsi="宋体"/>
          <w:sz w:val="24"/>
        </w:rPr>
        <w:t>安全</w:t>
      </w:r>
      <w:r>
        <w:rPr>
          <w:rFonts w:hint="eastAsia" w:ascii="宋体" w:hAnsi="宋体"/>
          <w:sz w:val="24"/>
        </w:rPr>
        <w:t>规定的行为有权对承包人进行经济处罚，或根据具体情况责令承包人停工整顿。</w:t>
      </w:r>
    </w:p>
    <w:p>
      <w:pPr>
        <w:adjustRightInd w:val="0"/>
        <w:snapToGrid w:val="0"/>
        <w:spacing w:line="440" w:lineRule="exact"/>
        <w:jc w:val="left"/>
        <w:rPr>
          <w:rFonts w:ascii="宋体" w:hAnsi="宋体"/>
          <w:sz w:val="24"/>
        </w:rPr>
      </w:pPr>
      <w:r>
        <w:rPr>
          <w:rFonts w:ascii="宋体" w:hAnsi="宋体"/>
          <w:sz w:val="24"/>
        </w:rPr>
        <w:t>11.</w:t>
      </w:r>
      <w:r>
        <w:rPr>
          <w:rFonts w:hint="eastAsia" w:ascii="宋体" w:hAnsi="宋体"/>
          <w:sz w:val="24"/>
        </w:rPr>
        <w:t>发生紧急情况时，承包人必须服从发包人统一调度指挥。</w:t>
      </w:r>
    </w:p>
    <w:p>
      <w:pPr>
        <w:adjustRightInd w:val="0"/>
        <w:snapToGrid w:val="0"/>
        <w:spacing w:line="440" w:lineRule="exact"/>
        <w:jc w:val="left"/>
        <w:rPr>
          <w:rFonts w:ascii="宋体" w:hAnsi="宋体"/>
          <w:sz w:val="24"/>
        </w:rPr>
      </w:pPr>
      <w:r>
        <w:rPr>
          <w:rFonts w:ascii="宋体" w:hAnsi="宋体"/>
          <w:sz w:val="24"/>
        </w:rPr>
        <w:t>12.</w:t>
      </w:r>
      <w:r>
        <w:rPr>
          <w:rFonts w:hint="eastAsia" w:ascii="宋体" w:hAnsi="宋体"/>
          <w:sz w:val="24"/>
        </w:rPr>
        <w:t>承包人应严格履行</w:t>
      </w:r>
      <w:r>
        <w:rPr>
          <w:rFonts w:ascii="宋体" w:hAnsi="宋体"/>
          <w:sz w:val="24"/>
        </w:rPr>
        <w:t>安全</w:t>
      </w:r>
      <w:r>
        <w:rPr>
          <w:rFonts w:hint="eastAsia" w:ascii="宋体" w:hAnsi="宋体"/>
          <w:sz w:val="24"/>
        </w:rPr>
        <w:t>管理协议，遵守发包人各项管理规定，服从管理，否则视为违约，违约金参照发包人管理制度相关标准执行。</w:t>
      </w:r>
    </w:p>
    <w:p>
      <w:pPr>
        <w:adjustRightInd w:val="0"/>
        <w:snapToGrid w:val="0"/>
        <w:spacing w:line="440" w:lineRule="exact"/>
        <w:jc w:val="left"/>
        <w:rPr>
          <w:rFonts w:ascii="宋体" w:hAnsi="宋体"/>
          <w:sz w:val="24"/>
        </w:rPr>
      </w:pPr>
      <w:r>
        <w:rPr>
          <w:rFonts w:hint="eastAsia" w:ascii="宋体" w:hAnsi="宋体"/>
          <w:sz w:val="24"/>
        </w:rPr>
        <w:t>四、事故责任</w:t>
      </w:r>
    </w:p>
    <w:p>
      <w:pPr>
        <w:adjustRightInd w:val="0"/>
        <w:snapToGrid w:val="0"/>
        <w:spacing w:line="440" w:lineRule="exact"/>
        <w:jc w:val="left"/>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承包人人员在发包人非承包区域遭受意外伤害的，承包人负全部责任。</w:t>
      </w:r>
    </w:p>
    <w:p>
      <w:pPr>
        <w:adjustRightInd w:val="0"/>
        <w:snapToGrid w:val="0"/>
        <w:spacing w:line="440" w:lineRule="exact"/>
        <w:jc w:val="lef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440" w:lineRule="exact"/>
        <w:jc w:val="left"/>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承包人各类人员在发包人生产区域内发生人身伤害事故和其他事故，由承包人负责调查、处理和统计上报，并报发包人安全监督部门备案。</w:t>
      </w:r>
    </w:p>
    <w:p>
      <w:pPr>
        <w:pStyle w:val="56"/>
        <w:spacing w:line="440" w:lineRule="exact"/>
      </w:pPr>
      <w:r>
        <w:rPr>
          <w:rFonts w:hint="eastAsia"/>
        </w:rPr>
        <w:t>五、补充条款：</w:t>
      </w:r>
      <w:r>
        <w:rPr>
          <w:rFonts w:hint="eastAsia"/>
          <w:u w:val="single"/>
        </w:rPr>
        <w:t xml:space="preserve">         /       </w:t>
      </w:r>
      <w:r>
        <w:rPr>
          <w:rFonts w:hint="eastAsia"/>
        </w:rPr>
        <w:t>。</w:t>
      </w:r>
    </w:p>
    <w:p>
      <w:pPr>
        <w:adjustRightInd w:val="0"/>
        <w:snapToGrid w:val="0"/>
        <w:spacing w:line="440" w:lineRule="exact"/>
        <w:jc w:val="left"/>
        <w:rPr>
          <w:rFonts w:ascii="宋体" w:hAnsi="宋体"/>
          <w:sz w:val="24"/>
        </w:rPr>
      </w:pPr>
      <w:r>
        <w:rPr>
          <w:rFonts w:hint="eastAsia" w:ascii="宋体" w:hAnsi="宋体"/>
          <w:sz w:val="24"/>
        </w:rPr>
        <w:t>六、附则</w:t>
      </w:r>
    </w:p>
    <w:p>
      <w:pPr>
        <w:adjustRightInd w:val="0"/>
        <w:snapToGrid w:val="0"/>
        <w:spacing w:line="440" w:lineRule="exact"/>
        <w:ind w:firstLine="480" w:firstLineChars="200"/>
        <w:jc w:val="left"/>
        <w:rPr>
          <w:rFonts w:ascii="宋体" w:hAnsi="宋体"/>
          <w:sz w:val="24"/>
        </w:rPr>
      </w:pPr>
      <w:r>
        <w:rPr>
          <w:rFonts w:hint="eastAsia" w:ascii="宋体" w:hAnsi="宋体"/>
          <w:sz w:val="24"/>
        </w:rPr>
        <w:t>本协议与合同同时签订、同时终止，具有相同的法律效力。合同由甲乙双方签字、盖章生效，甲乙双方各壹份。</w:t>
      </w:r>
    </w:p>
    <w:p>
      <w:pPr>
        <w:adjustRightInd w:val="0"/>
        <w:snapToGrid w:val="0"/>
        <w:spacing w:line="440" w:lineRule="exact"/>
        <w:rPr>
          <w:rFonts w:ascii="宋体" w:hAnsi="宋体"/>
          <w:sz w:val="24"/>
        </w:rPr>
      </w:pPr>
    </w:p>
    <w:p>
      <w:pPr>
        <w:adjustRightInd w:val="0"/>
        <w:snapToGrid w:val="0"/>
        <w:spacing w:line="440" w:lineRule="exact"/>
        <w:ind w:left="1330" w:leftChars="5" w:hanging="1320" w:hangingChars="550"/>
        <w:rPr>
          <w:rFonts w:ascii="宋体" w:hAnsi="宋体"/>
          <w:sz w:val="24"/>
        </w:rPr>
      </w:pPr>
      <w:r>
        <w:rPr>
          <w:rFonts w:hint="eastAsia" w:ascii="宋体" w:hAnsi="宋体"/>
          <w:sz w:val="24"/>
        </w:rPr>
        <w:t xml:space="preserve">   发包人代表</w:t>
      </w:r>
      <w:r>
        <w:rPr>
          <w:rFonts w:ascii="宋体" w:hAnsi="宋体"/>
          <w:sz w:val="24"/>
        </w:rPr>
        <w:t xml:space="preserve"> </w:t>
      </w:r>
      <w:r>
        <w:rPr>
          <w:rFonts w:hint="eastAsia" w:ascii="宋体" w:hAnsi="宋体"/>
          <w:sz w:val="24"/>
        </w:rPr>
        <w:t>（章）：</w:t>
      </w:r>
      <w:r>
        <w:rPr>
          <w:rFonts w:ascii="宋体" w:hAnsi="宋体"/>
          <w:sz w:val="24"/>
        </w:rPr>
        <w:t xml:space="preserve">                </w:t>
      </w:r>
      <w:r>
        <w:rPr>
          <w:rFonts w:hint="eastAsia" w:ascii="宋体" w:hAnsi="宋体"/>
          <w:sz w:val="24"/>
        </w:rPr>
        <w:t xml:space="preserve">             承包人代表（章）：</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w:t>
      </w:r>
      <w:r>
        <w:rPr>
          <w:rFonts w:ascii="宋体" w:hAnsi="宋体"/>
          <w:sz w:val="24"/>
        </w:rPr>
        <w:t xml:space="preserve">              </w:t>
      </w:r>
      <w:r>
        <w:rPr>
          <w:rFonts w:hint="eastAsia" w:ascii="宋体" w:hAnsi="宋体"/>
          <w:sz w:val="24"/>
        </w:rPr>
        <w:t>　　　　　　　</w:t>
      </w:r>
    </w:p>
    <w:p>
      <w:pPr>
        <w:adjustRightInd w:val="0"/>
        <w:snapToGrid w:val="0"/>
        <w:spacing w:line="440" w:lineRule="exact"/>
        <w:rPr>
          <w:rFonts w:ascii="宋体" w:hAnsi="宋体"/>
          <w:sz w:val="24"/>
        </w:rPr>
      </w:pPr>
      <w:r>
        <w:rPr>
          <w:rFonts w:hint="eastAsia" w:ascii="宋体" w:hAnsi="宋体"/>
          <w:sz w:val="24"/>
        </w:rPr>
        <w:t xml:space="preserve">      年</w:t>
      </w:r>
      <w:r>
        <w:rPr>
          <w:rFonts w:ascii="宋体" w:hAnsi="宋体"/>
          <w:sz w:val="24"/>
        </w:rPr>
        <w:t xml:space="preserve"> </w:t>
      </w:r>
      <w:r>
        <w:rPr>
          <w:rFonts w:hint="eastAsia" w:ascii="宋体" w:hAnsi="宋体"/>
          <w:sz w:val="24"/>
        </w:rPr>
        <w:t>　月　</w:t>
      </w:r>
      <w:r>
        <w:rPr>
          <w:rFonts w:ascii="宋体" w:hAnsi="宋体"/>
          <w:sz w:val="24"/>
        </w:rPr>
        <w:t xml:space="preserve">  </w:t>
      </w:r>
      <w:r>
        <w:rPr>
          <w:rFonts w:hint="eastAsia" w:ascii="宋体" w:hAnsi="宋体"/>
          <w:sz w:val="24"/>
        </w:rPr>
        <w:t>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日</w:t>
      </w:r>
    </w:p>
    <w:p>
      <w:pPr>
        <w:pStyle w:val="21"/>
        <w:jc w:val="both"/>
        <w:rPr>
          <w:rFonts w:ascii="仿宋_GB2312" w:hAnsi="仿宋_GB2312" w:eastAsia="仿宋_GB2312" w:cs="仿宋_GB2312"/>
        </w:rPr>
      </w:pPr>
    </w:p>
    <w:p>
      <w:pPr>
        <w:spacing w:line="540" w:lineRule="exact"/>
        <w:rPr>
          <w:rFonts w:ascii="宋体" w:hAnsi="宋体"/>
          <w:szCs w:val="21"/>
        </w:rPr>
      </w:pPr>
    </w:p>
    <w:p>
      <w:pPr>
        <w:sectPr>
          <w:pgSz w:w="11906" w:h="16838"/>
          <w:pgMar w:top="1089" w:right="1466" w:bottom="1089" w:left="1077" w:header="851" w:footer="992" w:gutter="0"/>
          <w:cols w:space="720" w:num="1"/>
          <w:docGrid w:type="lines" w:linePitch="312" w:charSpace="0"/>
        </w:sectPr>
      </w:pPr>
    </w:p>
    <w:p>
      <w:pPr>
        <w:pStyle w:val="21"/>
        <w:rPr>
          <w:lang w:val="zh-CN"/>
        </w:rPr>
      </w:pPr>
      <w:r>
        <w:rPr>
          <w:rFonts w:hint="eastAsia"/>
          <w:lang w:val="zh-CN"/>
        </w:rPr>
        <w:t>第五部分　响应文件格式</w:t>
      </w:r>
    </w:p>
    <w:p>
      <w:pPr>
        <w:pStyle w:val="14"/>
        <w:spacing w:line="360" w:lineRule="auto"/>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rPr>
      </w:pPr>
    </w:p>
    <w:p>
      <w:pPr>
        <w:pStyle w:val="14"/>
        <w:tabs>
          <w:tab w:val="left" w:pos="1260"/>
        </w:tabs>
        <w:jc w:val="center"/>
        <w:rPr>
          <w:rFonts w:ascii="仿宋_GB2312" w:hAnsi="仿宋_GB2312" w:eastAsia="仿宋_GB2312" w:cs="仿宋_GB2312"/>
          <w:b/>
          <w:kern w:val="0"/>
          <w:sz w:val="28"/>
          <w:szCs w:val="28"/>
        </w:rPr>
      </w:pPr>
    </w:p>
    <w:p>
      <w:pPr>
        <w:pStyle w:val="14"/>
        <w:tabs>
          <w:tab w:val="left" w:pos="1260"/>
        </w:tabs>
        <w:jc w:val="center"/>
        <w:rPr>
          <w:rFonts w:ascii="仿宋_GB2312" w:hAnsi="仿宋_GB2312" w:eastAsia="仿宋_GB2312" w:cs="仿宋_GB2312"/>
          <w:b/>
          <w:kern w:val="0"/>
          <w:sz w:val="28"/>
          <w:szCs w:val="28"/>
        </w:rPr>
      </w:pPr>
    </w:p>
    <w:p>
      <w:pPr>
        <w:pStyle w:val="14"/>
        <w:tabs>
          <w:tab w:val="left" w:pos="1260"/>
        </w:tabs>
        <w:jc w:val="center"/>
        <w:rPr>
          <w:rFonts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u w:val="single"/>
        </w:rPr>
        <w:t>广州市净水有限公司机房环境监控系统更新改造项目</w:t>
      </w:r>
    </w:p>
    <w:p>
      <w:pPr>
        <w:pStyle w:val="14"/>
        <w:jc w:val="center"/>
        <w:rPr>
          <w:rFonts w:ascii="仿宋_GB2312" w:hAnsi="仿宋_GB2312" w:eastAsia="仿宋_GB2312" w:cs="仿宋_GB2312"/>
          <w:b/>
          <w:sz w:val="28"/>
          <w:szCs w:val="28"/>
        </w:rPr>
      </w:pPr>
    </w:p>
    <w:p>
      <w:pPr>
        <w:pStyle w:val="14"/>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ascii="仿宋_GB2312" w:hAnsi="仿宋_GB2312" w:eastAsia="仿宋_GB2312" w:cs="仿宋_GB2312"/>
          <w:b/>
          <w:sz w:val="28"/>
          <w:szCs w:val="28"/>
        </w:rPr>
      </w:pPr>
    </w:p>
    <w:p>
      <w:pPr>
        <w:pStyle w:val="14"/>
        <w:jc w:val="center"/>
        <w:rPr>
          <w:rFonts w:ascii="仿宋_GB2312" w:hAnsi="仿宋_GB2312" w:eastAsia="仿宋_GB2312" w:cs="仿宋_GB2312"/>
          <w:b/>
          <w:sz w:val="28"/>
          <w:szCs w:val="28"/>
        </w:rPr>
      </w:pPr>
    </w:p>
    <w:p>
      <w:pPr>
        <w:pStyle w:val="14"/>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828" w:firstLineChars="296"/>
        <w:rPr>
          <w:rFonts w:hAnsi="仿宋_GB2312" w:cs="仿宋_GB2312"/>
          <w:sz w:val="28"/>
          <w:szCs w:val="28"/>
          <w:u w:val="single"/>
        </w:rPr>
      </w:pPr>
      <w:r>
        <w:rPr>
          <w:rFonts w:hint="eastAsia" w:hAnsi="仿宋_GB2312" w:cs="仿宋_GB2312"/>
          <w:sz w:val="28"/>
          <w:szCs w:val="28"/>
        </w:rPr>
        <w:t>项目名称：</w:t>
      </w:r>
      <w:r>
        <w:rPr>
          <w:rFonts w:hint="eastAsia" w:hAnsi="仿宋_GB2312" w:cs="仿宋_GB2312"/>
          <w:sz w:val="28"/>
          <w:szCs w:val="28"/>
          <w:u w:val="single"/>
        </w:rPr>
        <w:t>广州市净水有限公司机房环境监控系统更新改造项目</w:t>
      </w: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ind w:firstLine="843" w:firstLineChars="300"/>
        <w:rPr>
          <w:rFonts w:ascii="仿宋_GB2312" w:hAnsi="仿宋_GB2312" w:eastAsia="仿宋_GB2312" w:cs="仿宋_GB2312"/>
          <w:b/>
          <w:sz w:val="28"/>
          <w:szCs w:val="28"/>
        </w:rPr>
      </w:pPr>
    </w:p>
    <w:p>
      <w:pPr>
        <w:pStyle w:val="14"/>
        <w:spacing w:line="360" w:lineRule="auto"/>
        <w:ind w:firstLine="1940" w:firstLineChars="69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ascii="仿宋_GB2312" w:hAnsi="仿宋_GB2312" w:eastAsia="仿宋_GB2312" w:cs="仿宋_GB2312"/>
          <w:szCs w:val="21"/>
        </w:rPr>
        <w:sectPr>
          <w:pgSz w:w="11906" w:h="16838"/>
          <w:pgMar w:top="1089" w:right="1466" w:bottom="1089" w:left="1077" w:header="851" w:footer="992" w:gutter="0"/>
          <w:cols w:space="720" w:num="1"/>
          <w:docGrid w:type="lines" w:linePitch="312" w:charSpace="0"/>
        </w:sectPr>
      </w:pPr>
    </w:p>
    <w:p>
      <w:pPr>
        <w:pStyle w:val="5"/>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57216"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57216;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_GB2312" w:hAnsi="仿宋_GB2312" w:eastAsia="仿宋_GB2312" w:cs="仿宋_GB2312"/>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562" w:firstLineChars="20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ind w:firstLine="280" w:firstLineChars="100"/>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说明：1.法定代表人为企业事业单位、国家机关、社会团体的主要行政负责人。</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2.内容必须填写真实、清楚、涂改无效，不得转让、买卖。</w:t>
      </w:r>
    </w:p>
    <w:p>
      <w:pPr>
        <w:spacing w:line="480" w:lineRule="exact"/>
        <w:ind w:firstLine="840" w:firstLineChars="300"/>
        <w:rPr>
          <w:rFonts w:ascii="仿宋_GB2312" w:hAnsi="仿宋_GB2312" w:eastAsia="仿宋_GB2312" w:cs="仿宋_GB2312"/>
          <w:b/>
          <w:sz w:val="28"/>
          <w:szCs w:val="28"/>
        </w:rPr>
      </w:pPr>
      <w:r>
        <w:rPr>
          <w:rFonts w:hint="eastAsia" w:ascii="仿宋_GB2312" w:hAnsi="仿宋_GB2312" w:eastAsia="仿宋_GB2312" w:cs="仿宋_GB2312"/>
          <w:sz w:val="28"/>
          <w:szCs w:val="28"/>
        </w:rPr>
        <w:t>3.将此证明书提交对方作为合同附件</w:t>
      </w:r>
      <w:r>
        <w:rPr>
          <w:rFonts w:hint="eastAsia" w:ascii="仿宋_GB2312" w:hAnsi="仿宋_GB2312" w:eastAsia="仿宋_GB2312" w:cs="仿宋_GB2312"/>
          <w:b/>
          <w:sz w:val="28"/>
          <w:szCs w:val="28"/>
        </w:rPr>
        <w:t>。</w:t>
      </w:r>
    </w:p>
    <w:p>
      <w:pPr>
        <w:spacing w:line="480" w:lineRule="exact"/>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5.有效期限：与本公司响应文件成交注的谈判有效期相同，自本单位盖公章之日起生效。</w:t>
      </w:r>
    </w:p>
    <w:p>
      <w:pPr>
        <w:spacing w:line="440" w:lineRule="exact"/>
        <w:ind w:firstLine="859" w:firstLineChars="307"/>
        <w:rPr>
          <w:rFonts w:ascii="仿宋_GB2312" w:hAnsi="仿宋_GB2312" w:eastAsia="仿宋_GB2312" w:cs="仿宋_GB2312"/>
          <w:sz w:val="28"/>
          <w:szCs w:val="28"/>
        </w:rPr>
      </w:pPr>
      <w:r>
        <w:rPr>
          <w:rFonts w:hint="eastAsia" w:ascii="仿宋_GB2312" w:hAnsi="仿宋_GB2312" w:eastAsia="仿宋_GB2312" w:cs="仿宋_GB2312"/>
          <w:sz w:val="28"/>
          <w:szCs w:val="28"/>
        </w:rPr>
        <w:t>6.谈判签字代表为法定代表人，则本表不适用。</w:t>
      </w:r>
    </w:p>
    <w:p>
      <w:pPr>
        <w:spacing w:line="480" w:lineRule="exact"/>
        <w:ind w:firstLine="843" w:firstLineChars="300"/>
        <w:rPr>
          <w:rFonts w:ascii="仿宋_GB2312" w:hAnsi="仿宋_GB2312" w:eastAsia="仿宋_GB2312" w:cs="仿宋_GB2312"/>
          <w:b/>
          <w:sz w:val="28"/>
          <w:szCs w:val="28"/>
        </w:rPr>
      </w:pPr>
    </w:p>
    <w:p>
      <w:pPr>
        <w:jc w:val="center"/>
        <w:rPr>
          <w:rFonts w:ascii="仿宋_GB2312" w:hAnsi="仿宋_GB2312" w:eastAsia="仿宋_GB2312" w:cs="仿宋_GB2312"/>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3"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58240;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b2ESG+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日期：年 月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4"/>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根据询价人发出的的项目编号为的工程的询价文件，我方已详细审查了全部内容，并无异议。</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400" w:lineRule="exact"/>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400" w:lineRule="exact"/>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38"/>
        <w:spacing w:line="400" w:lineRule="exact"/>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38"/>
        <w:ind w:firstLine="496"/>
        <w:rPr>
          <w:rFonts w:ascii="仿宋_GB2312" w:hAnsi="仿宋_GB2312" w:eastAsia="仿宋_GB2312" w:cs="仿宋_GB2312"/>
        </w:rPr>
      </w:pPr>
    </w:p>
    <w:p>
      <w:pPr>
        <w:pStyle w:val="38"/>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p>
    <w:p>
      <w:pPr>
        <w:pStyle w:val="38"/>
        <w:ind w:firstLine="496"/>
        <w:rPr>
          <w:rFonts w:ascii="仿宋_GB2312" w:hAnsi="仿宋_GB2312" w:eastAsia="仿宋_GB2312" w:cs="仿宋_GB2312"/>
        </w:rPr>
      </w:pPr>
      <w:r>
        <w:rPr>
          <w:rFonts w:hint="eastAsia" w:ascii="仿宋_GB2312" w:hAnsi="仿宋_GB2312" w:eastAsia="仿宋_GB2312" w:cs="仿宋_GB2312"/>
        </w:rPr>
        <w:t>法定代表人（签名或盖章）：</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年 月 日    </w:t>
      </w:r>
    </w:p>
    <w:p>
      <w:pPr>
        <w:pStyle w:val="38"/>
        <w:ind w:firstLine="496"/>
        <w:rPr>
          <w:rFonts w:ascii="仿宋_GB2312" w:hAnsi="仿宋_GB2312" w:eastAsia="仿宋_GB2312"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日期：年 月 日</w:t>
      </w: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jc w:val="center"/>
        <w:rPr>
          <w:rFonts w:ascii="仿宋_GB2312" w:hAnsi="仿宋_GB2312" w:eastAsia="仿宋_GB2312" w:cs="仿宋_GB2312"/>
        </w:rPr>
      </w:pPr>
    </w:p>
    <w:sectPr>
      <w:pgSz w:w="11907" w:h="16840"/>
      <w:pgMar w:top="1588" w:right="1021" w:bottom="779" w:left="1134" w:header="737" w:footer="454" w:gutter="0"/>
      <w:cols w:space="720"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陈燕" w:date="2019-04-29T15:20:00Z" w:initials="c">
    <w:p w14:paraId="2A0337C1">
      <w:pPr>
        <w:pStyle w:val="10"/>
      </w:pPr>
      <w:r>
        <w:rPr>
          <w:rFonts w:hint="eastAsia"/>
        </w:rPr>
        <w:t>无法具体细化</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0337C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097D7F"/>
    <w:multiLevelType w:val="singleLevel"/>
    <w:tmpl w:val="E3097D7F"/>
    <w:lvl w:ilvl="0" w:tentative="0">
      <w:start w:val="1"/>
      <w:numFmt w:val="decimal"/>
      <w:suff w:val="space"/>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6BB61B9"/>
    <w:multiLevelType w:val="singleLevel"/>
    <w:tmpl w:val="06BB61B9"/>
    <w:lvl w:ilvl="0" w:tentative="0">
      <w:start w:val="1"/>
      <w:numFmt w:val="decimal"/>
      <w:lvlText w:val="(%1)"/>
      <w:lvlJc w:val="left"/>
      <w:pPr>
        <w:tabs>
          <w:tab w:val="left" w:pos="636"/>
        </w:tabs>
        <w:ind w:left="636" w:hanging="276"/>
      </w:pPr>
      <w:rPr>
        <w:rFonts w:hint="eastAsia"/>
      </w:rPr>
    </w:lvl>
  </w:abstractNum>
  <w:abstractNum w:abstractNumId="3">
    <w:nsid w:val="1256292B"/>
    <w:multiLevelType w:val="singleLevel"/>
    <w:tmpl w:val="1256292B"/>
    <w:lvl w:ilvl="0" w:tentative="0">
      <w:start w:val="1"/>
      <w:numFmt w:val="decimal"/>
      <w:lvlText w:val="%1．"/>
      <w:lvlJc w:val="left"/>
      <w:pPr>
        <w:tabs>
          <w:tab w:val="left" w:pos="360"/>
        </w:tabs>
        <w:ind w:left="360" w:hanging="360"/>
      </w:pPr>
      <w:rPr>
        <w:rFonts w:hint="eastAsia"/>
      </w:rPr>
    </w:lvl>
  </w:abstractNum>
  <w:abstractNum w:abstractNumId="4">
    <w:nsid w:val="17874AAB"/>
    <w:multiLevelType w:val="multilevel"/>
    <w:tmpl w:val="17874AA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C3134E1"/>
    <w:multiLevelType w:val="multilevel"/>
    <w:tmpl w:val="1C3134E1"/>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350"/>
        </w:tabs>
        <w:ind w:left="1350" w:hanging="930"/>
      </w:pPr>
      <w:rPr>
        <w:rFonts w:hint="eastAsia"/>
      </w:rPr>
    </w:lvl>
    <w:lvl w:ilvl="2" w:tentative="0">
      <w:start w:val="1"/>
      <w:numFmt w:val="decimal"/>
      <w:lvlText w:val="(%3)"/>
      <w:lvlJc w:val="left"/>
      <w:pPr>
        <w:tabs>
          <w:tab w:val="left" w:pos="1905"/>
        </w:tabs>
        <w:ind w:left="1905" w:hanging="1065"/>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E9147F"/>
    <w:multiLevelType w:val="multilevel"/>
    <w:tmpl w:val="25E9147F"/>
    <w:lvl w:ilvl="0" w:tentative="0">
      <w:start w:val="1"/>
      <w:numFmt w:val="decimal"/>
      <w:lvlText w:val="%1."/>
      <w:lvlJc w:val="left"/>
      <w:pPr>
        <w:ind w:left="704" w:hanging="420"/>
      </w:pPr>
    </w:lvl>
    <w:lvl w:ilvl="1" w:tentative="0">
      <w:start w:val="1"/>
      <w:numFmt w:val="lowerLetter"/>
      <w:lvlText w:val="%2)"/>
      <w:lvlJc w:val="left"/>
      <w:pPr>
        <w:ind w:left="7928" w:hanging="420"/>
      </w:pPr>
    </w:lvl>
    <w:lvl w:ilvl="2" w:tentative="0">
      <w:start w:val="1"/>
      <w:numFmt w:val="lowerRoman"/>
      <w:lvlText w:val="%3."/>
      <w:lvlJc w:val="right"/>
      <w:pPr>
        <w:ind w:left="8348" w:hanging="420"/>
      </w:pPr>
    </w:lvl>
    <w:lvl w:ilvl="3" w:tentative="0">
      <w:start w:val="1"/>
      <w:numFmt w:val="decimal"/>
      <w:lvlText w:val="%4."/>
      <w:lvlJc w:val="left"/>
      <w:pPr>
        <w:ind w:left="8768" w:hanging="420"/>
      </w:pPr>
    </w:lvl>
    <w:lvl w:ilvl="4" w:tentative="0">
      <w:start w:val="1"/>
      <w:numFmt w:val="lowerLetter"/>
      <w:lvlText w:val="%5)"/>
      <w:lvlJc w:val="left"/>
      <w:pPr>
        <w:ind w:left="9188" w:hanging="420"/>
      </w:pPr>
    </w:lvl>
    <w:lvl w:ilvl="5" w:tentative="0">
      <w:start w:val="1"/>
      <w:numFmt w:val="lowerRoman"/>
      <w:lvlText w:val="%6."/>
      <w:lvlJc w:val="right"/>
      <w:pPr>
        <w:ind w:left="9608" w:hanging="420"/>
      </w:pPr>
    </w:lvl>
    <w:lvl w:ilvl="6" w:tentative="0">
      <w:start w:val="1"/>
      <w:numFmt w:val="decimal"/>
      <w:lvlText w:val="%7."/>
      <w:lvlJc w:val="left"/>
      <w:pPr>
        <w:ind w:left="10028" w:hanging="420"/>
      </w:pPr>
    </w:lvl>
    <w:lvl w:ilvl="7" w:tentative="0">
      <w:start w:val="1"/>
      <w:numFmt w:val="lowerLetter"/>
      <w:lvlText w:val="%8)"/>
      <w:lvlJc w:val="left"/>
      <w:pPr>
        <w:ind w:left="10448" w:hanging="420"/>
      </w:pPr>
    </w:lvl>
    <w:lvl w:ilvl="8" w:tentative="0">
      <w:start w:val="1"/>
      <w:numFmt w:val="lowerRoman"/>
      <w:lvlText w:val="%9."/>
      <w:lvlJc w:val="right"/>
      <w:pPr>
        <w:ind w:left="10868" w:hanging="420"/>
      </w:pPr>
    </w:lvl>
  </w:abstractNum>
  <w:abstractNum w:abstractNumId="7">
    <w:nsid w:val="290D17ED"/>
    <w:multiLevelType w:val="multilevel"/>
    <w:tmpl w:val="290D17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BD72EC"/>
    <w:multiLevelType w:val="singleLevel"/>
    <w:tmpl w:val="29BD72EC"/>
    <w:lvl w:ilvl="0" w:tentative="0">
      <w:start w:val="1"/>
      <w:numFmt w:val="decimal"/>
      <w:lvlText w:val="(%1)"/>
      <w:lvlJc w:val="left"/>
      <w:pPr>
        <w:tabs>
          <w:tab w:val="left" w:pos="648"/>
        </w:tabs>
        <w:ind w:left="648" w:hanging="288"/>
      </w:pPr>
      <w:rPr>
        <w:rFonts w:hint="default"/>
      </w:rPr>
    </w:lvl>
  </w:abstractNum>
  <w:abstractNum w:abstractNumId="9">
    <w:nsid w:val="310077F0"/>
    <w:multiLevelType w:val="singleLevel"/>
    <w:tmpl w:val="310077F0"/>
    <w:lvl w:ilvl="0" w:tentative="0">
      <w:start w:val="1"/>
      <w:numFmt w:val="decimal"/>
      <w:lvlText w:val="%1．"/>
      <w:lvlJc w:val="left"/>
      <w:pPr>
        <w:tabs>
          <w:tab w:val="left" w:pos="360"/>
        </w:tabs>
        <w:ind w:left="360" w:hanging="360"/>
      </w:pPr>
      <w:rPr>
        <w:rFonts w:hint="eastAsia"/>
      </w:rPr>
    </w:lvl>
  </w:abstractNum>
  <w:abstractNum w:abstractNumId="10">
    <w:nsid w:val="35E671E3"/>
    <w:multiLevelType w:val="singleLevel"/>
    <w:tmpl w:val="35E671E3"/>
    <w:lvl w:ilvl="0" w:tentative="0">
      <w:start w:val="1"/>
      <w:numFmt w:val="decimal"/>
      <w:lvlText w:val="%1．"/>
      <w:lvlJc w:val="left"/>
      <w:pPr>
        <w:tabs>
          <w:tab w:val="left" w:pos="360"/>
        </w:tabs>
        <w:ind w:left="360" w:hanging="360"/>
      </w:pPr>
      <w:rPr>
        <w:rFonts w:hint="eastAsia"/>
      </w:rPr>
    </w:lvl>
  </w:abstractNum>
  <w:abstractNum w:abstractNumId="11">
    <w:nsid w:val="44DD0E5A"/>
    <w:multiLevelType w:val="multilevel"/>
    <w:tmpl w:val="44DD0E5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12963EC"/>
    <w:multiLevelType w:val="multilevel"/>
    <w:tmpl w:val="512963EC"/>
    <w:lvl w:ilvl="0" w:tentative="0">
      <w:start w:val="1"/>
      <w:numFmt w:val="japaneseCounting"/>
      <w:lvlText w:val="%1、"/>
      <w:lvlJc w:val="left"/>
      <w:pPr>
        <w:ind w:left="585" w:hanging="48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13">
    <w:nsid w:val="528170F2"/>
    <w:multiLevelType w:val="singleLevel"/>
    <w:tmpl w:val="528170F2"/>
    <w:lvl w:ilvl="0" w:tentative="0">
      <w:start w:val="1"/>
      <w:numFmt w:val="decimal"/>
      <w:lvlText w:val="(%1)"/>
      <w:lvlJc w:val="left"/>
      <w:pPr>
        <w:tabs>
          <w:tab w:val="left" w:pos="648"/>
        </w:tabs>
        <w:ind w:left="648" w:hanging="288"/>
      </w:pPr>
      <w:rPr>
        <w:rFonts w:hint="default"/>
      </w:rPr>
    </w:lvl>
  </w:abstractNum>
  <w:abstractNum w:abstractNumId="14">
    <w:nsid w:val="534B5C71"/>
    <w:multiLevelType w:val="singleLevel"/>
    <w:tmpl w:val="534B5C71"/>
    <w:lvl w:ilvl="0" w:tentative="0">
      <w:start w:val="2"/>
      <w:numFmt w:val="decimal"/>
      <w:suff w:val="nothing"/>
      <w:lvlText w:val="%1、"/>
      <w:lvlJc w:val="left"/>
    </w:lvl>
  </w:abstractNum>
  <w:abstractNum w:abstractNumId="15">
    <w:nsid w:val="54981415"/>
    <w:multiLevelType w:val="multilevel"/>
    <w:tmpl w:val="549814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67945613"/>
    <w:multiLevelType w:val="singleLevel"/>
    <w:tmpl w:val="67945613"/>
    <w:lvl w:ilvl="0" w:tentative="0">
      <w:start w:val="1"/>
      <w:numFmt w:val="decimal"/>
      <w:lvlText w:val="%1．"/>
      <w:lvlJc w:val="left"/>
      <w:pPr>
        <w:tabs>
          <w:tab w:val="left" w:pos="408"/>
        </w:tabs>
        <w:ind w:left="408" w:hanging="408"/>
      </w:pPr>
      <w:rPr>
        <w:rFonts w:hint="eastAsia"/>
      </w:rPr>
    </w:lvl>
  </w:abstractNum>
  <w:abstractNum w:abstractNumId="17">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73457B06"/>
    <w:multiLevelType w:val="multilevel"/>
    <w:tmpl w:val="73457B0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6FA2108"/>
    <w:multiLevelType w:val="singleLevel"/>
    <w:tmpl w:val="76FA2108"/>
    <w:lvl w:ilvl="0" w:tentative="0">
      <w:start w:val="1"/>
      <w:numFmt w:val="decimal"/>
      <w:lvlText w:val="%1．"/>
      <w:lvlJc w:val="left"/>
      <w:pPr>
        <w:tabs>
          <w:tab w:val="left" w:pos="360"/>
        </w:tabs>
        <w:ind w:left="360" w:hanging="360"/>
      </w:pPr>
      <w:rPr>
        <w:rFonts w:hint="eastAsia"/>
      </w:rPr>
    </w:lvl>
  </w:abstractNum>
  <w:abstractNum w:abstractNumId="20">
    <w:nsid w:val="77D73EDE"/>
    <w:multiLevelType w:val="multilevel"/>
    <w:tmpl w:val="77D73ED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D85379A"/>
    <w:multiLevelType w:val="singleLevel"/>
    <w:tmpl w:val="7D85379A"/>
    <w:lvl w:ilvl="0" w:tentative="0">
      <w:start w:val="1"/>
      <w:numFmt w:val="decimal"/>
      <w:lvlText w:val="(%1)"/>
      <w:lvlJc w:val="left"/>
      <w:pPr>
        <w:tabs>
          <w:tab w:val="left" w:pos="768"/>
        </w:tabs>
        <w:ind w:left="768" w:hanging="408"/>
      </w:pPr>
      <w:rPr>
        <w:rFonts w:hint="default"/>
      </w:rPr>
    </w:lvl>
  </w:abstractNum>
  <w:abstractNum w:abstractNumId="22">
    <w:nsid w:val="7E060515"/>
    <w:multiLevelType w:val="singleLevel"/>
    <w:tmpl w:val="7E060515"/>
    <w:lvl w:ilvl="0" w:tentative="0">
      <w:start w:val="1"/>
      <w:numFmt w:val="decimalEnclosedParen"/>
      <w:lvlText w:val="%1"/>
      <w:lvlJc w:val="left"/>
      <w:pPr>
        <w:tabs>
          <w:tab w:val="left" w:pos="720"/>
        </w:tabs>
        <w:ind w:left="720" w:hanging="360"/>
      </w:pPr>
      <w:rPr>
        <w:rFonts w:hint="eastAsia" w:ascii="宋体"/>
      </w:rPr>
    </w:lvl>
  </w:abstractNum>
  <w:num w:numId="1">
    <w:abstractNumId w:val="6"/>
  </w:num>
  <w:num w:numId="2">
    <w:abstractNumId w:val="18"/>
  </w:num>
  <w:num w:numId="3">
    <w:abstractNumId w:val="0"/>
  </w:num>
  <w:num w:numId="4">
    <w:abstractNumId w:val="17"/>
  </w:num>
  <w:num w:numId="5">
    <w:abstractNumId w:val="1"/>
  </w:num>
  <w:num w:numId="6">
    <w:abstractNumId w:val="14"/>
  </w:num>
  <w:num w:numId="7">
    <w:abstractNumId w:val="16"/>
  </w:num>
  <w:num w:numId="8">
    <w:abstractNumId w:val="7"/>
  </w:num>
  <w:num w:numId="9">
    <w:abstractNumId w:val="19"/>
  </w:num>
  <w:num w:numId="10">
    <w:abstractNumId w:val="8"/>
  </w:num>
  <w:num w:numId="11">
    <w:abstractNumId w:val="15"/>
  </w:num>
  <w:num w:numId="12">
    <w:abstractNumId w:val="4"/>
  </w:num>
  <w:num w:numId="13">
    <w:abstractNumId w:val="11"/>
  </w:num>
  <w:num w:numId="14">
    <w:abstractNumId w:val="10"/>
  </w:num>
  <w:num w:numId="15">
    <w:abstractNumId w:val="21"/>
  </w:num>
  <w:num w:numId="16">
    <w:abstractNumId w:val="13"/>
  </w:num>
  <w:num w:numId="17">
    <w:abstractNumId w:val="2"/>
  </w:num>
  <w:num w:numId="18">
    <w:abstractNumId w:val="9"/>
  </w:num>
  <w:num w:numId="19">
    <w:abstractNumId w:val="3"/>
  </w:num>
  <w:num w:numId="20">
    <w:abstractNumId w:val="22"/>
  </w:num>
  <w:num w:numId="21">
    <w:abstractNumId w:val="20"/>
  </w:num>
  <w:num w:numId="22">
    <w:abstractNumId w:val="5"/>
  </w:num>
  <w:num w:numId="2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燕">
    <w15:presenceInfo w15:providerId="None" w15:userId="陈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370C"/>
    <w:rsid w:val="000262E5"/>
    <w:rsid w:val="000303C2"/>
    <w:rsid w:val="00032CAA"/>
    <w:rsid w:val="00033872"/>
    <w:rsid w:val="00033BA4"/>
    <w:rsid w:val="00034617"/>
    <w:rsid w:val="000348AA"/>
    <w:rsid w:val="00035872"/>
    <w:rsid w:val="00036C9A"/>
    <w:rsid w:val="00037DB0"/>
    <w:rsid w:val="0004256A"/>
    <w:rsid w:val="00044641"/>
    <w:rsid w:val="0004473E"/>
    <w:rsid w:val="000508C5"/>
    <w:rsid w:val="00050D85"/>
    <w:rsid w:val="000555B7"/>
    <w:rsid w:val="00057DD5"/>
    <w:rsid w:val="00057F70"/>
    <w:rsid w:val="000606F2"/>
    <w:rsid w:val="00067762"/>
    <w:rsid w:val="000724B0"/>
    <w:rsid w:val="00075DDA"/>
    <w:rsid w:val="00077066"/>
    <w:rsid w:val="000805A0"/>
    <w:rsid w:val="00085570"/>
    <w:rsid w:val="0008643E"/>
    <w:rsid w:val="00090862"/>
    <w:rsid w:val="0009625F"/>
    <w:rsid w:val="00096729"/>
    <w:rsid w:val="000969C0"/>
    <w:rsid w:val="00096D3E"/>
    <w:rsid w:val="00096F25"/>
    <w:rsid w:val="000A019F"/>
    <w:rsid w:val="000A1B21"/>
    <w:rsid w:val="000A25A4"/>
    <w:rsid w:val="000B1ED8"/>
    <w:rsid w:val="000B207F"/>
    <w:rsid w:val="000B5685"/>
    <w:rsid w:val="000B7C10"/>
    <w:rsid w:val="000C00F6"/>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3870"/>
    <w:rsid w:val="001076A8"/>
    <w:rsid w:val="00110714"/>
    <w:rsid w:val="0011075C"/>
    <w:rsid w:val="00111D57"/>
    <w:rsid w:val="00112621"/>
    <w:rsid w:val="00113A31"/>
    <w:rsid w:val="00114F49"/>
    <w:rsid w:val="00115C03"/>
    <w:rsid w:val="00120CDA"/>
    <w:rsid w:val="00121CFD"/>
    <w:rsid w:val="001226DE"/>
    <w:rsid w:val="00122C3F"/>
    <w:rsid w:val="00125011"/>
    <w:rsid w:val="001262BF"/>
    <w:rsid w:val="00126339"/>
    <w:rsid w:val="001263BE"/>
    <w:rsid w:val="00127A41"/>
    <w:rsid w:val="00131BD5"/>
    <w:rsid w:val="001328BE"/>
    <w:rsid w:val="00133DE2"/>
    <w:rsid w:val="001357CF"/>
    <w:rsid w:val="00135B85"/>
    <w:rsid w:val="00136B50"/>
    <w:rsid w:val="001370F0"/>
    <w:rsid w:val="00140540"/>
    <w:rsid w:val="001572B2"/>
    <w:rsid w:val="00162F08"/>
    <w:rsid w:val="001642DF"/>
    <w:rsid w:val="001666C9"/>
    <w:rsid w:val="001670AE"/>
    <w:rsid w:val="001717A2"/>
    <w:rsid w:val="00172A27"/>
    <w:rsid w:val="00180B99"/>
    <w:rsid w:val="00181C0B"/>
    <w:rsid w:val="00184ABC"/>
    <w:rsid w:val="0018733D"/>
    <w:rsid w:val="00191F15"/>
    <w:rsid w:val="00192524"/>
    <w:rsid w:val="001958A6"/>
    <w:rsid w:val="00195E5C"/>
    <w:rsid w:val="00197D65"/>
    <w:rsid w:val="001A31DA"/>
    <w:rsid w:val="001A45CA"/>
    <w:rsid w:val="001A45D0"/>
    <w:rsid w:val="001A4722"/>
    <w:rsid w:val="001A58E8"/>
    <w:rsid w:val="001A6AE4"/>
    <w:rsid w:val="001B0465"/>
    <w:rsid w:val="001B1140"/>
    <w:rsid w:val="001B3D72"/>
    <w:rsid w:val="001B578D"/>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717F"/>
    <w:rsid w:val="00202CFD"/>
    <w:rsid w:val="0020424A"/>
    <w:rsid w:val="00210C32"/>
    <w:rsid w:val="00211A78"/>
    <w:rsid w:val="00211E9F"/>
    <w:rsid w:val="002123BC"/>
    <w:rsid w:val="002133AF"/>
    <w:rsid w:val="00217E74"/>
    <w:rsid w:val="0022010B"/>
    <w:rsid w:val="002214FD"/>
    <w:rsid w:val="002243AD"/>
    <w:rsid w:val="0023030A"/>
    <w:rsid w:val="002356AB"/>
    <w:rsid w:val="002437D1"/>
    <w:rsid w:val="002469E4"/>
    <w:rsid w:val="0024705B"/>
    <w:rsid w:val="00253C14"/>
    <w:rsid w:val="002546AB"/>
    <w:rsid w:val="00255E0C"/>
    <w:rsid w:val="0025616C"/>
    <w:rsid w:val="002566D4"/>
    <w:rsid w:val="00256F67"/>
    <w:rsid w:val="00260826"/>
    <w:rsid w:val="0026415F"/>
    <w:rsid w:val="00270D0E"/>
    <w:rsid w:val="0027225B"/>
    <w:rsid w:val="00274D5D"/>
    <w:rsid w:val="002755CA"/>
    <w:rsid w:val="00276CA9"/>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6220"/>
    <w:rsid w:val="003064B7"/>
    <w:rsid w:val="003069BD"/>
    <w:rsid w:val="00307EE1"/>
    <w:rsid w:val="00310705"/>
    <w:rsid w:val="0032029B"/>
    <w:rsid w:val="00320916"/>
    <w:rsid w:val="00321205"/>
    <w:rsid w:val="0032389B"/>
    <w:rsid w:val="0032466A"/>
    <w:rsid w:val="00325E3F"/>
    <w:rsid w:val="003267E1"/>
    <w:rsid w:val="00326C23"/>
    <w:rsid w:val="00326DCC"/>
    <w:rsid w:val="00330BD8"/>
    <w:rsid w:val="00331F83"/>
    <w:rsid w:val="00333D9C"/>
    <w:rsid w:val="003342E2"/>
    <w:rsid w:val="00335C04"/>
    <w:rsid w:val="00341A2E"/>
    <w:rsid w:val="00344982"/>
    <w:rsid w:val="00352F84"/>
    <w:rsid w:val="00353376"/>
    <w:rsid w:val="00355F7C"/>
    <w:rsid w:val="00363F2C"/>
    <w:rsid w:val="00365A88"/>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4E63"/>
    <w:rsid w:val="003D72C2"/>
    <w:rsid w:val="003D7753"/>
    <w:rsid w:val="003E1700"/>
    <w:rsid w:val="003E26B6"/>
    <w:rsid w:val="003E3116"/>
    <w:rsid w:val="003E33D1"/>
    <w:rsid w:val="003E38DA"/>
    <w:rsid w:val="003E3A27"/>
    <w:rsid w:val="003E5214"/>
    <w:rsid w:val="003E5BF3"/>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42A6"/>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76504"/>
    <w:rsid w:val="0048059A"/>
    <w:rsid w:val="0048121E"/>
    <w:rsid w:val="0048232D"/>
    <w:rsid w:val="0048246C"/>
    <w:rsid w:val="00486512"/>
    <w:rsid w:val="004870E6"/>
    <w:rsid w:val="004878B6"/>
    <w:rsid w:val="00497278"/>
    <w:rsid w:val="00497544"/>
    <w:rsid w:val="004979F7"/>
    <w:rsid w:val="004A1602"/>
    <w:rsid w:val="004A31B3"/>
    <w:rsid w:val="004A395D"/>
    <w:rsid w:val="004A5AD8"/>
    <w:rsid w:val="004B39B9"/>
    <w:rsid w:val="004B3BC7"/>
    <w:rsid w:val="004B6E3B"/>
    <w:rsid w:val="004C2155"/>
    <w:rsid w:val="004C2696"/>
    <w:rsid w:val="004C6B32"/>
    <w:rsid w:val="004C6E6D"/>
    <w:rsid w:val="004D28EC"/>
    <w:rsid w:val="004D4E18"/>
    <w:rsid w:val="004D7D8A"/>
    <w:rsid w:val="004D7E63"/>
    <w:rsid w:val="004E0DE0"/>
    <w:rsid w:val="004E3046"/>
    <w:rsid w:val="004E3CD4"/>
    <w:rsid w:val="004E4CF5"/>
    <w:rsid w:val="004F3CEA"/>
    <w:rsid w:val="004F4227"/>
    <w:rsid w:val="004F4B2B"/>
    <w:rsid w:val="004F69BF"/>
    <w:rsid w:val="00500AA9"/>
    <w:rsid w:val="00507FF2"/>
    <w:rsid w:val="005145AF"/>
    <w:rsid w:val="00515F49"/>
    <w:rsid w:val="00517000"/>
    <w:rsid w:val="00521463"/>
    <w:rsid w:val="005215C9"/>
    <w:rsid w:val="005215EB"/>
    <w:rsid w:val="0052327F"/>
    <w:rsid w:val="00524E32"/>
    <w:rsid w:val="005261C7"/>
    <w:rsid w:val="00526AC8"/>
    <w:rsid w:val="00530871"/>
    <w:rsid w:val="00534804"/>
    <w:rsid w:val="00536B88"/>
    <w:rsid w:val="00537967"/>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A5B9C"/>
    <w:rsid w:val="005B13EE"/>
    <w:rsid w:val="005C3219"/>
    <w:rsid w:val="005D1C8D"/>
    <w:rsid w:val="005D2969"/>
    <w:rsid w:val="005D346B"/>
    <w:rsid w:val="005D7ADD"/>
    <w:rsid w:val="005E0EE5"/>
    <w:rsid w:val="005E3813"/>
    <w:rsid w:val="005E6F9F"/>
    <w:rsid w:val="005F0880"/>
    <w:rsid w:val="005F23BD"/>
    <w:rsid w:val="005F6214"/>
    <w:rsid w:val="005F640C"/>
    <w:rsid w:val="00605D3D"/>
    <w:rsid w:val="006069BD"/>
    <w:rsid w:val="0061479F"/>
    <w:rsid w:val="006177DE"/>
    <w:rsid w:val="00617F73"/>
    <w:rsid w:val="00617FAE"/>
    <w:rsid w:val="00621A08"/>
    <w:rsid w:val="00623F63"/>
    <w:rsid w:val="00624CFD"/>
    <w:rsid w:val="00630681"/>
    <w:rsid w:val="006313B8"/>
    <w:rsid w:val="00633915"/>
    <w:rsid w:val="00635BD8"/>
    <w:rsid w:val="0063793C"/>
    <w:rsid w:val="00640F98"/>
    <w:rsid w:val="00643543"/>
    <w:rsid w:val="00643891"/>
    <w:rsid w:val="00644F22"/>
    <w:rsid w:val="006467B0"/>
    <w:rsid w:val="00646CC9"/>
    <w:rsid w:val="00651781"/>
    <w:rsid w:val="00653E5B"/>
    <w:rsid w:val="006551CF"/>
    <w:rsid w:val="006553F4"/>
    <w:rsid w:val="0065602D"/>
    <w:rsid w:val="00660CAA"/>
    <w:rsid w:val="00664BBD"/>
    <w:rsid w:val="00667395"/>
    <w:rsid w:val="00672D93"/>
    <w:rsid w:val="00673C52"/>
    <w:rsid w:val="00681790"/>
    <w:rsid w:val="00684B92"/>
    <w:rsid w:val="00685661"/>
    <w:rsid w:val="0068644C"/>
    <w:rsid w:val="00687028"/>
    <w:rsid w:val="00691311"/>
    <w:rsid w:val="00691C25"/>
    <w:rsid w:val="00694D27"/>
    <w:rsid w:val="00694D7D"/>
    <w:rsid w:val="006958A5"/>
    <w:rsid w:val="00697B40"/>
    <w:rsid w:val="006A0081"/>
    <w:rsid w:val="006A01D1"/>
    <w:rsid w:val="006A04A5"/>
    <w:rsid w:val="006A426B"/>
    <w:rsid w:val="006A4AB2"/>
    <w:rsid w:val="006B18EC"/>
    <w:rsid w:val="006B1AF8"/>
    <w:rsid w:val="006B25BB"/>
    <w:rsid w:val="006B3CB9"/>
    <w:rsid w:val="006B3DBF"/>
    <w:rsid w:val="006B4D53"/>
    <w:rsid w:val="006B6C42"/>
    <w:rsid w:val="006C1C85"/>
    <w:rsid w:val="006C3294"/>
    <w:rsid w:val="006C4472"/>
    <w:rsid w:val="006C510E"/>
    <w:rsid w:val="006C6211"/>
    <w:rsid w:val="006C6580"/>
    <w:rsid w:val="006D2082"/>
    <w:rsid w:val="006D250B"/>
    <w:rsid w:val="006D60D9"/>
    <w:rsid w:val="006D7B7E"/>
    <w:rsid w:val="006E04FA"/>
    <w:rsid w:val="006E3EA0"/>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967"/>
    <w:rsid w:val="007D67DB"/>
    <w:rsid w:val="007D752D"/>
    <w:rsid w:val="007E1096"/>
    <w:rsid w:val="007E178E"/>
    <w:rsid w:val="007E28B1"/>
    <w:rsid w:val="007E488B"/>
    <w:rsid w:val="007E5291"/>
    <w:rsid w:val="007E7AA3"/>
    <w:rsid w:val="007F0660"/>
    <w:rsid w:val="007F12A6"/>
    <w:rsid w:val="007F19B2"/>
    <w:rsid w:val="007F201A"/>
    <w:rsid w:val="007F66F4"/>
    <w:rsid w:val="007F6E1F"/>
    <w:rsid w:val="0080001C"/>
    <w:rsid w:val="00802362"/>
    <w:rsid w:val="008051EE"/>
    <w:rsid w:val="00807CA0"/>
    <w:rsid w:val="008149CA"/>
    <w:rsid w:val="0081579C"/>
    <w:rsid w:val="0082096D"/>
    <w:rsid w:val="00820F81"/>
    <w:rsid w:val="00821616"/>
    <w:rsid w:val="00822C03"/>
    <w:rsid w:val="008233CF"/>
    <w:rsid w:val="00824695"/>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42D"/>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6395"/>
    <w:rsid w:val="00887C84"/>
    <w:rsid w:val="008915AF"/>
    <w:rsid w:val="00892673"/>
    <w:rsid w:val="00892A56"/>
    <w:rsid w:val="00896390"/>
    <w:rsid w:val="008A1044"/>
    <w:rsid w:val="008A479F"/>
    <w:rsid w:val="008A7B69"/>
    <w:rsid w:val="008B2A03"/>
    <w:rsid w:val="008B2CB2"/>
    <w:rsid w:val="008B3794"/>
    <w:rsid w:val="008B492C"/>
    <w:rsid w:val="008B615A"/>
    <w:rsid w:val="008B6C32"/>
    <w:rsid w:val="008B786F"/>
    <w:rsid w:val="008C0F61"/>
    <w:rsid w:val="008C54FD"/>
    <w:rsid w:val="008C568F"/>
    <w:rsid w:val="008E26CA"/>
    <w:rsid w:val="008F0E53"/>
    <w:rsid w:val="008F1495"/>
    <w:rsid w:val="008F1CA0"/>
    <w:rsid w:val="008F53B0"/>
    <w:rsid w:val="008F76EE"/>
    <w:rsid w:val="00900A12"/>
    <w:rsid w:val="009033A4"/>
    <w:rsid w:val="00904553"/>
    <w:rsid w:val="00904D24"/>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7B"/>
    <w:rsid w:val="00943631"/>
    <w:rsid w:val="00945FBC"/>
    <w:rsid w:val="009472FF"/>
    <w:rsid w:val="00952A26"/>
    <w:rsid w:val="00954C50"/>
    <w:rsid w:val="00961A48"/>
    <w:rsid w:val="0096253E"/>
    <w:rsid w:val="00964233"/>
    <w:rsid w:val="00967C14"/>
    <w:rsid w:val="00973683"/>
    <w:rsid w:val="009736AA"/>
    <w:rsid w:val="00975835"/>
    <w:rsid w:val="00980306"/>
    <w:rsid w:val="00980932"/>
    <w:rsid w:val="00986A8E"/>
    <w:rsid w:val="00986C5B"/>
    <w:rsid w:val="00991FA3"/>
    <w:rsid w:val="00992B71"/>
    <w:rsid w:val="0099657A"/>
    <w:rsid w:val="00996930"/>
    <w:rsid w:val="009A17EB"/>
    <w:rsid w:val="009A261A"/>
    <w:rsid w:val="009A38FC"/>
    <w:rsid w:val="009B0B41"/>
    <w:rsid w:val="009B1E9C"/>
    <w:rsid w:val="009C1417"/>
    <w:rsid w:val="009C1C05"/>
    <w:rsid w:val="009C20EF"/>
    <w:rsid w:val="009C4C88"/>
    <w:rsid w:val="009C5D1D"/>
    <w:rsid w:val="009D2245"/>
    <w:rsid w:val="009D2C4A"/>
    <w:rsid w:val="009D39B4"/>
    <w:rsid w:val="009D555A"/>
    <w:rsid w:val="009D634F"/>
    <w:rsid w:val="009E2967"/>
    <w:rsid w:val="009E324D"/>
    <w:rsid w:val="009E4A0F"/>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459F"/>
    <w:rsid w:val="00A55045"/>
    <w:rsid w:val="00A61A20"/>
    <w:rsid w:val="00A62490"/>
    <w:rsid w:val="00A63941"/>
    <w:rsid w:val="00A66AD5"/>
    <w:rsid w:val="00A720DD"/>
    <w:rsid w:val="00A8078E"/>
    <w:rsid w:val="00A81CE2"/>
    <w:rsid w:val="00A81F3C"/>
    <w:rsid w:val="00A831B9"/>
    <w:rsid w:val="00A83AB8"/>
    <w:rsid w:val="00A86A72"/>
    <w:rsid w:val="00A86AF2"/>
    <w:rsid w:val="00A91502"/>
    <w:rsid w:val="00A93B48"/>
    <w:rsid w:val="00AA1389"/>
    <w:rsid w:val="00AA23B0"/>
    <w:rsid w:val="00AA557A"/>
    <w:rsid w:val="00AB083C"/>
    <w:rsid w:val="00AB55A2"/>
    <w:rsid w:val="00AC2E86"/>
    <w:rsid w:val="00AC4C2A"/>
    <w:rsid w:val="00AC66EE"/>
    <w:rsid w:val="00AC765F"/>
    <w:rsid w:val="00AC7F65"/>
    <w:rsid w:val="00AD082C"/>
    <w:rsid w:val="00AD0C61"/>
    <w:rsid w:val="00AD19FD"/>
    <w:rsid w:val="00AD2FBA"/>
    <w:rsid w:val="00AD39FE"/>
    <w:rsid w:val="00AE06EB"/>
    <w:rsid w:val="00AE5AC6"/>
    <w:rsid w:val="00AE75CE"/>
    <w:rsid w:val="00AE781F"/>
    <w:rsid w:val="00AF2BFB"/>
    <w:rsid w:val="00AF4C62"/>
    <w:rsid w:val="00AF5F75"/>
    <w:rsid w:val="00AF76B0"/>
    <w:rsid w:val="00B00473"/>
    <w:rsid w:val="00B03881"/>
    <w:rsid w:val="00B05C03"/>
    <w:rsid w:val="00B100F3"/>
    <w:rsid w:val="00B12AFE"/>
    <w:rsid w:val="00B203F0"/>
    <w:rsid w:val="00B2139B"/>
    <w:rsid w:val="00B22795"/>
    <w:rsid w:val="00B301AD"/>
    <w:rsid w:val="00B3093A"/>
    <w:rsid w:val="00B34FDF"/>
    <w:rsid w:val="00B368D2"/>
    <w:rsid w:val="00B37704"/>
    <w:rsid w:val="00B41C68"/>
    <w:rsid w:val="00B47751"/>
    <w:rsid w:val="00B5116E"/>
    <w:rsid w:val="00B52A12"/>
    <w:rsid w:val="00B557D4"/>
    <w:rsid w:val="00B656B2"/>
    <w:rsid w:val="00B7429E"/>
    <w:rsid w:val="00B80B6C"/>
    <w:rsid w:val="00B84513"/>
    <w:rsid w:val="00B8627A"/>
    <w:rsid w:val="00B92F88"/>
    <w:rsid w:val="00B95153"/>
    <w:rsid w:val="00B967B1"/>
    <w:rsid w:val="00B96CF6"/>
    <w:rsid w:val="00B97EBB"/>
    <w:rsid w:val="00BA025F"/>
    <w:rsid w:val="00BA0E0C"/>
    <w:rsid w:val="00BA1372"/>
    <w:rsid w:val="00BA5AD1"/>
    <w:rsid w:val="00BB26C1"/>
    <w:rsid w:val="00BB44D9"/>
    <w:rsid w:val="00BC06F3"/>
    <w:rsid w:val="00BC0E92"/>
    <w:rsid w:val="00BC6CEB"/>
    <w:rsid w:val="00BD10E4"/>
    <w:rsid w:val="00BD19EB"/>
    <w:rsid w:val="00BD2C77"/>
    <w:rsid w:val="00BD371F"/>
    <w:rsid w:val="00BD662F"/>
    <w:rsid w:val="00BE158B"/>
    <w:rsid w:val="00BE1736"/>
    <w:rsid w:val="00BE17C5"/>
    <w:rsid w:val="00BF057C"/>
    <w:rsid w:val="00BF1C1E"/>
    <w:rsid w:val="00BF3E00"/>
    <w:rsid w:val="00BF464E"/>
    <w:rsid w:val="00C016A5"/>
    <w:rsid w:val="00C02F8C"/>
    <w:rsid w:val="00C042F8"/>
    <w:rsid w:val="00C044C4"/>
    <w:rsid w:val="00C077B6"/>
    <w:rsid w:val="00C114C2"/>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66BB"/>
    <w:rsid w:val="00C7759A"/>
    <w:rsid w:val="00C80C6E"/>
    <w:rsid w:val="00C81896"/>
    <w:rsid w:val="00C84D97"/>
    <w:rsid w:val="00C85B97"/>
    <w:rsid w:val="00C9288A"/>
    <w:rsid w:val="00CA2743"/>
    <w:rsid w:val="00CA276D"/>
    <w:rsid w:val="00CA4447"/>
    <w:rsid w:val="00CA47E4"/>
    <w:rsid w:val="00CB3859"/>
    <w:rsid w:val="00CB7E36"/>
    <w:rsid w:val="00CC159C"/>
    <w:rsid w:val="00CC2276"/>
    <w:rsid w:val="00CC2C87"/>
    <w:rsid w:val="00CC497A"/>
    <w:rsid w:val="00CC552E"/>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26E0"/>
    <w:rsid w:val="00D03811"/>
    <w:rsid w:val="00D04C12"/>
    <w:rsid w:val="00D07159"/>
    <w:rsid w:val="00D07279"/>
    <w:rsid w:val="00D07701"/>
    <w:rsid w:val="00D15B88"/>
    <w:rsid w:val="00D172E0"/>
    <w:rsid w:val="00D21B21"/>
    <w:rsid w:val="00D24626"/>
    <w:rsid w:val="00D30BF6"/>
    <w:rsid w:val="00D30DD6"/>
    <w:rsid w:val="00D31BC7"/>
    <w:rsid w:val="00D33427"/>
    <w:rsid w:val="00D36BF3"/>
    <w:rsid w:val="00D42148"/>
    <w:rsid w:val="00D44973"/>
    <w:rsid w:val="00D45357"/>
    <w:rsid w:val="00D50449"/>
    <w:rsid w:val="00D5088F"/>
    <w:rsid w:val="00D50E65"/>
    <w:rsid w:val="00D5220F"/>
    <w:rsid w:val="00D530C6"/>
    <w:rsid w:val="00D575C0"/>
    <w:rsid w:val="00D57E83"/>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9F2"/>
    <w:rsid w:val="00DD6EA3"/>
    <w:rsid w:val="00DD75E2"/>
    <w:rsid w:val="00DF34BE"/>
    <w:rsid w:val="00DF3915"/>
    <w:rsid w:val="00DF4481"/>
    <w:rsid w:val="00DF7567"/>
    <w:rsid w:val="00E039D0"/>
    <w:rsid w:val="00E040BA"/>
    <w:rsid w:val="00E04290"/>
    <w:rsid w:val="00E042A0"/>
    <w:rsid w:val="00E0459B"/>
    <w:rsid w:val="00E1065D"/>
    <w:rsid w:val="00E10D34"/>
    <w:rsid w:val="00E113CA"/>
    <w:rsid w:val="00E14C64"/>
    <w:rsid w:val="00E154BD"/>
    <w:rsid w:val="00E15D2B"/>
    <w:rsid w:val="00E17EC1"/>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6AE3"/>
    <w:rsid w:val="00E70B26"/>
    <w:rsid w:val="00E718CE"/>
    <w:rsid w:val="00E747F3"/>
    <w:rsid w:val="00E74809"/>
    <w:rsid w:val="00E769E8"/>
    <w:rsid w:val="00E8499C"/>
    <w:rsid w:val="00E84C1C"/>
    <w:rsid w:val="00E85A48"/>
    <w:rsid w:val="00E92524"/>
    <w:rsid w:val="00E950E5"/>
    <w:rsid w:val="00E96524"/>
    <w:rsid w:val="00E96ECD"/>
    <w:rsid w:val="00E970B4"/>
    <w:rsid w:val="00EA52A9"/>
    <w:rsid w:val="00EA5879"/>
    <w:rsid w:val="00EA5FA5"/>
    <w:rsid w:val="00EB0837"/>
    <w:rsid w:val="00EB1230"/>
    <w:rsid w:val="00EB1347"/>
    <w:rsid w:val="00EB20E3"/>
    <w:rsid w:val="00EB2B36"/>
    <w:rsid w:val="00EB4B52"/>
    <w:rsid w:val="00EB5FEB"/>
    <w:rsid w:val="00EB6494"/>
    <w:rsid w:val="00EC1C3F"/>
    <w:rsid w:val="00EC3DA2"/>
    <w:rsid w:val="00EC4C23"/>
    <w:rsid w:val="00EC5286"/>
    <w:rsid w:val="00EC6810"/>
    <w:rsid w:val="00ED100C"/>
    <w:rsid w:val="00ED1060"/>
    <w:rsid w:val="00ED684A"/>
    <w:rsid w:val="00EE1103"/>
    <w:rsid w:val="00EE5785"/>
    <w:rsid w:val="00EE7EAE"/>
    <w:rsid w:val="00EF0A86"/>
    <w:rsid w:val="00EF384D"/>
    <w:rsid w:val="00EF3C3B"/>
    <w:rsid w:val="00EF3EAD"/>
    <w:rsid w:val="00F008FD"/>
    <w:rsid w:val="00F066D7"/>
    <w:rsid w:val="00F075A8"/>
    <w:rsid w:val="00F1018D"/>
    <w:rsid w:val="00F1250E"/>
    <w:rsid w:val="00F14666"/>
    <w:rsid w:val="00F1667C"/>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5E20"/>
    <w:rsid w:val="00FC6B72"/>
    <w:rsid w:val="00FC70A1"/>
    <w:rsid w:val="00FD0A7A"/>
    <w:rsid w:val="00FD0AD0"/>
    <w:rsid w:val="00FD0D9D"/>
    <w:rsid w:val="00FD2159"/>
    <w:rsid w:val="00FD3E7A"/>
    <w:rsid w:val="00FD7A49"/>
    <w:rsid w:val="00FD7F01"/>
    <w:rsid w:val="00FE1A19"/>
    <w:rsid w:val="00FE3A30"/>
    <w:rsid w:val="00FE3BEE"/>
    <w:rsid w:val="00FE645E"/>
    <w:rsid w:val="00FF0238"/>
    <w:rsid w:val="00FF0452"/>
    <w:rsid w:val="00FF2DC2"/>
    <w:rsid w:val="00FF3589"/>
    <w:rsid w:val="016B281D"/>
    <w:rsid w:val="04304CC7"/>
    <w:rsid w:val="0883100C"/>
    <w:rsid w:val="08D7122D"/>
    <w:rsid w:val="0ABB0CD2"/>
    <w:rsid w:val="0E9B7CAD"/>
    <w:rsid w:val="141E7799"/>
    <w:rsid w:val="14233E16"/>
    <w:rsid w:val="149041FB"/>
    <w:rsid w:val="158113EE"/>
    <w:rsid w:val="1C7E3824"/>
    <w:rsid w:val="1DDA16CC"/>
    <w:rsid w:val="1E9F2B0D"/>
    <w:rsid w:val="1F9B3700"/>
    <w:rsid w:val="1FD07C46"/>
    <w:rsid w:val="202F765A"/>
    <w:rsid w:val="23F72B70"/>
    <w:rsid w:val="24264B11"/>
    <w:rsid w:val="24D457E7"/>
    <w:rsid w:val="25C37987"/>
    <w:rsid w:val="26E26201"/>
    <w:rsid w:val="27985978"/>
    <w:rsid w:val="27FE053A"/>
    <w:rsid w:val="28121112"/>
    <w:rsid w:val="285F49DA"/>
    <w:rsid w:val="292D5FAF"/>
    <w:rsid w:val="2AD62418"/>
    <w:rsid w:val="2B392BD9"/>
    <w:rsid w:val="2C3214FC"/>
    <w:rsid w:val="2CFD6EB4"/>
    <w:rsid w:val="30E620EC"/>
    <w:rsid w:val="317C0D56"/>
    <w:rsid w:val="31B0147C"/>
    <w:rsid w:val="343D16A2"/>
    <w:rsid w:val="34C76DBD"/>
    <w:rsid w:val="35312AE1"/>
    <w:rsid w:val="365F6543"/>
    <w:rsid w:val="370234E8"/>
    <w:rsid w:val="38C153AA"/>
    <w:rsid w:val="39A5384F"/>
    <w:rsid w:val="3F875277"/>
    <w:rsid w:val="40C64AAE"/>
    <w:rsid w:val="4211708D"/>
    <w:rsid w:val="453E4F59"/>
    <w:rsid w:val="46FC2E2D"/>
    <w:rsid w:val="482606EC"/>
    <w:rsid w:val="49AA15FA"/>
    <w:rsid w:val="4C486859"/>
    <w:rsid w:val="4C554B5B"/>
    <w:rsid w:val="4F9710BE"/>
    <w:rsid w:val="4FED4BDF"/>
    <w:rsid w:val="515E0CC2"/>
    <w:rsid w:val="540913C6"/>
    <w:rsid w:val="56E167E1"/>
    <w:rsid w:val="57892C7F"/>
    <w:rsid w:val="57FD6D86"/>
    <w:rsid w:val="58A01EF7"/>
    <w:rsid w:val="59D84551"/>
    <w:rsid w:val="5A94304A"/>
    <w:rsid w:val="5AF92F8F"/>
    <w:rsid w:val="5CDA1DCE"/>
    <w:rsid w:val="5FB53538"/>
    <w:rsid w:val="5FD5561F"/>
    <w:rsid w:val="604C43DC"/>
    <w:rsid w:val="60B40D2E"/>
    <w:rsid w:val="619439B5"/>
    <w:rsid w:val="6BDB56F2"/>
    <w:rsid w:val="6E953A27"/>
    <w:rsid w:val="738A7AFE"/>
    <w:rsid w:val="755E406B"/>
    <w:rsid w:val="76894270"/>
    <w:rsid w:val="78B647E8"/>
    <w:rsid w:val="7FE616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3"/>
    <w:qFormat/>
    <w:uiPriority w:val="0"/>
    <w:rPr>
      <w:rFonts w:ascii="宋体"/>
      <w:sz w:val="18"/>
      <w:szCs w:val="18"/>
    </w:rPr>
  </w:style>
  <w:style w:type="paragraph" w:styleId="10">
    <w:name w:val="annotation text"/>
    <w:basedOn w:val="1"/>
    <w:link w:val="34"/>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4"/>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2"/>
    <w:qFormat/>
    <w:uiPriority w:val="0"/>
    <w:rPr>
      <w:rFonts w:ascii="宋体" w:hAnsi="Courier New" w:cs="Courier New"/>
      <w:szCs w:val="21"/>
    </w:rPr>
  </w:style>
  <w:style w:type="paragraph" w:styleId="15">
    <w:name w:val="Balloon Text"/>
    <w:basedOn w:val="1"/>
    <w:link w:val="30"/>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link w:val="5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Title"/>
    <w:basedOn w:val="1"/>
    <w:next w:val="1"/>
    <w:link w:val="32"/>
    <w:qFormat/>
    <w:uiPriority w:val="0"/>
    <w:pPr>
      <w:spacing w:before="240" w:after="60"/>
      <w:jc w:val="center"/>
      <w:outlineLvl w:val="0"/>
    </w:pPr>
    <w:rPr>
      <w:rFonts w:ascii="Cambria" w:hAnsi="Cambria"/>
      <w:b/>
      <w:bCs/>
      <w:sz w:val="32"/>
      <w:szCs w:val="32"/>
    </w:rPr>
  </w:style>
  <w:style w:type="paragraph" w:styleId="22">
    <w:name w:val="annotation subject"/>
    <w:basedOn w:val="10"/>
    <w:next w:val="10"/>
    <w:link w:val="35"/>
    <w:qFormat/>
    <w:uiPriority w:val="0"/>
    <w:rPr>
      <w:b/>
      <w:bCs/>
    </w:rPr>
  </w:style>
  <w:style w:type="paragraph" w:styleId="23">
    <w:name w:val="Body Text First Indent"/>
    <w:basedOn w:val="12"/>
    <w:link w:val="55"/>
    <w:qFormat/>
    <w:uiPriority w:val="0"/>
    <w:pPr>
      <w:ind w:firstLine="420" w:firstLineChars="100"/>
    </w:pPr>
  </w:style>
  <w:style w:type="table" w:styleId="25">
    <w:name w:val="Table Grid"/>
    <w:basedOn w:val="24"/>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qFormat/>
    <w:uiPriority w:val="0"/>
  </w:style>
  <w:style w:type="character" w:styleId="29">
    <w:name w:val="annotation reference"/>
    <w:qFormat/>
    <w:uiPriority w:val="0"/>
    <w:rPr>
      <w:rFonts w:eastAsia="宋体"/>
      <w:kern w:val="2"/>
      <w:sz w:val="21"/>
      <w:szCs w:val="21"/>
      <w:lang w:val="en-US" w:eastAsia="zh-CN" w:bidi="ar-SA"/>
    </w:rPr>
  </w:style>
  <w:style w:type="character" w:customStyle="1" w:styleId="30">
    <w:name w:val="批注框文本 字符"/>
    <w:link w:val="15"/>
    <w:qFormat/>
    <w:uiPriority w:val="0"/>
    <w:rPr>
      <w:kern w:val="2"/>
      <w:sz w:val="18"/>
      <w:szCs w:val="18"/>
    </w:rPr>
  </w:style>
  <w:style w:type="character" w:customStyle="1" w:styleId="31">
    <w:name w:val="标题 1 字符"/>
    <w:link w:val="2"/>
    <w:qFormat/>
    <w:uiPriority w:val="9"/>
    <w:rPr>
      <w:rFonts w:ascii="Calibri" w:hAnsi="Calibri" w:eastAsia="宋体" w:cs="Times New Roman"/>
      <w:b/>
      <w:bCs/>
      <w:kern w:val="44"/>
      <w:sz w:val="44"/>
      <w:szCs w:val="44"/>
    </w:rPr>
  </w:style>
  <w:style w:type="character" w:customStyle="1" w:styleId="32">
    <w:name w:val="标题 字符"/>
    <w:link w:val="21"/>
    <w:qFormat/>
    <w:uiPriority w:val="0"/>
    <w:rPr>
      <w:rFonts w:ascii="Cambria" w:hAnsi="Cambria" w:cs="Times New Roman"/>
      <w:b/>
      <w:bCs/>
      <w:kern w:val="2"/>
      <w:sz w:val="32"/>
      <w:szCs w:val="32"/>
    </w:rPr>
  </w:style>
  <w:style w:type="character" w:customStyle="1" w:styleId="33">
    <w:name w:val="文档结构图 字符"/>
    <w:link w:val="9"/>
    <w:qFormat/>
    <w:uiPriority w:val="0"/>
    <w:rPr>
      <w:rFonts w:ascii="宋体"/>
      <w:kern w:val="2"/>
      <w:sz w:val="18"/>
      <w:szCs w:val="18"/>
    </w:rPr>
  </w:style>
  <w:style w:type="character" w:customStyle="1" w:styleId="34">
    <w:name w:val="批注文字 字符"/>
    <w:link w:val="10"/>
    <w:qFormat/>
    <w:uiPriority w:val="0"/>
    <w:rPr>
      <w:kern w:val="2"/>
      <w:sz w:val="21"/>
      <w:szCs w:val="24"/>
    </w:rPr>
  </w:style>
  <w:style w:type="character" w:customStyle="1" w:styleId="35">
    <w:name w:val="批注主题 字符"/>
    <w:link w:val="22"/>
    <w:qFormat/>
    <w:uiPriority w:val="0"/>
    <w:rPr>
      <w:b/>
      <w:bCs/>
      <w:kern w:val="2"/>
      <w:sz w:val="21"/>
      <w:szCs w:val="24"/>
    </w:rPr>
  </w:style>
  <w:style w:type="paragraph" w:customStyle="1" w:styleId="36">
    <w:name w:val="_Style 2"/>
    <w:basedOn w:val="1"/>
    <w:qFormat/>
    <w:uiPriority w:val="34"/>
    <w:pPr>
      <w:ind w:firstLine="420" w:firstLineChars="200"/>
    </w:pPr>
    <w:rPr>
      <w:rFonts w:ascii="Calibri" w:hAnsi="Calibri"/>
      <w:szCs w:val="22"/>
    </w:rPr>
  </w:style>
  <w:style w:type="paragraph" w:customStyle="1" w:styleId="37">
    <w:name w:val="Char Char2 Char"/>
    <w:basedOn w:val="1"/>
    <w:qFormat/>
    <w:uiPriority w:val="0"/>
  </w:style>
  <w:style w:type="paragraph" w:customStyle="1" w:styleId="3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9">
    <w:name w:val="HTML Top of Form"/>
    <w:basedOn w:val="1"/>
    <w:qFormat/>
    <w:uiPriority w:val="34"/>
    <w:pPr>
      <w:ind w:firstLine="420" w:firstLineChars="200"/>
    </w:pPr>
    <w:rPr>
      <w:rFonts w:ascii="Calibri" w:hAnsi="Calibri"/>
      <w:szCs w:val="22"/>
    </w:rPr>
  </w:style>
  <w:style w:type="paragraph" w:customStyle="1" w:styleId="40">
    <w:name w:val="题注4"/>
    <w:basedOn w:val="1"/>
    <w:next w:val="8"/>
    <w:qFormat/>
    <w:uiPriority w:val="0"/>
    <w:pPr>
      <w:ind w:left="-132" w:leftChars="-64" w:right="-105" w:rightChars="-50" w:hanging="2"/>
      <w:jc w:val="center"/>
    </w:pPr>
    <w:rPr>
      <w:b/>
      <w:color w:val="FF0000"/>
      <w:szCs w:val="21"/>
      <w:lang w:val="en-GB"/>
    </w:rPr>
  </w:style>
  <w:style w:type="paragraph" w:customStyle="1" w:styleId="41">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2">
    <w:name w:val="List Paragraph"/>
    <w:basedOn w:val="1"/>
    <w:qFormat/>
    <w:uiPriority w:val="34"/>
    <w:pPr>
      <w:ind w:firstLine="420" w:firstLineChars="200"/>
    </w:pPr>
    <w:rPr>
      <w:rFonts w:ascii="Calibri" w:hAnsi="Calibri"/>
      <w:szCs w:val="22"/>
    </w:rPr>
  </w:style>
  <w:style w:type="paragraph" w:customStyle="1" w:styleId="4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5">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4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48">
    <w:name w:val="Char"/>
    <w:basedOn w:val="1"/>
    <w:qFormat/>
    <w:uiPriority w:val="0"/>
    <w:pPr>
      <w:spacing w:line="480" w:lineRule="exact"/>
    </w:pPr>
    <w:rPr>
      <w:sz w:val="24"/>
    </w:rPr>
  </w:style>
  <w:style w:type="paragraph" w:customStyle="1" w:styleId="49">
    <w:name w:val="表格文字"/>
    <w:basedOn w:val="1"/>
    <w:qFormat/>
    <w:uiPriority w:val="0"/>
    <w:pPr>
      <w:spacing w:before="25" w:after="25"/>
      <w:jc w:val="left"/>
    </w:pPr>
    <w:rPr>
      <w:bCs/>
      <w:spacing w:val="10"/>
      <w:kern w:val="0"/>
      <w:sz w:val="24"/>
      <w:szCs w:val="20"/>
    </w:rPr>
  </w:style>
  <w:style w:type="paragraph" w:customStyle="1" w:styleId="50">
    <w:name w:val="_Style 1"/>
    <w:basedOn w:val="1"/>
    <w:qFormat/>
    <w:uiPriority w:val="34"/>
    <w:pPr>
      <w:ind w:firstLine="420" w:firstLineChars="200"/>
    </w:pPr>
    <w:rPr>
      <w:rFonts w:ascii="Calibri" w:hAnsi="Calibri"/>
      <w:szCs w:val="22"/>
    </w:rPr>
  </w:style>
  <w:style w:type="paragraph" w:customStyle="1" w:styleId="5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2">
    <w:name w:val="纯文本 字符"/>
    <w:link w:val="14"/>
    <w:qFormat/>
    <w:uiPriority w:val="0"/>
    <w:rPr>
      <w:rFonts w:ascii="宋体" w:hAnsi="Courier New" w:cs="Courier New"/>
      <w:kern w:val="2"/>
      <w:sz w:val="21"/>
      <w:szCs w:val="21"/>
    </w:rPr>
  </w:style>
  <w:style w:type="character" w:customStyle="1" w:styleId="53">
    <w:name w:val="页眉 字符"/>
    <w:link w:val="17"/>
    <w:qFormat/>
    <w:uiPriority w:val="0"/>
    <w:rPr>
      <w:kern w:val="2"/>
      <w:sz w:val="18"/>
      <w:szCs w:val="24"/>
    </w:rPr>
  </w:style>
  <w:style w:type="character" w:customStyle="1" w:styleId="54">
    <w:name w:val="正文文本 字符"/>
    <w:basedOn w:val="26"/>
    <w:link w:val="12"/>
    <w:semiHidden/>
    <w:qFormat/>
    <w:uiPriority w:val="0"/>
    <w:rPr>
      <w:kern w:val="2"/>
      <w:sz w:val="21"/>
      <w:szCs w:val="24"/>
    </w:rPr>
  </w:style>
  <w:style w:type="character" w:customStyle="1" w:styleId="55">
    <w:name w:val="正文首行缩进 字符"/>
    <w:basedOn w:val="54"/>
    <w:link w:val="23"/>
    <w:qFormat/>
    <w:uiPriority w:val="0"/>
    <w:rPr>
      <w:kern w:val="2"/>
      <w:sz w:val="21"/>
      <w:szCs w:val="24"/>
    </w:rPr>
  </w:style>
  <w:style w:type="paragraph" w:styleId="56">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94616-A705-4214-9EC7-98CA098AA90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43</Pages>
  <Words>3335</Words>
  <Characters>19015</Characters>
  <Lines>158</Lines>
  <Paragraphs>44</Paragraphs>
  <TotalTime>2</TotalTime>
  <ScaleCrop>false</ScaleCrop>
  <LinksUpToDate>false</LinksUpToDate>
  <CharactersWithSpaces>22306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2019-05-06T07:10:00Z</dcterms:created>
  <dc:creator>李继能</dc:creator>
  <cp:lastModifiedBy>Lenovo</cp:lastModifiedBy>
  <cp:lastPrinted>2020-08-21T00:59:00Z</cp:lastPrinted>
  <dcterms:modified xsi:type="dcterms:W3CDTF">2020-08-27T03:14:56Z</dcterms:modified>
  <dc:title>询价文件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