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XE-20200813-2</w:t>
      </w:r>
      <w:r>
        <w:fldChar w:fldCharType="begin"/>
      </w:r>
      <w:r>
        <w:instrText xml:space="preserve"> DOCVARIABLE  采购编号  \* MERGEFORMAT </w:instrText>
      </w:r>
      <w:r>
        <w:fldChar w:fldCharType="end"/>
      </w:r>
    </w:p>
    <w:p>
      <w:pPr>
        <w:spacing w:line="500" w:lineRule="exact"/>
        <w:jc w:val="left"/>
        <w:rPr>
          <w:rFonts w:ascii="仿宋" w:hAnsi="仿宋" w:eastAsia="仿宋" w:cs="仿宋_GB2312"/>
          <w:b/>
          <w:bCs/>
          <w:sz w:val="28"/>
          <w:szCs w:val="28"/>
        </w:rPr>
      </w:pPr>
      <w:r>
        <w:rPr>
          <w:rFonts w:hint="eastAsia" w:ascii="仿宋" w:hAnsi="仿宋" w:eastAsia="仿宋" w:cs="仿宋_GB2312"/>
          <w:b/>
          <w:bCs/>
          <w:sz w:val="28"/>
          <w:szCs w:val="28"/>
        </w:rPr>
        <w:t>项目名称：广州市净水有限公司沥滘分公司2020年一、</w:t>
      </w:r>
      <w:r>
        <w:rPr>
          <w:rFonts w:hint="eastAsia" w:ascii="仿宋_GB2312" w:hAnsi="仿宋_GB2312" w:eastAsia="仿宋_GB2312" w:cs="仿宋_GB2312"/>
          <w:b/>
          <w:bCs/>
          <w:sz w:val="28"/>
          <w:szCs w:val="28"/>
        </w:rPr>
        <w:t>二期生化池搅拌机大修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2020</w:t>
      </w:r>
      <w:r>
        <w:rPr>
          <w:rFonts w:hint="eastAsia" w:ascii="仿宋" w:hAnsi="仿宋" w:eastAsia="仿宋" w:cs="仿宋_GB2312"/>
          <w:b/>
          <w:bCs/>
          <w:sz w:val="28"/>
        </w:rPr>
        <w:t>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13</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2"/>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现我公司对沥滘分公司</w:t>
      </w:r>
      <w:r>
        <w:rPr>
          <w:rFonts w:hint="eastAsia" w:ascii="仿宋_GB2312" w:hAnsi="仿宋_GB2312" w:eastAsia="仿宋_GB2312" w:cs="仿宋_GB2312"/>
          <w:b/>
          <w:bCs/>
          <w:sz w:val="28"/>
          <w:szCs w:val="28"/>
          <w:u w:val="single"/>
        </w:rPr>
        <w:t>一、二期生化池搅拌机大修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105万元(人民币)</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、项目编号：XE-20200813-2</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、项目名称：广州市净水有限公司沥滘分公司2020年一、二期生化池搅拌机大修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_GB2312" w:hAnsi="仿宋_GB2312" w:eastAsia="仿宋_GB2312" w:cs="仿宋_GB2312"/>
          <w:sz w:val="28"/>
          <w:szCs w:val="28"/>
          <w:u w:val="single"/>
        </w:rPr>
        <w:t>98.069004</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该工程为：沥滘分公司。一期生化池搅拌机厂内共有15台，型号：KSB Amaprop V41-2000/34URG;二期生化池搅拌机大修，ABS RW 6532 A75/12CR大修，15台，检查更换机械密封、轴承、骨架油封、密封圈等，电机、电缆检查，转子动平衡测试、定子浸漆、耐压测试等。</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报价单位须是中华人民共和国境内的法人或者其他组织，具有独立法人资格，营业执照经营范围具有机电设备安装或者维修，且能开具增值税专用发票。如营业执照中没有体现经营范围的，须提供工商部门商事主体信息网站含经营范围的查询打印页。</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2.单位负责人为同一人或者存在控股、管理关系的不同单位，不得同时参加本项目。</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3.维修业绩要求：2017年1月1日至今具有一项类似设备维修业绩，并提供相关证明文件（合同复印件，加盖单位公章）。</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4.本项目不接收联合体报价。     </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w:t>
      </w:r>
      <w:r>
        <w:rPr>
          <w:rFonts w:hint="eastAsia" w:ascii="仿宋" w:hAnsi="仿宋" w:eastAsia="仿宋" w:cs="仿宋_GB2312"/>
          <w:sz w:val="28"/>
          <w:szCs w:val="28"/>
        </w:rPr>
        <w:t>报价</w:t>
      </w:r>
      <w:r>
        <w:rPr>
          <w:rFonts w:hint="eastAsia" w:ascii="仿宋" w:hAnsi="仿宋" w:eastAsia="仿宋" w:cs="仿宋_GB2312"/>
          <w:sz w:val="28"/>
          <w:szCs w:val="28"/>
          <w:lang w:val="zh-CN"/>
        </w:rPr>
        <w:t>人自行踏勘现场）：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r>
        <w:rPr>
          <w:rFonts w:hint="eastAsia" w:ascii="仿宋" w:hAnsi="仿宋" w:eastAsia="仿宋" w:cs="仿宋_GB2312"/>
          <w:sz w:val="28"/>
          <w:szCs w:val="28"/>
          <w:lang w:val="en-US" w:eastAsia="zh-CN"/>
        </w:rPr>
        <w:t>/</w:t>
      </w:r>
      <w:r>
        <w:rPr>
          <w:rFonts w:ascii="仿宋" w:hAnsi="仿宋" w:eastAsia="仿宋" w:cs="仿宋_GB2312"/>
          <w:sz w:val="28"/>
          <w:szCs w:val="28"/>
          <w:lang w:val="zh-CN"/>
        </w:rPr>
        <w:t xml:space="preserve"> </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分至1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分；询价响应文件递交截止时间：2020年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十、询价响应文件送达地点：广州市天河区临江大道501号广州市净水有限公司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w:t>
      </w:r>
      <w:r>
        <w:rPr>
          <w:rFonts w:hint="eastAsia" w:ascii="仿宋" w:hAnsi="仿宋" w:eastAsia="仿宋" w:cs="仿宋_GB2312"/>
          <w:sz w:val="28"/>
          <w:szCs w:val="28"/>
          <w:lang w:val="en-US" w:eastAsia="zh-CN"/>
        </w:rPr>
        <w:t>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联系人：黄工             联系方式：020-62315524         </w:t>
      </w:r>
    </w:p>
    <w:p>
      <w:pPr>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lang w:val="en-US" w:eastAsia="zh-CN"/>
        </w:rPr>
        <w:t>2020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7"/>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7"/>
        <w:adjustRightInd w:val="0"/>
        <w:snapToGrid w:val="0"/>
        <w:spacing w:line="300" w:lineRule="auto"/>
        <w:rPr>
          <w:rFonts w:ascii="仿宋" w:hAnsi="仿宋" w:eastAsia="仿宋" w:cs="仿宋_GB2312"/>
          <w:b/>
          <w:sz w:val="28"/>
          <w:szCs w:val="28"/>
          <w:lang w:val="zh-CN"/>
        </w:rPr>
      </w:pPr>
    </w:p>
    <w:p>
      <w:pPr>
        <w:pStyle w:val="7"/>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rPr>
          <w:rFonts w:ascii="仿宋" w:hAnsi="仿宋" w:eastAsia="仿宋" w:cs="仿宋_GB2312"/>
          <w:b/>
          <w:sz w:val="28"/>
          <w:szCs w:val="28"/>
          <w:lang w:val="zh-CN"/>
        </w:rPr>
      </w:pPr>
      <w:r>
        <w:rPr>
          <w:rFonts w:hint="eastAsia" w:ascii="仿宋" w:hAnsi="仿宋" w:eastAsia="仿宋" w:cs="仿宋"/>
          <w:sz w:val="28"/>
          <w:szCs w:val="28"/>
        </w:rPr>
        <w:t xml:space="preserve">   沥滘分公司。一期生化池搅拌机厂内共有15台，型号：KSB Amaprop V41-2000/34URG;二期生化池搅拌机大修，ABS RW 6532 A75/12CR大修，15台，检查更换机械密封、轴承、骨架油封、密封圈等，电机、电缆检查，转子动平衡测试、定子浸漆、耐压测试等。</w:t>
      </w:r>
    </w:p>
    <w:p>
      <w:pPr>
        <w:pStyle w:val="7"/>
        <w:adjustRightInd w:val="0"/>
        <w:snapToGrid w:val="0"/>
        <w:spacing w:line="300" w:lineRule="auto"/>
        <w:ind w:left="600"/>
        <w:rPr>
          <w:rFonts w:ascii="仿宋" w:hAnsi="仿宋" w:eastAsia="仿宋" w:cs="仿宋_GB2312"/>
          <w:b/>
          <w:sz w:val="28"/>
          <w:szCs w:val="28"/>
          <w:lang w:val="zh-CN"/>
        </w:rPr>
      </w:pPr>
    </w:p>
    <w:p>
      <w:pPr>
        <w:pStyle w:val="7"/>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24"/>
        <w:numPr>
          <w:ilvl w:val="3"/>
          <w:numId w:val="1"/>
        </w:numPr>
        <w:autoSpaceDE w:val="0"/>
        <w:autoSpaceDN w:val="0"/>
        <w:ind w:firstLineChars="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工程量清单（若有，附第二部分 项目内容后面）</w:t>
      </w:r>
    </w:p>
    <w:p>
      <w:pPr>
        <w:autoSpaceDE w:val="0"/>
        <w:autoSpaceDN w:val="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一期生化池搅拌机</w:t>
      </w:r>
    </w:p>
    <w:tbl>
      <w:tblPr>
        <w:tblStyle w:val="14"/>
        <w:tblW w:w="8967" w:type="dxa"/>
        <w:tblInd w:w="93" w:type="dxa"/>
        <w:tblLayout w:type="autofit"/>
        <w:tblCellMar>
          <w:top w:w="0" w:type="dxa"/>
          <w:left w:w="108" w:type="dxa"/>
          <w:bottom w:w="0" w:type="dxa"/>
          <w:right w:w="108" w:type="dxa"/>
        </w:tblCellMar>
      </w:tblPr>
      <w:tblGrid>
        <w:gridCol w:w="1008"/>
        <w:gridCol w:w="6095"/>
        <w:gridCol w:w="850"/>
        <w:gridCol w:w="1014"/>
      </w:tblGrid>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序号</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项目/备件名称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单位</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数量</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搅拌机</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2</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立式混合搅拌机(平叶浆、折板浆、螺旋浆)安装 桨叶外径</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3</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立式混合搅拌机(平叶浆、折板浆、螺旋浆)安装 桨叶外径</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4</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O型圈</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13</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5</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机械密封MG1/55-G7-Q1Q1PGG</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12</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6</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机械密封MG1/55-G4-ASPGG</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12</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7</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骨架油封42*62*8</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12</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8</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搅拌器电缆</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条</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9</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轴承FAG6204-C</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12</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10</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轴承FAG6307 2ZR C3</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12</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齿轮组Z1+Z2+转子</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4</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12</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齿轮组Z3+Z4</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4</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13</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电动机检查接线</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14</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小型交流异步电动机检查接线 交流异步电机功率</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15</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发电机组及电机保护调试 电机调试</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16</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小型电机干燥 电机功率</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17</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搅拌机</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18</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8"/>
                <w:szCs w:val="28"/>
              </w:rPr>
            </w:pPr>
            <w:r>
              <w:rPr>
                <w:rFonts w:hint="eastAsia" w:ascii="仿宋" w:hAnsi="仿宋" w:eastAsia="仿宋" w:cs="仿宋"/>
                <w:sz w:val="28"/>
                <w:szCs w:val="28"/>
              </w:rPr>
              <w:t>立式混合搅拌机(平叶浆、折板浆、螺旋浆)安装 桨叶外径</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jc w:val="right"/>
              <w:rPr>
                <w:rFonts w:ascii="仿宋" w:hAnsi="仿宋" w:eastAsia="仿宋" w:cs="仿宋"/>
                <w:sz w:val="28"/>
                <w:szCs w:val="28"/>
              </w:rPr>
            </w:pPr>
            <w:r>
              <w:rPr>
                <w:rFonts w:hint="eastAsia" w:ascii="仿宋" w:hAnsi="仿宋" w:eastAsia="仿宋" w:cs="仿宋"/>
                <w:sz w:val="28"/>
                <w:szCs w:val="28"/>
              </w:rPr>
              <w:t>15</w:t>
            </w:r>
          </w:p>
        </w:tc>
      </w:tr>
    </w:tbl>
    <w:p>
      <w:pPr>
        <w:autoSpaceDE w:val="0"/>
        <w:autoSpaceDN w:val="0"/>
        <w:rPr>
          <w:rFonts w:ascii="仿宋" w:hAnsi="仿宋" w:eastAsia="仿宋" w:cs="仿宋"/>
          <w:sz w:val="28"/>
          <w:szCs w:val="28"/>
        </w:rPr>
      </w:pPr>
    </w:p>
    <w:p>
      <w:pPr>
        <w:autoSpaceDE w:val="0"/>
        <w:autoSpaceDN w:val="0"/>
        <w:rPr>
          <w:rFonts w:ascii="仿宋" w:hAnsi="仿宋" w:eastAsia="仿宋" w:cs="仿宋"/>
          <w:sz w:val="28"/>
          <w:szCs w:val="28"/>
        </w:rPr>
      </w:pPr>
    </w:p>
    <w:p>
      <w:pPr>
        <w:autoSpaceDE w:val="0"/>
        <w:autoSpaceDN w:val="0"/>
        <w:rPr>
          <w:rFonts w:ascii="仿宋" w:hAnsi="仿宋" w:eastAsia="仿宋" w:cs="仿宋"/>
          <w:sz w:val="28"/>
          <w:szCs w:val="28"/>
        </w:rPr>
      </w:pPr>
    </w:p>
    <w:p>
      <w:pPr>
        <w:autoSpaceDE w:val="0"/>
        <w:autoSpaceDN w:val="0"/>
        <w:rPr>
          <w:rFonts w:ascii="仿宋" w:hAnsi="仿宋" w:eastAsia="仿宋" w:cs="仿宋"/>
          <w:sz w:val="28"/>
          <w:szCs w:val="28"/>
        </w:rPr>
      </w:pPr>
    </w:p>
    <w:p>
      <w:pPr>
        <w:autoSpaceDE w:val="0"/>
        <w:autoSpaceDN w:val="0"/>
        <w:rPr>
          <w:rFonts w:ascii="仿宋" w:hAnsi="仿宋" w:eastAsia="仿宋" w:cs="仿宋"/>
          <w:sz w:val="28"/>
          <w:szCs w:val="28"/>
        </w:rPr>
      </w:pPr>
    </w:p>
    <w:p>
      <w:pPr>
        <w:autoSpaceDE w:val="0"/>
        <w:autoSpaceDN w:val="0"/>
        <w:rPr>
          <w:rFonts w:ascii="仿宋" w:hAnsi="仿宋" w:eastAsia="仿宋" w:cs="仿宋"/>
          <w:sz w:val="28"/>
          <w:szCs w:val="28"/>
        </w:rPr>
      </w:pPr>
      <w:r>
        <w:rPr>
          <w:rFonts w:hint="eastAsia" w:ascii="仿宋" w:hAnsi="仿宋" w:eastAsia="仿宋" w:cs="仿宋"/>
          <w:sz w:val="28"/>
          <w:szCs w:val="28"/>
        </w:rPr>
        <w:t>二期生化池搅拌机</w:t>
      </w:r>
    </w:p>
    <w:tbl>
      <w:tblPr>
        <w:tblStyle w:val="14"/>
        <w:tblW w:w="8967" w:type="dxa"/>
        <w:tblInd w:w="93" w:type="dxa"/>
        <w:tblLayout w:type="autofit"/>
        <w:tblCellMar>
          <w:top w:w="0" w:type="dxa"/>
          <w:left w:w="108" w:type="dxa"/>
          <w:bottom w:w="0" w:type="dxa"/>
          <w:right w:w="108" w:type="dxa"/>
        </w:tblCellMar>
      </w:tblPr>
      <w:tblGrid>
        <w:gridCol w:w="1008"/>
        <w:gridCol w:w="6095"/>
        <w:gridCol w:w="850"/>
        <w:gridCol w:w="1014"/>
      </w:tblGrid>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line="720" w:lineRule="auto"/>
              <w:jc w:val="center"/>
              <w:rPr>
                <w:rFonts w:ascii="仿宋" w:hAnsi="仿宋" w:eastAsia="仿宋" w:cs="仿宋"/>
                <w:sz w:val="28"/>
                <w:szCs w:val="28"/>
              </w:rPr>
            </w:pPr>
            <w:r>
              <w:rPr>
                <w:rFonts w:hint="eastAsia" w:ascii="仿宋" w:hAnsi="仿宋" w:eastAsia="仿宋" w:cs="仿宋"/>
                <w:sz w:val="28"/>
                <w:szCs w:val="28"/>
              </w:rPr>
              <w:t>序号</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项目/备件名称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单位</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数量</w:t>
            </w:r>
          </w:p>
        </w:tc>
      </w:tr>
      <w:tr>
        <w:tblPrEx>
          <w:tblCellMar>
            <w:top w:w="0" w:type="dxa"/>
            <w:left w:w="108" w:type="dxa"/>
            <w:bottom w:w="0" w:type="dxa"/>
            <w:right w:w="108" w:type="dxa"/>
          </w:tblCellMar>
        </w:tblPrEx>
        <w:trPr>
          <w:trHeight w:val="900" w:hRule="atLeast"/>
        </w:trPr>
        <w:tc>
          <w:tcPr>
            <w:tcW w:w="1008" w:type="dxa"/>
            <w:tcBorders>
              <w:top w:val="single" w:color="auto" w:sz="4" w:space="0"/>
              <w:left w:val="single" w:color="auto" w:sz="4" w:space="0"/>
              <w:bottom w:val="single" w:color="auto" w:sz="4" w:space="0"/>
              <w:right w:val="single" w:color="auto" w:sz="4" w:space="0"/>
            </w:tcBorders>
          </w:tcPr>
          <w:p>
            <w:pPr>
              <w:widowControl/>
              <w:spacing w:before="240"/>
              <w:jc w:val="left"/>
              <w:rPr>
                <w:rFonts w:ascii="仿宋" w:hAnsi="仿宋" w:eastAsia="仿宋" w:cs="仿宋"/>
                <w:sz w:val="28"/>
                <w:szCs w:val="28"/>
              </w:rPr>
            </w:pPr>
            <w:r>
              <w:rPr>
                <w:rFonts w:hint="eastAsia" w:ascii="仿宋" w:hAnsi="仿宋" w:eastAsia="仿宋" w:cs="仿宋"/>
                <w:sz w:val="28"/>
                <w:szCs w:val="28"/>
              </w:rPr>
              <w:t>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立式混合搅拌机(平叶浆、折板浆、螺旋浆)安装 桨叶外径设备拆除</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750" w:hRule="atLeast"/>
        </w:trPr>
        <w:tc>
          <w:tcPr>
            <w:tcW w:w="1008" w:type="dxa"/>
            <w:tcBorders>
              <w:top w:val="nil"/>
              <w:left w:val="single" w:color="auto" w:sz="4" w:space="0"/>
              <w:bottom w:val="single" w:color="auto" w:sz="4" w:space="0"/>
              <w:right w:val="single" w:color="auto" w:sz="4" w:space="0"/>
            </w:tcBorders>
          </w:tcPr>
          <w:p>
            <w:pPr>
              <w:widowControl/>
              <w:spacing w:before="240"/>
              <w:jc w:val="left"/>
              <w:rPr>
                <w:rFonts w:ascii="仿宋" w:hAnsi="仿宋" w:eastAsia="仿宋" w:cs="仿宋"/>
                <w:sz w:val="28"/>
                <w:szCs w:val="28"/>
              </w:rPr>
            </w:pPr>
            <w:r>
              <w:rPr>
                <w:rFonts w:hint="eastAsia" w:ascii="仿宋" w:hAnsi="仿宋" w:eastAsia="仿宋" w:cs="仿宋"/>
                <w:sz w:val="28"/>
                <w:szCs w:val="28"/>
              </w:rPr>
              <w:t>2</w:t>
            </w:r>
          </w:p>
        </w:tc>
        <w:tc>
          <w:tcPr>
            <w:tcW w:w="60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立式混合搅拌机(平叶浆、折板浆、螺旋浆)安装 桨叶外径设备检修</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810" w:hRule="atLeast"/>
        </w:trPr>
        <w:tc>
          <w:tcPr>
            <w:tcW w:w="1008" w:type="dxa"/>
            <w:tcBorders>
              <w:top w:val="nil"/>
              <w:left w:val="single" w:color="auto" w:sz="4" w:space="0"/>
              <w:bottom w:val="single" w:color="auto" w:sz="4" w:space="0"/>
              <w:right w:val="single" w:color="auto" w:sz="4" w:space="0"/>
            </w:tcBorders>
          </w:tcPr>
          <w:p>
            <w:pPr>
              <w:widowControl/>
              <w:spacing w:before="240"/>
              <w:jc w:val="left"/>
              <w:rPr>
                <w:rFonts w:ascii="仿宋" w:hAnsi="仿宋" w:eastAsia="仿宋" w:cs="仿宋"/>
                <w:sz w:val="28"/>
                <w:szCs w:val="28"/>
              </w:rPr>
            </w:pPr>
            <w:r>
              <w:rPr>
                <w:rFonts w:hint="eastAsia" w:ascii="仿宋" w:hAnsi="仿宋" w:eastAsia="仿宋" w:cs="仿宋"/>
                <w:sz w:val="28"/>
                <w:szCs w:val="28"/>
              </w:rPr>
              <w:t>3</w:t>
            </w:r>
          </w:p>
        </w:tc>
        <w:tc>
          <w:tcPr>
            <w:tcW w:w="60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小型交流异步电动机检查接线 交流异步电机功率</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810" w:hRule="atLeast"/>
        </w:trPr>
        <w:tc>
          <w:tcPr>
            <w:tcW w:w="1008" w:type="dxa"/>
            <w:tcBorders>
              <w:top w:val="nil"/>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4</w:t>
            </w:r>
          </w:p>
        </w:tc>
        <w:tc>
          <w:tcPr>
            <w:tcW w:w="60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发电机组及电机保护调试 电机浸漆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810" w:hRule="atLeast"/>
        </w:trPr>
        <w:tc>
          <w:tcPr>
            <w:tcW w:w="1008" w:type="dxa"/>
            <w:tcBorders>
              <w:top w:val="nil"/>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5</w:t>
            </w:r>
          </w:p>
        </w:tc>
        <w:tc>
          <w:tcPr>
            <w:tcW w:w="60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发电机组及电机保护调试 电机动平衡调试</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810" w:hRule="atLeast"/>
        </w:trPr>
        <w:tc>
          <w:tcPr>
            <w:tcW w:w="1008" w:type="dxa"/>
            <w:tcBorders>
              <w:top w:val="nil"/>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6</w:t>
            </w:r>
          </w:p>
        </w:tc>
        <w:tc>
          <w:tcPr>
            <w:tcW w:w="60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 xml:space="preserve">小型电机干燥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810" w:hRule="atLeast"/>
        </w:trPr>
        <w:tc>
          <w:tcPr>
            <w:tcW w:w="1008" w:type="dxa"/>
            <w:tcBorders>
              <w:top w:val="nil"/>
              <w:left w:val="single" w:color="auto" w:sz="4" w:space="0"/>
              <w:bottom w:val="single" w:color="auto" w:sz="4" w:space="0"/>
              <w:right w:val="single" w:color="auto" w:sz="4" w:space="0"/>
            </w:tcBorders>
          </w:tcPr>
          <w:p>
            <w:pPr>
              <w:widowControl/>
              <w:jc w:val="lef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t>7</w:t>
            </w:r>
          </w:p>
        </w:tc>
        <w:tc>
          <w:tcPr>
            <w:tcW w:w="60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立式混合搅拌机(平叶浆、折板浆、螺旋浆)安装 桨叶外径 设备安装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台</w:t>
            </w:r>
          </w:p>
        </w:tc>
        <w:tc>
          <w:tcPr>
            <w:tcW w:w="1014" w:type="dxa"/>
            <w:tcBorders>
              <w:top w:val="nil"/>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15</w:t>
            </w:r>
          </w:p>
        </w:tc>
      </w:tr>
      <w:tr>
        <w:tblPrEx>
          <w:tblCellMar>
            <w:top w:w="0" w:type="dxa"/>
            <w:left w:w="108" w:type="dxa"/>
            <w:bottom w:w="0" w:type="dxa"/>
            <w:right w:w="108" w:type="dxa"/>
          </w:tblCellMar>
        </w:tblPrEx>
        <w:trPr>
          <w:trHeight w:val="190" w:hRule="atLeast"/>
        </w:trPr>
        <w:tc>
          <w:tcPr>
            <w:tcW w:w="1008"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8</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尾翼滚轮</w:t>
            </w:r>
            <w:r>
              <w:rPr>
                <w:rFonts w:ascii="仿宋" w:hAnsi="仿宋" w:eastAsia="仿宋" w:cs="仿宋"/>
                <w:sz w:val="28"/>
                <w:szCs w:val="28"/>
              </w:rPr>
              <w:t>RW6532 A75/12CR</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190" w:hRule="atLeast"/>
        </w:trPr>
        <w:tc>
          <w:tcPr>
            <w:tcW w:w="1008"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9</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叶轮</w:t>
            </w:r>
            <w:r>
              <w:rPr>
                <w:rFonts w:ascii="仿宋" w:hAnsi="仿宋" w:eastAsia="仿宋" w:cs="仿宋"/>
                <w:sz w:val="28"/>
                <w:szCs w:val="28"/>
              </w:rPr>
              <w:t>RW6532 A75/12CR</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7</w:t>
            </w:r>
          </w:p>
        </w:tc>
      </w:tr>
      <w:tr>
        <w:tblPrEx>
          <w:tblCellMar>
            <w:top w:w="0" w:type="dxa"/>
            <w:left w:w="108" w:type="dxa"/>
            <w:bottom w:w="0" w:type="dxa"/>
            <w:right w:w="108" w:type="dxa"/>
          </w:tblCellMar>
        </w:tblPrEx>
        <w:trPr>
          <w:trHeight w:val="190" w:hRule="atLeast"/>
        </w:trPr>
        <w:tc>
          <w:tcPr>
            <w:tcW w:w="1008"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10</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SD环扎带</w:t>
            </w:r>
            <w:r>
              <w:rPr>
                <w:rFonts w:ascii="仿宋" w:hAnsi="仿宋" w:eastAsia="仿宋" w:cs="仿宋"/>
                <w:sz w:val="28"/>
                <w:szCs w:val="28"/>
              </w:rPr>
              <w:t>RW6532 A75/12CR</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190" w:hRule="atLeast"/>
        </w:trPr>
        <w:tc>
          <w:tcPr>
            <w:tcW w:w="1008"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11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SD环</w:t>
            </w:r>
            <w:r>
              <w:rPr>
                <w:rFonts w:ascii="仿宋" w:hAnsi="仿宋" w:eastAsia="仿宋" w:cs="仿宋"/>
                <w:sz w:val="28"/>
                <w:szCs w:val="28"/>
              </w:rPr>
              <w:t>RW6532 A75/12CR</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个</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190" w:hRule="atLeast"/>
        </w:trPr>
        <w:tc>
          <w:tcPr>
            <w:tcW w:w="1008"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12</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尾翼衬垫</w:t>
            </w:r>
            <w:r>
              <w:rPr>
                <w:rFonts w:ascii="仿宋" w:hAnsi="仿宋" w:eastAsia="仿宋" w:cs="仿宋"/>
                <w:sz w:val="28"/>
                <w:szCs w:val="28"/>
              </w:rPr>
              <w:t>RW6532 A75/12CR</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603" w:hRule="atLeast"/>
        </w:trPr>
        <w:tc>
          <w:tcPr>
            <w:tcW w:w="1008" w:type="dxa"/>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sz w:val="28"/>
                <w:szCs w:val="28"/>
              </w:rPr>
            </w:pPr>
            <w:r>
              <w:rPr>
                <w:rFonts w:hint="eastAsia" w:ascii="仿宋" w:hAnsi="仿宋" w:eastAsia="仿宋" w:cs="仿宋"/>
                <w:sz w:val="28"/>
                <w:szCs w:val="28"/>
              </w:rPr>
              <w:t>13</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8"/>
                <w:szCs w:val="28"/>
              </w:rPr>
            </w:pPr>
            <w:r>
              <w:rPr>
                <w:rFonts w:hint="eastAsia" w:ascii="仿宋" w:hAnsi="仿宋" w:eastAsia="仿宋" w:cs="仿宋"/>
                <w:sz w:val="28"/>
                <w:szCs w:val="28"/>
              </w:rPr>
              <w:t>维修包</w:t>
            </w:r>
            <w:r>
              <w:rPr>
                <w:rFonts w:ascii="仿宋" w:hAnsi="仿宋" w:eastAsia="仿宋" w:cs="仿宋"/>
                <w:sz w:val="28"/>
                <w:szCs w:val="28"/>
              </w:rPr>
              <w:t>RW6532 A75/12CR</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sz w:val="28"/>
                <w:szCs w:val="28"/>
              </w:rPr>
            </w:pPr>
            <w:r>
              <w:rPr>
                <w:rFonts w:hint="eastAsia" w:ascii="仿宋" w:hAnsi="仿宋" w:eastAsia="仿宋" w:cs="仿宋"/>
                <w:sz w:val="28"/>
                <w:szCs w:val="28"/>
              </w:rPr>
              <w:t>套</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 w:hAnsi="仿宋" w:eastAsia="仿宋" w:cs="仿宋"/>
                <w:sz w:val="28"/>
                <w:szCs w:val="28"/>
              </w:rPr>
            </w:pPr>
            <w:r>
              <w:rPr>
                <w:rFonts w:hint="eastAsia" w:ascii="仿宋" w:hAnsi="仿宋" w:eastAsia="仿宋" w:cs="仿宋"/>
                <w:sz w:val="28"/>
                <w:szCs w:val="28"/>
              </w:rPr>
              <w:t>20</w:t>
            </w:r>
          </w:p>
        </w:tc>
      </w:tr>
    </w:tbl>
    <w:p>
      <w:pPr>
        <w:pStyle w:val="7"/>
        <w:adjustRightInd w:val="0"/>
        <w:snapToGrid w:val="0"/>
        <w:spacing w:line="300" w:lineRule="auto"/>
        <w:rPr>
          <w:rFonts w:ascii="仿宋" w:hAnsi="仿宋" w:eastAsia="仿宋" w:cs="仿宋"/>
          <w:sz w:val="28"/>
          <w:szCs w:val="28"/>
        </w:rPr>
      </w:pPr>
    </w:p>
    <w:p>
      <w:pPr>
        <w:pStyle w:val="7"/>
        <w:adjustRightInd w:val="0"/>
        <w:snapToGrid w:val="0"/>
        <w:spacing w:line="300" w:lineRule="auto"/>
        <w:rPr>
          <w:rFonts w:ascii="仿宋" w:hAnsi="仿宋" w:eastAsia="仿宋" w:cs="仿宋"/>
          <w:sz w:val="28"/>
          <w:szCs w:val="28"/>
        </w:rPr>
      </w:pPr>
    </w:p>
    <w:p>
      <w:pPr>
        <w:pStyle w:val="7"/>
        <w:adjustRightInd w:val="0"/>
        <w:snapToGrid w:val="0"/>
        <w:spacing w:line="300" w:lineRule="auto"/>
        <w:rPr>
          <w:rFonts w:ascii="仿宋_GB2312" w:hAnsi="仿宋_GB2312" w:eastAsia="仿宋_GB2312" w:cs="仿宋_GB2312"/>
          <w:sz w:val="28"/>
          <w:szCs w:val="28"/>
          <w:lang w:val="zh-CN"/>
        </w:rPr>
      </w:pPr>
      <w:r>
        <w:rPr>
          <w:rFonts w:hint="eastAsia" w:ascii="仿宋" w:hAnsi="仿宋" w:eastAsia="仿宋" w:cs="仿宋"/>
          <w:sz w:val="28"/>
          <w:szCs w:val="28"/>
        </w:rPr>
        <w:t>注：搅拌机实施大修并经测试合格后，必须提供相应的维修记录</w:t>
      </w:r>
      <w:r>
        <w:rPr>
          <w:rFonts w:hint="eastAsia" w:ascii="仿宋_GB2312" w:hAnsi="仿宋_GB2312" w:eastAsia="仿宋_GB2312" w:cs="仿宋_GB2312"/>
          <w:sz w:val="28"/>
          <w:szCs w:val="28"/>
          <w:lang w:val="zh-CN"/>
        </w:rPr>
        <w:t>报告</w:t>
      </w:r>
    </w:p>
    <w:p>
      <w:pPr>
        <w:pStyle w:val="7"/>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
          <w:sz w:val="28"/>
          <w:szCs w:val="28"/>
        </w:rPr>
      </w:pPr>
      <w:r>
        <w:rPr>
          <w:rFonts w:hint="eastAsia" w:ascii="仿宋" w:hAnsi="仿宋" w:eastAsia="仿宋" w:cs="仿宋_GB2312"/>
          <w:sz w:val="28"/>
          <w:szCs w:val="28"/>
        </w:rPr>
        <w:t>1.工期：</w:t>
      </w:r>
      <w:r>
        <w:rPr>
          <w:rFonts w:hint="eastAsia" w:ascii="仿宋" w:hAnsi="仿宋" w:eastAsia="仿宋" w:cs="仿宋"/>
          <w:sz w:val="28"/>
          <w:szCs w:val="28"/>
        </w:rPr>
        <w:t>120  天</w:t>
      </w:r>
    </w:p>
    <w:p>
      <w:pPr>
        <w:autoSpaceDE w:val="0"/>
        <w:autoSpaceDN w:val="0"/>
        <w:ind w:left="804" w:leftChars="400"/>
        <w:rPr>
          <w:rFonts w:ascii="仿宋" w:hAnsi="仿宋" w:eastAsia="仿宋" w:cs="仿宋_GB2312"/>
          <w:color w:val="FF0000"/>
          <w:sz w:val="28"/>
          <w:szCs w:val="28"/>
        </w:rPr>
      </w:pPr>
      <w:r>
        <w:rPr>
          <w:rFonts w:hint="eastAsia" w:ascii="仿宋" w:hAnsi="仿宋" w:eastAsia="仿宋" w:cs="仿宋_GB2312"/>
          <w:color w:val="FF0000"/>
          <w:sz w:val="28"/>
          <w:szCs w:val="28"/>
        </w:rPr>
        <w:t>2.质量要求：</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搅拌机检修所涉及到的拆卸及安装调试必须满足产品技术说明书和相关技术规范要求，检修完成后要进行整机调试；</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3.安全文明施工要求：</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安全管理协议书》，自觉遵守公司安全生产相关的管理制度，承担安全主体责任。</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4.总包及分包规定：不允许分包。</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 xml:space="preserve">5.保修期（保养期）： </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质保期为项目完成经验收合格之日起1年。</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6.询价人将自承包商履行完合同义务之日起十个工作日内组织验收，验收要求、验收标准及方法如下：</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（1）项目完成之后，其使用性能应达到设计和规范及设备技术要求。</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（2）其工艺控制要求应达到设计和生产使用功能并与原来的系统相匹配。</w:t>
      </w:r>
    </w:p>
    <w:p>
      <w:pPr>
        <w:autoSpaceDE w:val="0"/>
        <w:autoSpaceDN w:val="0"/>
        <w:ind w:left="560" w:leftChars="279" w:firstLine="542" w:firstLineChars="200"/>
        <w:rPr>
          <w:rFonts w:ascii="仿宋" w:hAnsi="仿宋" w:eastAsia="仿宋" w:cs="仿宋"/>
          <w:color w:val="333333"/>
          <w:sz w:val="28"/>
          <w:szCs w:val="28"/>
        </w:rPr>
      </w:pPr>
      <w:r>
        <w:rPr>
          <w:rFonts w:hint="eastAsia" w:ascii="仿宋" w:hAnsi="仿宋" w:eastAsia="仿宋" w:cs="仿宋"/>
          <w:color w:val="333333"/>
          <w:sz w:val="28"/>
          <w:szCs w:val="28"/>
        </w:rPr>
        <w:t>（3）设备和系统安装精度和调试记录应符合设备标准值，设备相关测试数据和运行参数必须达标，并能保证设备安全无故障运行。</w:t>
      </w:r>
    </w:p>
    <w:p>
      <w:pPr>
        <w:autoSpaceDE w:val="0"/>
        <w:autoSpaceDN w:val="0"/>
        <w:ind w:left="560"/>
        <w:rPr>
          <w:rFonts w:ascii="仿宋" w:hAnsi="仿宋" w:eastAsia="仿宋" w:cs="仿宋"/>
          <w:sz w:val="28"/>
          <w:szCs w:val="28"/>
        </w:rPr>
      </w:pPr>
      <w:r>
        <w:rPr>
          <w:rFonts w:hint="eastAsia" w:ascii="仿宋" w:hAnsi="仿宋" w:eastAsia="仿宋" w:cs="仿宋"/>
          <w:sz w:val="28"/>
          <w:szCs w:val="28"/>
        </w:rPr>
        <w:t>3.付款方式：</w:t>
      </w:r>
    </w:p>
    <w:p>
      <w:pPr>
        <w:autoSpaceDE w:val="0"/>
        <w:autoSpaceDN w:val="0"/>
        <w:ind w:left="536" w:leftChars="267" w:firstLine="542" w:firstLineChars="200"/>
        <w:rPr>
          <w:rFonts w:ascii="仿宋" w:hAnsi="仿宋" w:eastAsia="仿宋" w:cs="仿宋"/>
          <w:sz w:val="28"/>
          <w:szCs w:val="28"/>
        </w:rPr>
      </w:pPr>
      <w:r>
        <w:rPr>
          <w:rFonts w:hint="eastAsia" w:ascii="仿宋" w:hAnsi="仿宋" w:eastAsia="仿宋" w:cs="仿宋"/>
          <w:sz w:val="28"/>
          <w:szCs w:val="28"/>
        </w:rPr>
        <w:t>合同签定后10天内，甲方支付合同总价的30%；工程总估验收合格后20天内，甲方支付合同总价的50%；工程项目结算终审后，甲方支付至最终结算价的95%给乙方。1年质保期到期后，甲方支付结算总价的5％（质保金）的余款给乙方。付款方式采用支票、网银转账两种形式。</w:t>
      </w:r>
    </w:p>
    <w:p>
      <w:pPr>
        <w:autoSpaceDE w:val="0"/>
        <w:autoSpaceDN w:val="0"/>
        <w:ind w:left="560"/>
        <w:rPr>
          <w:rFonts w:ascii="仿宋" w:hAnsi="仿宋" w:eastAsia="仿宋" w:cs="仿宋"/>
          <w:sz w:val="28"/>
          <w:szCs w:val="28"/>
        </w:rPr>
      </w:pPr>
      <w:r>
        <w:rPr>
          <w:rFonts w:hint="eastAsia" w:ascii="仿宋" w:hAnsi="仿宋" w:eastAsia="仿宋" w:cs="仿宋"/>
          <w:sz w:val="28"/>
          <w:szCs w:val="28"/>
        </w:rPr>
        <w:t>4.承包方式：</w:t>
      </w:r>
    </w:p>
    <w:p>
      <w:pPr>
        <w:autoSpaceDE w:val="0"/>
        <w:autoSpaceDN w:val="0"/>
        <w:ind w:left="2257" w:leftChars="267" w:hanging="1721" w:hangingChars="635"/>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固定总价：询价响应文件包含总价及综合单价时，总价为合同总价。合同总价在询价文件及施工合同约定的风险范围之内不可调整。</w:t>
      </w: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pStyle w:val="7"/>
        <w:adjustRightInd w:val="0"/>
        <w:snapToGrid w:val="0"/>
        <w:spacing w:line="300" w:lineRule="auto"/>
        <w:jc w:val="center"/>
        <w:rPr>
          <w:rFonts w:ascii="仿宋_GB2312" w:hAnsi="仿宋_GB2312" w:eastAsia="仿宋_GB2312" w:cs="仿宋_GB2312"/>
          <w:b/>
          <w:sz w:val="28"/>
          <w:szCs w:val="28"/>
          <w:lang w:val="zh-CN"/>
        </w:rPr>
      </w:pPr>
    </w:p>
    <w:p>
      <w:pPr>
        <w:pStyle w:val="7"/>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7"/>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7"/>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7"/>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7"/>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7"/>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7"/>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7"/>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7"/>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7"/>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7"/>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7"/>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color w:val="000000"/>
        </w:rPr>
      </w:pPr>
      <w:bookmarkStart w:id="0" w:name="_Toc152042358"/>
      <w:bookmarkStart w:id="1" w:name="_Toc179632599"/>
      <w:bookmarkStart w:id="2" w:name="_Toc152045581"/>
      <w:bookmarkStart w:id="3" w:name="_Toc371433002"/>
      <w:bookmarkStart w:id="4" w:name="_Toc144974548"/>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_GB2312" w:hAnsi="仿宋_GB2312" w:eastAsia="仿宋_GB2312" w:cs="仿宋_GB2312"/>
          <w:b/>
          <w:bCs/>
          <w:sz w:val="28"/>
          <w:szCs w:val="28"/>
          <w:u w:val="single"/>
        </w:rPr>
        <w:t xml:space="preserve">  一、二期生化池搅拌机大修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r>
        <w:rPr>
          <w:rFonts w:hint="eastAsia" w:ascii="仿宋_GB2312" w:hAnsi="仿宋_GB2312" w:eastAsia="仿宋_GB2312" w:cs="仿宋_GB2312"/>
          <w:b/>
          <w:bCs/>
          <w:sz w:val="28"/>
          <w:szCs w:val="28"/>
          <w:u w:val="single"/>
        </w:rPr>
        <w:t xml:space="preserve">一、二期生化池搅拌机大修 </w:t>
      </w:r>
      <w:r>
        <w:rPr>
          <w:rFonts w:hint="eastAsia" w:ascii="仿宋" w:hAnsi="仿宋" w:eastAsia="仿宋"/>
          <w:sz w:val="24"/>
        </w:rPr>
        <w:t xml:space="preserve">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仿宋_GB2312" w:eastAsia="仿宋_GB2312" w:cs="仿宋_GB2312"/>
          <w:b/>
          <w:bCs/>
          <w:sz w:val="28"/>
          <w:szCs w:val="28"/>
          <w:u w:val="single"/>
        </w:rPr>
        <w:t>一、二期生化池搅拌机大修</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0" w:lineRule="atLeast"/>
        <w:rPr>
          <w:rFonts w:ascii="宋体" w:hAnsi="宋体"/>
          <w:b/>
          <w:sz w:val="52"/>
          <w14:shadow w14:blurRad="50800" w14:dist="38100" w14:dir="2700000" w14:sx="100000" w14:sy="100000" w14:kx="0" w14:ky="0" w14:algn="tl">
            <w14:srgbClr w14:val="000000">
              <w14:alpha w14:val="60000"/>
            </w14:srgbClr>
          </w14:shadow>
        </w:rPr>
      </w:pPr>
    </w:p>
    <w:p>
      <w:pPr>
        <w:spacing w:line="400" w:lineRule="atLeast"/>
        <w:jc w:val="center"/>
        <w:rPr>
          <w:rFonts w:ascii="宋体" w:hAnsi="宋体"/>
          <w:b/>
          <w:sz w:val="72"/>
          <w:szCs w:val="72"/>
          <w14:shadow w14:blurRad="50800" w14:dist="38100" w14:dir="2700000" w14:sx="100000" w14:sy="100000" w14:kx="0" w14:ky="0" w14:algn="tl">
            <w14:srgbClr w14:val="000000">
              <w14:alpha w14:val="60000"/>
            </w14:srgbClr>
          </w14:shadow>
        </w:rPr>
      </w:pPr>
      <w:r>
        <w:rPr>
          <w:rFonts w:hint="eastAsia" w:ascii="宋体" w:hAnsi="宋体"/>
          <w:b/>
          <w:sz w:val="72"/>
          <w:szCs w:val="72"/>
          <w14:shadow w14:blurRad="50800" w14:dist="38100" w14:dir="2700000" w14:sx="100000" w14:sy="100000" w14:kx="0" w14:ky="0" w14:algn="tl">
            <w14:srgbClr w14:val="000000">
              <w14:alpha w14:val="60000"/>
            </w14:srgbClr>
          </w14:shadow>
        </w:rPr>
        <w:t>污水处理厂大中修工程</w:t>
      </w:r>
    </w:p>
    <w:p>
      <w:pPr>
        <w:spacing w:line="400" w:lineRule="atLeast"/>
        <w:jc w:val="center"/>
        <w:rPr>
          <w:rFonts w:ascii="宋体" w:hAnsi="宋体"/>
          <w:b/>
          <w:sz w:val="72"/>
          <w:szCs w:val="72"/>
          <w14:shadow w14:blurRad="50800" w14:dist="38100" w14:dir="2700000" w14:sx="100000" w14:sy="100000" w14:kx="0" w14:ky="0" w14:algn="tl">
            <w14:srgbClr w14:val="000000">
              <w14:alpha w14:val="60000"/>
            </w14:srgbClr>
          </w14:shadow>
        </w:rPr>
      </w:pPr>
      <w:r>
        <w:rPr>
          <w:rFonts w:hint="eastAsia" w:ascii="宋体" w:hAnsi="宋体"/>
          <w:b/>
          <w:sz w:val="72"/>
          <w:szCs w:val="72"/>
          <w14:shadow w14:blurRad="50800" w14:dist="38100" w14:dir="2700000" w14:sx="100000" w14:sy="100000" w14:kx="0" w14:ky="0" w14:algn="tl">
            <w14:srgbClr w14:val="000000">
              <w14:alpha w14:val="60000"/>
            </w14:srgbClr>
          </w14:shadow>
        </w:rPr>
        <w:t>服务合同</w:t>
      </w:r>
    </w:p>
    <w:p>
      <w:pPr>
        <w:spacing w:line="400" w:lineRule="atLeast"/>
        <w:jc w:val="center"/>
        <w:rPr>
          <w:rFonts w:ascii="宋体" w:hAnsi="宋体"/>
          <w:b/>
          <w:sz w:val="28"/>
        </w:rPr>
      </w:pPr>
      <w:r>
        <w:rPr>
          <w:rFonts w:hint="eastAsia" w:ascii="宋体" w:hAnsi="宋体"/>
          <w:b/>
          <w:sz w:val="28"/>
        </w:rPr>
        <w:t>（总价包干版）</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计划名称:  一、二期生化池搅拌机大修</w:t>
      </w:r>
    </w:p>
    <w:p>
      <w:pPr>
        <w:spacing w:line="0" w:lineRule="atLeast"/>
        <w:ind w:left="1506" w:hanging="1506" w:hangingChars="500"/>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工程名称: 一、二期生化池搅拌机大修</w:t>
      </w:r>
    </w:p>
    <w:p>
      <w:pPr>
        <w:spacing w:line="0" w:lineRule="atLeast"/>
        <w:ind w:left="1506" w:hanging="1506" w:hangingChars="500"/>
        <w:rPr>
          <w:rFonts w:ascii="仿宋_GB2312" w:hAnsi="宋体" w:eastAsia="仿宋_GB2312"/>
          <w:b/>
          <w:sz w:val="30"/>
          <w:u w:val="single"/>
        </w:rPr>
      </w:pPr>
    </w:p>
    <w:p>
      <w:pPr>
        <w:spacing w:line="400" w:lineRule="atLeast"/>
        <w:rPr>
          <w:rFonts w:ascii="仿宋_GB2312" w:hAnsi="宋体" w:eastAsia="仿宋_GB2312"/>
          <w:b/>
          <w:sz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甲    方： </w:t>
      </w: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宋体" w:hAnsi="宋体"/>
          <w:b/>
          <w:sz w:val="52"/>
        </w:rPr>
      </w:pPr>
      <w:r>
        <w:rPr>
          <w:rFonts w:hint="eastAsia" w:ascii="宋体" w:hAnsi="宋体"/>
          <w:b/>
          <w:sz w:val="52"/>
        </w:rPr>
        <w:t xml:space="preserve"> </w:t>
      </w:r>
    </w:p>
    <w:p>
      <w:pPr>
        <w:rPr>
          <w:rFonts w:ascii="宋体" w:hAnsi="宋体"/>
          <w:b/>
          <w:sz w:val="32"/>
        </w:rPr>
      </w:pPr>
    </w:p>
    <w:p>
      <w:pPr>
        <w:rPr>
          <w:rFonts w:ascii="宋体" w:hAnsi="宋体"/>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本合同由</w:t>
      </w:r>
      <w:r>
        <w:rPr>
          <w:rFonts w:hint="eastAsia" w:ascii="宋体" w:hAnsi="宋体"/>
          <w:b/>
          <w:szCs w:val="21"/>
          <w:u w:val="single"/>
        </w:rPr>
        <w:t xml:space="preserve">  广州市净水有限公司沥滘分公司</w:t>
      </w:r>
      <w:r>
        <w:rPr>
          <w:rFonts w:hint="eastAsia" w:ascii="宋体" w:hAnsi="宋体"/>
          <w:szCs w:val="21"/>
        </w:rPr>
        <w:t>（以下简称“甲方”）为一方，与</w:t>
      </w:r>
      <w:r>
        <w:rPr>
          <w:rFonts w:hint="eastAsia" w:ascii="宋体" w:hAnsi="宋体"/>
          <w:b/>
          <w:szCs w:val="21"/>
          <w:u w:val="single"/>
        </w:rPr>
        <w:t xml:space="preserve">          </w:t>
      </w:r>
      <w:r>
        <w:rPr>
          <w:rFonts w:hint="eastAsia" w:ascii="宋体" w:hAnsi="宋体"/>
          <w:szCs w:val="21"/>
        </w:rPr>
        <w:t>（以下简称“乙方”）为另一方，于</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r>
        <w:rPr>
          <w:rFonts w:hint="eastAsia" w:ascii="宋体" w:hAnsi="宋体"/>
          <w:szCs w:val="21"/>
        </w:rPr>
        <w:t>共同达成一致并在广州签署。</w:t>
      </w:r>
    </w:p>
    <w:p>
      <w:pPr>
        <w:spacing w:line="360" w:lineRule="auto"/>
        <w:ind w:firstLine="420" w:firstLineChars="200"/>
        <w:rPr>
          <w:rFonts w:ascii="宋体" w:hAnsi="宋体"/>
          <w:szCs w:val="21"/>
        </w:rPr>
      </w:pPr>
      <w:r>
        <w:rPr>
          <w:rFonts w:hint="eastAsia" w:ascii="宋体" w:hAnsi="宋体"/>
          <w:szCs w:val="21"/>
        </w:rPr>
        <w:t>鉴于甲方拟进行</w:t>
      </w:r>
      <w:r>
        <w:rPr>
          <w:rFonts w:hint="eastAsia" w:ascii="宋体" w:hAnsi="宋体"/>
          <w:b/>
          <w:szCs w:val="21"/>
          <w:u w:val="single"/>
        </w:rPr>
        <w:t xml:space="preserve">一、二期生化池搅拌机大修  </w:t>
      </w:r>
      <w:r>
        <w:rPr>
          <w:rFonts w:hint="eastAsia" w:ascii="宋体" w:hAnsi="宋体"/>
          <w:szCs w:val="21"/>
        </w:rPr>
        <w:t>，并通过</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r>
        <w:rPr>
          <w:rFonts w:hint="eastAsia" w:ascii="宋体" w:hAnsi="宋体"/>
          <w:szCs w:val="21"/>
        </w:rPr>
        <w:t>的中标通知书接受了乙方为本工程施工、完工和维修所做的报价书；</w:t>
      </w:r>
    </w:p>
    <w:p>
      <w:pPr>
        <w:pStyle w:val="5"/>
        <w:spacing w:line="300" w:lineRule="auto"/>
        <w:ind w:left="482" w:hanging="482"/>
        <w:rPr>
          <w:rFonts w:ascii="宋体" w:hAnsi="宋体"/>
          <w:b/>
          <w:sz w:val="21"/>
        </w:rPr>
      </w:pPr>
      <w:r>
        <w:rPr>
          <w:rFonts w:hint="eastAsia" w:ascii="宋体" w:hAnsi="宋体"/>
          <w:b/>
          <w:sz w:val="21"/>
        </w:rPr>
        <w:t>下列文件均为本合同的组成部分，可视为能相互说明和补充的，如果合同文件存在歧义或相矛盾的地方，则根据以下次序判断：</w:t>
      </w:r>
    </w:p>
    <w:p>
      <w:pPr>
        <w:pStyle w:val="24"/>
        <w:numPr>
          <w:ilvl w:val="0"/>
          <w:numId w:val="5"/>
        </w:numPr>
        <w:spacing w:line="300" w:lineRule="auto"/>
        <w:ind w:firstLineChars="0"/>
        <w:rPr>
          <w:rFonts w:ascii="宋体" w:hAnsi="宋体"/>
        </w:rPr>
      </w:pPr>
      <w:r>
        <w:rPr>
          <w:rFonts w:hint="eastAsia" w:ascii="宋体" w:hAnsi="宋体"/>
        </w:rPr>
        <w:t xml:space="preserve">发包通知书  </w:t>
      </w:r>
    </w:p>
    <w:p>
      <w:pPr>
        <w:pStyle w:val="24"/>
        <w:numPr>
          <w:ilvl w:val="0"/>
          <w:numId w:val="5"/>
        </w:numPr>
        <w:spacing w:line="300" w:lineRule="auto"/>
        <w:ind w:firstLineChars="0"/>
        <w:rPr>
          <w:rFonts w:ascii="宋体" w:hAnsi="宋体"/>
        </w:rPr>
      </w:pPr>
      <w:r>
        <w:rPr>
          <w:rFonts w:hint="eastAsia" w:ascii="宋体" w:hAnsi="宋体"/>
        </w:rPr>
        <w:t>本合同</w:t>
      </w:r>
    </w:p>
    <w:p>
      <w:pPr>
        <w:pStyle w:val="24"/>
        <w:numPr>
          <w:ilvl w:val="0"/>
          <w:numId w:val="5"/>
        </w:numPr>
        <w:spacing w:line="300" w:lineRule="auto"/>
        <w:ind w:firstLineChars="0"/>
        <w:rPr>
          <w:rFonts w:ascii="宋体" w:hAnsi="宋体"/>
        </w:rPr>
      </w:pPr>
      <w:r>
        <w:rPr>
          <w:rFonts w:hint="eastAsia" w:ascii="宋体" w:hAnsi="宋体"/>
        </w:rPr>
        <w:t>在本合同实施过程中双方签署的符合法律法规的补充与修正文件</w:t>
      </w:r>
    </w:p>
    <w:p>
      <w:pPr>
        <w:pStyle w:val="24"/>
        <w:numPr>
          <w:ilvl w:val="0"/>
          <w:numId w:val="5"/>
        </w:numPr>
        <w:spacing w:line="300" w:lineRule="auto"/>
        <w:ind w:firstLineChars="0"/>
        <w:rPr>
          <w:rFonts w:ascii="宋体" w:hAnsi="宋体"/>
        </w:rPr>
      </w:pPr>
      <w:r>
        <w:rPr>
          <w:rFonts w:hint="eastAsia" w:ascii="宋体" w:hAnsi="宋体"/>
        </w:rPr>
        <w:t>甲方的询价文件</w:t>
      </w:r>
    </w:p>
    <w:p>
      <w:pPr>
        <w:pStyle w:val="24"/>
        <w:numPr>
          <w:ilvl w:val="0"/>
          <w:numId w:val="5"/>
        </w:numPr>
        <w:spacing w:line="360" w:lineRule="auto"/>
        <w:ind w:firstLineChars="0"/>
        <w:rPr>
          <w:rFonts w:ascii="宋体" w:hAnsi="宋体"/>
        </w:rPr>
      </w:pPr>
      <w:r>
        <w:rPr>
          <w:rFonts w:hint="eastAsia" w:ascii="宋体" w:hAnsi="宋体"/>
        </w:rPr>
        <w:t>乙方的询价响应文件</w:t>
      </w:r>
    </w:p>
    <w:p>
      <w:pPr>
        <w:pStyle w:val="24"/>
        <w:numPr>
          <w:ilvl w:val="0"/>
          <w:numId w:val="5"/>
        </w:numPr>
        <w:spacing w:line="300" w:lineRule="auto"/>
        <w:ind w:firstLineChars="0"/>
        <w:rPr>
          <w:rFonts w:ascii="宋体" w:hAnsi="宋体"/>
        </w:rPr>
      </w:pPr>
      <w:r>
        <w:rPr>
          <w:rFonts w:hint="eastAsia" w:ascii="宋体" w:hAnsi="宋体"/>
        </w:rPr>
        <w:t>标准、规范及有关技术文件</w:t>
      </w:r>
    </w:p>
    <w:p>
      <w:pPr>
        <w:pStyle w:val="24"/>
        <w:numPr>
          <w:ilvl w:val="0"/>
          <w:numId w:val="5"/>
        </w:numPr>
        <w:spacing w:line="300" w:lineRule="auto"/>
        <w:ind w:firstLineChars="0"/>
        <w:rPr>
          <w:rFonts w:ascii="宋体" w:hAnsi="宋体"/>
        </w:rPr>
      </w:pPr>
      <w:r>
        <w:rPr>
          <w:rFonts w:hint="eastAsia" w:ascii="宋体" w:hAnsi="宋体"/>
        </w:rPr>
        <w:t>图纸</w:t>
      </w:r>
    </w:p>
    <w:p>
      <w:pPr>
        <w:pStyle w:val="24"/>
        <w:numPr>
          <w:ilvl w:val="0"/>
          <w:numId w:val="5"/>
        </w:numPr>
        <w:spacing w:line="300" w:lineRule="auto"/>
        <w:ind w:firstLineChars="0"/>
        <w:rPr>
          <w:rFonts w:ascii="宋体" w:hAnsi="宋体"/>
        </w:rPr>
      </w:pPr>
      <w:r>
        <w:rPr>
          <w:rFonts w:hint="eastAsia" w:ascii="宋体" w:hAnsi="宋体"/>
        </w:rPr>
        <w:t>工程量清单</w:t>
      </w:r>
    </w:p>
    <w:p>
      <w:pPr>
        <w:pStyle w:val="24"/>
        <w:numPr>
          <w:ilvl w:val="0"/>
          <w:numId w:val="5"/>
        </w:numPr>
        <w:spacing w:line="300" w:lineRule="auto"/>
        <w:ind w:firstLineChars="0"/>
        <w:rPr>
          <w:rFonts w:ascii="宋体" w:hAnsi="宋体"/>
        </w:rPr>
      </w:pPr>
      <w:r>
        <w:rPr>
          <w:rFonts w:hint="eastAsia" w:ascii="宋体" w:hAnsi="宋体"/>
        </w:rPr>
        <w:t>工程报价单或预算书</w:t>
      </w:r>
    </w:p>
    <w:p>
      <w:pPr>
        <w:spacing w:line="360" w:lineRule="auto"/>
        <w:rPr>
          <w:rFonts w:ascii="宋体" w:hAnsi="宋体"/>
          <w:szCs w:val="21"/>
        </w:rPr>
      </w:pPr>
      <w:r>
        <w:rPr>
          <w:sz w:val="24"/>
        </w:rPr>
        <w:t xml:space="preserve"> </w:t>
      </w:r>
    </w:p>
    <w:p>
      <w:pPr>
        <w:autoSpaceDE w:val="0"/>
        <w:autoSpaceDN w:val="0"/>
        <w:spacing w:line="360" w:lineRule="auto"/>
        <w:ind w:firstLine="420" w:firstLineChars="200"/>
        <w:textAlignment w:val="bottom"/>
        <w:rPr>
          <w:rFonts w:ascii="宋体" w:hAnsi="宋体"/>
          <w:szCs w:val="21"/>
        </w:rPr>
      </w:pPr>
      <w:r>
        <w:rPr>
          <w:rFonts w:hint="eastAsia" w:ascii="宋体" w:hAnsi="宋体"/>
          <w:szCs w:val="21"/>
        </w:rPr>
        <w:t>为此双方达成如下协议：</w:t>
      </w:r>
    </w:p>
    <w:p>
      <w:pPr>
        <w:numPr>
          <w:ilvl w:val="0"/>
          <w:numId w:val="6"/>
        </w:numPr>
        <w:spacing w:line="360" w:lineRule="auto"/>
        <w:rPr>
          <w:rFonts w:ascii="宋体" w:hAnsi="宋体"/>
          <w:szCs w:val="21"/>
        </w:rPr>
      </w:pPr>
      <w:r>
        <w:rPr>
          <w:rFonts w:hint="eastAsia" w:ascii="宋体" w:hAnsi="宋体"/>
          <w:szCs w:val="21"/>
        </w:rPr>
        <w:t>工程概况</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本合同的工作范围应包括提供所有需要的材料、机械、劳力、以及其他设施、完成合同文件里规定的工作和服务，并达到预期的目标。乙方向甲方承诺按照合同约定进行施工、竣工并在质量保修期内承担工程质量保修责任。</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二、工程承包方式</w:t>
      </w:r>
    </w:p>
    <w:p>
      <w:pPr>
        <w:spacing w:line="400" w:lineRule="atLeast"/>
        <w:ind w:left="176" w:leftChars="52" w:hanging="67" w:hangingChars="32"/>
        <w:rPr>
          <w:rFonts w:ascii="宋体" w:hAnsi="宋体"/>
          <w:szCs w:val="21"/>
        </w:rPr>
      </w:pPr>
      <w:r>
        <w:rPr>
          <w:rFonts w:hint="eastAsia" w:ascii="宋体" w:hAnsi="宋体"/>
          <w:szCs w:val="21"/>
        </w:rPr>
        <w:t>包工、包料、包质量、包工期、包安全、包文明施工、包深化设计、包调试、包验收的询价施工图总价包干方式。</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三、合同价格</w:t>
      </w:r>
      <w:r>
        <w:rPr>
          <w:rFonts w:hint="eastAsia" w:ascii="宋体" w:hAnsi="宋体"/>
          <w:b/>
          <w:szCs w:val="21"/>
          <w:u w:val="single"/>
        </w:rPr>
        <w:t>人民币        元</w:t>
      </w:r>
      <w:r>
        <w:rPr>
          <w:rFonts w:hint="eastAsia" w:ascii="宋体" w:hAnsi="宋体"/>
          <w:szCs w:val="21"/>
        </w:rPr>
        <w:t>（人民币</w:t>
      </w:r>
      <w:r>
        <w:rPr>
          <w:rFonts w:hint="eastAsia" w:ascii="宋体" w:hAnsi="宋体"/>
          <w:b/>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rPr>
          <w:rFonts w:ascii="宋体" w:hAnsi="宋体"/>
          <w:b/>
          <w:szCs w:val="21"/>
        </w:rPr>
      </w:pPr>
    </w:p>
    <w:p>
      <w:pPr>
        <w:widowControl/>
        <w:spacing w:line="360" w:lineRule="auto"/>
        <w:jc w:val="left"/>
        <w:rPr>
          <w:rFonts w:ascii="宋体" w:hAnsi="宋体"/>
          <w:szCs w:val="21"/>
        </w:rPr>
      </w:pPr>
      <w:r>
        <w:rPr>
          <w:rFonts w:hint="eastAsia" w:ascii="宋体" w:hAnsi="宋体"/>
          <w:szCs w:val="21"/>
        </w:rPr>
        <w:t>四、施工工期及要求</w:t>
      </w:r>
    </w:p>
    <w:p>
      <w:pPr>
        <w:widowControl/>
        <w:numPr>
          <w:ilvl w:val="0"/>
          <w:numId w:val="7"/>
        </w:numPr>
        <w:tabs>
          <w:tab w:val="left" w:pos="360"/>
        </w:tabs>
        <w:spacing w:line="360" w:lineRule="auto"/>
        <w:ind w:left="0" w:firstLine="1"/>
        <w:jc w:val="left"/>
        <w:rPr>
          <w:rFonts w:ascii="宋体" w:hAnsi="宋体"/>
          <w:bCs/>
          <w:szCs w:val="21"/>
        </w:rPr>
      </w:pPr>
      <w:r>
        <w:rPr>
          <w:rFonts w:hint="eastAsia" w:ascii="宋体" w:hAnsi="宋体"/>
          <w:szCs w:val="21"/>
        </w:rPr>
        <w:t>开工日期：</w:t>
      </w:r>
      <w:r>
        <w:rPr>
          <w:rFonts w:hint="eastAsia" w:ascii="宋体" w:hAnsi="宋体"/>
          <w:szCs w:val="21"/>
          <w:u w:val="single"/>
        </w:rPr>
        <w:t xml:space="preserve">      年   月   日</w:t>
      </w:r>
      <w:r>
        <w:rPr>
          <w:rFonts w:hint="eastAsia" w:ascii="宋体" w:hAnsi="宋体"/>
          <w:szCs w:val="21"/>
        </w:rPr>
        <w:t>，具体日期以甲方发出的开工令为准。竣工日期：</w:t>
      </w:r>
      <w:r>
        <w:rPr>
          <w:rFonts w:hint="eastAsia" w:ascii="宋体" w:hAnsi="宋体"/>
          <w:szCs w:val="21"/>
          <w:u w:val="single"/>
        </w:rPr>
        <w:t xml:space="preserve">     年   月   日</w:t>
      </w:r>
      <w:r>
        <w:rPr>
          <w:rFonts w:hint="eastAsia" w:ascii="宋体" w:hAnsi="宋体"/>
          <w:szCs w:val="21"/>
        </w:rPr>
        <w:t>。合同工期总日历天数</w:t>
      </w:r>
      <w:r>
        <w:rPr>
          <w:rFonts w:hint="eastAsia" w:ascii="宋体" w:hAnsi="宋体"/>
          <w:szCs w:val="21"/>
          <w:u w:val="single"/>
        </w:rPr>
        <w:t xml:space="preserve">  120  </w:t>
      </w:r>
      <w:r>
        <w:rPr>
          <w:rFonts w:hint="eastAsia" w:ascii="宋体" w:hAnsi="宋体"/>
          <w:szCs w:val="21"/>
        </w:rPr>
        <w:t>天。</w:t>
      </w:r>
    </w:p>
    <w:p>
      <w:pPr>
        <w:widowControl/>
        <w:numPr>
          <w:ilvl w:val="0"/>
          <w:numId w:val="7"/>
        </w:numPr>
        <w:spacing w:line="360" w:lineRule="auto"/>
        <w:ind w:left="0" w:firstLine="1"/>
        <w:jc w:val="left"/>
        <w:rPr>
          <w:rFonts w:ascii="宋体" w:hAnsi="宋体"/>
          <w:bCs/>
          <w:szCs w:val="21"/>
        </w:rPr>
      </w:pPr>
      <w:r>
        <w:rPr>
          <w:rFonts w:hint="eastAsia" w:ascii="宋体" w:hAnsi="宋体"/>
          <w:bCs/>
          <w:szCs w:val="21"/>
        </w:rPr>
        <w:t>乙方在施工期间应严格遵守《中华人民共和国安全生产法》（国家主席70号令）、《建设工程安全生产管理条例》（中华人民共和国国务院令第393号）以及文明施工、深夜施工、环卫和城管、计划生育等规定，建立规章制度和防护措施。若违反以上规定，由此造成的经济和法律责任，均由乙方负责。</w:t>
      </w:r>
    </w:p>
    <w:p>
      <w:pPr>
        <w:widowControl/>
        <w:numPr>
          <w:ilvl w:val="0"/>
          <w:numId w:val="7"/>
        </w:numPr>
        <w:spacing w:line="360" w:lineRule="auto"/>
        <w:ind w:left="0" w:firstLine="1"/>
        <w:jc w:val="left"/>
        <w:rPr>
          <w:rFonts w:ascii="宋体" w:hAnsi="宋体"/>
          <w:bCs/>
          <w:szCs w:val="21"/>
        </w:rPr>
      </w:pPr>
      <w:r>
        <w:rPr>
          <w:rFonts w:hint="eastAsia" w:ascii="宋体" w:hAnsi="宋体"/>
          <w:bCs/>
          <w:szCs w:val="21"/>
        </w:rPr>
        <w:t>乙方应按合同的要求实施工程以及业主、监理提供的技术文件的要求进行本工程的施工和安装。乙方未经甲方同意，不得将本工程图纸转给第三人。工程质量保修期满后，除乙方存档需要的图纸外，应将全部图纸退还给甲方。</w:t>
      </w:r>
    </w:p>
    <w:p>
      <w:pPr>
        <w:widowControl/>
        <w:numPr>
          <w:ilvl w:val="0"/>
          <w:numId w:val="7"/>
        </w:numPr>
        <w:spacing w:line="360" w:lineRule="auto"/>
        <w:ind w:left="0" w:firstLine="1"/>
        <w:jc w:val="left"/>
        <w:rPr>
          <w:rFonts w:ascii="宋体" w:hAnsi="宋体"/>
          <w:bCs/>
          <w:szCs w:val="21"/>
        </w:rPr>
      </w:pPr>
      <w:r>
        <w:rPr>
          <w:rFonts w:hint="eastAsia" w:ascii="宋体" w:hAnsi="宋体"/>
          <w:bCs/>
          <w:szCs w:val="21"/>
        </w:rPr>
        <w:t>合同约定的工程项目，乙方不得转包。否则，甲方有权单方面终止合同，并令其立即退场，由此而造成的经济损失由乙方负责赔偿。</w:t>
      </w:r>
    </w:p>
    <w:p>
      <w:pPr>
        <w:spacing w:line="360" w:lineRule="auto"/>
        <w:ind w:left="1"/>
        <w:rPr>
          <w:rFonts w:ascii="宋体" w:hAnsi="宋体"/>
          <w:b/>
          <w:szCs w:val="21"/>
        </w:rPr>
      </w:pPr>
    </w:p>
    <w:p>
      <w:pPr>
        <w:spacing w:line="360" w:lineRule="auto"/>
        <w:ind w:left="1"/>
        <w:rPr>
          <w:rFonts w:ascii="宋体" w:hAnsi="宋体"/>
          <w:szCs w:val="21"/>
        </w:rPr>
      </w:pPr>
      <w:r>
        <w:rPr>
          <w:rFonts w:hint="eastAsia" w:ascii="宋体" w:hAnsi="宋体"/>
          <w:szCs w:val="21"/>
        </w:rPr>
        <w:t>五、施工条件及管理要求</w:t>
      </w:r>
    </w:p>
    <w:p>
      <w:pPr>
        <w:spacing w:line="360" w:lineRule="auto"/>
        <w:rPr>
          <w:rFonts w:ascii="宋体" w:hAnsi="宋体"/>
          <w:szCs w:val="21"/>
        </w:rPr>
      </w:pPr>
      <w:r>
        <w:rPr>
          <w:rFonts w:hint="eastAsia" w:ascii="宋体" w:hAnsi="宋体"/>
          <w:szCs w:val="21"/>
        </w:rPr>
        <w:t>1、甲方提供临时设施及材料加工场地。</w:t>
      </w:r>
    </w:p>
    <w:p>
      <w:pPr>
        <w:spacing w:line="360" w:lineRule="auto"/>
        <w:ind w:left="315" w:hanging="315" w:hangingChars="150"/>
        <w:rPr>
          <w:rFonts w:ascii="宋体" w:hAnsi="宋体"/>
          <w:szCs w:val="21"/>
        </w:rPr>
      </w:pPr>
      <w:r>
        <w:rPr>
          <w:rFonts w:hint="eastAsia" w:ascii="宋体" w:hAnsi="宋体"/>
          <w:szCs w:val="21"/>
        </w:rPr>
        <w:t>2、施工时间安排：上午8：30-12：00，下午2：00-6：00，施工时间如需变动，以甲方的书面或口头通知为准。</w:t>
      </w:r>
    </w:p>
    <w:p>
      <w:pPr>
        <w:spacing w:line="360" w:lineRule="auto"/>
        <w:rPr>
          <w:rFonts w:ascii="宋体" w:hAnsi="宋体"/>
          <w:szCs w:val="21"/>
        </w:rPr>
      </w:pPr>
      <w:r>
        <w:rPr>
          <w:rFonts w:hint="eastAsia" w:ascii="宋体" w:hAnsi="宋体"/>
          <w:szCs w:val="21"/>
        </w:rPr>
        <w:t>3、进场施工人员必须严格遵守</w:t>
      </w:r>
      <w:r>
        <w:rPr>
          <w:rFonts w:hint="eastAsia" w:ascii="宋体" w:hAnsi="宋体"/>
          <w:kern w:val="10"/>
          <w:szCs w:val="21"/>
        </w:rPr>
        <w:t>污水处理厂</w:t>
      </w:r>
      <w:r>
        <w:rPr>
          <w:rFonts w:hint="eastAsia" w:ascii="宋体" w:hAnsi="宋体"/>
          <w:szCs w:val="21"/>
        </w:rPr>
        <w:t>一切规章制度。进入施工现场人员必须佩戴出入证，并自觉接受门岗检查。</w:t>
      </w:r>
    </w:p>
    <w:p>
      <w:pPr>
        <w:snapToGrid w:val="0"/>
        <w:spacing w:line="400" w:lineRule="exact"/>
        <w:rPr>
          <w:rFonts w:ascii="宋体" w:hAnsi="宋体"/>
          <w:szCs w:val="21"/>
        </w:rPr>
      </w:pPr>
      <w:r>
        <w:rPr>
          <w:rFonts w:hint="eastAsia" w:ascii="宋体" w:hAnsi="宋体"/>
          <w:szCs w:val="21"/>
        </w:rPr>
        <w:t>4.环境保护要求：</w:t>
      </w:r>
    </w:p>
    <w:p>
      <w:pPr>
        <w:snapToGrid w:val="0"/>
        <w:spacing w:line="400" w:lineRule="exact"/>
        <w:ind w:firstLine="420" w:firstLineChars="200"/>
        <w:rPr>
          <w:rFonts w:ascii="宋体" w:hAnsi="宋体"/>
          <w:szCs w:val="21"/>
        </w:rPr>
      </w:pPr>
      <w:r>
        <w:rPr>
          <w:rFonts w:hint="eastAsia" w:ascii="宋体" w:hAnsi="宋体"/>
          <w:szCs w:val="21"/>
        </w:rPr>
        <w:t>（1）做好施工噪声、废气、废水等控制；</w:t>
      </w:r>
    </w:p>
    <w:p>
      <w:pPr>
        <w:snapToGrid w:val="0"/>
        <w:spacing w:line="400" w:lineRule="exact"/>
        <w:ind w:firstLine="420" w:firstLineChars="200"/>
        <w:rPr>
          <w:rFonts w:ascii="宋体" w:hAnsi="宋体"/>
          <w:szCs w:val="21"/>
        </w:rPr>
      </w:pPr>
      <w:r>
        <w:rPr>
          <w:rFonts w:hint="eastAsia" w:ascii="宋体" w:hAnsi="宋体"/>
          <w:szCs w:val="21"/>
        </w:rPr>
        <w:t>（2）按照国家及广州市相关规定做好建筑垃圾的处理。</w:t>
      </w:r>
    </w:p>
    <w:p>
      <w:pPr>
        <w:spacing w:line="360" w:lineRule="auto"/>
        <w:rPr>
          <w:rFonts w:ascii="宋体" w:hAnsi="宋体"/>
          <w:szCs w:val="21"/>
        </w:rPr>
      </w:pPr>
    </w:p>
    <w:p>
      <w:pPr>
        <w:pStyle w:val="7"/>
        <w:spacing w:line="360" w:lineRule="auto"/>
        <w:rPr>
          <w:rFonts w:hAnsi="宋体"/>
        </w:rPr>
      </w:pPr>
      <w:r>
        <w:rPr>
          <w:rFonts w:hint="eastAsia" w:hAnsi="宋体"/>
        </w:rPr>
        <w:t>六、材料及设备供应</w:t>
      </w:r>
    </w:p>
    <w:p>
      <w:pPr>
        <w:spacing w:line="360" w:lineRule="auto"/>
        <w:ind w:firstLine="420" w:firstLineChars="200"/>
        <w:rPr>
          <w:rFonts w:ascii="宋体" w:hAnsi="宋体"/>
          <w:szCs w:val="21"/>
        </w:rPr>
      </w:pPr>
      <w:r>
        <w:rPr>
          <w:rFonts w:hint="eastAsia" w:ascii="宋体" w:hAnsi="宋体"/>
          <w:szCs w:val="21"/>
        </w:rPr>
        <w:t>本项目所承包范围内所需的设备材料、成品、未成品、运输、保管、质量等责任均由乙方承担。甲方不提供材料。</w:t>
      </w:r>
    </w:p>
    <w:p>
      <w:pPr>
        <w:spacing w:line="360" w:lineRule="auto"/>
        <w:ind w:left="-2" w:leftChars="-1"/>
        <w:rPr>
          <w:rFonts w:ascii="宋体" w:hAnsi="宋体"/>
          <w:szCs w:val="21"/>
        </w:rPr>
      </w:pPr>
      <w:r>
        <w:rPr>
          <w:rFonts w:hint="eastAsia" w:ascii="宋体" w:hAnsi="宋体"/>
          <w:szCs w:val="21"/>
        </w:rPr>
        <w:t>1.采购供应的材料、其名称、品种、型号、规格、质量等，均应符合国家、地方及行业有关规范及要求。</w:t>
      </w:r>
    </w:p>
    <w:p>
      <w:pPr>
        <w:spacing w:line="360" w:lineRule="auto"/>
        <w:ind w:left="525" w:hanging="525"/>
        <w:rPr>
          <w:rFonts w:ascii="宋体" w:hAnsi="宋体"/>
          <w:szCs w:val="21"/>
        </w:rPr>
      </w:pPr>
      <w:r>
        <w:rPr>
          <w:rFonts w:hint="eastAsia" w:ascii="宋体" w:hAnsi="宋体"/>
          <w:szCs w:val="21"/>
        </w:rPr>
        <w:t>2.所有材料都必须有材料质检部门出具的合格证明，并保证产品的有效性。</w:t>
      </w:r>
    </w:p>
    <w:p>
      <w:pPr>
        <w:spacing w:line="360" w:lineRule="auto"/>
        <w:rPr>
          <w:rFonts w:ascii="宋体" w:hAnsi="宋体"/>
          <w:szCs w:val="21"/>
        </w:rPr>
      </w:pPr>
      <w:r>
        <w:rPr>
          <w:rFonts w:hint="eastAsia" w:ascii="宋体" w:hAnsi="宋体"/>
          <w:szCs w:val="21"/>
        </w:rPr>
        <w:t>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宋体" w:hAnsi="宋体"/>
          <w:szCs w:val="21"/>
        </w:rPr>
      </w:pPr>
      <w:r>
        <w:rPr>
          <w:rFonts w:hint="eastAsia" w:ascii="宋体" w:hAnsi="宋体"/>
          <w:szCs w:val="21"/>
        </w:rPr>
        <w:t>4.若乙方使用的标准在本报价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宋体" w:hAnsi="宋体"/>
          <w:szCs w:val="21"/>
        </w:rPr>
      </w:pPr>
      <w:r>
        <w:rPr>
          <w:rFonts w:hint="eastAsia" w:ascii="宋体" w:hAnsi="宋体"/>
          <w:szCs w:val="21"/>
        </w:rPr>
        <w:t>5.乙方必须根据报价书上主要材料的明细（包括厂家、规格、品质等级等）提供材料。工程实施时，如发生货不对板，甲方有权拒用，造成损失由乙方承担。</w:t>
      </w:r>
    </w:p>
    <w:p>
      <w:pPr>
        <w:spacing w:line="360" w:lineRule="auto"/>
        <w:ind w:left="-2" w:leftChars="-1"/>
        <w:rPr>
          <w:rFonts w:ascii="宋体" w:hAnsi="宋体"/>
          <w:szCs w:val="21"/>
        </w:rPr>
      </w:pPr>
      <w:r>
        <w:rPr>
          <w:rFonts w:hint="eastAsia" w:ascii="宋体" w:hAnsi="宋体"/>
          <w:szCs w:val="21"/>
        </w:rPr>
        <w:t>6.甲方保留对本工程使用之主要材料品质确认审查的权利及保留另行委托专业队伍对本工程进行独立检测的权利。</w:t>
      </w:r>
    </w:p>
    <w:p>
      <w:pPr>
        <w:spacing w:line="360" w:lineRule="auto"/>
        <w:rPr>
          <w:rFonts w:ascii="宋体" w:hAnsi="宋体"/>
          <w:szCs w:val="21"/>
        </w:rPr>
      </w:pPr>
      <w:r>
        <w:rPr>
          <w:rFonts w:hint="eastAsia" w:ascii="宋体" w:hAnsi="宋体"/>
          <w:szCs w:val="21"/>
        </w:rPr>
        <w:t>7.采购范围之内工程所用之设备，由乙方提供。</w:t>
      </w:r>
    </w:p>
    <w:p>
      <w:pPr>
        <w:spacing w:line="360" w:lineRule="auto"/>
        <w:ind w:firstLine="425"/>
        <w:rPr>
          <w:rFonts w:ascii="宋体" w:hAnsi="宋体"/>
          <w:szCs w:val="21"/>
        </w:rPr>
      </w:pPr>
      <w:r>
        <w:rPr>
          <w:rFonts w:hint="eastAsia" w:ascii="宋体" w:hAnsi="宋体"/>
          <w:szCs w:val="21"/>
        </w:rPr>
        <w:t>七、其他说明</w:t>
      </w:r>
    </w:p>
    <w:p>
      <w:pPr>
        <w:spacing w:line="360" w:lineRule="auto"/>
        <w:ind w:firstLine="425"/>
        <w:rPr>
          <w:rFonts w:ascii="宋体" w:hAnsi="宋体"/>
          <w:szCs w:val="21"/>
        </w:rPr>
      </w:pPr>
      <w:r>
        <w:rPr>
          <w:rFonts w:hint="eastAsia" w:ascii="宋体" w:hAnsi="宋体"/>
          <w:szCs w:val="21"/>
        </w:rPr>
        <w:t>1.乙方不许转包，不许擅自分包。不许随意更换报价文件中所报的项目负责人，如确须更换，则事前须征得甲方同意，如有违反，一经发现取消中标资格，并赔偿由此造成的一切损失（包含质量安全事故、拖延工期、增加投资等损失）。在施工过程中，项目负责人如不到位，则在工程款中扣除2%作为处罚，造成损失的，按实际发生额赔偿。</w:t>
      </w:r>
    </w:p>
    <w:p>
      <w:pPr>
        <w:spacing w:line="360" w:lineRule="auto"/>
        <w:ind w:firstLine="425"/>
        <w:rPr>
          <w:rFonts w:ascii="宋体" w:hAnsi="宋体"/>
          <w:szCs w:val="21"/>
        </w:rPr>
      </w:pPr>
      <w:r>
        <w:rPr>
          <w:rFonts w:hint="eastAsia" w:ascii="宋体" w:hAnsi="宋体"/>
          <w:szCs w:val="21"/>
        </w:rPr>
        <w:t>2.在工程进行中，乙方要注意保护场内的各种管线和设施，若有任何损坏，须立即通知有关部门和甲方，并由损坏单位承担损失和修复费用。</w:t>
      </w:r>
    </w:p>
    <w:p>
      <w:pPr>
        <w:spacing w:line="360" w:lineRule="auto"/>
        <w:ind w:firstLine="425"/>
        <w:rPr>
          <w:rFonts w:ascii="宋体" w:hAnsi="宋体"/>
          <w:szCs w:val="21"/>
        </w:rPr>
      </w:pPr>
      <w:r>
        <w:rPr>
          <w:rFonts w:hint="eastAsia" w:ascii="宋体" w:hAnsi="宋体"/>
          <w:szCs w:val="21"/>
        </w:rPr>
        <w:t>3、发生重大伤亡及其他安全事故，乙方应按有关规定立即上报有关部门并通知甲方，同时按政府有关部门要求处理，由事故责任方承担发生的费用。甲方、乙方对事故责任有争议时，应按政府有关部门的认定处理。</w:t>
      </w:r>
    </w:p>
    <w:p>
      <w:pPr>
        <w:pStyle w:val="7"/>
        <w:spacing w:line="360" w:lineRule="auto"/>
        <w:ind w:left="1"/>
        <w:outlineLvl w:val="1"/>
        <w:rPr>
          <w:rFonts w:hAnsi="宋体"/>
        </w:rPr>
      </w:pPr>
      <w:r>
        <w:rPr>
          <w:rFonts w:hint="eastAsia" w:hAnsi="宋体"/>
        </w:rPr>
        <w:t>八、固定总价</w:t>
      </w:r>
    </w:p>
    <w:p>
      <w:pPr>
        <w:pStyle w:val="7"/>
        <w:spacing w:line="360" w:lineRule="auto"/>
        <w:ind w:left="1"/>
        <w:outlineLvl w:val="1"/>
        <w:rPr>
          <w:rFonts w:hAnsi="宋体"/>
        </w:rPr>
      </w:pPr>
      <w:r>
        <w:rPr>
          <w:rFonts w:hint="eastAsia" w:hAnsi="宋体"/>
        </w:rPr>
        <w:t>1.本合同项目的工程承包价是由承包人按询价文件图纸的承包内容、承包范围和工程量以及询价文件的规定，采用工程量清单计价法，根据承包人自身的条件和能力，结合工程现场实际情况，考虑风险后编制的，除发包人对原设计要求或同意变更外，承包人必须按包工、包料、包质量、包工期、包安全、包文明施工、包深化设计、包调试、包验收的询价施工图</w:t>
      </w:r>
      <w:r>
        <w:rPr>
          <w:rFonts w:hint="eastAsia" w:hAnsi="宋体"/>
          <w:u w:val="single"/>
        </w:rPr>
        <w:t>总价包干方式</w:t>
      </w:r>
      <w:r>
        <w:rPr>
          <w:rFonts w:hint="eastAsia" w:hAnsi="宋体"/>
        </w:rPr>
        <w:t>。</w:t>
      </w:r>
    </w:p>
    <w:p>
      <w:pPr>
        <w:pStyle w:val="7"/>
        <w:spacing w:line="360" w:lineRule="auto"/>
        <w:ind w:left="1"/>
        <w:outlineLvl w:val="1"/>
        <w:rPr>
          <w:rFonts w:hAnsi="宋体"/>
        </w:rPr>
      </w:pPr>
      <w:r>
        <w:rPr>
          <w:rFonts w:hint="eastAsia" w:hAnsi="宋体"/>
        </w:rPr>
        <w:t>2.本合同项目的承包范围、承包内容为总价包干，当原承包范围、承包内容出现经发包</w:t>
      </w:r>
      <w:bookmarkStart w:id="6" w:name="_GoBack"/>
      <w:bookmarkEnd w:id="6"/>
      <w:r>
        <w:rPr>
          <w:rFonts w:hint="eastAsia" w:hAnsi="宋体"/>
        </w:rPr>
        <w:t>人批准的设计变更（包括超出本合同的承包范围、承包内容的设计变更项目）时，变更项目的工程造价采用工程量清单计价办法进行计价。工程项目的设置按照国家、省、市有关规范、规定执行。项目工程量及其单价、利润、措施项目费、其他项目费、规费、税金的确定依据广东省相关定额、广州市补充定额【定额使用的依次顺序为：① 本合同项目主体工程所属专业的定额、附属工程所属专业的定额；② 第①点所述定额中若个别分项项目没有定额可套用，则采用与该分项项目性质、功能、工艺相似或相近的其它定额换算；定额采用建设行政主管部门颁发的最新定额，若项目实施期间定额更新，建设行政主管部门对新旧定额的使用办法有规定的从其规定，规定不明确或不可操作的，由发包人和承包人根据实际情况签订补充合同或协议作出约定】及对应的工程计价办法、工程量计算规则执行，并经工程师依据工程计价办法、工程量计算规则、图纸等规定计量确认。项目的规费及人工、材料、机械台班价格按实际施工期间建设行政主管部门的有关规定及《广州地区建设工程常用材料综合价格》执行，综合价格没有的材料单价凭工程师审核确认的有效发票的材料单价进行补差结算。对于新增工程项目，其</w:t>
      </w:r>
      <w:r>
        <w:rPr>
          <w:rFonts w:hint="eastAsia" w:hAnsi="宋体"/>
          <w:b/>
        </w:rPr>
        <w:t>造价按定额下浮  ％（额度为5%-15%）结算</w:t>
      </w:r>
      <w:r>
        <w:rPr>
          <w:rFonts w:hint="eastAsia" w:hAnsi="宋体"/>
        </w:rPr>
        <w:t>。其中发包人依法供应的材料价格原则上不下浮。</w:t>
      </w:r>
    </w:p>
    <w:p>
      <w:pPr>
        <w:pStyle w:val="7"/>
        <w:spacing w:line="360" w:lineRule="auto"/>
        <w:ind w:left="1"/>
        <w:outlineLvl w:val="1"/>
        <w:rPr>
          <w:rFonts w:hAnsi="宋体"/>
        </w:rPr>
      </w:pPr>
      <w:r>
        <w:rPr>
          <w:rFonts w:hint="eastAsia" w:hAnsi="宋体"/>
        </w:rPr>
        <w:t>3.本项目结算造价 = 工程承包价 + 变更项目的工程造价-原承包价中未完成项目的工程造价（原报价有报价的按原报价计价，原报价没有报价则按工程量清单计价办法进行计价）</w:t>
      </w:r>
    </w:p>
    <w:p>
      <w:pPr>
        <w:pStyle w:val="7"/>
        <w:spacing w:line="360" w:lineRule="auto"/>
        <w:ind w:left="1"/>
        <w:outlineLvl w:val="1"/>
        <w:rPr>
          <w:rFonts w:hAnsi="宋体"/>
        </w:rPr>
      </w:pPr>
      <w:r>
        <w:rPr>
          <w:rFonts w:hint="eastAsia" w:hAnsi="宋体"/>
        </w:rPr>
        <w:t>4.中标的报价中有漏项或未填报的措施项目等费用的（指完成该询价文件图纸的承包内容、承包范围所发生的及询价文件要求完成的所有费用），结算时不得补计。</w:t>
      </w:r>
    </w:p>
    <w:p>
      <w:pPr>
        <w:pStyle w:val="7"/>
        <w:spacing w:line="360" w:lineRule="auto"/>
        <w:ind w:left="1"/>
        <w:outlineLvl w:val="1"/>
        <w:rPr>
          <w:rFonts w:hAnsi="宋体"/>
        </w:rPr>
      </w:pPr>
      <w:r>
        <w:rPr>
          <w:rFonts w:hint="eastAsia" w:hAnsi="宋体"/>
        </w:rPr>
        <w:t>本合同项目的结算造价以财评单位审核后的工程结算价作为本合同项目的最终结算造价。</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九、支付工程款（进度款）的方式。</w:t>
      </w:r>
    </w:p>
    <w:p>
      <w:pPr>
        <w:spacing w:line="360" w:lineRule="auto"/>
        <w:rPr>
          <w:rFonts w:ascii="宋体" w:hAnsi="宋体"/>
          <w:szCs w:val="21"/>
        </w:rPr>
      </w:pPr>
      <w:r>
        <w:rPr>
          <w:rFonts w:hint="eastAsia" w:ascii="宋体" w:hAnsi="宋体"/>
          <w:szCs w:val="21"/>
        </w:rPr>
        <w:t>1.本合同签定后</w:t>
      </w:r>
      <w:r>
        <w:rPr>
          <w:rFonts w:hint="eastAsia" w:ascii="宋体" w:hAnsi="宋体"/>
          <w:szCs w:val="21"/>
          <w:u w:val="single"/>
        </w:rPr>
        <w:t xml:space="preserve">  7  </w:t>
      </w:r>
      <w:r>
        <w:rPr>
          <w:rFonts w:hint="eastAsia" w:ascii="宋体" w:hAnsi="宋体"/>
          <w:szCs w:val="21"/>
        </w:rPr>
        <w:t>天内，甲方按合同总价的</w:t>
      </w:r>
      <w:r>
        <w:rPr>
          <w:rFonts w:hint="eastAsia" w:ascii="宋体" w:hAnsi="宋体"/>
          <w:szCs w:val="21"/>
          <w:u w:val="single"/>
        </w:rPr>
        <w:t xml:space="preserve"> 30  </w:t>
      </w:r>
      <w:r>
        <w:rPr>
          <w:rFonts w:hint="eastAsia" w:ascii="宋体" w:hAnsi="宋体"/>
          <w:szCs w:val="21"/>
        </w:rPr>
        <w:t>%即￥</w:t>
      </w:r>
      <w:r>
        <w:rPr>
          <w:rFonts w:hint="eastAsia" w:ascii="宋体" w:hAnsi="宋体"/>
          <w:szCs w:val="21"/>
          <w:u w:val="single"/>
        </w:rPr>
        <w:t xml:space="preserve">        万</w:t>
      </w:r>
      <w:r>
        <w:rPr>
          <w:rFonts w:hint="eastAsia" w:ascii="宋体" w:hAnsi="宋体"/>
          <w:szCs w:val="21"/>
        </w:rPr>
        <w:t>元作为预付款支付给乙方。</w:t>
      </w:r>
    </w:p>
    <w:p>
      <w:pPr>
        <w:pStyle w:val="7"/>
        <w:spacing w:line="360" w:lineRule="auto"/>
        <w:ind w:left="1"/>
        <w:outlineLvl w:val="1"/>
        <w:rPr>
          <w:rFonts w:hint="eastAsia" w:hAnsi="宋体"/>
        </w:rPr>
      </w:pPr>
      <w:r>
        <w:rPr>
          <w:rFonts w:hint="eastAsia" w:hAnsi="宋体"/>
        </w:rPr>
        <w:t>2.工程总体验收合格后</w:t>
      </w:r>
      <w:r>
        <w:rPr>
          <w:rFonts w:hint="eastAsia" w:hAnsi="宋体"/>
          <w:u w:val="single"/>
        </w:rPr>
        <w:t xml:space="preserve">  15  </w:t>
      </w:r>
      <w:r>
        <w:rPr>
          <w:rFonts w:hint="eastAsia" w:hAnsi="宋体"/>
        </w:rPr>
        <w:t>天内，甲方支付合同总价的</w:t>
      </w:r>
      <w:r>
        <w:rPr>
          <w:rFonts w:hint="eastAsia" w:hAnsi="宋体"/>
          <w:u w:val="single"/>
        </w:rPr>
        <w:t xml:space="preserve"> 50  </w:t>
      </w:r>
      <w:r>
        <w:rPr>
          <w:rFonts w:hint="eastAsia" w:hAnsi="宋体"/>
        </w:rPr>
        <w:t>％即￥</w:t>
      </w:r>
      <w:r>
        <w:rPr>
          <w:rFonts w:hint="eastAsia" w:hAnsi="宋体"/>
          <w:u w:val="single"/>
        </w:rPr>
        <w:t xml:space="preserve">        </w:t>
      </w:r>
      <w:r>
        <w:rPr>
          <w:rFonts w:hint="eastAsia" w:hAnsi="宋体"/>
        </w:rPr>
        <w:t>万元给乙方。</w:t>
      </w:r>
    </w:p>
    <w:p>
      <w:pPr>
        <w:pStyle w:val="7"/>
        <w:spacing w:line="360" w:lineRule="auto"/>
        <w:ind w:left="1"/>
        <w:outlineLvl w:val="1"/>
        <w:rPr>
          <w:rFonts w:hAnsi="宋体"/>
        </w:rPr>
      </w:pPr>
      <w:r>
        <w:rPr>
          <w:rFonts w:hint="eastAsia" w:hAnsi="宋体"/>
        </w:rPr>
        <w:t>3.工程项目结算终审后，甲方支付结算价的</w:t>
      </w:r>
      <w:r>
        <w:rPr>
          <w:rFonts w:hint="eastAsia" w:hAnsi="宋体"/>
          <w:u w:val="single"/>
        </w:rPr>
        <w:t xml:space="preserve">  95  </w:t>
      </w:r>
      <w:r>
        <w:rPr>
          <w:rFonts w:hint="eastAsia" w:hAnsi="宋体"/>
        </w:rPr>
        <w:t>%给乙方。</w:t>
      </w:r>
    </w:p>
    <w:p>
      <w:pPr>
        <w:pStyle w:val="7"/>
        <w:spacing w:line="360" w:lineRule="auto"/>
        <w:ind w:left="1"/>
        <w:outlineLvl w:val="1"/>
        <w:rPr>
          <w:rFonts w:hAnsi="宋体"/>
        </w:rPr>
      </w:pPr>
      <w:r>
        <w:rPr>
          <w:rFonts w:hint="eastAsia" w:hAnsi="宋体"/>
        </w:rPr>
        <w:t>4.</w:t>
      </w:r>
      <w:r>
        <w:rPr>
          <w:rFonts w:hint="eastAsia" w:hAnsi="宋体"/>
          <w:u w:val="single"/>
        </w:rPr>
        <w:t xml:space="preserve"> 1 </w:t>
      </w:r>
      <w:r>
        <w:rPr>
          <w:rFonts w:hint="eastAsia" w:hAnsi="宋体"/>
        </w:rPr>
        <w:t>年质保期到期后，甲方支付结算总价的5％（质保金）的余款给乙方。</w:t>
      </w:r>
    </w:p>
    <w:p>
      <w:pPr>
        <w:spacing w:line="360" w:lineRule="auto"/>
        <w:ind w:left="700" w:hanging="700"/>
        <w:rPr>
          <w:rFonts w:ascii="宋体" w:hAnsi="宋体"/>
          <w:szCs w:val="21"/>
        </w:rPr>
      </w:pPr>
      <w:r>
        <w:rPr>
          <w:rFonts w:hint="eastAsia" w:ascii="宋体" w:hAnsi="宋体"/>
          <w:szCs w:val="21"/>
        </w:rPr>
        <w:t>5.付款方式：采用支票、银行转账两种形式。</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十、大中修效果要求：（由各厂自行设置）</w:t>
      </w:r>
    </w:p>
    <w:p>
      <w:pPr>
        <w:spacing w:line="400" w:lineRule="exact"/>
        <w:rPr>
          <w:rFonts w:ascii="宋体" w:hAnsi="宋体"/>
          <w:szCs w:val="21"/>
        </w:rPr>
      </w:pPr>
      <w:r>
        <w:rPr>
          <w:rFonts w:hint="eastAsia" w:ascii="宋体" w:hAnsi="宋体"/>
          <w:szCs w:val="21"/>
        </w:rPr>
        <w:t>（1）项目完成之后，其使用性能应达到设计和规范及设备技术要求。</w:t>
      </w:r>
    </w:p>
    <w:p>
      <w:pPr>
        <w:spacing w:line="400" w:lineRule="exact"/>
        <w:rPr>
          <w:rFonts w:ascii="宋体" w:hAnsi="宋体"/>
          <w:szCs w:val="21"/>
        </w:rPr>
      </w:pPr>
      <w:r>
        <w:rPr>
          <w:rFonts w:hint="eastAsia" w:ascii="宋体" w:hAnsi="宋体"/>
          <w:szCs w:val="21"/>
        </w:rPr>
        <w:t>（2）其工艺控制要求应达到设计和生产使用功能并与原来的系统相匹配。</w:t>
      </w:r>
    </w:p>
    <w:p>
      <w:pPr>
        <w:spacing w:line="400" w:lineRule="exact"/>
        <w:rPr>
          <w:rFonts w:ascii="宋体" w:hAnsi="宋体"/>
          <w:szCs w:val="21"/>
        </w:rPr>
      </w:pPr>
      <w:r>
        <w:rPr>
          <w:rFonts w:hint="eastAsia" w:ascii="宋体" w:hAnsi="宋体"/>
          <w:szCs w:val="21"/>
        </w:rPr>
        <w:t>（3）设备和系统安装精度和调试记录应符合设备标准值，设备相关测试数据和运行参数必须达标，并能保证设备安全无故障运行。</w:t>
      </w:r>
    </w:p>
    <w:p>
      <w:pPr>
        <w:spacing w:line="400" w:lineRule="exact"/>
        <w:rPr>
          <w:rFonts w:ascii="宋体" w:hAnsi="宋体"/>
          <w:szCs w:val="21"/>
        </w:rPr>
      </w:pPr>
      <w:r>
        <w:rPr>
          <w:rFonts w:hint="eastAsia" w:ascii="宋体" w:hAnsi="宋体"/>
          <w:szCs w:val="21"/>
        </w:rPr>
        <w:t>十一、竣工验收：</w:t>
      </w:r>
    </w:p>
    <w:p>
      <w:pPr>
        <w:spacing w:line="400" w:lineRule="exact"/>
        <w:rPr>
          <w:rFonts w:ascii="宋体" w:hAnsi="宋体"/>
          <w:szCs w:val="21"/>
        </w:rPr>
      </w:pPr>
      <w:r>
        <w:rPr>
          <w:rFonts w:hint="eastAsia" w:ascii="宋体" w:hAnsi="宋体"/>
          <w:szCs w:val="21"/>
        </w:rPr>
        <w:t>1.在工程完工后30天内将经甲方审核的完整竣工资料（含竣工图）和竣工验收报告各一式四份交甲方，不按时报送工程竣工资料的，甲方扣罚乙方5000元/天。</w:t>
      </w:r>
    </w:p>
    <w:p>
      <w:pPr>
        <w:spacing w:line="400" w:lineRule="exact"/>
        <w:rPr>
          <w:rFonts w:ascii="宋体" w:hAnsi="宋体"/>
          <w:szCs w:val="21"/>
        </w:rPr>
      </w:pPr>
      <w:r>
        <w:rPr>
          <w:rFonts w:hint="eastAsia" w:ascii="宋体" w:hAnsi="宋体"/>
          <w:szCs w:val="21"/>
        </w:rPr>
        <w:t>2.甲方收到完整的竣工验收资料（含竣工图）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rPr>
          <w:rFonts w:ascii="宋体" w:hAnsi="宋体"/>
          <w:szCs w:val="21"/>
        </w:rPr>
      </w:pPr>
      <w:r>
        <w:rPr>
          <w:rFonts w:hint="eastAsia" w:ascii="宋体" w:hAnsi="宋体"/>
          <w:szCs w:val="21"/>
        </w:rPr>
        <w:t>3.工程竣工验收通过，乙方送交完整的竣工验收资料（含竣工图）和竣工验收报告的日期为实际竣工日期。工程按甲方要求修改后通过竣工验收的，实际竣工日期为乙方修改后提请甲方验收的日期。</w:t>
      </w:r>
    </w:p>
    <w:p>
      <w:pPr>
        <w:spacing w:line="400" w:lineRule="exact"/>
        <w:rPr>
          <w:rFonts w:ascii="宋体" w:hAnsi="宋体"/>
          <w:szCs w:val="21"/>
        </w:rPr>
      </w:pPr>
      <w:r>
        <w:rPr>
          <w:rFonts w:hint="eastAsia" w:ascii="宋体" w:hAnsi="宋体"/>
          <w:szCs w:val="21"/>
        </w:rPr>
        <w:t>4.竣工档案的整理和移交</w:t>
      </w:r>
    </w:p>
    <w:p>
      <w:pPr>
        <w:spacing w:line="400" w:lineRule="exact"/>
        <w:rPr>
          <w:rFonts w:ascii="宋体" w:hAnsi="宋体"/>
          <w:szCs w:val="21"/>
        </w:rPr>
      </w:pPr>
      <w:r>
        <w:rPr>
          <w:rFonts w:hint="eastAsia" w:ascii="宋体" w:hAnsi="宋体"/>
          <w:szCs w:val="21"/>
        </w:rPr>
        <w:t>（1）乙方应按照国家《城市建设档案管理规定》、《广州市城市建设档案管理办法》和甲方有关整理工程档案的要求，在工程施工期间及收集、汇总、整理、编制竣工档案，并于工程竣工验收后按广州市建设工程档按整理与移交办法向甲方完整移交如下竣工档案：</w:t>
      </w:r>
    </w:p>
    <w:p>
      <w:pPr>
        <w:spacing w:line="400" w:lineRule="exact"/>
        <w:ind w:firstLine="210" w:firstLineChars="100"/>
        <w:rPr>
          <w:rFonts w:ascii="宋体" w:hAnsi="宋体"/>
          <w:szCs w:val="21"/>
        </w:rPr>
      </w:pPr>
      <w:r>
        <w:rPr>
          <w:rFonts w:hint="eastAsia" w:ascii="宋体" w:hAnsi="宋体"/>
          <w:szCs w:val="21"/>
        </w:rPr>
        <w:t>（a）竣工文件资料、竣工图档案（原件）各一式四份；</w:t>
      </w:r>
    </w:p>
    <w:p>
      <w:pPr>
        <w:spacing w:line="400" w:lineRule="exact"/>
        <w:ind w:firstLine="210" w:firstLineChars="100"/>
        <w:rPr>
          <w:rFonts w:ascii="宋体" w:hAnsi="宋体"/>
          <w:szCs w:val="21"/>
        </w:rPr>
      </w:pPr>
      <w:r>
        <w:rPr>
          <w:rFonts w:hint="eastAsia" w:ascii="宋体" w:hAnsi="宋体"/>
          <w:szCs w:val="21"/>
        </w:rPr>
        <w:t>（b）与本款（1）项内容相同的电子版档案一式二份；</w:t>
      </w:r>
    </w:p>
    <w:p>
      <w:pPr>
        <w:spacing w:line="400" w:lineRule="exact"/>
        <w:rPr>
          <w:rFonts w:ascii="宋体" w:hAnsi="宋体"/>
          <w:szCs w:val="21"/>
        </w:rPr>
      </w:pPr>
      <w:r>
        <w:rPr>
          <w:rFonts w:hint="eastAsia" w:ascii="宋体" w:hAnsi="宋体"/>
          <w:szCs w:val="21"/>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rPr>
          <w:rFonts w:ascii="宋体" w:hAnsi="宋体"/>
          <w:szCs w:val="21"/>
        </w:rPr>
      </w:pPr>
      <w:r>
        <w:rPr>
          <w:rFonts w:hint="eastAsia" w:ascii="宋体" w:hAnsi="宋体"/>
          <w:szCs w:val="21"/>
        </w:rPr>
        <w:t>（3）电子版竣工图的编制，以甲方提供的电子版施工图为基础。乙方在移交竣工档案时，应一并移交甲方提供的电子版施工图。</w:t>
      </w:r>
    </w:p>
    <w:p>
      <w:pPr>
        <w:spacing w:line="400" w:lineRule="exact"/>
        <w:ind w:firstLine="480"/>
        <w:rPr>
          <w:rFonts w:ascii="宋体" w:hAnsi="宋体"/>
          <w:szCs w:val="21"/>
        </w:rPr>
      </w:pPr>
      <w:r>
        <w:rPr>
          <w:rFonts w:hint="eastAsia" w:ascii="宋体" w:hAnsi="宋体"/>
          <w:szCs w:val="21"/>
        </w:rPr>
        <w:t>电子版施工图和电子版竣工图的知识产权归属甲方所有，非经甲方许可，乙方不得以任何方式复制、备份、转让和利用。否则，由此引起的任何纠纷和责任由乙方承担。</w:t>
      </w:r>
    </w:p>
    <w:p>
      <w:pPr>
        <w:spacing w:line="360" w:lineRule="auto"/>
        <w:rPr>
          <w:rFonts w:ascii="宋体" w:hAnsi="宋体"/>
          <w:szCs w:val="21"/>
        </w:rPr>
      </w:pPr>
    </w:p>
    <w:p>
      <w:pPr>
        <w:spacing w:line="400" w:lineRule="atLeast"/>
        <w:ind w:firstLine="425"/>
        <w:rPr>
          <w:rFonts w:ascii="宋体" w:hAnsi="宋体"/>
          <w:szCs w:val="21"/>
        </w:rPr>
      </w:pPr>
      <w:r>
        <w:rPr>
          <w:rFonts w:hint="eastAsia" w:ascii="宋体" w:hAnsi="宋体"/>
          <w:szCs w:val="21"/>
        </w:rPr>
        <w:t>十二、本合同在履行过程中发生的争议，由双方当事人协商解决，协商不成的，向发包人所在地法院提起诉讼。</w:t>
      </w:r>
    </w:p>
    <w:p>
      <w:pPr>
        <w:spacing w:line="400" w:lineRule="atLeast"/>
        <w:ind w:firstLine="425"/>
        <w:rPr>
          <w:rFonts w:ascii="宋体" w:hAnsi="宋体"/>
          <w:sz w:val="24"/>
        </w:rPr>
      </w:pPr>
      <w:r>
        <w:rPr>
          <w:rFonts w:hint="eastAsia" w:ascii="宋体" w:hAnsi="宋体"/>
          <w:szCs w:val="21"/>
        </w:rPr>
        <w:t>十三、本合同共</w:t>
      </w:r>
      <w:r>
        <w:rPr>
          <w:rFonts w:hint="eastAsia" w:ascii="宋体" w:hAnsi="宋体"/>
          <w:szCs w:val="21"/>
          <w:u w:val="single"/>
        </w:rPr>
        <w:t xml:space="preserve">   </w:t>
      </w:r>
      <w:r>
        <w:rPr>
          <w:rFonts w:hint="eastAsia" w:ascii="宋体" w:hAnsi="宋体"/>
          <w:szCs w:val="21"/>
        </w:rPr>
        <w:t>页，缺页之合同为无效合同，正本一式</w:t>
      </w:r>
      <w:r>
        <w:rPr>
          <w:rFonts w:hint="eastAsia" w:ascii="宋体" w:hAnsi="宋体"/>
          <w:szCs w:val="21"/>
          <w:u w:val="single"/>
        </w:rPr>
        <w:t>二</w:t>
      </w:r>
      <w:r>
        <w:rPr>
          <w:rFonts w:hint="eastAsia" w:ascii="宋体" w:hAnsi="宋体"/>
          <w:szCs w:val="21"/>
        </w:rPr>
        <w:t>份，甲方执</w:t>
      </w:r>
      <w:r>
        <w:rPr>
          <w:rFonts w:hint="eastAsia" w:ascii="宋体" w:hAnsi="宋体"/>
          <w:szCs w:val="21"/>
          <w:u w:val="single"/>
        </w:rPr>
        <w:t>一</w:t>
      </w:r>
      <w:r>
        <w:rPr>
          <w:rFonts w:hint="eastAsia" w:ascii="宋体" w:hAnsi="宋体"/>
          <w:szCs w:val="21"/>
        </w:rPr>
        <w:t>份，乙方</w:t>
      </w:r>
      <w:r>
        <w:rPr>
          <w:rFonts w:hint="eastAsia" w:ascii="宋体" w:hAnsi="宋体"/>
          <w:szCs w:val="21"/>
          <w:u w:val="single"/>
        </w:rPr>
        <w:t>一</w:t>
      </w:r>
      <w:r>
        <w:rPr>
          <w:rFonts w:hint="eastAsia" w:ascii="宋体" w:hAnsi="宋体"/>
          <w:szCs w:val="21"/>
        </w:rPr>
        <w:t>份。合同副本</w:t>
      </w:r>
      <w:r>
        <w:rPr>
          <w:rFonts w:hint="eastAsia" w:ascii="宋体" w:hAnsi="宋体"/>
          <w:szCs w:val="21"/>
          <w:u w:val="single"/>
        </w:rPr>
        <w:t xml:space="preserve">    </w:t>
      </w:r>
      <w:r>
        <w:rPr>
          <w:rFonts w:hint="eastAsia" w:ascii="宋体" w:hAnsi="宋体"/>
          <w:szCs w:val="21"/>
        </w:rPr>
        <w:t>份，其中甲方</w:t>
      </w:r>
      <w:r>
        <w:rPr>
          <w:rFonts w:hint="eastAsia" w:ascii="宋体" w:hAnsi="宋体"/>
          <w:szCs w:val="21"/>
          <w:u w:val="single"/>
        </w:rPr>
        <w:t xml:space="preserve">    </w:t>
      </w:r>
      <w:r>
        <w:rPr>
          <w:rFonts w:hint="eastAsia" w:ascii="宋体" w:hAnsi="宋体"/>
          <w:szCs w:val="21"/>
        </w:rPr>
        <w:t>份，乙方</w:t>
      </w:r>
      <w:r>
        <w:rPr>
          <w:rFonts w:hint="eastAsia" w:ascii="宋体" w:hAnsi="宋体"/>
          <w:szCs w:val="21"/>
          <w:u w:val="single"/>
        </w:rPr>
        <w:t xml:space="preserve">    </w:t>
      </w:r>
      <w:r>
        <w:rPr>
          <w:rFonts w:hint="eastAsia" w:ascii="宋体" w:hAnsi="宋体"/>
          <w:szCs w:val="21"/>
        </w:rPr>
        <w:t>份。</w:t>
      </w:r>
    </w:p>
    <w:p>
      <w:pPr>
        <w:spacing w:line="400" w:lineRule="atLeast"/>
        <w:ind w:firstLine="425"/>
        <w:rPr>
          <w:rFonts w:ascii="宋体" w:hAnsi="宋体"/>
          <w:sz w:val="24"/>
        </w:rPr>
      </w:pPr>
    </w:p>
    <w:p>
      <w:pPr>
        <w:spacing w:line="400" w:lineRule="atLeast"/>
        <w:rPr>
          <w:rFonts w:ascii="宋体" w:hAnsi="宋体"/>
          <w:sz w:val="24"/>
        </w:rPr>
      </w:pPr>
    </w:p>
    <w:p>
      <w:pPr>
        <w:spacing w:line="400" w:lineRule="atLeast"/>
        <w:rPr>
          <w:rFonts w:ascii="宋体" w:hAnsi="宋体"/>
          <w:b/>
          <w:sz w:val="24"/>
        </w:rPr>
      </w:pPr>
      <w:r>
        <w:rPr>
          <w:rFonts w:hint="eastAsia" w:ascii="宋体" w:hAnsi="宋体"/>
          <w:b/>
          <w:sz w:val="24"/>
        </w:rPr>
        <w:t>法定代表人：                           法定代表人：</w:t>
      </w:r>
    </w:p>
    <w:p>
      <w:pPr>
        <w:spacing w:line="400" w:lineRule="atLeast"/>
        <w:rPr>
          <w:rFonts w:ascii="宋体" w:hAnsi="宋体"/>
          <w:b/>
          <w:sz w:val="24"/>
        </w:rPr>
      </w:pPr>
    </w:p>
    <w:p>
      <w:pPr>
        <w:spacing w:line="400" w:lineRule="atLeast"/>
        <w:rPr>
          <w:rFonts w:ascii="宋体" w:hAnsi="宋体"/>
          <w:b/>
          <w:sz w:val="24"/>
        </w:rPr>
      </w:pPr>
    </w:p>
    <w:p>
      <w:pPr>
        <w:spacing w:line="400" w:lineRule="atLeast"/>
        <w:rPr>
          <w:rFonts w:ascii="宋体" w:hAnsi="宋体"/>
          <w:b/>
          <w:sz w:val="24"/>
        </w:rPr>
      </w:pPr>
      <w:r>
        <w:rPr>
          <w:rFonts w:hint="eastAsia" w:ascii="宋体" w:hAnsi="宋体"/>
          <w:b/>
          <w:sz w:val="24"/>
        </w:rPr>
        <w:t>甲方：</w:t>
      </w:r>
      <w:r>
        <w:rPr>
          <w:rFonts w:hint="eastAsia" w:ascii="宋体" w:hAnsi="宋体"/>
          <w:b/>
          <w:sz w:val="24"/>
        </w:rPr>
        <w:tab/>
      </w:r>
      <w:r>
        <w:rPr>
          <w:rFonts w:hint="eastAsia" w:ascii="宋体" w:hAnsi="宋体"/>
          <w:b/>
          <w:sz w:val="24"/>
        </w:rPr>
        <w:t xml:space="preserve">                              乙方：</w:t>
      </w:r>
      <w:r>
        <w:rPr>
          <w:rFonts w:hint="eastAsia" w:ascii="宋体" w:hAnsi="宋体"/>
          <w:b/>
          <w:sz w:val="24"/>
          <w:u w:val="single"/>
        </w:rPr>
        <w:t xml:space="preserve">                          </w:t>
      </w:r>
      <w:r>
        <w:rPr>
          <w:rFonts w:hint="eastAsia" w:ascii="宋体" w:hAnsi="宋体"/>
          <w:b/>
          <w:sz w:val="24"/>
        </w:rPr>
        <w:t xml:space="preserve"> </w:t>
      </w:r>
    </w:p>
    <w:p>
      <w:pPr>
        <w:spacing w:line="400" w:lineRule="atLeast"/>
        <w:ind w:left="723" w:hanging="723" w:hangingChars="300"/>
        <w:rPr>
          <w:rFonts w:ascii="宋体" w:hAnsi="宋体"/>
          <w:b/>
          <w:sz w:val="24"/>
        </w:rPr>
      </w:pPr>
      <w:r>
        <w:rPr>
          <w:rFonts w:hint="eastAsia" w:ascii="宋体" w:hAnsi="宋体"/>
          <w:b/>
          <w:sz w:val="24"/>
        </w:rPr>
        <w:t>联系人：</w:t>
      </w:r>
      <w:r>
        <w:rPr>
          <w:rFonts w:hint="eastAsia" w:ascii="宋体" w:hAnsi="宋体"/>
          <w:b/>
          <w:sz w:val="24"/>
          <w:u w:val="single"/>
        </w:rPr>
        <w:t xml:space="preserve">                         </w:t>
      </w:r>
      <w:r>
        <w:rPr>
          <w:rFonts w:hint="eastAsia" w:ascii="宋体" w:hAnsi="宋体"/>
          <w:b/>
          <w:sz w:val="24"/>
        </w:rPr>
        <w:t xml:space="preserve">    联系人：</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地址：                               地址：</w:t>
      </w:r>
      <w:r>
        <w:rPr>
          <w:rFonts w:hint="eastAsia" w:ascii="宋体" w:hAnsi="宋体"/>
          <w:b/>
          <w:sz w:val="24"/>
          <w:u w:val="single"/>
        </w:rPr>
        <w:t xml:space="preserve">                           </w:t>
      </w:r>
    </w:p>
    <w:p>
      <w:pPr>
        <w:spacing w:line="400" w:lineRule="atLeast"/>
        <w:ind w:firstLine="5301" w:firstLineChars="2200"/>
        <w:rPr>
          <w:rFonts w:ascii="宋体" w:hAnsi="宋体"/>
          <w:b/>
          <w:sz w:val="24"/>
        </w:rPr>
      </w:pPr>
    </w:p>
    <w:p>
      <w:pPr>
        <w:spacing w:line="400" w:lineRule="atLeast"/>
        <w:rPr>
          <w:rFonts w:ascii="宋体" w:hAnsi="宋体"/>
          <w:b/>
          <w:sz w:val="24"/>
          <w:u w:val="single"/>
        </w:rPr>
      </w:pPr>
      <w:r>
        <w:rPr>
          <w:rFonts w:hint="eastAsia" w:ascii="宋体" w:hAnsi="宋体"/>
          <w:b/>
          <w:sz w:val="24"/>
        </w:rPr>
        <w:t>电话：</w:t>
      </w:r>
      <w:r>
        <w:rPr>
          <w:rFonts w:hint="eastAsia" w:ascii="宋体" w:hAnsi="宋体"/>
          <w:b/>
          <w:sz w:val="24"/>
        </w:rPr>
        <w:tab/>
      </w:r>
      <w:r>
        <w:rPr>
          <w:rFonts w:hint="eastAsia" w:ascii="宋体" w:hAnsi="宋体"/>
          <w:b/>
          <w:sz w:val="24"/>
          <w:u w:val="single"/>
        </w:rPr>
        <w:tab/>
      </w:r>
      <w:r>
        <w:rPr>
          <w:rFonts w:hint="eastAsia" w:ascii="宋体" w:hAnsi="宋体"/>
          <w:b/>
          <w:sz w:val="24"/>
          <w:u w:val="single"/>
        </w:rPr>
        <w:t xml:space="preserve">                       </w:t>
      </w:r>
      <w:r>
        <w:rPr>
          <w:rFonts w:hint="eastAsia" w:ascii="宋体" w:hAnsi="宋体"/>
          <w:b/>
          <w:sz w:val="24"/>
        </w:rPr>
        <w:t xml:space="preserve">   电  话：</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传真：</w:t>
      </w:r>
      <w:r>
        <w:rPr>
          <w:rFonts w:hint="eastAsia" w:ascii="宋体" w:hAnsi="宋体"/>
          <w:b/>
          <w:sz w:val="24"/>
          <w:u w:val="single"/>
        </w:rPr>
        <w:tab/>
      </w:r>
      <w:r>
        <w:rPr>
          <w:rFonts w:hint="eastAsia" w:ascii="宋体" w:hAnsi="宋体"/>
          <w:b/>
          <w:sz w:val="24"/>
          <w:u w:val="single"/>
        </w:rPr>
        <w:tab/>
      </w:r>
      <w:r>
        <w:rPr>
          <w:rFonts w:hint="eastAsia" w:ascii="宋体" w:hAnsi="宋体"/>
          <w:b/>
          <w:sz w:val="24"/>
          <w:u w:val="single"/>
        </w:rPr>
        <w:t xml:space="preserve">                       </w:t>
      </w:r>
      <w:r>
        <w:rPr>
          <w:rFonts w:hint="eastAsia" w:ascii="宋体" w:hAnsi="宋体"/>
          <w:b/>
          <w:sz w:val="24"/>
        </w:rPr>
        <w:t xml:space="preserve">   传  真：</w:t>
      </w:r>
      <w:r>
        <w:rPr>
          <w:rFonts w:hint="eastAsia" w:ascii="宋体" w:hAnsi="宋体"/>
          <w:b/>
          <w:sz w:val="24"/>
          <w:u w:val="single"/>
        </w:rPr>
        <w:t xml:space="preserve">                         </w:t>
      </w:r>
      <w:r>
        <w:rPr>
          <w:rFonts w:hint="eastAsia" w:ascii="宋体" w:hAnsi="宋体"/>
          <w:b/>
          <w:sz w:val="24"/>
        </w:rPr>
        <w:t xml:space="preserve"> </w:t>
      </w:r>
    </w:p>
    <w:p>
      <w:pPr>
        <w:spacing w:line="400" w:lineRule="atLeast"/>
        <w:ind w:firstLine="723" w:firstLineChars="300"/>
        <w:rPr>
          <w:rFonts w:ascii="宋体" w:hAnsi="宋体"/>
          <w:b/>
          <w:sz w:val="24"/>
        </w:rPr>
      </w:pPr>
      <w:r>
        <w:rPr>
          <w:rFonts w:hint="eastAsia" w:ascii="宋体" w:hAnsi="宋体"/>
          <w:b/>
          <w:sz w:val="24"/>
        </w:rPr>
        <w:t xml:space="preserve">                              开户银行：</w:t>
      </w:r>
      <w:r>
        <w:rPr>
          <w:rFonts w:hint="eastAsia" w:ascii="宋体" w:hAnsi="宋体"/>
          <w:sz w:val="18"/>
          <w:szCs w:val="18"/>
          <w:u w:val="single"/>
        </w:rPr>
        <w:t xml:space="preserve">                                 </w:t>
      </w:r>
    </w:p>
    <w:p>
      <w:pPr>
        <w:spacing w:line="400" w:lineRule="atLeast"/>
        <w:rPr>
          <w:rFonts w:ascii="宋体" w:hAnsi="宋体"/>
          <w:b/>
          <w:sz w:val="24"/>
        </w:rPr>
      </w:pPr>
      <w:r>
        <w:rPr>
          <w:rFonts w:hint="eastAsia" w:ascii="宋体" w:hAnsi="宋体"/>
          <w:b/>
          <w:sz w:val="24"/>
        </w:rPr>
        <w:t xml:space="preserve">                                    帐  号：</w:t>
      </w:r>
      <w:r>
        <w:rPr>
          <w:rFonts w:hint="eastAsia" w:ascii="宋体" w:hAnsi="宋体"/>
          <w:sz w:val="24"/>
          <w:u w:val="single"/>
        </w:rPr>
        <w:t xml:space="preserve">                          </w:t>
      </w:r>
    </w:p>
    <w:p>
      <w:pPr>
        <w:spacing w:line="400" w:lineRule="atLeast"/>
        <w:rPr>
          <w:rFonts w:ascii="宋体" w:hAnsi="宋体"/>
          <w:sz w:val="24"/>
        </w:rPr>
      </w:pPr>
    </w:p>
    <w:p>
      <w:pPr>
        <w:spacing w:line="400" w:lineRule="exact"/>
        <w:rPr>
          <w:rFonts w:ascii="宋体" w:hAnsi="宋体"/>
          <w:sz w:val="24"/>
        </w:rPr>
      </w:pP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color w:val="000000"/>
          <w:sz w:val="24"/>
          <w:szCs w:val="24"/>
        </w:rPr>
      </w:pPr>
    </w:p>
    <w:p>
      <w:pPr>
        <w:adjustRightInd w:val="0"/>
        <w:snapToGrid w:val="0"/>
        <w:spacing w:line="360" w:lineRule="auto"/>
        <w:rPr>
          <w:rFonts w:ascii="仿宋_GB2312"/>
          <w:sz w:val="24"/>
        </w:rPr>
      </w:pPr>
      <w:r>
        <w:rPr>
          <w:rFonts w:hint="eastAsia" w:ascii="仿宋_GB2312" w:eastAsia="仿宋_GB2312"/>
          <w:b/>
          <w:sz w:val="28"/>
          <w:szCs w:val="28"/>
        </w:rPr>
        <w:br w:type="page"/>
      </w: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rPr>
          <w:rFonts w:ascii="仿宋" w:hAnsi="仿宋" w:eastAsia="仿宋" w:cs="仿宋_GB2312"/>
          <w:b/>
          <w:kern w:val="0"/>
          <w:sz w:val="28"/>
          <w:szCs w:val="28"/>
        </w:rPr>
      </w:pPr>
    </w:p>
    <w:p>
      <w:pPr>
        <w:pStyle w:val="7"/>
        <w:tabs>
          <w:tab w:val="left" w:pos="1260"/>
        </w:tabs>
        <w:jc w:val="center"/>
        <w:rPr>
          <w:rFonts w:ascii="仿宋" w:hAnsi="仿宋" w:eastAsia="仿宋" w:cs="仿宋_GB2312"/>
          <w:b/>
          <w:kern w:val="0"/>
          <w:sz w:val="28"/>
          <w:szCs w:val="28"/>
        </w:rPr>
      </w:pPr>
    </w:p>
    <w:p>
      <w:pPr>
        <w:pStyle w:val="7"/>
        <w:tabs>
          <w:tab w:val="left" w:pos="1260"/>
        </w:tabs>
        <w:jc w:val="center"/>
        <w:rPr>
          <w:rFonts w:ascii="仿宋" w:hAnsi="仿宋" w:eastAsia="仿宋" w:cs="仿宋_GB2312"/>
          <w:b/>
          <w:spacing w:val="100"/>
          <w:w w:val="110"/>
          <w:kern w:val="0"/>
          <w:sz w:val="28"/>
          <w:szCs w:val="28"/>
        </w:rPr>
      </w:pPr>
      <w:r>
        <w:rPr>
          <w:rFonts w:hint="eastAsia" w:ascii="仿宋_GB2312" w:hAnsi="仿宋_GB2312" w:eastAsia="仿宋_GB2312" w:cs="仿宋_GB2312"/>
          <w:b/>
          <w:bCs/>
          <w:sz w:val="28"/>
          <w:szCs w:val="28"/>
          <w:u w:val="single"/>
        </w:rPr>
        <w:t xml:space="preserve">    一、二期生化池搅拌机大修  </w:t>
      </w:r>
      <w:r>
        <w:rPr>
          <w:rFonts w:hint="eastAsia" w:ascii="仿宋" w:hAnsi="仿宋" w:eastAsia="仿宋" w:cs="仿宋_GB2312"/>
          <w:b/>
          <w:spacing w:val="100"/>
          <w:w w:val="110"/>
          <w:kern w:val="0"/>
          <w:sz w:val="28"/>
          <w:szCs w:val="28"/>
        </w:rPr>
        <w:t>项目</w:t>
      </w:r>
    </w:p>
    <w:p>
      <w:pPr>
        <w:pStyle w:val="7"/>
        <w:jc w:val="center"/>
        <w:rPr>
          <w:rFonts w:ascii="仿宋" w:hAnsi="仿宋" w:eastAsia="仿宋" w:cs="仿宋_GB2312"/>
          <w:b/>
          <w:sz w:val="28"/>
          <w:szCs w:val="28"/>
        </w:rPr>
      </w:pPr>
    </w:p>
    <w:p>
      <w:pPr>
        <w:pStyle w:val="7"/>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7"/>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7"/>
        <w:jc w:val="center"/>
        <w:rPr>
          <w:rFonts w:ascii="仿宋" w:hAnsi="仿宋" w:eastAsia="仿宋" w:cs="仿宋_GB2312"/>
          <w:b/>
          <w:sz w:val="28"/>
          <w:szCs w:val="28"/>
        </w:rPr>
      </w:pPr>
    </w:p>
    <w:p>
      <w:pPr>
        <w:pStyle w:val="7"/>
        <w:jc w:val="center"/>
        <w:rPr>
          <w:rFonts w:ascii="仿宋" w:hAnsi="仿宋" w:eastAsia="仿宋" w:cs="仿宋_GB2312"/>
          <w:b/>
          <w:sz w:val="28"/>
          <w:szCs w:val="28"/>
        </w:rPr>
      </w:pP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6"/>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0"/>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8"/>
        <w:ind w:firstLine="496"/>
        <w:rPr>
          <w:rFonts w:ascii="仿宋" w:hAnsi="仿宋" w:eastAsia="仿宋" w:cs="仿宋_GB2312"/>
        </w:rPr>
      </w:pPr>
    </w:p>
    <w:p>
      <w:pPr>
        <w:pStyle w:val="1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56746D"/>
    <w:multiLevelType w:val="multilevel"/>
    <w:tmpl w:val="2956746D"/>
    <w:lvl w:ilvl="0" w:tentative="0">
      <w:start w:val="1"/>
      <w:numFmt w:val="decimal"/>
      <w:lvlText w:val="%1、"/>
      <w:lvlJc w:val="left"/>
      <w:pPr>
        <w:tabs>
          <w:tab w:val="left" w:pos="721"/>
        </w:tabs>
        <w:ind w:left="721" w:hanging="720"/>
      </w:pPr>
    </w:lvl>
    <w:lvl w:ilvl="1" w:tentative="0">
      <w:start w:val="1"/>
      <w:numFmt w:val="decimal"/>
      <w:lvlText w:val="（%2）"/>
      <w:lvlJc w:val="left"/>
      <w:pPr>
        <w:tabs>
          <w:tab w:val="left" w:pos="1141"/>
        </w:tabs>
        <w:ind w:left="1141" w:hanging="720"/>
      </w:pPr>
    </w:lvl>
    <w:lvl w:ilvl="2" w:tentative="0">
      <w:start w:val="1"/>
      <w:numFmt w:val="lowerRoman"/>
      <w:lvlText w:val="%3."/>
      <w:lvlJc w:val="right"/>
      <w:pPr>
        <w:tabs>
          <w:tab w:val="left" w:pos="1261"/>
        </w:tabs>
        <w:ind w:left="1261" w:hanging="420"/>
      </w:pPr>
    </w:lvl>
    <w:lvl w:ilvl="3" w:tentative="0">
      <w:start w:val="1"/>
      <w:numFmt w:val="decimal"/>
      <w:lvlText w:val="%4."/>
      <w:lvlJc w:val="left"/>
      <w:pPr>
        <w:tabs>
          <w:tab w:val="left" w:pos="1681"/>
        </w:tabs>
        <w:ind w:left="1681" w:hanging="420"/>
      </w:pPr>
    </w:lvl>
    <w:lvl w:ilvl="4" w:tentative="0">
      <w:start w:val="1"/>
      <w:numFmt w:val="lowerLetter"/>
      <w:lvlText w:val="%5)"/>
      <w:lvlJc w:val="left"/>
      <w:pPr>
        <w:tabs>
          <w:tab w:val="left" w:pos="2101"/>
        </w:tabs>
        <w:ind w:left="2101" w:hanging="420"/>
      </w:pPr>
    </w:lvl>
    <w:lvl w:ilvl="5" w:tentative="0">
      <w:start w:val="1"/>
      <w:numFmt w:val="lowerRoman"/>
      <w:lvlText w:val="%6."/>
      <w:lvlJc w:val="right"/>
      <w:pPr>
        <w:tabs>
          <w:tab w:val="left" w:pos="2521"/>
        </w:tabs>
        <w:ind w:left="2521" w:hanging="420"/>
      </w:pPr>
    </w:lvl>
    <w:lvl w:ilvl="6" w:tentative="0">
      <w:start w:val="1"/>
      <w:numFmt w:val="decimal"/>
      <w:lvlText w:val="%7."/>
      <w:lvlJc w:val="left"/>
      <w:pPr>
        <w:tabs>
          <w:tab w:val="left" w:pos="2941"/>
        </w:tabs>
        <w:ind w:left="2941" w:hanging="420"/>
      </w:pPr>
    </w:lvl>
    <w:lvl w:ilvl="7" w:tentative="0">
      <w:start w:val="1"/>
      <w:numFmt w:val="lowerLetter"/>
      <w:lvlText w:val="%8)"/>
      <w:lvlJc w:val="left"/>
      <w:pPr>
        <w:tabs>
          <w:tab w:val="left" w:pos="3361"/>
        </w:tabs>
        <w:ind w:left="3361" w:hanging="420"/>
      </w:pPr>
    </w:lvl>
    <w:lvl w:ilvl="8" w:tentative="0">
      <w:start w:val="1"/>
      <w:numFmt w:val="lowerRoman"/>
      <w:lvlText w:val="%9."/>
      <w:lvlJc w:val="right"/>
      <w:pPr>
        <w:tabs>
          <w:tab w:val="left" w:pos="3781"/>
        </w:tabs>
        <w:ind w:left="3781" w:hanging="420"/>
      </w:pPr>
    </w:lvl>
  </w:abstractNum>
  <w:abstractNum w:abstractNumId="2">
    <w:nsid w:val="38D92DE8"/>
    <w:multiLevelType w:val="multilevel"/>
    <w:tmpl w:val="38D92DE8"/>
    <w:lvl w:ilvl="0" w:tentative="0">
      <w:start w:val="1"/>
      <w:numFmt w:val="decimalEnclosedCircle"/>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4E6F2B29"/>
    <w:multiLevelType w:val="multilevel"/>
    <w:tmpl w:val="4E6F2B29"/>
    <w:lvl w:ilvl="0" w:tentative="0">
      <w:start w:val="1"/>
      <w:numFmt w:val="japaneseCounting"/>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93C"/>
    <w:rsid w:val="00037BE3"/>
    <w:rsid w:val="00041B68"/>
    <w:rsid w:val="00042735"/>
    <w:rsid w:val="00052162"/>
    <w:rsid w:val="00061A00"/>
    <w:rsid w:val="00064384"/>
    <w:rsid w:val="000B45D7"/>
    <w:rsid w:val="000E18AB"/>
    <w:rsid w:val="001033F4"/>
    <w:rsid w:val="00107621"/>
    <w:rsid w:val="00113C90"/>
    <w:rsid w:val="001337C2"/>
    <w:rsid w:val="001573AC"/>
    <w:rsid w:val="00170F56"/>
    <w:rsid w:val="00172A27"/>
    <w:rsid w:val="001B0B2D"/>
    <w:rsid w:val="001B47BD"/>
    <w:rsid w:val="00213AE2"/>
    <w:rsid w:val="00226167"/>
    <w:rsid w:val="00244F36"/>
    <w:rsid w:val="002761D2"/>
    <w:rsid w:val="00281A0B"/>
    <w:rsid w:val="00283D77"/>
    <w:rsid w:val="002B098E"/>
    <w:rsid w:val="002B5A58"/>
    <w:rsid w:val="002C3030"/>
    <w:rsid w:val="002C4C88"/>
    <w:rsid w:val="002D112B"/>
    <w:rsid w:val="00300EED"/>
    <w:rsid w:val="00312850"/>
    <w:rsid w:val="00313C4D"/>
    <w:rsid w:val="0033207F"/>
    <w:rsid w:val="003434F2"/>
    <w:rsid w:val="003578A6"/>
    <w:rsid w:val="003600DE"/>
    <w:rsid w:val="003641AF"/>
    <w:rsid w:val="00371D56"/>
    <w:rsid w:val="003747B6"/>
    <w:rsid w:val="003767EA"/>
    <w:rsid w:val="003859D1"/>
    <w:rsid w:val="00391EE2"/>
    <w:rsid w:val="00393C05"/>
    <w:rsid w:val="003A005D"/>
    <w:rsid w:val="003A12D5"/>
    <w:rsid w:val="003E0DD1"/>
    <w:rsid w:val="004059DD"/>
    <w:rsid w:val="00410FFE"/>
    <w:rsid w:val="00414C19"/>
    <w:rsid w:val="0043055C"/>
    <w:rsid w:val="00463EDB"/>
    <w:rsid w:val="004E7CF2"/>
    <w:rsid w:val="004F1516"/>
    <w:rsid w:val="004F31F4"/>
    <w:rsid w:val="00520A3B"/>
    <w:rsid w:val="005243EB"/>
    <w:rsid w:val="005255BD"/>
    <w:rsid w:val="00527E41"/>
    <w:rsid w:val="00556040"/>
    <w:rsid w:val="00571F38"/>
    <w:rsid w:val="00572D5D"/>
    <w:rsid w:val="00592274"/>
    <w:rsid w:val="005A05DE"/>
    <w:rsid w:val="005B127B"/>
    <w:rsid w:val="005C0D4B"/>
    <w:rsid w:val="005F3B1A"/>
    <w:rsid w:val="00604A02"/>
    <w:rsid w:val="00604FD0"/>
    <w:rsid w:val="00611396"/>
    <w:rsid w:val="00621CAD"/>
    <w:rsid w:val="0064653B"/>
    <w:rsid w:val="00650FB0"/>
    <w:rsid w:val="00663714"/>
    <w:rsid w:val="006749AD"/>
    <w:rsid w:val="006A4BAF"/>
    <w:rsid w:val="006B062A"/>
    <w:rsid w:val="006B5BEE"/>
    <w:rsid w:val="006F1E9B"/>
    <w:rsid w:val="00716C3B"/>
    <w:rsid w:val="00755775"/>
    <w:rsid w:val="00760BA5"/>
    <w:rsid w:val="007A691D"/>
    <w:rsid w:val="007B4EC7"/>
    <w:rsid w:val="007F6D27"/>
    <w:rsid w:val="0083061C"/>
    <w:rsid w:val="00855717"/>
    <w:rsid w:val="00870CE2"/>
    <w:rsid w:val="0087285C"/>
    <w:rsid w:val="008B642B"/>
    <w:rsid w:val="008D0175"/>
    <w:rsid w:val="008F55E6"/>
    <w:rsid w:val="008F7374"/>
    <w:rsid w:val="0090201C"/>
    <w:rsid w:val="00907FEF"/>
    <w:rsid w:val="009332E7"/>
    <w:rsid w:val="00934904"/>
    <w:rsid w:val="009529B1"/>
    <w:rsid w:val="00964E4F"/>
    <w:rsid w:val="00982CDA"/>
    <w:rsid w:val="009A2104"/>
    <w:rsid w:val="009A7E84"/>
    <w:rsid w:val="009C5ABB"/>
    <w:rsid w:val="009E7E94"/>
    <w:rsid w:val="00A24DE1"/>
    <w:rsid w:val="00A25770"/>
    <w:rsid w:val="00A51E44"/>
    <w:rsid w:val="00A8461C"/>
    <w:rsid w:val="00A969F4"/>
    <w:rsid w:val="00A97278"/>
    <w:rsid w:val="00AB7CE4"/>
    <w:rsid w:val="00AD0CB2"/>
    <w:rsid w:val="00AE0316"/>
    <w:rsid w:val="00B10834"/>
    <w:rsid w:val="00B52256"/>
    <w:rsid w:val="00B5419B"/>
    <w:rsid w:val="00B56982"/>
    <w:rsid w:val="00B77EAF"/>
    <w:rsid w:val="00B857E9"/>
    <w:rsid w:val="00B87833"/>
    <w:rsid w:val="00BD3A21"/>
    <w:rsid w:val="00BD475E"/>
    <w:rsid w:val="00BF7E39"/>
    <w:rsid w:val="00C30565"/>
    <w:rsid w:val="00C93554"/>
    <w:rsid w:val="00CB0CF6"/>
    <w:rsid w:val="00CB2255"/>
    <w:rsid w:val="00CD3037"/>
    <w:rsid w:val="00CF4C91"/>
    <w:rsid w:val="00CF7EFD"/>
    <w:rsid w:val="00D4562B"/>
    <w:rsid w:val="00D62E29"/>
    <w:rsid w:val="00DA32EA"/>
    <w:rsid w:val="00DC13AF"/>
    <w:rsid w:val="00DE1E3F"/>
    <w:rsid w:val="00E11164"/>
    <w:rsid w:val="00E25222"/>
    <w:rsid w:val="00E253BE"/>
    <w:rsid w:val="00E46905"/>
    <w:rsid w:val="00E62F88"/>
    <w:rsid w:val="00E723E4"/>
    <w:rsid w:val="00E8657E"/>
    <w:rsid w:val="00E97087"/>
    <w:rsid w:val="00EA51A4"/>
    <w:rsid w:val="00EB3419"/>
    <w:rsid w:val="00F3648A"/>
    <w:rsid w:val="00F368B2"/>
    <w:rsid w:val="00F44B81"/>
    <w:rsid w:val="00F52DE0"/>
    <w:rsid w:val="00F747E4"/>
    <w:rsid w:val="00F94B7C"/>
    <w:rsid w:val="00FB4623"/>
    <w:rsid w:val="00FF21D5"/>
    <w:rsid w:val="027A5F7E"/>
    <w:rsid w:val="03F97C93"/>
    <w:rsid w:val="05087E50"/>
    <w:rsid w:val="06631A9D"/>
    <w:rsid w:val="06BE3893"/>
    <w:rsid w:val="06F253F2"/>
    <w:rsid w:val="07DF75F9"/>
    <w:rsid w:val="09036FEC"/>
    <w:rsid w:val="0934547A"/>
    <w:rsid w:val="09B207F9"/>
    <w:rsid w:val="0B021542"/>
    <w:rsid w:val="0B856175"/>
    <w:rsid w:val="0E871FE6"/>
    <w:rsid w:val="0F8D020F"/>
    <w:rsid w:val="10AD3DC8"/>
    <w:rsid w:val="11A021F8"/>
    <w:rsid w:val="1457366A"/>
    <w:rsid w:val="14E57AA8"/>
    <w:rsid w:val="156E33B1"/>
    <w:rsid w:val="163246C2"/>
    <w:rsid w:val="16732FEB"/>
    <w:rsid w:val="16C90004"/>
    <w:rsid w:val="176E7480"/>
    <w:rsid w:val="187F72BD"/>
    <w:rsid w:val="18A93985"/>
    <w:rsid w:val="194C5F03"/>
    <w:rsid w:val="1A4E4A01"/>
    <w:rsid w:val="1E5828D6"/>
    <w:rsid w:val="1E8A1A2E"/>
    <w:rsid w:val="1F516372"/>
    <w:rsid w:val="1FD430C8"/>
    <w:rsid w:val="20E33285"/>
    <w:rsid w:val="22551E62"/>
    <w:rsid w:val="230D1610"/>
    <w:rsid w:val="232D22B4"/>
    <w:rsid w:val="23A52A88"/>
    <w:rsid w:val="24121125"/>
    <w:rsid w:val="250B3654"/>
    <w:rsid w:val="269221D6"/>
    <w:rsid w:val="269C0568"/>
    <w:rsid w:val="27563635"/>
    <w:rsid w:val="27567996"/>
    <w:rsid w:val="27B45138"/>
    <w:rsid w:val="29B32B82"/>
    <w:rsid w:val="2AA33D5E"/>
    <w:rsid w:val="2B52084C"/>
    <w:rsid w:val="2BB36041"/>
    <w:rsid w:val="2BCA23E3"/>
    <w:rsid w:val="2D6119E0"/>
    <w:rsid w:val="2EC64439"/>
    <w:rsid w:val="2FDA6411"/>
    <w:rsid w:val="308974AE"/>
    <w:rsid w:val="325B51AB"/>
    <w:rsid w:val="33766BFC"/>
    <w:rsid w:val="343D511F"/>
    <w:rsid w:val="352765C3"/>
    <w:rsid w:val="37152C21"/>
    <w:rsid w:val="392F3EDF"/>
    <w:rsid w:val="39704948"/>
    <w:rsid w:val="39DD52FC"/>
    <w:rsid w:val="3AE530F5"/>
    <w:rsid w:val="3B8E0546"/>
    <w:rsid w:val="3E3402C7"/>
    <w:rsid w:val="3F34383F"/>
    <w:rsid w:val="415E1BCB"/>
    <w:rsid w:val="43714570"/>
    <w:rsid w:val="44C2005E"/>
    <w:rsid w:val="46F6477A"/>
    <w:rsid w:val="48DF209C"/>
    <w:rsid w:val="4A0465FC"/>
    <w:rsid w:val="4DB53509"/>
    <w:rsid w:val="4DF57B76"/>
    <w:rsid w:val="4E0C3F18"/>
    <w:rsid w:val="4E3605DF"/>
    <w:rsid w:val="4F105D44"/>
    <w:rsid w:val="51A32C5C"/>
    <w:rsid w:val="51A61200"/>
    <w:rsid w:val="53211D72"/>
    <w:rsid w:val="545963E8"/>
    <w:rsid w:val="54C2459A"/>
    <w:rsid w:val="54C93027"/>
    <w:rsid w:val="560F58BD"/>
    <w:rsid w:val="58881592"/>
    <w:rsid w:val="5BB167FD"/>
    <w:rsid w:val="5BE80ED6"/>
    <w:rsid w:val="5E8B6E91"/>
    <w:rsid w:val="5F8D7DD2"/>
    <w:rsid w:val="61101BC5"/>
    <w:rsid w:val="66007D67"/>
    <w:rsid w:val="663F0B50"/>
    <w:rsid w:val="69C14D5D"/>
    <w:rsid w:val="69C61397"/>
    <w:rsid w:val="6C105A58"/>
    <w:rsid w:val="6D095C70"/>
    <w:rsid w:val="6D4B1F5D"/>
    <w:rsid w:val="6D8238A7"/>
    <w:rsid w:val="6E8F7310"/>
    <w:rsid w:val="6F483FA1"/>
    <w:rsid w:val="7062542F"/>
    <w:rsid w:val="732E3907"/>
    <w:rsid w:val="73D16993"/>
    <w:rsid w:val="73FC2287"/>
    <w:rsid w:val="75011284"/>
    <w:rsid w:val="75200B56"/>
    <w:rsid w:val="75435570"/>
    <w:rsid w:val="75E51A66"/>
    <w:rsid w:val="76C97B9E"/>
    <w:rsid w:val="781A002A"/>
    <w:rsid w:val="796075AF"/>
    <w:rsid w:val="7A026DB8"/>
    <w:rsid w:val="7A35575A"/>
    <w:rsid w:val="7B1227F8"/>
    <w:rsid w:val="7C00467F"/>
    <w:rsid w:val="7C42096C"/>
    <w:rsid w:val="7D72325C"/>
    <w:rsid w:val="7D9D7924"/>
    <w:rsid w:val="7DDE038D"/>
    <w:rsid w:val="7E6150E3"/>
    <w:rsid w:val="7E9633BF"/>
    <w:rsid w:val="7F015F98"/>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unhideWhenUsed/>
    <w:qFormat/>
    <w:uiPriority w:val="99"/>
    <w:rPr>
      <w:sz w:val="28"/>
    </w:rPr>
  </w:style>
  <w:style w:type="paragraph" w:styleId="6">
    <w:name w:val="Body Text Indent"/>
    <w:basedOn w:val="1"/>
    <w:unhideWhenUsed/>
    <w:uiPriority w:val="99"/>
    <w:pPr>
      <w:ind w:firstLine="830" w:firstLineChars="352"/>
    </w:pPr>
    <w:rPr>
      <w:rFonts w:ascii="仿宋_GB2312" w:eastAsia="仿宋_GB2312"/>
      <w:sz w:val="32"/>
    </w:rPr>
  </w:style>
  <w:style w:type="paragraph" w:styleId="7">
    <w:name w:val="Plain Text"/>
    <w:basedOn w:val="1"/>
    <w:link w:val="23"/>
    <w:unhideWhenUsed/>
    <w:uiPriority w:val="0"/>
    <w:rPr>
      <w:rFonts w:ascii="宋体" w:hAnsi="Courier New" w:cs="Courier New"/>
      <w:szCs w:val="21"/>
    </w:rPr>
  </w:style>
  <w:style w:type="paragraph" w:styleId="8">
    <w:name w:val="Body Text Indent 2"/>
    <w:basedOn w:val="1"/>
    <w:unhideWhenUsed/>
    <w:uiPriority w:val="99"/>
    <w:pPr>
      <w:adjustRightInd w:val="0"/>
      <w:spacing w:after="120" w:line="480" w:lineRule="auto"/>
      <w:ind w:left="420" w:leftChars="200" w:firstLine="567"/>
      <w:jc w:val="left"/>
      <w:textAlignment w:val="baseline"/>
    </w:pPr>
    <w:rPr>
      <w:sz w:val="28"/>
    </w:rPr>
  </w:style>
  <w:style w:type="paragraph" w:styleId="9">
    <w:name w:val="Balloon Text"/>
    <w:basedOn w:val="1"/>
    <w:link w:val="26"/>
    <w:semiHidden/>
    <w:unhideWhenUsed/>
    <w:uiPriority w:val="99"/>
    <w:rPr>
      <w:sz w:val="18"/>
      <w:szCs w:val="18"/>
    </w:rPr>
  </w:style>
  <w:style w:type="paragraph" w:styleId="10">
    <w:name w:val="footer"/>
    <w:basedOn w:val="1"/>
    <w:link w:val="21"/>
    <w:unhideWhenUsed/>
    <w:uiPriority w:val="99"/>
    <w:pPr>
      <w:tabs>
        <w:tab w:val="center" w:pos="4153"/>
        <w:tab w:val="right" w:pos="8306"/>
      </w:tabs>
      <w:snapToGrid w:val="0"/>
      <w:jc w:val="left"/>
    </w:pPr>
    <w:rPr>
      <w:sz w:val="18"/>
    </w:rPr>
  </w:style>
  <w:style w:type="paragraph" w:styleId="11">
    <w:name w:val="header"/>
    <w:basedOn w:val="1"/>
    <w:link w:val="22"/>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uiPriority w:val="39"/>
  </w:style>
  <w:style w:type="paragraph" w:styleId="13">
    <w:name w:val="Normal (Web)"/>
    <w:basedOn w:val="1"/>
    <w:uiPriority w:val="0"/>
    <w:pPr>
      <w:widowControl/>
      <w:spacing w:before="100" w:beforeAutospacing="1" w:after="100" w:afterAutospacing="1"/>
      <w:jc w:val="left"/>
    </w:pPr>
    <w:rPr>
      <w:rFonts w:ascii="宋体" w:hAnsi="宋体"/>
      <w:color w:val="000000"/>
      <w:kern w:val="0"/>
      <w:sz w:val="24"/>
      <w:szCs w:val="24"/>
    </w:rPr>
  </w:style>
  <w:style w:type="character" w:styleId="16">
    <w:name w:val="page number"/>
    <w:basedOn w:val="15"/>
    <w:unhideWhenUsed/>
    <w:uiPriority w:val="99"/>
  </w:style>
  <w:style w:type="character" w:styleId="17">
    <w:name w:val="Hyperlink"/>
    <w:basedOn w:val="15"/>
    <w:unhideWhenUsed/>
    <w:qFormat/>
    <w:uiPriority w:val="99"/>
    <w:rPr>
      <w:color w:val="0000FF"/>
      <w:u w:val="single"/>
    </w:rPr>
  </w:style>
  <w:style w:type="paragraph" w:customStyle="1" w:styleId="18">
    <w:name w:val="文一"/>
    <w:basedOn w:val="1"/>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19">
    <w:name w:val="Char"/>
    <w:basedOn w:val="1"/>
    <w:uiPriority w:val="0"/>
    <w:pPr>
      <w:spacing w:line="480" w:lineRule="exact"/>
    </w:pPr>
    <w:rPr>
      <w:sz w:val="24"/>
      <w:szCs w:val="24"/>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1">
    <w:name w:val="页脚 Char"/>
    <w:basedOn w:val="15"/>
    <w:link w:val="10"/>
    <w:qFormat/>
    <w:uiPriority w:val="99"/>
    <w:rPr>
      <w:sz w:val="18"/>
    </w:rPr>
  </w:style>
  <w:style w:type="character" w:customStyle="1" w:styleId="22">
    <w:name w:val="页眉 Char"/>
    <w:link w:val="11"/>
    <w:qFormat/>
    <w:uiPriority w:val="0"/>
    <w:rPr>
      <w:kern w:val="2"/>
      <w:sz w:val="18"/>
    </w:rPr>
  </w:style>
  <w:style w:type="character" w:customStyle="1" w:styleId="23">
    <w:name w:val="纯文本 Char"/>
    <w:basedOn w:val="15"/>
    <w:link w:val="7"/>
    <w:qFormat/>
    <w:uiPriority w:val="0"/>
    <w:rPr>
      <w:rFonts w:ascii="宋体" w:hAnsi="Courier New" w:cs="Courier New"/>
      <w:sz w:val="21"/>
      <w:szCs w:val="21"/>
    </w:rPr>
  </w:style>
  <w:style w:type="paragraph" w:styleId="24">
    <w:name w:val="List Paragraph"/>
    <w:basedOn w:val="1"/>
    <w:qFormat/>
    <w:uiPriority w:val="34"/>
    <w:pPr>
      <w:ind w:firstLine="420" w:firstLineChars="200"/>
    </w:pPr>
  </w:style>
  <w:style w:type="character" w:customStyle="1" w:styleId="25">
    <w:name w:val="纯文本 Char1"/>
    <w:basedOn w:val="15"/>
    <w:semiHidden/>
    <w:locked/>
    <w:uiPriority w:val="0"/>
    <w:rPr>
      <w:rFonts w:ascii="宋体" w:hAnsi="Courier New" w:eastAsia="宋体" w:cs="Courier New"/>
      <w:szCs w:val="21"/>
    </w:rPr>
  </w:style>
  <w:style w:type="character" w:customStyle="1" w:styleId="26">
    <w:name w:val="批注框文本 Char"/>
    <w:basedOn w:val="15"/>
    <w:link w:val="9"/>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BF54A-BD68-49B3-9E60-AD333643B5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2282</Words>
  <Characters>13008</Characters>
  <Lines>108</Lines>
  <Paragraphs>30</Paragraphs>
  <TotalTime>2</TotalTime>
  <ScaleCrop>false</ScaleCrop>
  <LinksUpToDate>false</LinksUpToDate>
  <CharactersWithSpaces>15260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Lenovo</cp:lastModifiedBy>
  <cp:lastPrinted>2020-05-06T03:24:00Z</cp:lastPrinted>
  <dcterms:modified xsi:type="dcterms:W3CDTF">2020-08-13T08:35:28Z</dcterms:modified>
  <dc:title>询价文件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