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XE-20200722-09</w:t>
      </w:r>
      <w:r>
        <w:fldChar w:fldCharType="begin"/>
      </w:r>
      <w:r>
        <w:instrText xml:space="preserve"> DOCVARIABLE  采购编号  \* MERGEFORMAT </w:instrText>
      </w:r>
      <w:r>
        <w:fldChar w:fldCharType="end"/>
      </w:r>
    </w:p>
    <w:p>
      <w:pPr>
        <w:spacing w:line="500" w:lineRule="exact"/>
        <w:ind w:left="1546" w:hanging="1540" w:hangingChars="550"/>
        <w:jc w:val="left"/>
        <w:rPr>
          <w:rFonts w:hint="eastAsia" w:ascii="仿宋" w:hAnsi="仿宋" w:eastAsia="仿宋" w:cs="仿宋_GB2312"/>
          <w:b/>
          <w:bCs/>
          <w:sz w:val="28"/>
          <w:szCs w:val="28"/>
          <w:lang w:eastAsia="zh-CN"/>
        </w:rPr>
      </w:pPr>
      <w:r>
        <w:rPr>
          <w:rFonts w:hint="eastAsia" w:ascii="仿宋" w:hAnsi="仿宋" w:eastAsia="仿宋" w:cs="仿宋_GB2312"/>
          <w:b/>
          <w:bCs/>
          <w:sz w:val="28"/>
          <w:szCs w:val="28"/>
        </w:rPr>
        <w:t>项目名称：</w:t>
      </w:r>
      <w:r>
        <w:rPr>
          <w:rFonts w:hint="eastAsia" w:ascii="仿宋_GB2312" w:hAnsi="宋体" w:eastAsia="仿宋_GB2312" w:cs="宋体"/>
          <w:kern w:val="0"/>
          <w:sz w:val="28"/>
          <w:szCs w:val="28"/>
          <w:lang w:eastAsia="zh-CN"/>
        </w:rPr>
        <w:t>广州市净水有限公司2020年高压绝缘工具检测服务项目（第二次）</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 20</w:t>
      </w:r>
      <w:r>
        <w:rPr>
          <w:rFonts w:ascii="仿宋" w:hAnsi="仿宋" w:eastAsia="仿宋" w:cs="仿宋_GB2312"/>
          <w:b/>
          <w:bCs/>
          <w:sz w:val="28"/>
        </w:rPr>
        <w:t xml:space="preserve">20 </w:t>
      </w:r>
      <w:r>
        <w:rPr>
          <w:rFonts w:hint="eastAsia" w:ascii="仿宋" w:hAnsi="仿宋" w:eastAsia="仿宋" w:cs="仿宋_GB2312"/>
          <w:b/>
          <w:bCs/>
          <w:sz w:val="28"/>
        </w:rPr>
        <w:t>年</w:t>
      </w:r>
      <w:r>
        <w:rPr>
          <w:rFonts w:hint="eastAsia" w:ascii="仿宋" w:hAnsi="仿宋" w:eastAsia="仿宋" w:cs="仿宋_GB2312"/>
          <w:b/>
          <w:bCs/>
          <w:sz w:val="28"/>
          <w:lang w:val="en-US" w:eastAsia="zh-CN"/>
        </w:rPr>
        <w:t>7</w:t>
      </w:r>
      <w:r>
        <w:rPr>
          <w:rFonts w:hint="eastAsia" w:ascii="仿宋" w:hAnsi="仿宋" w:eastAsia="仿宋" w:cs="仿宋_GB2312"/>
          <w:b/>
          <w:bCs/>
          <w:sz w:val="28"/>
        </w:rPr>
        <w:t>月</w:t>
      </w:r>
      <w:r>
        <w:rPr>
          <w:rFonts w:hint="eastAsia" w:ascii="仿宋" w:hAnsi="仿宋" w:eastAsia="仿宋" w:cs="仿宋_GB2312"/>
          <w:b/>
          <w:bCs/>
          <w:sz w:val="28"/>
          <w:lang w:val="en-US" w:eastAsia="zh-CN"/>
        </w:rPr>
        <w:t>22</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sz w:val="28"/>
          <w:szCs w:val="28"/>
          <w:u w:val="single"/>
        </w:rPr>
        <w:t xml:space="preserve"> </w:t>
      </w:r>
      <w:r>
        <w:rPr>
          <w:rFonts w:hint="eastAsia" w:ascii="仿宋_GB2312" w:hAnsi="宋体" w:eastAsia="仿宋_GB2312" w:cs="宋体"/>
          <w:kern w:val="0"/>
          <w:sz w:val="28"/>
          <w:szCs w:val="28"/>
          <w:u w:val="single"/>
          <w:lang w:eastAsia="zh-CN"/>
        </w:rPr>
        <w:t>广州市净水有限公司2020年高压绝缘工具检测服务项目（第二次）</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二</w:t>
      </w:r>
      <w:r>
        <w:rPr>
          <w:rFonts w:hint="eastAsia" w:ascii="仿宋" w:hAnsi="仿宋" w:eastAsia="仿宋" w:cs="仿宋_GB2312"/>
          <w:sz w:val="28"/>
          <w:szCs w:val="28"/>
          <w:lang w:val="zh-CN"/>
        </w:rPr>
        <w:t xml:space="preserve">、项目编号： </w:t>
      </w:r>
      <w:r>
        <w:rPr>
          <w:rFonts w:hint="eastAsia" w:ascii="仿宋" w:hAnsi="仿宋" w:eastAsia="仿宋" w:cs="仿宋_GB2312"/>
          <w:sz w:val="28"/>
          <w:szCs w:val="28"/>
          <w:u w:val="single"/>
          <w:lang w:val="zh-CN"/>
        </w:rPr>
        <w:t>XE-20200722-09</w:t>
      </w:r>
    </w:p>
    <w:p>
      <w:pPr>
        <w:autoSpaceDE w:val="0"/>
        <w:autoSpaceDN w:val="0"/>
        <w:ind w:firstLine="560" w:firstLineChars="200"/>
        <w:rPr>
          <w:rFonts w:hint="eastAsia" w:ascii="仿宋" w:hAnsi="仿宋" w:eastAsia="仿宋" w:cs="仿宋_GB2312"/>
          <w:bCs/>
          <w:sz w:val="28"/>
          <w:szCs w:val="28"/>
          <w:u w:val="single"/>
          <w:lang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_GB2312" w:hAnsi="宋体" w:eastAsia="仿宋_GB2312" w:cs="宋体"/>
          <w:kern w:val="0"/>
          <w:sz w:val="28"/>
          <w:szCs w:val="28"/>
          <w:u w:val="single"/>
          <w:lang w:eastAsia="zh-CN"/>
        </w:rPr>
        <w:t>广州市净水有限公司2020年高压绝缘工具检测服务项目（第二次）</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ascii="仿宋" w:hAnsi="仿宋" w:cs="仿宋_GB2312"/>
          <w:sz w:val="28"/>
          <w:szCs w:val="28"/>
          <w:u w:val="single"/>
        </w:rPr>
        <w:t>6.98</w:t>
      </w:r>
      <w:r>
        <w:rPr>
          <w:rFonts w:hint="eastAsia" w:ascii="仿宋" w:hAnsi="仿宋" w:cs="仿宋_GB2312"/>
          <w:sz w:val="28"/>
          <w:szCs w:val="28"/>
          <w:u w:val="single"/>
        </w:rPr>
        <w:t>万元（人民币）</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pStyle w:val="8"/>
        <w:spacing w:line="360" w:lineRule="auto"/>
        <w:ind w:firstLine="840" w:firstLineChars="300"/>
        <w:rPr>
          <w:rFonts w:hAnsi="宋体" w:cs="宋体"/>
          <w:sz w:val="24"/>
        </w:rPr>
      </w:pPr>
      <w:r>
        <w:rPr>
          <w:rFonts w:ascii="仿宋" w:hAnsi="仿宋" w:eastAsia="仿宋" w:cs="仿宋_GB2312"/>
          <w:sz w:val="28"/>
          <w:szCs w:val="28"/>
          <w:u w:val="single"/>
        </w:rPr>
        <w:t>对广州市净水有限公司属下的猎德分公司</w:t>
      </w:r>
      <w:r>
        <w:rPr>
          <w:rFonts w:hint="eastAsia" w:ascii="仿宋" w:hAnsi="仿宋" w:eastAsia="仿宋" w:cs="仿宋_GB2312"/>
          <w:sz w:val="28"/>
          <w:szCs w:val="28"/>
          <w:u w:val="single"/>
        </w:rPr>
        <w:t>、</w:t>
      </w:r>
      <w:r>
        <w:rPr>
          <w:rFonts w:ascii="仿宋" w:hAnsi="仿宋" w:eastAsia="仿宋" w:cs="仿宋_GB2312"/>
          <w:sz w:val="28"/>
          <w:szCs w:val="28"/>
          <w:u w:val="single"/>
        </w:rPr>
        <w:t>沥滘分公司</w:t>
      </w:r>
      <w:r>
        <w:rPr>
          <w:rFonts w:hint="eastAsia" w:ascii="仿宋" w:hAnsi="仿宋" w:eastAsia="仿宋" w:cs="仿宋_GB2312"/>
          <w:sz w:val="28"/>
          <w:szCs w:val="28"/>
          <w:u w:val="single"/>
        </w:rPr>
        <w:t>、</w:t>
      </w:r>
      <w:r>
        <w:rPr>
          <w:rFonts w:ascii="仿宋" w:hAnsi="仿宋" w:eastAsia="仿宋" w:cs="仿宋_GB2312"/>
          <w:sz w:val="28"/>
          <w:szCs w:val="28"/>
          <w:u w:val="single"/>
        </w:rPr>
        <w:t>大沙地分公司</w:t>
      </w:r>
      <w:r>
        <w:rPr>
          <w:rFonts w:hint="eastAsia" w:ascii="仿宋" w:hAnsi="仿宋" w:eastAsia="仿宋" w:cs="仿宋_GB2312"/>
          <w:sz w:val="28"/>
          <w:szCs w:val="28"/>
          <w:u w:val="single"/>
        </w:rPr>
        <w:t>、</w:t>
      </w:r>
      <w:r>
        <w:rPr>
          <w:rFonts w:ascii="仿宋" w:hAnsi="仿宋" w:eastAsia="仿宋" w:cs="仿宋_GB2312"/>
          <w:sz w:val="28"/>
          <w:szCs w:val="28"/>
          <w:u w:val="single"/>
        </w:rPr>
        <w:t>龙归分公司等</w:t>
      </w:r>
      <w:r>
        <w:rPr>
          <w:rFonts w:hint="eastAsia" w:ascii="仿宋" w:hAnsi="仿宋" w:eastAsia="仿宋" w:cs="仿宋_GB2312"/>
          <w:sz w:val="28"/>
          <w:szCs w:val="28"/>
          <w:u w:val="single"/>
        </w:rPr>
        <w:t>电力</w:t>
      </w:r>
      <w:r>
        <w:rPr>
          <w:rFonts w:ascii="仿宋" w:hAnsi="仿宋" w:eastAsia="仿宋" w:cs="仿宋_GB2312"/>
          <w:sz w:val="28"/>
          <w:szCs w:val="28"/>
          <w:u w:val="single"/>
        </w:rPr>
        <w:t>安全工器具进行定期检测及预防性试验的服务</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ind w:firstLine="560" w:firstLineChars="200"/>
        <w:rPr>
          <w:rFonts w:ascii="仿宋" w:hAnsi="仿宋" w:eastAsia="仿宋" w:cs="仿宋_GB2312"/>
          <w:sz w:val="28"/>
          <w:szCs w:val="28"/>
          <w:u w:val="single"/>
        </w:rPr>
      </w:pPr>
      <w:r>
        <w:rPr>
          <w:rFonts w:ascii="仿宋" w:hAnsi="仿宋" w:eastAsia="仿宋" w:cs="仿宋_GB2312"/>
          <w:sz w:val="28"/>
          <w:szCs w:val="28"/>
        </w:rPr>
        <w:t>1</w:t>
      </w:r>
      <w:r>
        <w:rPr>
          <w:rFonts w:hint="eastAsia" w:ascii="仿宋" w:hAnsi="仿宋" w:eastAsia="仿宋" w:cs="仿宋_GB2312"/>
          <w:sz w:val="28"/>
          <w:szCs w:val="28"/>
        </w:rPr>
        <w:t>、</w:t>
      </w:r>
      <w:r>
        <w:rPr>
          <w:rFonts w:hint="eastAsia" w:ascii="仿宋_GB2312" w:hAnsi="仿宋_GB2312" w:eastAsia="仿宋_GB2312" w:cs="仿宋_GB2312"/>
          <w:sz w:val="28"/>
          <w:szCs w:val="28"/>
          <w:u w:val="single"/>
        </w:rPr>
        <w:t>报价单位必须具有独立法人资格,经营范围具有计量认证、计量技术咨询服务或质检技术服务等内容；</w:t>
      </w:r>
      <w:r>
        <w:rPr>
          <w:rFonts w:hint="eastAsia" w:ascii="仿宋" w:hAnsi="仿宋" w:eastAsia="仿宋" w:cs="仿宋"/>
          <w:sz w:val="28"/>
          <w:szCs w:val="28"/>
          <w:u w:val="single"/>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_GB2312" w:hAnsi="仿宋_GB2312" w:eastAsia="仿宋_GB2312" w:cs="仿宋_GB2312"/>
          <w:sz w:val="28"/>
          <w:szCs w:val="28"/>
          <w:u w:val="single"/>
        </w:rPr>
        <w:t>报价单位必须具有中国合格评定国家认可委员会实验室认可证书（CNAS）或 检验检测机构资质认定证书(CMA)</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所认证的检测能力必须包含但不限于本项目中所要求的检测项目，且在有效期内；</w:t>
      </w:r>
      <w:r>
        <w:rPr>
          <w:rFonts w:hint="eastAsia" w:ascii="仿宋" w:hAnsi="仿宋" w:eastAsia="仿宋" w:cs="仿宋_GB2312"/>
          <w:sz w:val="28"/>
          <w:szCs w:val="28"/>
          <w:u w:val="single"/>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w:t>
      </w:r>
      <w:r>
        <w:rPr>
          <w:rFonts w:hint="eastAsia" w:ascii="仿宋" w:hAnsi="仿宋" w:eastAsia="仿宋" w:cs="仿宋_GB2312"/>
          <w:sz w:val="28"/>
          <w:szCs w:val="28"/>
          <w:u w:val="single"/>
        </w:rPr>
        <w:t>报价单位需提供2017年1月1日至今任一电力</w:t>
      </w:r>
      <w:r>
        <w:rPr>
          <w:rFonts w:ascii="仿宋" w:hAnsi="仿宋" w:eastAsia="仿宋" w:cs="仿宋_GB2312"/>
          <w:sz w:val="28"/>
          <w:szCs w:val="28"/>
          <w:u w:val="single"/>
        </w:rPr>
        <w:t>安全工器具定期检测及预防性试验的服务</w:t>
      </w:r>
      <w:r>
        <w:rPr>
          <w:rFonts w:hint="eastAsia" w:ascii="仿宋" w:hAnsi="仿宋" w:eastAsia="仿宋" w:cs="仿宋_GB2312"/>
          <w:sz w:val="28"/>
          <w:szCs w:val="28"/>
          <w:u w:val="single"/>
        </w:rPr>
        <w:t>业绩（提供合同复印件证明）。</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、现场踏勘(答疑会)时间、地点（也可由投标人自行踏勘现场）：</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 现场踏勘(答疑会)集合地点：/</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八、询价文件的获取：在2020年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31</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时00分</w:t>
      </w:r>
      <w:r>
        <w:rPr>
          <w:rFonts w:hint="eastAsia" w:ascii="仿宋" w:hAnsi="仿宋" w:eastAsia="仿宋" w:cs="仿宋_GB2312"/>
          <w:sz w:val="28"/>
          <w:szCs w:val="28"/>
          <w:lang w:val="en-US" w:eastAsia="zh-CN"/>
        </w:rPr>
        <w:t>前</w:t>
      </w:r>
      <w:r>
        <w:rPr>
          <w:rFonts w:hint="eastAsia" w:ascii="仿宋" w:hAnsi="仿宋" w:eastAsia="仿宋" w:cs="仿宋_GB2312"/>
          <w:sz w:val="28"/>
          <w:szCs w:val="28"/>
        </w:rPr>
        <w:t>，在广州市净水有限公司门户网站免费下载。</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31</w:t>
      </w:r>
      <w:r>
        <w:rPr>
          <w:rFonts w:hint="eastAsia" w:ascii="仿宋" w:hAnsi="仿宋" w:eastAsia="仿宋" w:cs="仿宋_GB2312"/>
          <w:sz w:val="28"/>
          <w:szCs w:val="28"/>
        </w:rPr>
        <w:t>日9时30分至10时00分；询价响应文件截止时间：2020年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31</w:t>
      </w:r>
      <w:r>
        <w:rPr>
          <w:rFonts w:hint="eastAsia" w:ascii="仿宋" w:hAnsi="仿宋" w:eastAsia="仿宋" w:cs="仿宋_GB2312"/>
          <w:sz w:val="28"/>
          <w:szCs w:val="28"/>
        </w:rPr>
        <w:t>日10时00分。</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 xml:space="preserve">十、询价响应文件送达地点：广州市净水有限公司              </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十一、评审时间：2020年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31</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w:t>
      </w:r>
      <w:r>
        <w:rPr>
          <w:rFonts w:hint="eastAsia" w:ascii="仿宋" w:hAnsi="仿宋" w:eastAsia="仿宋" w:cs="仿宋_GB2312"/>
          <w:sz w:val="28"/>
          <w:szCs w:val="28"/>
          <w:lang w:val="zh-CN"/>
        </w:rPr>
        <w:t>广州市净水有限公司</w:t>
      </w:r>
      <w:r>
        <w:rPr>
          <w:rFonts w:hint="eastAsia" w:ascii="仿宋" w:hAnsi="仿宋" w:eastAsia="仿宋" w:cs="仿宋_GB2312"/>
          <w:sz w:val="28"/>
          <w:szCs w:val="28"/>
          <w:lang w:val="en-US" w:eastAsia="zh-CN"/>
        </w:rPr>
        <w:t>招标办</w:t>
      </w:r>
      <w:r>
        <w:rPr>
          <w:rFonts w:ascii="仿宋" w:hAnsi="仿宋" w:eastAsia="仿宋" w:cs="仿宋_GB2312"/>
          <w:sz w:val="28"/>
          <w:szCs w:val="28"/>
        </w:rPr>
        <w:t xml:space="preserve"> </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 xml:space="preserve">联系地址：广州市天河区临江大道501号            </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黄工</w:t>
      </w:r>
      <w:r>
        <w:rPr>
          <w:rFonts w:hint="eastAsia" w:ascii="仿宋" w:hAnsi="仿宋" w:eastAsia="仿宋" w:cs="仿宋_GB2312"/>
          <w:kern w:val="0"/>
          <w:sz w:val="28"/>
          <w:szCs w:val="28"/>
        </w:rPr>
        <w:t xml:space="preserve">             联系方式：62315524</w:t>
      </w:r>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w:t>
      </w:r>
      <w:r>
        <w:rPr>
          <w:rFonts w:ascii="仿宋" w:hAnsi="仿宋" w:eastAsia="仿宋" w:cs="仿宋_GB2312"/>
          <w:sz w:val="28"/>
          <w:szCs w:val="28"/>
          <w:u w:val="single"/>
        </w:rPr>
        <w:t>20</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u w:val="single"/>
          <w:lang w:val="en-US" w:eastAsia="zh-CN"/>
        </w:rPr>
        <w:t>22</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8"/>
        <w:adjustRightInd w:val="0"/>
        <w:snapToGrid w:val="0"/>
        <w:spacing w:line="300" w:lineRule="auto"/>
        <w:rPr>
          <w:rFonts w:ascii="仿宋" w:hAnsi="仿宋" w:eastAsia="仿宋" w:cs="仿宋_GB2312"/>
          <w:b/>
          <w:sz w:val="28"/>
          <w:szCs w:val="28"/>
          <w:lang w:val="zh-CN"/>
        </w:rPr>
      </w:pPr>
    </w:p>
    <w:p>
      <w:pPr>
        <w:pStyle w:val="8"/>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8"/>
        <w:adjustRightInd w:val="0"/>
        <w:snapToGrid w:val="0"/>
        <w:spacing w:line="300" w:lineRule="auto"/>
        <w:ind w:firstLine="622" w:firstLineChars="200"/>
        <w:rPr>
          <w:rFonts w:ascii="仿宋" w:hAnsi="仿宋" w:eastAsia="仿宋" w:cs="仿宋_GB2312"/>
          <w:b/>
          <w:sz w:val="28"/>
          <w:szCs w:val="28"/>
          <w:lang w:val="zh-CN"/>
        </w:rPr>
      </w:pPr>
      <w:r>
        <w:rPr>
          <w:rFonts w:hint="eastAsia" w:ascii="仿宋_GB2312" w:hAnsi="仿宋" w:eastAsia="仿宋_GB2312"/>
          <w:sz w:val="32"/>
          <w:szCs w:val="32"/>
        </w:rPr>
        <w:t>为确保广州市净水有限公司属下各单位的电力安全工器具正常使用，降低安全隐患，并加强同类项目的精细管理，现</w:t>
      </w:r>
      <w:r>
        <w:rPr>
          <w:rFonts w:hint="eastAsia" w:ascii="仿宋_GB2312" w:hAnsi="仿宋_GB2312" w:eastAsia="仿宋_GB2312" w:cs="仿宋_GB2312"/>
          <w:sz w:val="32"/>
          <w:szCs w:val="32"/>
        </w:rPr>
        <w:t>拟对广州市净水</w:t>
      </w:r>
      <w:r>
        <w:rPr>
          <w:rFonts w:hint="eastAsia" w:ascii="仿宋_GB2312" w:hAnsi="仿宋" w:eastAsia="仿宋_GB2312"/>
          <w:sz w:val="32"/>
          <w:szCs w:val="32"/>
        </w:rPr>
        <w:t>有限公司属下的猎德分公司、沥滘分公</w:t>
      </w:r>
      <w:r>
        <w:rPr>
          <w:rFonts w:hint="eastAsia" w:ascii="仿宋_GB2312" w:hAnsi="仿宋_GB2312" w:eastAsia="仿宋_GB2312" w:cs="仿宋_GB2312"/>
          <w:sz w:val="32"/>
          <w:szCs w:val="32"/>
        </w:rPr>
        <w:t>司</w:t>
      </w:r>
      <w:r>
        <w:rPr>
          <w:rFonts w:hint="eastAsia" w:ascii="仿宋_GB2312" w:hAnsi="仿宋" w:eastAsia="仿宋_GB2312"/>
          <w:sz w:val="32"/>
          <w:szCs w:val="32"/>
        </w:rPr>
        <w:t>、大沙地分公司、龙归分公司等电力</w:t>
      </w:r>
      <w:r>
        <w:rPr>
          <w:rFonts w:ascii="仿宋_GB2312" w:hAnsi="仿宋" w:eastAsia="仿宋_GB2312"/>
          <w:sz w:val="32"/>
          <w:szCs w:val="32"/>
        </w:rPr>
        <w:t>安全工器具定期检测</w:t>
      </w:r>
      <w:bookmarkStart w:id="22" w:name="_GoBack"/>
      <w:bookmarkEnd w:id="22"/>
      <w:r>
        <w:rPr>
          <w:rFonts w:ascii="仿宋_GB2312" w:hAnsi="仿宋" w:eastAsia="仿宋_GB2312"/>
          <w:sz w:val="32"/>
          <w:szCs w:val="32"/>
        </w:rPr>
        <w:t>及预防性试验的服务</w:t>
      </w:r>
      <w:r>
        <w:rPr>
          <w:rFonts w:hint="eastAsia" w:ascii="仿宋_GB2312" w:hAnsi="仿宋" w:eastAsia="仿宋_GB2312"/>
          <w:sz w:val="32"/>
          <w:szCs w:val="32"/>
        </w:rPr>
        <w:t>统筹实施。暂定计划如下：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918"/>
        <w:gridCol w:w="1099"/>
        <w:gridCol w:w="1051"/>
        <w:gridCol w:w="1027"/>
        <w:gridCol w:w="979"/>
        <w:gridCol w:w="954"/>
        <w:gridCol w:w="1063"/>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60" w:type="dxa"/>
          </w:tcPr>
          <w:p>
            <w:pPr>
              <w:pStyle w:val="8"/>
              <w:adjustRightInd w:val="0"/>
              <w:snapToGrid w:val="0"/>
              <w:spacing w:line="300" w:lineRule="auto"/>
              <w:rPr>
                <w:rFonts w:ascii="仿宋" w:hAnsi="仿宋" w:eastAsia="仿宋" w:cs="仿宋_GB2312"/>
                <w:b/>
                <w:bCs/>
                <w:sz w:val="28"/>
                <w:szCs w:val="28"/>
              </w:rPr>
            </w:pPr>
            <w:bookmarkStart w:id="0" w:name="RANGE!A1:I14"/>
            <w:r>
              <w:rPr>
                <w:rFonts w:hint="eastAsia" w:ascii="仿宋" w:hAnsi="仿宋" w:eastAsia="仿宋" w:cs="仿宋_GB2312"/>
                <w:b/>
                <w:bCs/>
                <w:sz w:val="28"/>
                <w:szCs w:val="28"/>
              </w:rPr>
              <w:t>单位名称</w:t>
            </w:r>
            <w:bookmarkEnd w:id="0"/>
          </w:p>
        </w:tc>
        <w:tc>
          <w:tcPr>
            <w:tcW w:w="138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防护规格</w:t>
            </w:r>
          </w:p>
        </w:tc>
        <w:tc>
          <w:tcPr>
            <w:tcW w:w="168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绝缘手套数量</w:t>
            </w:r>
          </w:p>
        </w:tc>
        <w:tc>
          <w:tcPr>
            <w:tcW w:w="160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绝缘鞋数量</w:t>
            </w:r>
          </w:p>
        </w:tc>
        <w:tc>
          <w:tcPr>
            <w:tcW w:w="156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高压验电器（笔）数量</w:t>
            </w:r>
          </w:p>
        </w:tc>
        <w:tc>
          <w:tcPr>
            <w:tcW w:w="148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接地棒(线)数量</w:t>
            </w:r>
          </w:p>
        </w:tc>
        <w:tc>
          <w:tcPr>
            <w:tcW w:w="144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绝缘操作杆数量</w:t>
            </w:r>
          </w:p>
        </w:tc>
        <w:tc>
          <w:tcPr>
            <w:tcW w:w="162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绝缘垫数量</w:t>
            </w:r>
          </w:p>
        </w:tc>
        <w:tc>
          <w:tcPr>
            <w:tcW w:w="1420" w:type="dxa"/>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高压熔芯夹数量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猎德分公司</w:t>
            </w:r>
          </w:p>
        </w:tc>
        <w:tc>
          <w:tcPr>
            <w:tcW w:w="13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44</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44</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15</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32</w:t>
            </w:r>
          </w:p>
        </w:tc>
        <w:tc>
          <w:tcPr>
            <w:tcW w:w="1440" w:type="dxa"/>
          </w:tcPr>
          <w:p>
            <w:pPr>
              <w:pStyle w:val="8"/>
              <w:adjustRightInd w:val="0"/>
              <w:snapToGrid w:val="0"/>
              <w:spacing w:line="300" w:lineRule="auto"/>
              <w:jc w:val="center"/>
              <w:rPr>
                <w:rFonts w:ascii="仿宋" w:hAnsi="仿宋" w:eastAsia="仿宋" w:cs="仿宋_GB2312"/>
                <w:b/>
                <w:sz w:val="28"/>
                <w:szCs w:val="28"/>
              </w:rPr>
            </w:pP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沥滘分公司</w:t>
            </w:r>
          </w:p>
        </w:tc>
        <w:tc>
          <w:tcPr>
            <w:tcW w:w="13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72</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71</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13</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25</w:t>
            </w: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29</w:t>
            </w:r>
          </w:p>
        </w:tc>
        <w:tc>
          <w:tcPr>
            <w:tcW w:w="162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55</w:t>
            </w: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大沙地分公司</w:t>
            </w:r>
          </w:p>
        </w:tc>
        <w:tc>
          <w:tcPr>
            <w:tcW w:w="13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88</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88</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14</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5</w:t>
            </w: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22</w:t>
            </w: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60" w:type="dxa"/>
            <w:vMerge w:val="restart"/>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龙归分公司</w:t>
            </w:r>
          </w:p>
        </w:tc>
        <w:tc>
          <w:tcPr>
            <w:tcW w:w="13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12KV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w:t>
            </w:r>
          </w:p>
        </w:tc>
        <w:tc>
          <w:tcPr>
            <w:tcW w:w="1480" w:type="dxa"/>
          </w:tcPr>
          <w:p>
            <w:pPr>
              <w:pStyle w:val="8"/>
              <w:adjustRightInd w:val="0"/>
              <w:snapToGrid w:val="0"/>
              <w:spacing w:line="300" w:lineRule="auto"/>
              <w:jc w:val="center"/>
              <w:rPr>
                <w:rFonts w:ascii="仿宋" w:hAnsi="仿宋" w:eastAsia="仿宋" w:cs="仿宋_GB2312"/>
                <w:b/>
                <w:sz w:val="28"/>
                <w:szCs w:val="28"/>
              </w:rPr>
            </w:pP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w:t>
            </w:r>
            <w:r>
              <w:rPr>
                <w:rFonts w:ascii="仿宋" w:hAnsi="仿宋" w:eastAsia="仿宋" w:cs="仿宋_GB2312"/>
                <w:b/>
                <w:sz w:val="28"/>
                <w:szCs w:val="28"/>
              </w:rPr>
              <w:t>0</w:t>
            </w: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60" w:type="dxa"/>
            <w:vMerge w:val="continue"/>
          </w:tcPr>
          <w:p>
            <w:pPr>
              <w:pStyle w:val="8"/>
              <w:adjustRightInd w:val="0"/>
              <w:snapToGrid w:val="0"/>
              <w:spacing w:line="300" w:lineRule="auto"/>
              <w:rPr>
                <w:rFonts w:ascii="仿宋" w:hAnsi="仿宋" w:eastAsia="仿宋" w:cs="仿宋_GB2312"/>
                <w:b/>
                <w:sz w:val="28"/>
                <w:szCs w:val="28"/>
              </w:rPr>
            </w:pP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25KV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20</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20</w:t>
            </w:r>
          </w:p>
        </w:tc>
        <w:tc>
          <w:tcPr>
            <w:tcW w:w="1560" w:type="dxa"/>
          </w:tcPr>
          <w:p>
            <w:pPr>
              <w:pStyle w:val="8"/>
              <w:adjustRightInd w:val="0"/>
              <w:snapToGrid w:val="0"/>
              <w:spacing w:line="300" w:lineRule="auto"/>
              <w:jc w:val="center"/>
              <w:rPr>
                <w:rFonts w:ascii="仿宋" w:hAnsi="仿宋" w:eastAsia="仿宋" w:cs="仿宋_GB2312"/>
                <w:b/>
                <w:sz w:val="28"/>
                <w:szCs w:val="28"/>
              </w:rPr>
            </w:pPr>
          </w:p>
        </w:tc>
        <w:tc>
          <w:tcPr>
            <w:tcW w:w="1480" w:type="dxa"/>
          </w:tcPr>
          <w:p>
            <w:pPr>
              <w:pStyle w:val="8"/>
              <w:adjustRightInd w:val="0"/>
              <w:snapToGrid w:val="0"/>
              <w:spacing w:line="300" w:lineRule="auto"/>
              <w:jc w:val="center"/>
              <w:rPr>
                <w:rFonts w:ascii="仿宋" w:hAnsi="仿宋" w:eastAsia="仿宋" w:cs="仿宋_GB2312"/>
                <w:b/>
                <w:sz w:val="28"/>
                <w:szCs w:val="28"/>
              </w:rPr>
            </w:pPr>
          </w:p>
        </w:tc>
        <w:tc>
          <w:tcPr>
            <w:tcW w:w="1440" w:type="dxa"/>
          </w:tcPr>
          <w:p>
            <w:pPr>
              <w:pStyle w:val="8"/>
              <w:adjustRightInd w:val="0"/>
              <w:snapToGrid w:val="0"/>
              <w:spacing w:line="300" w:lineRule="auto"/>
              <w:jc w:val="center"/>
              <w:rPr>
                <w:rFonts w:ascii="仿宋" w:hAnsi="仿宋" w:eastAsia="仿宋" w:cs="仿宋_GB2312"/>
                <w:b/>
                <w:sz w:val="28"/>
                <w:szCs w:val="28"/>
              </w:rPr>
            </w:pP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石井分公司</w:t>
            </w: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7</w:t>
            </w:r>
            <w:r>
              <w:rPr>
                <w:rFonts w:ascii="仿宋" w:hAnsi="仿宋" w:eastAsia="仿宋" w:cs="仿宋_GB2312"/>
                <w:b/>
                <w:sz w:val="28"/>
                <w:szCs w:val="28"/>
              </w:rPr>
              <w:t>3</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8</w:t>
            </w:r>
            <w:r>
              <w:rPr>
                <w:rFonts w:ascii="仿宋" w:hAnsi="仿宋" w:eastAsia="仿宋" w:cs="仿宋_GB2312"/>
                <w:b/>
                <w:sz w:val="28"/>
                <w:szCs w:val="28"/>
              </w:rPr>
              <w:t>0</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w:t>
            </w:r>
            <w:r>
              <w:rPr>
                <w:rFonts w:ascii="仿宋" w:hAnsi="仿宋" w:eastAsia="仿宋" w:cs="仿宋_GB2312"/>
                <w:b/>
                <w:sz w:val="28"/>
                <w:szCs w:val="28"/>
              </w:rPr>
              <w:t>0</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w:t>
            </w:r>
            <w:r>
              <w:rPr>
                <w:rFonts w:ascii="仿宋" w:hAnsi="仿宋" w:eastAsia="仿宋" w:cs="仿宋_GB2312"/>
                <w:b/>
                <w:sz w:val="28"/>
                <w:szCs w:val="28"/>
              </w:rPr>
              <w:t>8</w:t>
            </w: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3</w:t>
            </w:r>
            <w:r>
              <w:rPr>
                <w:rFonts w:ascii="仿宋" w:hAnsi="仿宋" w:eastAsia="仿宋" w:cs="仿宋_GB2312"/>
                <w:b/>
                <w:sz w:val="28"/>
                <w:szCs w:val="28"/>
              </w:rPr>
              <w:t>7</w:t>
            </w: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竹料分公司</w:t>
            </w: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36</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36</w:t>
            </w:r>
          </w:p>
        </w:tc>
        <w:tc>
          <w:tcPr>
            <w:tcW w:w="1560" w:type="dxa"/>
          </w:tcPr>
          <w:p>
            <w:pPr>
              <w:pStyle w:val="8"/>
              <w:adjustRightInd w:val="0"/>
              <w:snapToGrid w:val="0"/>
              <w:spacing w:line="300" w:lineRule="auto"/>
              <w:jc w:val="center"/>
              <w:rPr>
                <w:rFonts w:ascii="仿宋" w:hAnsi="仿宋" w:eastAsia="仿宋" w:cs="仿宋_GB2312"/>
                <w:b/>
                <w:sz w:val="28"/>
                <w:szCs w:val="28"/>
              </w:rPr>
            </w:pPr>
          </w:p>
        </w:tc>
        <w:tc>
          <w:tcPr>
            <w:tcW w:w="1480" w:type="dxa"/>
          </w:tcPr>
          <w:p>
            <w:pPr>
              <w:pStyle w:val="8"/>
              <w:adjustRightInd w:val="0"/>
              <w:snapToGrid w:val="0"/>
              <w:spacing w:line="300" w:lineRule="auto"/>
              <w:jc w:val="center"/>
              <w:rPr>
                <w:rFonts w:ascii="仿宋" w:hAnsi="仿宋" w:eastAsia="仿宋" w:cs="仿宋_GB2312"/>
                <w:b/>
                <w:sz w:val="28"/>
                <w:szCs w:val="28"/>
              </w:rPr>
            </w:pP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w:t>
            </w: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60" w:type="dxa"/>
            <w:vMerge w:val="restart"/>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石井净分公司</w:t>
            </w: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12kV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96</w:t>
            </w:r>
          </w:p>
        </w:tc>
        <w:tc>
          <w:tcPr>
            <w:tcW w:w="1600" w:type="dxa"/>
          </w:tcPr>
          <w:p>
            <w:pPr>
              <w:pStyle w:val="8"/>
              <w:adjustRightInd w:val="0"/>
              <w:snapToGrid w:val="0"/>
              <w:spacing w:line="300" w:lineRule="auto"/>
              <w:jc w:val="center"/>
              <w:rPr>
                <w:rFonts w:ascii="仿宋" w:hAnsi="仿宋" w:eastAsia="仿宋" w:cs="仿宋_GB2312"/>
                <w:b/>
                <w:sz w:val="28"/>
                <w:szCs w:val="28"/>
              </w:rPr>
            </w:pPr>
          </w:p>
        </w:tc>
        <w:tc>
          <w:tcPr>
            <w:tcW w:w="1560" w:type="dxa"/>
          </w:tcPr>
          <w:p>
            <w:pPr>
              <w:pStyle w:val="8"/>
              <w:adjustRightInd w:val="0"/>
              <w:snapToGrid w:val="0"/>
              <w:spacing w:line="300" w:lineRule="auto"/>
              <w:jc w:val="center"/>
              <w:rPr>
                <w:rFonts w:ascii="仿宋" w:hAnsi="仿宋" w:eastAsia="仿宋" w:cs="仿宋_GB2312"/>
                <w:b/>
                <w:sz w:val="28"/>
                <w:szCs w:val="28"/>
              </w:rPr>
            </w:pPr>
          </w:p>
        </w:tc>
        <w:tc>
          <w:tcPr>
            <w:tcW w:w="1480" w:type="dxa"/>
          </w:tcPr>
          <w:p>
            <w:pPr>
              <w:pStyle w:val="8"/>
              <w:adjustRightInd w:val="0"/>
              <w:snapToGrid w:val="0"/>
              <w:spacing w:line="300" w:lineRule="auto"/>
              <w:jc w:val="center"/>
              <w:rPr>
                <w:rFonts w:ascii="仿宋" w:hAnsi="仿宋" w:eastAsia="仿宋" w:cs="仿宋_GB2312"/>
                <w:b/>
                <w:sz w:val="28"/>
                <w:szCs w:val="28"/>
              </w:rPr>
            </w:pPr>
          </w:p>
        </w:tc>
        <w:tc>
          <w:tcPr>
            <w:tcW w:w="1440" w:type="dxa"/>
          </w:tcPr>
          <w:p>
            <w:pPr>
              <w:pStyle w:val="8"/>
              <w:adjustRightInd w:val="0"/>
              <w:snapToGrid w:val="0"/>
              <w:spacing w:line="300" w:lineRule="auto"/>
              <w:jc w:val="center"/>
              <w:rPr>
                <w:rFonts w:ascii="仿宋" w:hAnsi="仿宋" w:eastAsia="仿宋" w:cs="仿宋_GB2312"/>
                <w:b/>
                <w:sz w:val="28"/>
                <w:szCs w:val="28"/>
              </w:rPr>
            </w:pP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60" w:type="dxa"/>
            <w:vMerge w:val="continue"/>
          </w:tcPr>
          <w:p>
            <w:pPr>
              <w:pStyle w:val="8"/>
              <w:adjustRightInd w:val="0"/>
              <w:snapToGrid w:val="0"/>
              <w:spacing w:line="300" w:lineRule="auto"/>
              <w:rPr>
                <w:rFonts w:ascii="仿宋" w:hAnsi="仿宋" w:eastAsia="仿宋" w:cs="仿宋_GB2312"/>
                <w:b/>
                <w:sz w:val="28"/>
                <w:szCs w:val="28"/>
              </w:rPr>
            </w:pP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25kV</w:t>
            </w:r>
          </w:p>
        </w:tc>
        <w:tc>
          <w:tcPr>
            <w:tcW w:w="1680" w:type="dxa"/>
          </w:tcPr>
          <w:p>
            <w:pPr>
              <w:pStyle w:val="8"/>
              <w:adjustRightInd w:val="0"/>
              <w:snapToGrid w:val="0"/>
              <w:spacing w:line="300" w:lineRule="auto"/>
              <w:jc w:val="center"/>
              <w:rPr>
                <w:rFonts w:ascii="仿宋" w:hAnsi="仿宋" w:eastAsia="仿宋" w:cs="仿宋_GB2312"/>
                <w:b/>
                <w:sz w:val="28"/>
                <w:szCs w:val="28"/>
              </w:rPr>
            </w:pP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96</w:t>
            </w:r>
          </w:p>
        </w:tc>
        <w:tc>
          <w:tcPr>
            <w:tcW w:w="1560" w:type="dxa"/>
          </w:tcPr>
          <w:p>
            <w:pPr>
              <w:pStyle w:val="8"/>
              <w:adjustRightInd w:val="0"/>
              <w:snapToGrid w:val="0"/>
              <w:spacing w:line="300" w:lineRule="auto"/>
              <w:jc w:val="center"/>
              <w:rPr>
                <w:rFonts w:ascii="仿宋" w:hAnsi="仿宋" w:eastAsia="仿宋" w:cs="仿宋_GB2312"/>
                <w:b/>
                <w:sz w:val="28"/>
                <w:szCs w:val="28"/>
              </w:rPr>
            </w:pPr>
          </w:p>
        </w:tc>
        <w:tc>
          <w:tcPr>
            <w:tcW w:w="1480" w:type="dxa"/>
          </w:tcPr>
          <w:p>
            <w:pPr>
              <w:pStyle w:val="8"/>
              <w:adjustRightInd w:val="0"/>
              <w:snapToGrid w:val="0"/>
              <w:spacing w:line="300" w:lineRule="auto"/>
              <w:jc w:val="center"/>
              <w:rPr>
                <w:rFonts w:ascii="仿宋" w:hAnsi="仿宋" w:eastAsia="仿宋" w:cs="仿宋_GB2312"/>
                <w:b/>
                <w:sz w:val="28"/>
                <w:szCs w:val="28"/>
              </w:rPr>
            </w:pPr>
          </w:p>
        </w:tc>
        <w:tc>
          <w:tcPr>
            <w:tcW w:w="1440" w:type="dxa"/>
          </w:tcPr>
          <w:p>
            <w:pPr>
              <w:pStyle w:val="8"/>
              <w:adjustRightInd w:val="0"/>
              <w:snapToGrid w:val="0"/>
              <w:spacing w:line="300" w:lineRule="auto"/>
              <w:jc w:val="center"/>
              <w:rPr>
                <w:rFonts w:ascii="仿宋" w:hAnsi="仿宋" w:eastAsia="仿宋" w:cs="仿宋_GB2312"/>
                <w:b/>
                <w:sz w:val="28"/>
                <w:szCs w:val="28"/>
              </w:rPr>
            </w:pP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1560" w:type="dxa"/>
            <w:vMerge w:val="continue"/>
          </w:tcPr>
          <w:p>
            <w:pPr>
              <w:pStyle w:val="8"/>
              <w:adjustRightInd w:val="0"/>
              <w:snapToGrid w:val="0"/>
              <w:spacing w:line="300" w:lineRule="auto"/>
              <w:rPr>
                <w:rFonts w:ascii="仿宋" w:hAnsi="仿宋" w:eastAsia="仿宋" w:cs="仿宋_GB2312"/>
                <w:b/>
                <w:sz w:val="28"/>
                <w:szCs w:val="28"/>
              </w:rPr>
            </w:pP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p>
        </w:tc>
        <w:tc>
          <w:tcPr>
            <w:tcW w:w="1600" w:type="dxa"/>
          </w:tcPr>
          <w:p>
            <w:pPr>
              <w:pStyle w:val="8"/>
              <w:adjustRightInd w:val="0"/>
              <w:snapToGrid w:val="0"/>
              <w:spacing w:line="300" w:lineRule="auto"/>
              <w:jc w:val="center"/>
              <w:rPr>
                <w:rFonts w:ascii="仿宋" w:hAnsi="仿宋" w:eastAsia="仿宋" w:cs="仿宋_GB2312"/>
                <w:b/>
                <w:sz w:val="28"/>
                <w:szCs w:val="28"/>
              </w:rPr>
            </w:pP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24</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24</w:t>
            </w:r>
          </w:p>
        </w:tc>
        <w:tc>
          <w:tcPr>
            <w:tcW w:w="1440" w:type="dxa"/>
          </w:tcPr>
          <w:p>
            <w:pPr>
              <w:pStyle w:val="8"/>
              <w:adjustRightInd w:val="0"/>
              <w:snapToGrid w:val="0"/>
              <w:spacing w:line="300" w:lineRule="auto"/>
              <w:jc w:val="center"/>
              <w:rPr>
                <w:rFonts w:ascii="仿宋" w:hAnsi="仿宋" w:eastAsia="仿宋" w:cs="仿宋_GB2312"/>
                <w:b/>
                <w:sz w:val="28"/>
                <w:szCs w:val="28"/>
              </w:rPr>
            </w:pP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大观分公司</w:t>
            </w: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26</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26</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8</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8</w:t>
            </w: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8</w:t>
            </w: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江高分公司</w:t>
            </w: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42</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42</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21</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21</w:t>
            </w:r>
          </w:p>
        </w:tc>
        <w:tc>
          <w:tcPr>
            <w:tcW w:w="144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21</w:t>
            </w: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56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健康城分公司</w:t>
            </w:r>
          </w:p>
        </w:tc>
        <w:tc>
          <w:tcPr>
            <w:tcW w:w="1380" w:type="dxa"/>
          </w:tcPr>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10KV</w:t>
            </w:r>
          </w:p>
        </w:tc>
        <w:tc>
          <w:tcPr>
            <w:tcW w:w="16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22</w:t>
            </w:r>
          </w:p>
        </w:tc>
        <w:tc>
          <w:tcPr>
            <w:tcW w:w="160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22</w:t>
            </w:r>
          </w:p>
        </w:tc>
        <w:tc>
          <w:tcPr>
            <w:tcW w:w="156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w:t>
            </w:r>
          </w:p>
        </w:tc>
        <w:tc>
          <w:tcPr>
            <w:tcW w:w="1480" w:type="dxa"/>
          </w:tcPr>
          <w:p>
            <w:pPr>
              <w:pStyle w:val="8"/>
              <w:adjustRightInd w:val="0"/>
              <w:snapToGrid w:val="0"/>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10</w:t>
            </w:r>
          </w:p>
        </w:tc>
        <w:tc>
          <w:tcPr>
            <w:tcW w:w="1440" w:type="dxa"/>
          </w:tcPr>
          <w:p>
            <w:pPr>
              <w:pStyle w:val="8"/>
              <w:adjustRightInd w:val="0"/>
              <w:snapToGrid w:val="0"/>
              <w:spacing w:line="300" w:lineRule="auto"/>
              <w:jc w:val="center"/>
              <w:rPr>
                <w:rFonts w:ascii="仿宋" w:hAnsi="仿宋" w:eastAsia="仿宋" w:cs="仿宋_GB2312"/>
                <w:b/>
                <w:sz w:val="28"/>
                <w:szCs w:val="28"/>
              </w:rPr>
            </w:pPr>
          </w:p>
        </w:tc>
        <w:tc>
          <w:tcPr>
            <w:tcW w:w="1620" w:type="dxa"/>
          </w:tcPr>
          <w:p>
            <w:pPr>
              <w:pStyle w:val="8"/>
              <w:adjustRightInd w:val="0"/>
              <w:snapToGrid w:val="0"/>
              <w:spacing w:line="300" w:lineRule="auto"/>
              <w:jc w:val="center"/>
              <w:rPr>
                <w:rFonts w:ascii="仿宋" w:hAnsi="仿宋" w:eastAsia="仿宋" w:cs="仿宋_GB2312"/>
                <w:b/>
                <w:sz w:val="28"/>
                <w:szCs w:val="28"/>
              </w:rPr>
            </w:pPr>
          </w:p>
        </w:tc>
        <w:tc>
          <w:tcPr>
            <w:tcW w:w="1420" w:type="dxa"/>
          </w:tcPr>
          <w:p>
            <w:pPr>
              <w:pStyle w:val="8"/>
              <w:adjustRightInd w:val="0"/>
              <w:snapToGrid w:val="0"/>
              <w:spacing w:line="300" w:lineRule="auto"/>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60" w:type="dxa"/>
            <w:noWrap/>
          </w:tcPr>
          <w:p>
            <w:pPr>
              <w:pStyle w:val="8"/>
              <w:adjustRightInd w:val="0"/>
              <w:snapToGrid w:val="0"/>
              <w:spacing w:line="300" w:lineRule="auto"/>
              <w:rPr>
                <w:rFonts w:ascii="仿宋" w:hAnsi="仿宋" w:eastAsia="仿宋" w:cs="仿宋_GB2312"/>
                <w:b/>
                <w:bCs/>
                <w:sz w:val="28"/>
                <w:szCs w:val="28"/>
              </w:rPr>
            </w:pPr>
            <w:r>
              <w:rPr>
                <w:rFonts w:hint="eastAsia" w:ascii="仿宋" w:hAnsi="仿宋" w:eastAsia="仿宋" w:cs="仿宋_GB2312"/>
                <w:b/>
                <w:bCs/>
                <w:sz w:val="28"/>
                <w:szCs w:val="28"/>
              </w:rPr>
              <w:t>合计</w:t>
            </w:r>
          </w:p>
        </w:tc>
        <w:tc>
          <w:tcPr>
            <w:tcW w:w="1380" w:type="dxa"/>
            <w:noWrap/>
          </w:tcPr>
          <w:p>
            <w:pPr>
              <w:pStyle w:val="8"/>
              <w:adjustRightInd w:val="0"/>
              <w:snapToGrid w:val="0"/>
              <w:spacing w:line="300" w:lineRule="auto"/>
              <w:rPr>
                <w:rFonts w:ascii="仿宋" w:hAnsi="仿宋" w:eastAsia="仿宋" w:cs="仿宋_GB2312"/>
                <w:b/>
                <w:bCs/>
                <w:sz w:val="28"/>
                <w:szCs w:val="28"/>
              </w:rPr>
            </w:pPr>
          </w:p>
        </w:tc>
        <w:tc>
          <w:tcPr>
            <w:tcW w:w="168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456</w:t>
            </w:r>
          </w:p>
        </w:tc>
        <w:tc>
          <w:tcPr>
            <w:tcW w:w="160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455</w:t>
            </w:r>
          </w:p>
        </w:tc>
        <w:tc>
          <w:tcPr>
            <w:tcW w:w="156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115</w:t>
            </w:r>
          </w:p>
        </w:tc>
        <w:tc>
          <w:tcPr>
            <w:tcW w:w="148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135</w:t>
            </w:r>
          </w:p>
        </w:tc>
        <w:tc>
          <w:tcPr>
            <w:tcW w:w="144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82</w:t>
            </w:r>
          </w:p>
        </w:tc>
        <w:tc>
          <w:tcPr>
            <w:tcW w:w="162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55</w:t>
            </w:r>
          </w:p>
        </w:tc>
        <w:tc>
          <w:tcPr>
            <w:tcW w:w="1420" w:type="dxa"/>
            <w:noWrap/>
          </w:tcPr>
          <w:p>
            <w:pPr>
              <w:pStyle w:val="8"/>
              <w:adjustRightInd w:val="0"/>
              <w:snapToGrid w:val="0"/>
              <w:spacing w:line="300" w:lineRule="auto"/>
              <w:jc w:val="center"/>
              <w:rPr>
                <w:rFonts w:ascii="仿宋" w:hAnsi="仿宋" w:eastAsia="仿宋" w:cs="仿宋_GB2312"/>
                <w:b/>
                <w:bCs/>
                <w:sz w:val="28"/>
                <w:szCs w:val="28"/>
              </w:rPr>
            </w:pPr>
            <w:r>
              <w:rPr>
                <w:rFonts w:hint="eastAsia" w:ascii="仿宋" w:hAnsi="仿宋" w:eastAsia="仿宋" w:cs="仿宋_GB2312"/>
                <w:b/>
                <w:bCs/>
                <w:sz w:val="28"/>
                <w:szCs w:val="28"/>
              </w:rPr>
              <w:t>4</w:t>
            </w:r>
          </w:p>
        </w:tc>
      </w:tr>
    </w:tbl>
    <w:p>
      <w:pPr>
        <w:pStyle w:val="8"/>
        <w:adjustRightInd w:val="0"/>
        <w:snapToGrid w:val="0"/>
        <w:spacing w:line="300" w:lineRule="auto"/>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备注</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以上数量为暂定需求量</w:t>
      </w:r>
      <w:r>
        <w:rPr>
          <w:rFonts w:hint="eastAsia" w:cs="仿宋_GB2312" w:asciiTheme="minorEastAsia" w:hAnsiTheme="minorEastAsia" w:eastAsiaTheme="minorEastAsia"/>
          <w:sz w:val="28"/>
          <w:szCs w:val="28"/>
          <w:lang w:val="zh-CN"/>
        </w:rPr>
        <w:t>。</w:t>
      </w:r>
    </w:p>
    <w:p>
      <w:pPr>
        <w:pStyle w:val="8"/>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ind w:right="36" w:rightChars="18" w:firstLine="542" w:firstLineChars="200"/>
        <w:rPr>
          <w:rFonts w:asciiTheme="minorEastAsia" w:hAnsiTheme="minorEastAsia" w:eastAsiaTheme="minorEastAsia"/>
          <w:color w:val="000000"/>
          <w:sz w:val="28"/>
          <w:szCs w:val="28"/>
          <w:u w:val="single"/>
        </w:rPr>
      </w:pPr>
      <w:r>
        <w:rPr>
          <w:rFonts w:hint="eastAsia" w:cs="宋体" w:asciiTheme="minorEastAsia" w:hAnsiTheme="minorEastAsia" w:eastAsiaTheme="minorEastAsia"/>
          <w:sz w:val="28"/>
          <w:szCs w:val="28"/>
        </w:rPr>
        <w:t>必须符合国家或电力行业等相关规定（以</w:t>
      </w:r>
      <w:r>
        <w:rPr>
          <w:rFonts w:hint="eastAsia" w:cs="宋体" w:asciiTheme="minorEastAsia" w:hAnsiTheme="minorEastAsia" w:eastAsiaTheme="minorEastAsia"/>
          <w:kern w:val="0"/>
          <w:sz w:val="28"/>
          <w:szCs w:val="28"/>
        </w:rPr>
        <w:t>最新发布的标准为准）</w:t>
      </w:r>
      <w:r>
        <w:rPr>
          <w:rFonts w:hint="eastAsia" w:cs="宋体" w:asciiTheme="minorEastAsia" w:hAnsiTheme="minorEastAsia" w:eastAsiaTheme="minorEastAsia"/>
          <w:sz w:val="28"/>
          <w:szCs w:val="28"/>
        </w:rPr>
        <w:t>，</w:t>
      </w:r>
      <w:r>
        <w:rPr>
          <w:rFonts w:hint="eastAsia" w:asciiTheme="minorEastAsia" w:hAnsiTheme="minorEastAsia" w:eastAsiaTheme="minorEastAsia"/>
          <w:color w:val="000000"/>
          <w:sz w:val="28"/>
          <w:szCs w:val="28"/>
        </w:rPr>
        <w:t>对送检仪器设备、工器具进行</w:t>
      </w:r>
      <w:r>
        <w:rPr>
          <w:rFonts w:asciiTheme="minorEastAsia" w:hAnsiTheme="minorEastAsia" w:eastAsiaTheme="minorEastAsia"/>
          <w:sz w:val="28"/>
          <w:szCs w:val="28"/>
        </w:rPr>
        <w:t>定期检测及预防性试验</w:t>
      </w:r>
      <w:r>
        <w:rPr>
          <w:rFonts w:hint="eastAsia" w:asciiTheme="minorEastAsia" w:hAnsiTheme="minorEastAsia" w:eastAsiaTheme="minorEastAsia"/>
          <w:color w:val="000000"/>
          <w:sz w:val="28"/>
          <w:szCs w:val="28"/>
        </w:rPr>
        <w:t>，以保证送检物品日后使用的安全、准确、可靠。</w:t>
      </w:r>
    </w:p>
    <w:p>
      <w:pPr>
        <w:pStyle w:val="8"/>
        <w:adjustRightInd w:val="0"/>
        <w:snapToGrid w:val="0"/>
        <w:spacing w:line="300" w:lineRule="auto"/>
        <w:rPr>
          <w:rFonts w:ascii="仿宋" w:hAnsi="仿宋" w:eastAsia="仿宋" w:cs="仿宋_GB2312"/>
          <w:b/>
          <w:sz w:val="28"/>
          <w:szCs w:val="28"/>
          <w:lang w:val="zh-CN"/>
        </w:rPr>
      </w:pPr>
    </w:p>
    <w:p>
      <w:pPr>
        <w:pStyle w:val="8"/>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1.服务期：</w:t>
      </w:r>
      <w:r>
        <w:rPr>
          <w:rFonts w:hint="eastAsia" w:ascii="仿宋_GB2312" w:hAnsi="仿宋" w:eastAsia="仿宋_GB2312" w:cs="仿宋_GB2312"/>
          <w:sz w:val="28"/>
          <w:szCs w:val="28"/>
          <w:u w:val="single"/>
          <w:lang w:val="zh-CN"/>
        </w:rPr>
        <w:t>自双方签订合同后至2020年12月31日</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lang w:val="zh-CN"/>
        </w:rPr>
        <w:t>2.质量要求：</w:t>
      </w:r>
      <w:r>
        <w:rPr>
          <w:rFonts w:hint="eastAsia" w:ascii="仿宋_GB2312" w:hAnsi="仿宋" w:eastAsia="仿宋_GB2312" w:cs="仿宋_GB2312"/>
          <w:sz w:val="28"/>
          <w:szCs w:val="28"/>
          <w:u w:val="single"/>
        </w:rPr>
        <w:t>项目实施内容及要求，必须</w:t>
      </w:r>
      <w:r>
        <w:rPr>
          <w:rFonts w:hint="eastAsia" w:ascii="仿宋_GB2312" w:hAnsi="宋体" w:eastAsia="仿宋_GB2312"/>
          <w:color w:val="000000"/>
          <w:sz w:val="28"/>
          <w:szCs w:val="28"/>
          <w:u w:val="single"/>
        </w:rPr>
        <w:t>按国家标准、行业标准、检定规程、仪器设备技术要求等规定对</w:t>
      </w:r>
      <w:r>
        <w:rPr>
          <w:rFonts w:hint="eastAsia" w:ascii="仿宋_GB2312" w:hAnsi="宋体" w:eastAsia="仿宋_GB2312"/>
          <w:color w:val="000000"/>
          <w:kern w:val="4"/>
          <w:sz w:val="28"/>
          <w:szCs w:val="28"/>
          <w:u w:val="single"/>
        </w:rPr>
        <w:t>仪器设备、工器具</w:t>
      </w:r>
      <w:r>
        <w:rPr>
          <w:rFonts w:hint="eastAsia" w:ascii="仿宋_GB2312" w:hAnsi="宋体" w:eastAsia="仿宋_GB2312"/>
          <w:color w:val="000000"/>
          <w:sz w:val="28"/>
          <w:szCs w:val="28"/>
          <w:u w:val="single"/>
        </w:rPr>
        <w:t>进行校准检测，确保检验后的</w:t>
      </w:r>
      <w:r>
        <w:rPr>
          <w:rFonts w:hint="eastAsia" w:ascii="仿宋_GB2312" w:hAnsi="宋体" w:eastAsia="仿宋_GB2312"/>
          <w:color w:val="000000"/>
          <w:kern w:val="4"/>
          <w:sz w:val="28"/>
          <w:szCs w:val="28"/>
          <w:u w:val="single"/>
        </w:rPr>
        <w:t>仪器设备、工器具</w:t>
      </w:r>
      <w:r>
        <w:rPr>
          <w:rFonts w:hint="eastAsia" w:ascii="仿宋_GB2312" w:hAnsi="宋体" w:eastAsia="仿宋_GB2312"/>
          <w:color w:val="000000"/>
          <w:sz w:val="28"/>
          <w:szCs w:val="28"/>
          <w:u w:val="single"/>
        </w:rPr>
        <w:t>能正常安全有效地使用。</w:t>
      </w:r>
    </w:p>
    <w:p>
      <w:pPr>
        <w:autoSpaceDE w:val="0"/>
        <w:autoSpaceDN w:val="0"/>
        <w:ind w:left="56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3.付款方式：采用支票、网银支付两种形式</w:t>
      </w:r>
    </w:p>
    <w:p>
      <w:pPr>
        <w:tabs>
          <w:tab w:val="center" w:pos="5156"/>
        </w:tabs>
        <w:autoSpaceDE w:val="0"/>
        <w:autoSpaceDN w:val="0"/>
        <w:ind w:left="56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4.承包方式：</w:t>
      </w:r>
      <w:r>
        <w:rPr>
          <w:rFonts w:hint="eastAsia" w:ascii="仿宋_GB2312" w:hAnsi="仿宋" w:eastAsia="仿宋_GB2312" w:cs="仿宋_GB2312"/>
          <w:sz w:val="28"/>
          <w:szCs w:val="28"/>
          <w:u w:val="single"/>
          <w:lang w:val="zh-CN"/>
        </w:rPr>
        <w:t>综合单价包干</w:t>
      </w:r>
    </w:p>
    <w:p>
      <w:pPr>
        <w:tabs>
          <w:tab w:val="center" w:pos="5156"/>
        </w:tabs>
        <w:autoSpaceDE w:val="0"/>
        <w:autoSpaceDN w:val="0"/>
        <w:ind w:left="560"/>
        <w:rPr>
          <w:rFonts w:ascii="仿宋" w:hAnsi="仿宋" w:eastAsia="仿宋" w:cs="仿宋_GB2312"/>
          <w:sz w:val="28"/>
          <w:szCs w:val="28"/>
        </w:rPr>
      </w:pPr>
      <w:r>
        <w:rPr>
          <w:rFonts w:hint="eastAsia" w:ascii="仿宋_GB2312" w:hAnsi="仿宋" w:eastAsia="仿宋_GB2312" w:cs="仿宋_GB2312"/>
          <w:sz w:val="28"/>
          <w:szCs w:val="28"/>
        </w:rPr>
        <w:t>5.</w:t>
      </w:r>
      <w:r>
        <w:rPr>
          <w:rFonts w:hint="eastAsia" w:ascii="仿宋_GB2312" w:hAnsi="仿宋" w:eastAsia="仿宋_GB2312" w:cs="仿宋_GB2312"/>
          <w:sz w:val="28"/>
          <w:szCs w:val="28"/>
          <w:u w:val="single"/>
        </w:rPr>
        <w:t>报价文件编制格式按分公司分类为单位分项报价。</w:t>
      </w: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8"/>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8"/>
        <w:adjustRightInd w:val="0"/>
        <w:snapToGrid w:val="0"/>
        <w:spacing w:line="300" w:lineRule="auto"/>
        <w:ind w:left="542" w:hanging="542"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8"/>
        <w:tabs>
          <w:tab w:val="left" w:pos="360"/>
        </w:tabs>
        <w:adjustRightInd w:val="0"/>
        <w:snapToGrid w:val="0"/>
        <w:spacing w:line="300" w:lineRule="auto"/>
        <w:ind w:left="542" w:hanging="542"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10" w:hanging="61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2"/>
        <w:rPr>
          <w:rFonts w:ascii="仿宋" w:hAnsi="仿宋" w:eastAsia="仿宋" w:cs="仿宋_GB2312"/>
          <w:color w:val="000000"/>
        </w:rPr>
      </w:pPr>
      <w:bookmarkStart w:id="1" w:name="_Toc247085739"/>
      <w:bookmarkStart w:id="2" w:name="_Toc371433002"/>
      <w:bookmarkStart w:id="3" w:name="_Toc152045581"/>
      <w:bookmarkStart w:id="4" w:name="_Toc152042358"/>
      <w:bookmarkStart w:id="5" w:name="_Toc144974548"/>
      <w:bookmarkStart w:id="6" w:name="_Toc179632599"/>
      <w:r>
        <w:rPr>
          <w:rFonts w:hint="eastAsia" w:ascii="仿宋" w:hAnsi="仿宋" w:eastAsia="仿宋" w:cs="仿宋_GB2312"/>
          <w:color w:val="000000"/>
        </w:rPr>
        <w:t>附件一  报价记录表</w:t>
      </w:r>
      <w:bookmarkEnd w:id="1"/>
      <w:bookmarkEnd w:id="2"/>
      <w:bookmarkEnd w:id="3"/>
      <w:bookmarkEnd w:id="4"/>
      <w:bookmarkEnd w:id="5"/>
      <w:bookmarkEnd w:id="6"/>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监察：</w:t>
      </w:r>
      <w:r>
        <w:rPr>
          <w:rFonts w:hint="eastAsia" w:ascii="仿宋" w:hAnsi="仿宋" w:eastAsia="仿宋" w:cs="仿宋_GB2312"/>
          <w:color w:val="000000"/>
          <w:u w:val="single"/>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 xml:space="preserve">项目名称:                             </w:t>
      </w:r>
    </w:p>
    <w:tbl>
      <w:tblPr>
        <w:tblStyle w:val="1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2</w:t>
      </w:r>
      <w:r>
        <w:rPr>
          <w:rFonts w:ascii="仿宋_GB2312" w:hAnsi="宋体" w:eastAsia="仿宋_GB2312" w:cs="STSong-Light"/>
          <w:kern w:val="0"/>
          <w:sz w:val="32"/>
          <w:szCs w:val="32"/>
        </w:rPr>
        <w:t>0</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 xml:space="preserve"> </w:t>
      </w:r>
      <w:r>
        <w:rPr>
          <w:rFonts w:ascii="仿宋_GB2312" w:hAnsi="宋体" w:eastAsia="仿宋_GB2312" w:cs="STSong-Light"/>
          <w:kern w:val="0"/>
          <w:sz w:val="32"/>
          <w:szCs w:val="32"/>
        </w:rPr>
        <w:t xml:space="preserve">      </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 xml:space="preserve"> </w:t>
      </w:r>
      <w:r>
        <w:rPr>
          <w:rFonts w:ascii="仿宋_GB2312" w:hAnsi="宋体" w:eastAsia="仿宋_GB2312" w:cs="STSong-Light"/>
          <w:kern w:val="0"/>
          <w:sz w:val="32"/>
          <w:szCs w:val="32"/>
        </w:rPr>
        <w:t xml:space="preserve">             </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 xml:space="preserve"> </w:t>
      </w:r>
      <w:r>
        <w:rPr>
          <w:rFonts w:ascii="仿宋_GB2312" w:hAnsi="宋体" w:eastAsia="仿宋_GB2312" w:cs="STSong-Light"/>
          <w:kern w:val="0"/>
          <w:sz w:val="32"/>
          <w:szCs w:val="32"/>
        </w:rPr>
        <w:t xml:space="preserve">  </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 xml:space="preserve"> </w:t>
      </w:r>
      <w:r>
        <w:rPr>
          <w:rFonts w:ascii="仿宋_GB2312" w:hAnsi="宋体" w:eastAsia="仿宋_GB2312" w:cs="STSong-Light"/>
          <w:kern w:val="0"/>
          <w:sz w:val="32"/>
          <w:szCs w:val="32"/>
        </w:rPr>
        <w:t xml:space="preserve">  </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 xml:space="preserve"> </w:t>
      </w:r>
      <w:r>
        <w:rPr>
          <w:rFonts w:ascii="仿宋_GB2312" w:hAnsi="宋体" w:eastAsia="仿宋_GB2312" w:cs="STSong-Light"/>
          <w:kern w:val="0"/>
          <w:sz w:val="32"/>
          <w:szCs w:val="32"/>
        </w:rPr>
        <w:t xml:space="preserve">  </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 xml:space="preserve"> </w:t>
      </w:r>
      <w:r>
        <w:rPr>
          <w:rFonts w:ascii="仿宋_GB2312" w:hAnsi="宋体" w:eastAsia="仿宋_GB2312" w:cs="STSong-Light"/>
          <w:kern w:val="0"/>
          <w:sz w:val="32"/>
          <w:szCs w:val="32"/>
        </w:rPr>
        <w:t xml:space="preserve">  </w:t>
      </w:r>
      <w:r>
        <w:rPr>
          <w:rFonts w:hint="eastAsia" w:ascii="仿宋_GB2312" w:hAnsi="STSong-Light" w:eastAsia="仿宋_GB2312" w:cs="STSong-Light"/>
          <w:kern w:val="0"/>
          <w:sz w:val="32"/>
          <w:szCs w:val="32"/>
        </w:rPr>
        <w:t xml:space="preserve">佰元（￥ </w:t>
      </w:r>
      <w:r>
        <w:rPr>
          <w:rFonts w:ascii="仿宋_GB2312" w:hAnsi="STSong-Light" w:eastAsia="仿宋_GB2312" w:cs="STSong-Light"/>
          <w:kern w:val="0"/>
          <w:sz w:val="32"/>
          <w:szCs w:val="32"/>
        </w:rPr>
        <w:t xml:space="preserve">      </w:t>
      </w:r>
      <w:r>
        <w:rPr>
          <w:rFonts w:hint="eastAsia" w:ascii="仿宋_GB2312" w:hAnsi="STSong-Light" w:eastAsia="仿宋_GB2312" w:cs="STSong-Light"/>
          <w:kern w:val="0"/>
          <w:sz w:val="32"/>
          <w:szCs w:val="32"/>
        </w:rPr>
        <w:t>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jc w:val="center"/>
        <w:rPr>
          <w:color w:val="000000"/>
          <w:sz w:val="24"/>
          <w:szCs w:val="24"/>
        </w:rPr>
      </w:pPr>
      <w:r>
        <w:rPr>
          <w:rFonts w:hint="eastAsia" w:cs="宋体" w:asciiTheme="majorEastAsia" w:hAnsiTheme="majorEastAsia" w:eastAsiaTheme="majorEastAsia"/>
          <w:b/>
          <w:kern w:val="0"/>
          <w:sz w:val="32"/>
          <w:szCs w:val="32"/>
        </w:rPr>
        <w:t>2020年广州市净水有限公司高压绝缘工具检测</w:t>
      </w:r>
      <w:r>
        <w:rPr>
          <w:rFonts w:hint="eastAsia" w:asciiTheme="majorEastAsia" w:hAnsiTheme="majorEastAsia" w:eastAsiaTheme="majorEastAsia"/>
          <w:b/>
          <w:bCs/>
          <w:color w:val="000000"/>
          <w:sz w:val="32"/>
          <w:szCs w:val="32"/>
        </w:rPr>
        <w:t>服务合同</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640" w:firstLineChars="200"/>
        <w:rPr>
          <w:rFonts w:ascii="??_GB2312" w:hAnsi="??_GB2312" w:cs="??_GB2312"/>
          <w:b/>
          <w:bCs/>
          <w:kern w:val="0"/>
          <w:sz w:val="30"/>
          <w:szCs w:val="30"/>
        </w:rPr>
      </w:pPr>
      <w:r>
        <w:rPr>
          <w:rFonts w:ascii="??_GB2312" w:hAnsi="??_GB2312" w:cs="??_GB2312"/>
          <w:b/>
          <w:bCs/>
          <w:kern w:val="0"/>
          <w:sz w:val="30"/>
          <w:szCs w:val="30"/>
        </w:rPr>
        <w:t>合同编号</w:t>
      </w:r>
      <w:r>
        <w:rPr>
          <w:rFonts w:hint="eastAsia" w:ascii="??_GB2312" w:hAnsi="??_GB2312" w:cs="??_GB2312"/>
          <w:b/>
          <w:bCs/>
          <w:kern w:val="0"/>
          <w:sz w:val="30"/>
          <w:szCs w:val="30"/>
        </w:rPr>
        <w:t>：穗净水合</w:t>
      </w:r>
      <w:r>
        <w:rPr>
          <w:rFonts w:ascii="??_GB2312" w:hAnsi="??_GB2312" w:cs="??_GB2312"/>
          <w:b/>
          <w:bCs/>
          <w:kern w:val="0"/>
          <w:sz w:val="30"/>
          <w:szCs w:val="30"/>
        </w:rPr>
        <w:t>[      ]</w:t>
      </w:r>
    </w:p>
    <w:p>
      <w:pPr>
        <w:rPr>
          <w:color w:val="000000"/>
        </w:rPr>
      </w:pPr>
    </w:p>
    <w:p>
      <w:pPr>
        <w:rPr>
          <w:color w:val="000000"/>
        </w:rPr>
      </w:pPr>
    </w:p>
    <w:p>
      <w:pPr>
        <w:rPr>
          <w:rFonts w:ascii="仿宋_GB2312"/>
          <w:color w:val="000000"/>
          <w:sz w:val="28"/>
        </w:rPr>
      </w:pPr>
    </w:p>
    <w:p>
      <w:pPr>
        <w:rPr>
          <w:rFonts w:ascii="仿宋_GB2312"/>
          <w:color w:val="000000"/>
          <w:sz w:val="28"/>
        </w:rPr>
      </w:pPr>
    </w:p>
    <w:p>
      <w:pPr>
        <w:autoSpaceDE w:val="0"/>
        <w:autoSpaceDN w:val="0"/>
        <w:adjustRightInd w:val="0"/>
        <w:spacing w:line="400" w:lineRule="atLeast"/>
        <w:ind w:firstLine="640" w:firstLineChars="200"/>
        <w:rPr>
          <w:rFonts w:ascii="??_GB2312" w:hAnsi="??_GB2312" w:cs="??_GB2312"/>
          <w:b/>
          <w:bCs/>
          <w:kern w:val="0"/>
          <w:sz w:val="30"/>
          <w:szCs w:val="30"/>
        </w:rPr>
      </w:pPr>
      <w:r>
        <w:rPr>
          <w:rFonts w:hint="eastAsia" w:ascii="宋体" w:hAnsi="??_GB2312" w:cs="宋体"/>
          <w:b/>
          <w:bCs/>
          <w:kern w:val="0"/>
          <w:sz w:val="30"/>
          <w:szCs w:val="30"/>
          <w:lang w:val="zh-CN"/>
        </w:rPr>
        <w:t>甲</w:t>
      </w:r>
      <w:r>
        <w:rPr>
          <w:rFonts w:ascii="??_GB2312" w:hAnsi="??_GB2312" w:cs="??_GB2312"/>
          <w:b/>
          <w:bCs/>
          <w:kern w:val="0"/>
          <w:sz w:val="30"/>
          <w:szCs w:val="30"/>
        </w:rPr>
        <w:t xml:space="preserve">    </w:t>
      </w:r>
      <w:r>
        <w:rPr>
          <w:rFonts w:hint="eastAsia" w:ascii="宋体" w:hAnsi="??_GB2312" w:cs="宋体"/>
          <w:b/>
          <w:bCs/>
          <w:kern w:val="0"/>
          <w:sz w:val="30"/>
          <w:szCs w:val="30"/>
          <w:lang w:val="zh-CN"/>
        </w:rPr>
        <w:t>方：</w:t>
      </w:r>
      <w:r>
        <w:rPr>
          <w:rFonts w:ascii="??_GB2312" w:hAnsi="??_GB2312" w:cs="??_GB2312"/>
          <w:b/>
          <w:bCs/>
          <w:kern w:val="0"/>
          <w:sz w:val="30"/>
          <w:szCs w:val="30"/>
        </w:rPr>
        <w:t xml:space="preserve"> </w:t>
      </w:r>
      <w:r>
        <w:rPr>
          <w:rFonts w:hint="eastAsia" w:ascii="??_GB2312" w:hAnsi="??_GB2312" w:cs="??_GB2312"/>
          <w:b/>
          <w:bCs/>
          <w:kern w:val="0"/>
          <w:sz w:val="30"/>
          <w:szCs w:val="30"/>
        </w:rPr>
        <w:t xml:space="preserve">广州市净水有限公司 </w:t>
      </w:r>
    </w:p>
    <w:p>
      <w:pPr>
        <w:autoSpaceDE w:val="0"/>
        <w:autoSpaceDN w:val="0"/>
        <w:adjustRightInd w:val="0"/>
        <w:spacing w:line="400" w:lineRule="atLeast"/>
        <w:ind w:firstLine="596"/>
        <w:rPr>
          <w:rFonts w:ascii="??_GB2312" w:hAnsi="??_GB2312" w:cs="??_GB2312"/>
          <w:b/>
          <w:bCs/>
          <w:kern w:val="0"/>
          <w:sz w:val="30"/>
          <w:szCs w:val="30"/>
        </w:rPr>
      </w:pPr>
    </w:p>
    <w:p>
      <w:pPr>
        <w:autoSpaceDE w:val="0"/>
        <w:autoSpaceDN w:val="0"/>
        <w:adjustRightInd w:val="0"/>
        <w:spacing w:line="400" w:lineRule="atLeast"/>
        <w:ind w:firstLine="640" w:firstLineChars="200"/>
        <w:rPr>
          <w:rFonts w:ascii="??_GB2312" w:hAnsi="??_GB2312" w:cs="??_GB2312"/>
          <w:b/>
          <w:bCs/>
          <w:kern w:val="0"/>
          <w:sz w:val="30"/>
          <w:szCs w:val="30"/>
        </w:rPr>
      </w:pPr>
      <w:r>
        <w:rPr>
          <w:rFonts w:hint="eastAsia" w:ascii="宋体" w:hAnsi="??_GB2312" w:cs="宋体"/>
          <w:b/>
          <w:bCs/>
          <w:kern w:val="0"/>
          <w:sz w:val="30"/>
          <w:szCs w:val="30"/>
          <w:lang w:val="zh-CN"/>
        </w:rPr>
        <w:t>乙</w:t>
      </w:r>
      <w:r>
        <w:rPr>
          <w:rFonts w:ascii="??_GB2312" w:hAnsi="??_GB2312" w:cs="??_GB2312"/>
          <w:b/>
          <w:bCs/>
          <w:kern w:val="0"/>
          <w:sz w:val="30"/>
          <w:szCs w:val="30"/>
        </w:rPr>
        <w:t xml:space="preserve">    </w:t>
      </w:r>
      <w:r>
        <w:rPr>
          <w:rFonts w:hint="eastAsia" w:ascii="宋体" w:hAnsi="??_GB2312" w:cs="宋体"/>
          <w:b/>
          <w:bCs/>
          <w:kern w:val="0"/>
          <w:sz w:val="30"/>
          <w:szCs w:val="30"/>
          <w:lang w:val="zh-CN"/>
        </w:rPr>
        <w:t>方</w:t>
      </w:r>
      <w:r>
        <w:rPr>
          <w:rFonts w:hint="eastAsia" w:ascii="宋体" w:hAnsi="??_GB2312" w:cs="宋体"/>
          <w:kern w:val="0"/>
          <w:sz w:val="30"/>
          <w:szCs w:val="30"/>
          <w:lang w:val="zh-CN"/>
        </w:rPr>
        <w:t>：</w:t>
      </w: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ind w:firstLine="2560" w:firstLineChars="800"/>
        <w:rPr>
          <w:rFonts w:ascii="宋体" w:hAnsi="??_GB2312" w:cs="宋体"/>
          <w:b/>
          <w:bCs/>
          <w:kern w:val="0"/>
          <w:sz w:val="30"/>
          <w:szCs w:val="30"/>
          <w:lang w:val="zh-CN"/>
        </w:rPr>
      </w:pPr>
      <w:r>
        <w:rPr>
          <w:rFonts w:hint="eastAsia" w:ascii="宋体" w:hAnsi="??_GB2312" w:cs="宋体"/>
          <w:b/>
          <w:bCs/>
          <w:kern w:val="0"/>
          <w:sz w:val="30"/>
          <w:szCs w:val="30"/>
          <w:lang w:val="zh-CN"/>
        </w:rPr>
        <w:t>签约日期：20</w:t>
      </w:r>
      <w:r>
        <w:rPr>
          <w:rFonts w:ascii="宋体" w:hAnsi="??_GB2312" w:cs="宋体"/>
          <w:b/>
          <w:bCs/>
          <w:kern w:val="0"/>
          <w:sz w:val="30"/>
          <w:szCs w:val="30"/>
          <w:lang w:val="zh-CN"/>
        </w:rPr>
        <w:t>20</w:t>
      </w:r>
      <w:r>
        <w:rPr>
          <w:rFonts w:hint="eastAsia" w:ascii="宋体" w:hAnsi="??_GB2312" w:cs="宋体"/>
          <w:b/>
          <w:bCs/>
          <w:kern w:val="0"/>
          <w:sz w:val="30"/>
          <w:szCs w:val="30"/>
          <w:lang w:val="zh-CN"/>
        </w:rPr>
        <w:t>年  月   日</w:t>
      </w:r>
    </w:p>
    <w:p>
      <w:pPr>
        <w:autoSpaceDE w:val="0"/>
        <w:autoSpaceDN w:val="0"/>
        <w:adjustRightInd w:val="0"/>
        <w:spacing w:line="400" w:lineRule="atLeast"/>
        <w:ind w:firstLine="2560" w:firstLineChars="800"/>
        <w:rPr>
          <w:rFonts w:ascii="??_GB2312" w:hAnsi="??_GB2312" w:cs="??_GB2312"/>
          <w:b/>
          <w:bCs/>
          <w:kern w:val="0"/>
          <w:sz w:val="30"/>
          <w:szCs w:val="30"/>
        </w:rPr>
      </w:pPr>
      <w:r>
        <w:rPr>
          <w:rFonts w:hint="eastAsia" w:ascii="宋体" w:hAnsi="??_GB2312" w:cs="宋体"/>
          <w:b/>
          <w:bCs/>
          <w:kern w:val="0"/>
          <w:sz w:val="30"/>
          <w:szCs w:val="30"/>
          <w:lang w:val="zh-CN"/>
        </w:rPr>
        <w:t>签约地点：广州市</w:t>
      </w:r>
    </w:p>
    <w:p>
      <w:pPr>
        <w:rPr>
          <w:color w:val="000000"/>
        </w:rPr>
        <w:sectPr>
          <w:footerReference r:id="rId9" w:type="default"/>
          <w:footerReference r:id="rId10" w:type="even"/>
          <w:pgSz w:w="11907" w:h="16840"/>
          <w:pgMar w:top="1417" w:right="952" w:bottom="1417" w:left="1701" w:header="850" w:footer="992" w:gutter="0"/>
          <w:pgNumType w:start="1"/>
          <w:cols w:space="720" w:num="1"/>
          <w:formProt w:val="0"/>
          <w:docGrid w:type="linesAndChars" w:linePitch="435" w:charSpace="4096"/>
        </w:sectPr>
      </w:pPr>
    </w:p>
    <w:p>
      <w:pPr>
        <w:rPr>
          <w:rFonts w:ascii="宋体" w:hAnsi="宋体"/>
          <w:b/>
          <w:color w:val="000000"/>
          <w:sz w:val="36"/>
          <w:szCs w:val="36"/>
        </w:rPr>
      </w:pP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sz w:val="24"/>
          <w:szCs w:val="24"/>
          <w:u w:val="single"/>
        </w:rPr>
        <w:t>广州市净水有限公司</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（以下简称“甲方”）与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（以下简称“乙方”）为</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2020年广州市净水有限公司高压绝缘工具检测服务合同</w:t>
      </w:r>
      <w:r>
        <w:rPr>
          <w:rFonts w:hint="eastAsia" w:asciiTheme="minorEastAsia" w:hAnsiTheme="minorEastAsia" w:eastAsiaTheme="minorEastAsia"/>
          <w:sz w:val="24"/>
          <w:szCs w:val="24"/>
        </w:rPr>
        <w:t>提供</w:t>
      </w:r>
      <w:r>
        <w:rPr>
          <w:rFonts w:hint="eastAsia" w:asciiTheme="minorEastAsia" w:hAnsiTheme="minorEastAsia" w:eastAsiaTheme="minorEastAsia"/>
          <w:color w:val="000000"/>
          <w:sz w:val="24"/>
          <w:szCs w:val="24"/>
          <w:u w:val="single"/>
        </w:rPr>
        <w:t xml:space="preserve"> 仪器设备、工器具进行</w:t>
      </w:r>
      <w:r>
        <w:rPr>
          <w:rFonts w:asciiTheme="minorEastAsia" w:hAnsiTheme="minorEastAsia" w:eastAsiaTheme="minorEastAsia"/>
          <w:sz w:val="24"/>
          <w:szCs w:val="24"/>
          <w:u w:val="single"/>
        </w:rPr>
        <w:t>定期检测及预防性试验</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服务，经甲乙双方协商一致，签订本合同，共同遵守</w:t>
      </w:r>
      <w:r>
        <w:rPr>
          <w:rFonts w:asciiTheme="minorEastAsia" w:hAnsiTheme="minorEastAsia" w:eastAsiaTheme="minorEastAsia"/>
          <w:sz w:val="24"/>
          <w:szCs w:val="24"/>
        </w:rPr>
        <w:t>如下条款：</w:t>
      </w:r>
    </w:p>
    <w:p>
      <w:pPr>
        <w:pStyle w:val="6"/>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一、下列文件均为本合同的组成部分，可视为能相互说明和补充的，如果合同文件存在歧义或相矛盾的地方，则根据以下次序判断：</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①在本合同实施过程中双方签署的补充与修正文件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②本合同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w:t>
      </w:r>
      <w:r>
        <w:rPr>
          <w:rFonts w:asciiTheme="minorEastAsia" w:hAnsiTheme="minorEastAsia" w:eastAsiaTheme="minorEastAsia"/>
          <w:sz w:val="24"/>
          <w:szCs w:val="24"/>
        </w:rPr>
        <w:t>发包通知书</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④甲方的</w:t>
      </w:r>
      <w:r>
        <w:rPr>
          <w:rFonts w:asciiTheme="minorEastAsia" w:hAnsiTheme="minorEastAsia" w:eastAsiaTheme="minorEastAsia"/>
          <w:sz w:val="24"/>
          <w:szCs w:val="24"/>
        </w:rPr>
        <w:t>询价文件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⑤乙方的</w:t>
      </w:r>
      <w:r>
        <w:rPr>
          <w:rFonts w:asciiTheme="minorEastAsia" w:hAnsiTheme="minorEastAsia" w:eastAsiaTheme="minorEastAsia"/>
          <w:sz w:val="24"/>
          <w:szCs w:val="24"/>
        </w:rPr>
        <w:t>响应文件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⑥本合同其他附件</w:t>
      </w:r>
    </w:p>
    <w:p>
      <w:pPr>
        <w:spacing w:line="360" w:lineRule="auto"/>
        <w:ind w:firstLine="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7" w:name="_Toc501057052"/>
      <w:bookmarkStart w:id="8" w:name="_Toc501057138"/>
      <w:r>
        <w:rPr>
          <w:rFonts w:hint="eastAsia" w:asciiTheme="minorEastAsia" w:hAnsiTheme="minorEastAsia" w:eastAsiaTheme="minorEastAsia"/>
          <w:b/>
          <w:sz w:val="24"/>
          <w:szCs w:val="24"/>
        </w:rPr>
        <w:t>二、乙方服务内容</w:t>
      </w:r>
      <w:bookmarkEnd w:id="7"/>
      <w:bookmarkEnd w:id="8"/>
    </w:p>
    <w:p>
      <w:pPr>
        <w:spacing w:line="360" w:lineRule="auto"/>
        <w:ind w:firstLine="480" w:firstLineChars="200"/>
        <w:rPr>
          <w:rFonts w:asciiTheme="minorEastAsia" w:hAnsiTheme="minorEastAsia" w:eastAsiaTheme="minorEastAsia"/>
          <w:kern w:val="28"/>
          <w:sz w:val="24"/>
          <w:szCs w:val="24"/>
        </w:rPr>
      </w:pPr>
      <w:r>
        <w:rPr>
          <w:rFonts w:hint="eastAsia" w:asciiTheme="minorEastAsia" w:hAnsiTheme="minorEastAsia" w:eastAsiaTheme="minorEastAsia"/>
          <w:kern w:val="28"/>
          <w:sz w:val="24"/>
          <w:szCs w:val="24"/>
        </w:rPr>
        <w:t>对广州市净水有限公司所属各分公司仪器设备、工器具进行</w:t>
      </w:r>
      <w:r>
        <w:rPr>
          <w:rFonts w:asciiTheme="minorEastAsia" w:hAnsiTheme="minorEastAsia" w:eastAsiaTheme="minorEastAsia"/>
          <w:kern w:val="28"/>
          <w:sz w:val="24"/>
          <w:szCs w:val="24"/>
        </w:rPr>
        <w:t>定期检测及预防性试验</w:t>
      </w:r>
      <w:r>
        <w:rPr>
          <w:rFonts w:hint="eastAsia" w:asciiTheme="minorEastAsia" w:hAnsiTheme="minorEastAsia" w:eastAsiaTheme="minorEastAsia"/>
          <w:kern w:val="28"/>
          <w:sz w:val="24"/>
          <w:szCs w:val="24"/>
        </w:rPr>
        <w:t>服务，服务内容应包括但不限于：</w:t>
      </w:r>
    </w:p>
    <w:p>
      <w:pPr>
        <w:spacing w:line="360" w:lineRule="auto"/>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u w:val="single"/>
        </w:rPr>
        <w:t>指导甲方或甲方属下各分公司对生产检测仪器设备、工作器具进行合理溯源；</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u w:val="single"/>
        </w:rPr>
        <w:t>对校准检测仪器设备、工器具的结果进行数据性能分析及出具专业有效的检定报告；</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hint="eastAsia" w:asciiTheme="minorEastAsia" w:hAnsiTheme="minorEastAsia" w:eastAsiaTheme="minorEastAsia"/>
          <w:color w:val="000000"/>
          <w:sz w:val="24"/>
          <w:szCs w:val="24"/>
          <w:u w:val="single"/>
        </w:rPr>
        <w:t>提出校准检测仪器设备、工器具的科学使用意见；</w:t>
      </w:r>
    </w:p>
    <w:p>
      <w:pPr>
        <w:spacing w:line="360" w:lineRule="auto"/>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4.</w:t>
      </w:r>
      <w:r>
        <w:rPr>
          <w:rFonts w:hint="eastAsia" w:asciiTheme="minorEastAsia" w:hAnsiTheme="minorEastAsia" w:eastAsiaTheme="minorEastAsia"/>
          <w:color w:val="000000"/>
          <w:sz w:val="24"/>
          <w:szCs w:val="24"/>
          <w:u w:val="single"/>
        </w:rPr>
        <w:t>乙方提供技术服务，协助甲方或甲方属下各分公司已达到质量体系、安全规定的要求，保证产品检测数据准确可靠；</w:t>
      </w:r>
    </w:p>
    <w:p>
      <w:pPr>
        <w:spacing w:line="360" w:lineRule="auto"/>
        <w:ind w:firstLine="200"/>
        <w:rPr>
          <w:rFonts w:asciiTheme="minorEastAsia" w:hAnsiTheme="minorEastAsia" w:eastAsiaTheme="minorEastAsia"/>
          <w:color w:val="000000"/>
          <w:sz w:val="24"/>
          <w:szCs w:val="24"/>
          <w:u w:val="single"/>
        </w:rPr>
      </w:pP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三、乙方检测及服务</w:t>
      </w:r>
      <w:r>
        <w:rPr>
          <w:rFonts w:asciiTheme="minorEastAsia" w:hAnsiTheme="minorEastAsia" w:eastAsiaTheme="minorEastAsia"/>
          <w:b/>
          <w:sz w:val="24"/>
          <w:szCs w:val="24"/>
        </w:rPr>
        <w:t>技术要求</w:t>
      </w:r>
    </w:p>
    <w:p>
      <w:pPr>
        <w:pStyle w:val="26"/>
        <w:spacing w:line="360" w:lineRule="auto"/>
        <w:ind w:firstLine="48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1.按国际标准、国家标准、行业标准及企业标准、检定规程、仪器设备技术要求对</w:t>
      </w:r>
      <w:r>
        <w:rPr>
          <w:rFonts w:hint="eastAsia" w:asciiTheme="minorEastAsia" w:hAnsiTheme="minorEastAsia" w:eastAsiaTheme="minorEastAsia"/>
          <w:color w:val="000000"/>
          <w:kern w:val="4"/>
          <w:sz w:val="24"/>
          <w:szCs w:val="24"/>
        </w:rPr>
        <w:t>仪器设备</w:t>
      </w:r>
      <w:r>
        <w:rPr>
          <w:rFonts w:hint="eastAsia" w:asciiTheme="minorEastAsia" w:hAnsiTheme="minorEastAsia" w:eastAsiaTheme="minorEastAsia"/>
          <w:color w:val="000000"/>
          <w:sz w:val="24"/>
          <w:szCs w:val="24"/>
        </w:rPr>
        <w:t>进行校准检测，确保检验后的</w:t>
      </w:r>
      <w:r>
        <w:rPr>
          <w:rFonts w:hint="eastAsia" w:asciiTheme="minorEastAsia" w:hAnsiTheme="minorEastAsia" w:eastAsiaTheme="minorEastAsia"/>
          <w:color w:val="000000"/>
          <w:kern w:val="4"/>
          <w:sz w:val="24"/>
          <w:szCs w:val="24"/>
        </w:rPr>
        <w:t>仪器设备、工器具</w:t>
      </w:r>
      <w:r>
        <w:rPr>
          <w:rFonts w:hint="eastAsia" w:asciiTheme="minorEastAsia" w:hAnsiTheme="minorEastAsia" w:eastAsiaTheme="minorEastAsia"/>
          <w:color w:val="000000"/>
          <w:sz w:val="24"/>
          <w:szCs w:val="24"/>
        </w:rPr>
        <w:t>能正常安全地使用。</w:t>
      </w:r>
    </w:p>
    <w:p>
      <w:pPr>
        <w:pStyle w:val="26"/>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乙方技术人员进入甲方或甲方属下各分公司生产现场服务时，应按照甲方的相关规定办理进入生产现场的手续。</w:t>
      </w:r>
    </w:p>
    <w:p>
      <w:pPr>
        <w:pStyle w:val="8"/>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.乙方收到甲方</w:t>
      </w:r>
      <w:r>
        <w:rPr>
          <w:rFonts w:hint="eastAsia" w:asciiTheme="minorEastAsia" w:hAnsiTheme="minorEastAsia" w:eastAsiaTheme="minorEastAsia"/>
          <w:color w:val="000000"/>
          <w:sz w:val="24"/>
          <w:szCs w:val="24"/>
        </w:rPr>
        <w:t>或甲方属下各分公司</w:t>
      </w:r>
      <w:r>
        <w:rPr>
          <w:rFonts w:hint="eastAsia" w:cs="宋体" w:asciiTheme="minorEastAsia" w:hAnsiTheme="minorEastAsia" w:eastAsiaTheme="minorEastAsia"/>
          <w:sz w:val="24"/>
          <w:szCs w:val="24"/>
        </w:rPr>
        <w:t>的通知后，五个工作日内乙方应免费派员上门到甲方</w:t>
      </w:r>
      <w:r>
        <w:rPr>
          <w:rFonts w:hint="eastAsia" w:asciiTheme="minorEastAsia" w:hAnsiTheme="minorEastAsia" w:eastAsiaTheme="minorEastAsia"/>
          <w:color w:val="000000"/>
          <w:sz w:val="24"/>
          <w:szCs w:val="24"/>
        </w:rPr>
        <w:t>或甲方属下各分公司</w:t>
      </w:r>
      <w:r>
        <w:rPr>
          <w:rFonts w:hint="eastAsia" w:cs="宋体" w:asciiTheme="minorEastAsia" w:hAnsiTheme="minorEastAsia" w:eastAsiaTheme="minorEastAsia"/>
          <w:sz w:val="24"/>
          <w:szCs w:val="24"/>
        </w:rPr>
        <w:t>指定的地点收取待检的仪器设备、工器具等，现场清点并准确填写委托单（委托单信息应包括但不限于收取日期、仪器设备及工器具名称、规格、数量、初步外观检查等），双方签字确认。</w:t>
      </w:r>
    </w:p>
    <w:p>
      <w:pPr>
        <w:pStyle w:val="8"/>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待检物品的清洁。绝缘类安全工器具在使用过程中被污染、受潮会造成绝缘性能下降。但这种缺陷是可修复的。如果样品本身的绝缘是良好的，只要及时进行清洁及干燥，样品往往是能通过试验的。相反如果样品被污染、受潮而又没有进行清洁和干燥就进行耐压试验往往会造成样品不可逆的绝缘损坏。</w:t>
      </w:r>
    </w:p>
    <w:p>
      <w:pPr>
        <w:pStyle w:val="8"/>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.功能检查。样品如果存在轻微缺陷，乙方将尽可能进行修复，为甲方挽回损失。</w:t>
      </w:r>
    </w:p>
    <w:p>
      <w:pPr>
        <w:pStyle w:val="8"/>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若检测试验合格，乙方将在样品上粘贴专业有效的“试验合格证”；若试验不合格，将在样品上粘贴“试验不合格证”。“试验合格证”和“试验不合格证”均要有相应的保护措施，以避免运输或使用中损坏或脱落。</w:t>
      </w:r>
    </w:p>
    <w:p>
      <w:pPr>
        <w:pStyle w:val="8"/>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7</w:t>
      </w:r>
      <w:r>
        <w:rPr>
          <w:rFonts w:hint="eastAsia" w:cs="宋体" w:asciiTheme="minorEastAsia" w:hAnsiTheme="minorEastAsia" w:eastAsiaTheme="minorEastAsia"/>
          <w:sz w:val="24"/>
          <w:szCs w:val="24"/>
        </w:rPr>
        <w:t>.</w:t>
      </w:r>
      <w:r>
        <w:rPr>
          <w:rFonts w:hint="eastAsia" w:asciiTheme="minorEastAsia" w:hAnsiTheme="minorEastAsia" w:eastAsiaTheme="minorEastAsia"/>
          <w:color w:val="000000"/>
          <w:sz w:val="24"/>
          <w:szCs w:val="24"/>
        </w:rPr>
        <w:t>乙方应在每次上门收取待检</w:t>
      </w:r>
      <w:r>
        <w:rPr>
          <w:rFonts w:hint="eastAsia" w:cs="宋体" w:asciiTheme="minorEastAsia" w:hAnsiTheme="minorEastAsia" w:eastAsiaTheme="minorEastAsia"/>
          <w:sz w:val="24"/>
          <w:szCs w:val="24"/>
        </w:rPr>
        <w:t>的仪器设备、工器具</w:t>
      </w:r>
      <w:r>
        <w:rPr>
          <w:rFonts w:hint="eastAsia" w:asciiTheme="minorEastAsia" w:hAnsiTheme="minorEastAsia" w:eastAsiaTheme="minorEastAsia"/>
          <w:color w:val="000000"/>
          <w:sz w:val="24"/>
          <w:szCs w:val="24"/>
        </w:rPr>
        <w:t>后，十个工作日内完成检测与试验并开具专业详细有效的</w:t>
      </w:r>
      <w:r>
        <w:rPr>
          <w:rFonts w:hint="eastAsia" w:cs="宋体" w:asciiTheme="minorEastAsia" w:hAnsiTheme="minorEastAsia" w:eastAsiaTheme="minorEastAsia"/>
          <w:sz w:val="24"/>
          <w:szCs w:val="24"/>
        </w:rPr>
        <w:t>检定报告，并对不合格的原因进行统计和分析。</w:t>
      </w:r>
    </w:p>
    <w:p>
      <w:pPr>
        <w:pStyle w:val="8"/>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r>
        <w:rPr>
          <w:rFonts w:cs="宋体" w:asciiTheme="minorEastAsia" w:hAnsiTheme="minorEastAsia" w:eastAsiaTheme="minorEastAsia"/>
          <w:sz w:val="24"/>
          <w:szCs w:val="24"/>
        </w:rPr>
        <w:t>.</w:t>
      </w:r>
      <w:r>
        <w:rPr>
          <w:rFonts w:hint="eastAsia" w:asciiTheme="minorEastAsia" w:hAnsiTheme="minorEastAsia" w:eastAsiaTheme="minorEastAsia"/>
          <w:color w:val="000000"/>
          <w:sz w:val="24"/>
          <w:szCs w:val="24"/>
        </w:rPr>
        <w:t xml:space="preserve"> 乙方开具</w:t>
      </w:r>
      <w:r>
        <w:rPr>
          <w:rFonts w:hint="eastAsia" w:cs="宋体" w:asciiTheme="minorEastAsia" w:hAnsiTheme="minorEastAsia" w:eastAsiaTheme="minorEastAsia"/>
          <w:sz w:val="24"/>
          <w:szCs w:val="24"/>
        </w:rPr>
        <w:t>检定报告后，</w:t>
      </w:r>
      <w:r>
        <w:rPr>
          <w:rFonts w:cs="宋体" w:asciiTheme="minorEastAsia" w:hAnsiTheme="minorEastAsia" w:eastAsiaTheme="minorEastAsia"/>
          <w:sz w:val="24"/>
          <w:szCs w:val="24"/>
        </w:rPr>
        <w:t>应在</w:t>
      </w:r>
      <w:r>
        <w:rPr>
          <w:rFonts w:hint="eastAsia" w:cs="宋体" w:asciiTheme="minorEastAsia" w:hAnsiTheme="minorEastAsia" w:eastAsiaTheme="minorEastAsia"/>
          <w:sz w:val="24"/>
          <w:szCs w:val="24"/>
        </w:rPr>
        <w:t>五日内</w:t>
      </w:r>
      <w:r>
        <w:rPr>
          <w:rFonts w:cs="宋体" w:asciiTheme="minorEastAsia" w:hAnsiTheme="minorEastAsia" w:eastAsiaTheme="minorEastAsia"/>
          <w:sz w:val="24"/>
          <w:szCs w:val="24"/>
        </w:rPr>
        <w:t>把受检的仪器设备</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工器具等及</w:t>
      </w:r>
      <w:r>
        <w:rPr>
          <w:rFonts w:hint="eastAsia" w:asciiTheme="minorEastAsia" w:hAnsiTheme="minorEastAsia" w:eastAsiaTheme="minorEastAsia"/>
          <w:color w:val="000000"/>
          <w:sz w:val="24"/>
          <w:szCs w:val="24"/>
        </w:rPr>
        <w:t>专业有效的</w:t>
      </w:r>
      <w:r>
        <w:rPr>
          <w:rFonts w:cs="宋体" w:asciiTheme="minorEastAsia" w:hAnsiTheme="minorEastAsia" w:eastAsiaTheme="minorEastAsia"/>
          <w:sz w:val="24"/>
          <w:szCs w:val="24"/>
        </w:rPr>
        <w:t>纸质</w:t>
      </w:r>
      <w:r>
        <w:rPr>
          <w:rFonts w:hint="eastAsia" w:cs="宋体" w:asciiTheme="minorEastAsia" w:hAnsiTheme="minorEastAsia" w:eastAsiaTheme="minorEastAsia"/>
          <w:sz w:val="24"/>
          <w:szCs w:val="24"/>
        </w:rPr>
        <w:t>检定</w:t>
      </w:r>
      <w:r>
        <w:rPr>
          <w:rFonts w:cs="宋体" w:asciiTheme="minorEastAsia" w:hAnsiTheme="minorEastAsia" w:eastAsiaTheme="minorEastAsia"/>
          <w:sz w:val="24"/>
          <w:szCs w:val="24"/>
        </w:rPr>
        <w:t>报告免费送至</w:t>
      </w:r>
      <w:r>
        <w:rPr>
          <w:rFonts w:hint="eastAsia" w:cs="宋体" w:asciiTheme="minorEastAsia" w:hAnsiTheme="minorEastAsia" w:eastAsiaTheme="minorEastAsia"/>
          <w:sz w:val="24"/>
          <w:szCs w:val="24"/>
        </w:rPr>
        <w:t>甲方</w:t>
      </w:r>
      <w:r>
        <w:rPr>
          <w:rFonts w:hint="eastAsia" w:asciiTheme="minorEastAsia" w:hAnsiTheme="minorEastAsia" w:eastAsiaTheme="minorEastAsia"/>
          <w:color w:val="000000"/>
          <w:sz w:val="24"/>
          <w:szCs w:val="24"/>
        </w:rPr>
        <w:t>或甲方属下各分公司</w:t>
      </w:r>
      <w:r>
        <w:rPr>
          <w:rFonts w:cs="宋体" w:asciiTheme="minorEastAsia" w:hAnsiTheme="minorEastAsia" w:eastAsiaTheme="minorEastAsia"/>
          <w:sz w:val="24"/>
          <w:szCs w:val="24"/>
        </w:rPr>
        <w:t>指定的地点</w:t>
      </w:r>
      <w:r>
        <w:rPr>
          <w:rFonts w:hint="eastAsia" w:cs="宋体" w:asciiTheme="minorEastAsia" w:hAnsiTheme="minorEastAsia" w:eastAsiaTheme="minorEastAsia"/>
          <w:sz w:val="24"/>
          <w:szCs w:val="24"/>
        </w:rPr>
        <w:t>。</w:t>
      </w:r>
    </w:p>
    <w:p>
      <w:pPr>
        <w:spacing w:line="360" w:lineRule="auto"/>
        <w:ind w:firstLine="480" w:firstLineChars="200"/>
        <w:rPr>
          <w:rFonts w:cs="宋体" w:asciiTheme="minorEastAsia" w:hAnsiTheme="minorEastAsia" w:eastAsiaTheme="minorEastAsia"/>
          <w:sz w:val="24"/>
          <w:szCs w:val="24"/>
        </w:rPr>
      </w:pPr>
      <w:r>
        <w:rPr>
          <w:rFonts w:asciiTheme="minorEastAsia" w:hAnsiTheme="minorEastAsia" w:eastAsiaTheme="minorEastAsia"/>
          <w:color w:val="000000"/>
          <w:sz w:val="24"/>
          <w:szCs w:val="24"/>
        </w:rPr>
        <w:t>9</w:t>
      </w:r>
      <w:r>
        <w:rPr>
          <w:rFonts w:hint="eastAsia" w:asciiTheme="minorEastAsia" w:hAnsiTheme="minorEastAsia" w:eastAsiaTheme="minorEastAsia"/>
          <w:color w:val="000000"/>
          <w:sz w:val="24"/>
          <w:szCs w:val="24"/>
        </w:rPr>
        <w:t>.</w:t>
      </w:r>
      <w:r>
        <w:rPr>
          <w:rFonts w:hint="eastAsia" w:cs="宋体" w:asciiTheme="minorEastAsia" w:hAnsiTheme="minorEastAsia" w:eastAsiaTheme="minorEastAsia"/>
          <w:sz w:val="24"/>
          <w:szCs w:val="24"/>
        </w:rPr>
        <w:t>严格执行安全生产各项规章制度，杜绝违章作业，试验过程将按照相关标准和要求进行，包括有关安全设施的设置、实施和资料的准备等。</w:t>
      </w:r>
    </w:p>
    <w:p>
      <w:pPr>
        <w:spacing w:line="360" w:lineRule="auto"/>
        <w:ind w:firstLine="480" w:firstLineChars="200"/>
        <w:rPr>
          <w:rFonts w:asciiTheme="minorEastAsia" w:hAnsiTheme="minorEastAsia" w:eastAsiaTheme="minorEastAsia"/>
          <w:color w:val="000000"/>
          <w:sz w:val="24"/>
          <w:szCs w:val="24"/>
        </w:rPr>
      </w:pPr>
    </w:p>
    <w:p>
      <w:pPr>
        <w:spacing w:line="360" w:lineRule="auto"/>
        <w:ind w:firstLine="200"/>
        <w:rPr>
          <w:rFonts w:asciiTheme="minorEastAsia" w:hAnsiTheme="minorEastAsia" w:eastAsiaTheme="minorEastAsia"/>
          <w:b/>
          <w:sz w:val="24"/>
          <w:szCs w:val="24"/>
        </w:rPr>
      </w:pPr>
      <w:r>
        <w:rPr>
          <w:rFonts w:hint="eastAsia" w:asciiTheme="minorEastAsia" w:hAnsiTheme="minorEastAsia" w:eastAsiaTheme="minorEastAsia"/>
          <w:b/>
          <w:sz w:val="24"/>
          <w:szCs w:val="24"/>
        </w:rPr>
        <w:t>四、项目服务期限及实施地点</w:t>
      </w:r>
    </w:p>
    <w:p>
      <w:pPr>
        <w:spacing w:line="36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sz w:val="24"/>
          <w:szCs w:val="24"/>
        </w:rPr>
        <w:t>项目服务期限</w:t>
      </w:r>
      <w:r>
        <w:rPr>
          <w:rFonts w:asciiTheme="minorEastAsia" w:hAnsiTheme="minorEastAsia" w:eastAsiaTheme="minorEastAsia"/>
          <w:sz w:val="24"/>
          <w:szCs w:val="24"/>
        </w:rPr>
        <w:t>：</w:t>
      </w:r>
      <w:r>
        <w:rPr>
          <w:rFonts w:hint="eastAsia" w:asciiTheme="minorEastAsia" w:hAnsiTheme="minorEastAsia" w:eastAsiaTheme="minorEastAsia"/>
          <w:bCs/>
          <w:sz w:val="24"/>
          <w:szCs w:val="24"/>
          <w:u w:val="single"/>
        </w:rPr>
        <w:t>双方</w:t>
      </w:r>
      <w:r>
        <w:rPr>
          <w:rFonts w:asciiTheme="minorEastAsia" w:hAnsiTheme="minorEastAsia" w:eastAsiaTheme="minorEastAsia"/>
          <w:bCs/>
          <w:sz w:val="24"/>
          <w:szCs w:val="24"/>
          <w:u w:val="single"/>
        </w:rPr>
        <w:t>签订合同后</w:t>
      </w:r>
      <w:r>
        <w:rPr>
          <w:rFonts w:hint="eastAsia" w:asciiTheme="minorEastAsia" w:hAnsiTheme="minorEastAsia" w:eastAsiaTheme="minorEastAsia"/>
          <w:bCs/>
          <w:sz w:val="24"/>
          <w:szCs w:val="24"/>
        </w:rPr>
        <w:t xml:space="preserve"> 至 </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sz w:val="24"/>
          <w:szCs w:val="24"/>
        </w:rPr>
        <w:t>项目服务地点：以甲方或甲方属下各</w:t>
      </w:r>
      <w:r>
        <w:rPr>
          <w:rFonts w:hint="eastAsia" w:asciiTheme="minorEastAsia" w:hAnsiTheme="minorEastAsia" w:eastAsiaTheme="minorEastAsia"/>
          <w:color w:val="000000"/>
          <w:sz w:val="24"/>
          <w:szCs w:val="24"/>
        </w:rPr>
        <w:t>分公司</w:t>
      </w:r>
      <w:r>
        <w:rPr>
          <w:rFonts w:hint="eastAsia" w:asciiTheme="minorEastAsia" w:hAnsiTheme="minorEastAsia" w:eastAsiaTheme="minorEastAsia"/>
          <w:sz w:val="24"/>
          <w:szCs w:val="24"/>
        </w:rPr>
        <w:t>通知为准。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.项目服务次数</w:t>
      </w:r>
      <w:r>
        <w:rPr>
          <w:rFonts w:hint="eastAsia" w:asciiTheme="minorEastAsia" w:hAnsiTheme="minorEastAsia" w:eastAsiaTheme="minorEastAsia"/>
          <w:sz w:val="24"/>
          <w:szCs w:val="24"/>
        </w:rPr>
        <w:t>：</w:t>
      </w:r>
      <w:r>
        <w:rPr>
          <w:rFonts w:asciiTheme="minorEastAsia" w:hAnsiTheme="minorEastAsia" w:eastAsiaTheme="minorEastAsia"/>
          <w:sz w:val="24"/>
          <w:szCs w:val="24"/>
        </w:rPr>
        <w:t>以甲方或甲方属下各</w:t>
      </w:r>
      <w:r>
        <w:rPr>
          <w:rFonts w:hint="eastAsia" w:asciiTheme="minorEastAsia" w:hAnsiTheme="minorEastAsia" w:eastAsiaTheme="minorEastAsia"/>
          <w:color w:val="000000"/>
          <w:sz w:val="24"/>
          <w:szCs w:val="24"/>
        </w:rPr>
        <w:t>分公司</w:t>
      </w:r>
      <w:r>
        <w:rPr>
          <w:rFonts w:asciiTheme="minorEastAsia" w:hAnsiTheme="minorEastAsia" w:eastAsiaTheme="minorEastAsia"/>
          <w:sz w:val="24"/>
          <w:szCs w:val="24"/>
        </w:rPr>
        <w:t>通知为准</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p>
    <w:p>
      <w:pPr>
        <w:spacing w:line="360" w:lineRule="auto"/>
        <w:ind w:firstLine="200"/>
        <w:rPr>
          <w:rFonts w:asciiTheme="minorEastAsia" w:hAnsiTheme="minorEastAsia" w:eastAsiaTheme="minorEastAsia"/>
          <w:b/>
          <w:sz w:val="24"/>
          <w:szCs w:val="24"/>
        </w:rPr>
      </w:pPr>
      <w:r>
        <w:rPr>
          <w:rFonts w:hint="eastAsia" w:asciiTheme="minorEastAsia" w:hAnsiTheme="minorEastAsia" w:eastAsiaTheme="minorEastAsia"/>
          <w:b/>
          <w:sz w:val="24"/>
          <w:szCs w:val="24"/>
        </w:rPr>
        <w:t>五、技术服务固定单价及暂定需求量</w:t>
      </w:r>
    </w:p>
    <w:tbl>
      <w:tblPr>
        <w:tblStyle w:val="14"/>
        <w:tblW w:w="13765" w:type="dxa"/>
        <w:tblInd w:w="113" w:type="dxa"/>
        <w:tblLayout w:type="autofit"/>
        <w:tblCellMar>
          <w:top w:w="0" w:type="dxa"/>
          <w:left w:w="108" w:type="dxa"/>
          <w:bottom w:w="0" w:type="dxa"/>
          <w:right w:w="108" w:type="dxa"/>
        </w:tblCellMar>
      </w:tblPr>
      <w:tblGrid>
        <w:gridCol w:w="704"/>
        <w:gridCol w:w="1276"/>
        <w:gridCol w:w="1559"/>
        <w:gridCol w:w="1136"/>
        <w:gridCol w:w="1134"/>
        <w:gridCol w:w="1134"/>
        <w:gridCol w:w="1276"/>
        <w:gridCol w:w="1417"/>
        <w:gridCol w:w="2607"/>
        <w:gridCol w:w="382"/>
        <w:gridCol w:w="382"/>
        <w:gridCol w:w="758"/>
      </w:tblGrid>
      <w:tr>
        <w:tblPrEx>
          <w:tblCellMar>
            <w:top w:w="0" w:type="dxa"/>
            <w:left w:w="108" w:type="dxa"/>
            <w:bottom w:w="0" w:type="dxa"/>
            <w:right w:w="108" w:type="dxa"/>
          </w:tblCellMar>
        </w:tblPrEx>
        <w:trPr>
          <w:gridAfter w:val="4"/>
          <w:wAfter w:w="4131" w:type="dxa"/>
          <w:trHeight w:val="270"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序号</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仪器名称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型号规格</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单价（元）</w:t>
            </w:r>
          </w:p>
        </w:tc>
        <w:tc>
          <w:tcPr>
            <w:tcW w:w="1134" w:type="dxa"/>
            <w:vMerge w:val="restart"/>
            <w:tcBorders>
              <w:top w:val="single" w:color="auto" w:sz="4" w:space="0"/>
              <w:left w:val="nil"/>
              <w:bottom w:val="single" w:color="auto" w:sz="4" w:space="0"/>
              <w:right w:val="single" w:color="auto" w:sz="4" w:space="0"/>
            </w:tcBorders>
          </w:tcPr>
          <w:p>
            <w:pPr>
              <w:widowControl/>
              <w:spacing w:line="480" w:lineRule="auto"/>
              <w:jc w:val="center"/>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数量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服务方式</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合计（元）</w:t>
            </w:r>
          </w:p>
        </w:tc>
      </w:tr>
      <w:tr>
        <w:tblPrEx>
          <w:tblCellMar>
            <w:top w:w="0" w:type="dxa"/>
            <w:left w:w="108" w:type="dxa"/>
            <w:bottom w:w="0" w:type="dxa"/>
            <w:right w:w="108" w:type="dxa"/>
          </w:tblCellMar>
        </w:tblPrEx>
        <w:trPr>
          <w:gridAfter w:val="4"/>
          <w:wAfter w:w="4131" w:type="dxa"/>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Arial" w:asciiTheme="minorEastAsia" w:hAnsiTheme="minorEastAsia" w:eastAsiaTheme="minorEastAsia"/>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宋体" w:asciiTheme="minorEastAsia" w:hAnsiTheme="minorEastAsia" w:eastAsiaTheme="minorEastAsia"/>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Arial" w:asciiTheme="minorEastAsia" w:hAnsiTheme="minorEastAsia" w:eastAsiaTheme="minorEastAsia"/>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Arial" w:asciiTheme="minorEastAsia" w:hAnsiTheme="minorEastAsia" w:eastAsiaTheme="minorEastAsia"/>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宋体" w:asciiTheme="minorEastAsia" w:hAnsiTheme="minorEastAsia" w:eastAsiaTheme="minorEastAsia"/>
                <w:kern w:val="0"/>
                <w:sz w:val="24"/>
                <w:szCs w:val="24"/>
              </w:rPr>
            </w:pPr>
          </w:p>
        </w:tc>
        <w:tc>
          <w:tcPr>
            <w:tcW w:w="1134" w:type="dxa"/>
            <w:vMerge w:val="continue"/>
            <w:tcBorders>
              <w:top w:val="single" w:color="auto" w:sz="4" w:space="0"/>
              <w:left w:val="nil"/>
              <w:bottom w:val="single" w:color="auto" w:sz="4" w:space="0"/>
              <w:right w:val="single" w:color="auto" w:sz="4" w:space="0"/>
            </w:tcBorders>
          </w:tcPr>
          <w:p>
            <w:pPr>
              <w:widowControl/>
              <w:spacing w:line="300" w:lineRule="exact"/>
              <w:ind w:firstLine="200"/>
              <w:rPr>
                <w:rFonts w:cs="Arial" w:asciiTheme="minorEastAsia" w:hAnsiTheme="minorEastAsia" w:eastAsiaTheme="minorEastAsia"/>
                <w:kern w:val="0"/>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取回校准</w:t>
            </w:r>
          </w:p>
        </w:tc>
        <w:tc>
          <w:tcPr>
            <w:tcW w:w="1417" w:type="dxa"/>
            <w:vMerge w:val="continue"/>
            <w:tcBorders>
              <w:top w:val="single" w:color="auto" w:sz="4" w:space="0"/>
              <w:left w:val="single" w:color="auto" w:sz="4" w:space="0"/>
              <w:bottom w:val="single" w:color="auto" w:sz="4" w:space="0"/>
              <w:right w:val="single" w:color="auto" w:sz="4" w:space="0"/>
            </w:tcBorders>
          </w:tcPr>
          <w:p>
            <w:pPr>
              <w:widowControl/>
              <w:spacing w:line="300" w:lineRule="exact"/>
              <w:ind w:firstLine="200"/>
              <w:rPr>
                <w:rFonts w:cs="Arial" w:asciiTheme="minorEastAsia" w:hAnsiTheme="minorEastAsia" w:eastAsiaTheme="minorEastAsia"/>
                <w:kern w:val="0"/>
                <w:sz w:val="24"/>
                <w:szCs w:val="24"/>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sz w:val="20"/>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72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71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绝缘垫</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/卷</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55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480" w:firstLineChars="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r>
              <w:rPr>
                <w:rFonts w:hint="eastAsia" w:cs="Arial" w:asciiTheme="minorEastAsia" w:hAnsiTheme="minorEastAsia" w:eastAsiaTheme="minorEastAsia"/>
                <w:kern w:val="0"/>
                <w:sz w:val="24"/>
                <w:szCs w:val="24"/>
              </w:rPr>
              <w:t>、</w:t>
            </w:r>
            <w:r>
              <w:rPr>
                <w:rFonts w:cs="Arial" w:asciiTheme="minorEastAsia" w:hAnsiTheme="minorEastAsia" w:eastAsiaTheme="minorEastAsia"/>
                <w:kern w:val="0"/>
                <w:sz w:val="24"/>
                <w:szCs w:val="24"/>
              </w:rPr>
              <w:t>25KV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r>
              <w:rPr>
                <w:rFonts w:hint="eastAsia" w:cs="Arial" w:asciiTheme="minorEastAsia" w:hAnsiTheme="minorEastAsia" w:eastAsiaTheme="minorEastAsia"/>
                <w:kern w:val="0"/>
                <w:sz w:val="24"/>
                <w:szCs w:val="24"/>
              </w:rPr>
              <w:t>、</w:t>
            </w:r>
            <w:r>
              <w:rPr>
                <w:rFonts w:cs="Arial" w:asciiTheme="minorEastAsia" w:hAnsiTheme="minorEastAsia" w:eastAsiaTheme="minorEastAsia"/>
                <w:kern w:val="0"/>
                <w:sz w:val="24"/>
                <w:szCs w:val="24"/>
              </w:rPr>
              <w:t>25KV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sz w:val="20"/>
              </w:rPr>
              <w:t>73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竹料分公司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竹料分公司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竹料分公司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96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25KV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96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高压熔芯夹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/把</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gridAfter w:val="4"/>
          <w:wAfter w:w="4131" w:type="dxa"/>
          <w:trHeight w:val="284"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464" w:hRule="atLeast"/>
        </w:trPr>
        <w:tc>
          <w:tcPr>
            <w:tcW w:w="35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20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交通快递费</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20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免收</w:t>
            </w:r>
          </w:p>
        </w:tc>
        <w:tc>
          <w:tcPr>
            <w:tcW w:w="3827" w:type="dxa"/>
            <w:gridSpan w:val="3"/>
            <w:tcBorders>
              <w:top w:val="single" w:color="auto" w:sz="4" w:space="0"/>
              <w:left w:val="nil"/>
              <w:bottom w:val="single" w:color="auto" w:sz="4" w:space="0"/>
              <w:right w:val="single" w:color="auto" w:sz="4" w:space="0"/>
            </w:tcBorders>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以上服务项目固定单价含增值税专用发票</w:t>
            </w:r>
          </w:p>
        </w:tc>
        <w:tc>
          <w:tcPr>
            <w:tcW w:w="1510" w:type="dxa"/>
          </w:tcPr>
          <w:p>
            <w:pPr>
              <w:widowControl/>
              <w:jc w:val="left"/>
            </w:pPr>
          </w:p>
        </w:tc>
        <w:tc>
          <w:tcPr>
            <w:tcW w:w="0" w:type="auto"/>
          </w:tcPr>
          <w:p>
            <w:pPr>
              <w:widowControl/>
              <w:jc w:val="left"/>
            </w:pPr>
          </w:p>
        </w:tc>
        <w:tc>
          <w:tcPr>
            <w:tcW w:w="0" w:type="auto"/>
          </w:tcPr>
          <w:p>
            <w:pPr>
              <w:widowControl/>
              <w:jc w:val="left"/>
            </w:pPr>
          </w:p>
        </w:tc>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r>
      <w:tr>
        <w:tblPrEx>
          <w:tblCellMar>
            <w:top w:w="0" w:type="dxa"/>
            <w:left w:w="108" w:type="dxa"/>
            <w:bottom w:w="0" w:type="dxa"/>
            <w:right w:w="108" w:type="dxa"/>
          </w:tblCellMar>
        </w:tblPrEx>
        <w:trPr>
          <w:gridAfter w:val="4"/>
          <w:wAfter w:w="4131" w:type="dxa"/>
          <w:trHeight w:val="464" w:hRule="atLeast"/>
        </w:trPr>
        <w:tc>
          <w:tcPr>
            <w:tcW w:w="35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总金额（元）</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200"/>
              <w:jc w:val="center"/>
              <w:rPr>
                <w:rFonts w:cs="宋体" w:asciiTheme="minorEastAsia" w:hAnsiTheme="minorEastAsia" w:eastAsiaTheme="minorEastAsia"/>
                <w:kern w:val="0"/>
                <w:sz w:val="24"/>
                <w:szCs w:val="24"/>
              </w:rPr>
            </w:pPr>
          </w:p>
        </w:tc>
        <w:tc>
          <w:tcPr>
            <w:tcW w:w="3827" w:type="dxa"/>
            <w:gridSpan w:val="3"/>
            <w:tcBorders>
              <w:top w:val="single" w:color="auto" w:sz="4" w:space="0"/>
              <w:left w:val="nil"/>
              <w:bottom w:val="single" w:color="auto" w:sz="4" w:space="0"/>
              <w:right w:val="single" w:color="auto" w:sz="4" w:space="0"/>
            </w:tcBorders>
          </w:tcPr>
          <w:p>
            <w:pPr>
              <w:widowControl/>
              <w:tabs>
                <w:tab w:val="left" w:pos="1590"/>
              </w:tabs>
              <w:spacing w:line="360" w:lineRule="auto"/>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总金额仅作为签约依据，最终合同价格依据本合同结算条款计算得出</w:t>
            </w:r>
          </w:p>
        </w:tc>
      </w:tr>
    </w:tbl>
    <w:p>
      <w:pPr>
        <w:spacing w:line="300" w:lineRule="exact"/>
        <w:ind w:firstLine="200"/>
        <w:rPr>
          <w:rFonts w:asciiTheme="minorEastAsia" w:hAnsiTheme="minorEastAsia" w:eastAsiaTheme="minorEastAsia"/>
          <w:sz w:val="24"/>
          <w:szCs w:val="24"/>
        </w:rPr>
      </w:pPr>
      <w:r>
        <w:rPr>
          <w:rFonts w:asciiTheme="minorEastAsia" w:hAnsiTheme="minorEastAsia" w:eastAsiaTheme="minorEastAsia"/>
          <w:sz w:val="24"/>
          <w:szCs w:val="24"/>
        </w:rPr>
        <w:t>备注</w:t>
      </w:r>
      <w:r>
        <w:rPr>
          <w:rFonts w:hint="eastAsia" w:asciiTheme="minorEastAsia" w:hAnsiTheme="minorEastAsia" w:eastAsiaTheme="minorEastAsia"/>
          <w:sz w:val="24"/>
          <w:szCs w:val="24"/>
        </w:rPr>
        <w:t>：</w:t>
      </w:r>
      <w:r>
        <w:rPr>
          <w:rFonts w:asciiTheme="minorEastAsia" w:hAnsiTheme="minorEastAsia" w:eastAsiaTheme="minorEastAsia"/>
          <w:sz w:val="24"/>
          <w:szCs w:val="24"/>
        </w:rPr>
        <w:t>以上数量为暂定需求量</w:t>
      </w:r>
      <w:r>
        <w:rPr>
          <w:rFonts w:hint="eastAsia" w:asciiTheme="minorEastAsia" w:hAnsiTheme="minorEastAsia" w:eastAsiaTheme="minorEastAsia"/>
          <w:sz w:val="24"/>
          <w:szCs w:val="24"/>
        </w:rPr>
        <w:t>。</w:t>
      </w:r>
    </w:p>
    <w:p>
      <w:pPr>
        <w:spacing w:line="300" w:lineRule="exact"/>
        <w:ind w:firstLine="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六</w:t>
      </w:r>
      <w:r>
        <w:rPr>
          <w:rFonts w:hint="eastAsia" w:asciiTheme="minorEastAsia" w:hAnsiTheme="minorEastAsia" w:eastAsiaTheme="minorEastAsia"/>
          <w:b/>
          <w:sz w:val="24"/>
          <w:szCs w:val="24"/>
        </w:rPr>
        <w:t>、合同总价及结算支付方式</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合同暂定金额为人民币（大写）</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，（小写）：¥ </w:t>
      </w:r>
      <w:r>
        <w:rPr>
          <w:rFonts w:asciiTheme="minorEastAsia" w:hAnsiTheme="minorEastAsia" w:eastAsiaTheme="minorEastAsia"/>
          <w:sz w:val="24"/>
          <w:szCs w:val="24"/>
          <w:u w:val="single"/>
        </w:rPr>
        <w:t xml:space="preserve">                元</w:t>
      </w:r>
      <w:r>
        <w:rPr>
          <w:rFonts w:hint="eastAsia" w:asciiTheme="minorEastAsia" w:hAnsiTheme="minorEastAsia" w:eastAsiaTheme="minorEastAsia"/>
          <w:sz w:val="24"/>
          <w:szCs w:val="24"/>
          <w:u w:val="single"/>
        </w:rPr>
        <w:t xml:space="preserve"> （本合同价款仅作为签约依据，最终合同价格依据本合同结算条款计算得出。）</w:t>
      </w:r>
      <w:r>
        <w:rPr>
          <w:rFonts w:hint="eastAsia" w:asciiTheme="minorEastAsia" w:hAnsiTheme="minorEastAsia" w:eastAsiaTheme="minorEastAsia"/>
          <w:sz w:val="24"/>
          <w:szCs w:val="24"/>
        </w:rPr>
        <w:t>。</w:t>
      </w:r>
    </w:p>
    <w:p>
      <w:pPr>
        <w:spacing w:line="360" w:lineRule="auto"/>
        <w:ind w:firstLine="482" w:firstLineChars="200"/>
        <w:rPr>
          <w:rFonts w:asciiTheme="minorEastAsia" w:hAnsiTheme="minorEastAsia" w:eastAsiaTheme="minorEastAsia"/>
          <w:b/>
          <w:sz w:val="24"/>
          <w:szCs w:val="24"/>
        </w:rPr>
      </w:pPr>
      <w:bookmarkStart w:id="9" w:name="_Toc501057062"/>
      <w:bookmarkStart w:id="10" w:name="_Toc501057148"/>
      <w:r>
        <w:rPr>
          <w:rFonts w:hint="eastAsia" w:asciiTheme="minorEastAsia" w:hAnsiTheme="minorEastAsia" w:eastAsiaTheme="minorEastAsia"/>
          <w:b/>
          <w:sz w:val="24"/>
          <w:szCs w:val="24"/>
        </w:rPr>
        <w:t>结算及支付方式：</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1.开发票与支付所有货币为人民币。</w:t>
      </w:r>
      <w:r>
        <w:rPr>
          <w:rFonts w:asciiTheme="minorEastAsia" w:hAnsiTheme="minorEastAsia" w:eastAsiaTheme="minorEastAsia"/>
          <w:sz w:val="24"/>
          <w:szCs w:val="24"/>
        </w:rPr>
        <w:t xml:space="preserve"> </w:t>
      </w:r>
    </w:p>
    <w:p>
      <w:pPr>
        <w:spacing w:line="360" w:lineRule="auto"/>
        <w:ind w:firstLine="480" w:firstLineChars="200"/>
        <w:rPr>
          <w:rFonts w:cs="仿宋_GB2312" w:asciiTheme="minorEastAsia" w:hAnsiTheme="minorEastAsia" w:eastAsiaTheme="minorEastAsia"/>
          <w:sz w:val="24"/>
          <w:szCs w:val="24"/>
          <w:lang w:val="zh-CN"/>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lang w:val="zh-CN"/>
        </w:rPr>
        <w:t>采用支票、网银支付两种形式。</w:t>
      </w:r>
    </w:p>
    <w:p>
      <w:pPr>
        <w:spacing w:line="360" w:lineRule="auto"/>
        <w:ind w:firstLine="480" w:firstLineChars="200"/>
        <w:rPr>
          <w:rFonts w:asciiTheme="minorEastAsia" w:hAnsiTheme="minorEastAsia" w:eastAsiaTheme="minorEastAsia"/>
          <w:sz w:val="24"/>
          <w:szCs w:val="24"/>
        </w:rPr>
      </w:pPr>
      <w:r>
        <w:rPr>
          <w:rFonts w:hint="eastAsia" w:cs="仿宋_GB2312" w:asciiTheme="minorEastAsia" w:hAnsiTheme="minorEastAsia" w:eastAsiaTheme="minorEastAsia"/>
          <w:sz w:val="24"/>
          <w:szCs w:val="24"/>
          <w:lang w:val="zh-CN"/>
        </w:rPr>
        <w:t>3</w:t>
      </w:r>
      <w:r>
        <w:rPr>
          <w:rFonts w:cs="仿宋_GB2312" w:asciiTheme="minorEastAsia" w:hAnsiTheme="minorEastAsia" w:eastAsiaTheme="minorEastAsia"/>
          <w:sz w:val="24"/>
          <w:szCs w:val="24"/>
          <w:lang w:val="zh-CN"/>
        </w:rPr>
        <w:t>.</w:t>
      </w:r>
      <w:r>
        <w:rPr>
          <w:rFonts w:asciiTheme="minorEastAsia" w:hAnsiTheme="minorEastAsia" w:eastAsiaTheme="minorEastAsia"/>
          <w:color w:val="000000"/>
          <w:sz w:val="24"/>
          <w:szCs w:val="24"/>
        </w:rPr>
        <w:t>每次</w:t>
      </w:r>
      <w:r>
        <w:rPr>
          <w:rFonts w:hint="eastAsia" w:asciiTheme="minorEastAsia" w:hAnsiTheme="minorEastAsia" w:eastAsiaTheme="minorEastAsia"/>
          <w:color w:val="000000"/>
          <w:sz w:val="24"/>
          <w:szCs w:val="24"/>
        </w:rPr>
        <w:t>技术服务完成后,</w:t>
      </w:r>
      <w:r>
        <w:rPr>
          <w:rFonts w:hint="eastAsia" w:asciiTheme="minorEastAsia" w:hAnsiTheme="minorEastAsia" w:eastAsiaTheme="minorEastAsia"/>
          <w:sz w:val="24"/>
          <w:szCs w:val="24"/>
        </w:rPr>
        <w:t xml:space="preserve"> 乙方应根据当次技术服务的实际工程量与每项服务固定单价的乘积得出当次服务结算金额。</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乙方须按甲方或甲方属下各</w:t>
      </w:r>
      <w:r>
        <w:rPr>
          <w:rFonts w:hint="eastAsia" w:asciiTheme="minorEastAsia" w:hAnsiTheme="minorEastAsia" w:eastAsiaTheme="minorEastAsia"/>
          <w:color w:val="000000"/>
          <w:sz w:val="24"/>
          <w:szCs w:val="24"/>
        </w:rPr>
        <w:t>分公司</w:t>
      </w:r>
      <w:r>
        <w:rPr>
          <w:rFonts w:hint="eastAsia" w:asciiTheme="minorEastAsia" w:hAnsiTheme="minorEastAsia" w:eastAsiaTheme="minorEastAsia"/>
          <w:sz w:val="24"/>
          <w:szCs w:val="24"/>
        </w:rPr>
        <w:t>要求提供每次服务结算金额等额的增值税专用发票（本合同签订而需缴纳的印花税及提供服务过程中所需的所有税费全部由乙方承担）</w:t>
      </w:r>
      <w:r>
        <w:rPr>
          <w:rFonts w:hint="eastAsia" w:asciiTheme="minorEastAsia" w:hAnsiTheme="minorEastAsia" w:eastAsiaTheme="minorEastAsia"/>
          <w:color w:val="000000"/>
          <w:sz w:val="24"/>
          <w:szCs w:val="24"/>
        </w:rPr>
        <w:t>，甲方属下各分公司收到乙方按要求开具的增值税专用发票、</w:t>
      </w:r>
      <w:r>
        <w:rPr>
          <w:rFonts w:cs="宋体" w:asciiTheme="minorEastAsia" w:hAnsiTheme="minorEastAsia" w:eastAsiaTheme="minorEastAsia"/>
          <w:sz w:val="24"/>
          <w:szCs w:val="24"/>
        </w:rPr>
        <w:t>受检的仪器设备</w:t>
      </w:r>
      <w:r>
        <w:rPr>
          <w:rFonts w:hint="eastAsia" w:cs="宋体" w:asciiTheme="minorEastAsia" w:hAnsiTheme="minorEastAsia" w:eastAsiaTheme="minorEastAsia"/>
          <w:sz w:val="24"/>
          <w:szCs w:val="24"/>
        </w:rPr>
        <w:t>与</w:t>
      </w:r>
      <w:r>
        <w:rPr>
          <w:rFonts w:cs="宋体" w:asciiTheme="minorEastAsia" w:hAnsiTheme="minorEastAsia" w:eastAsiaTheme="minorEastAsia"/>
          <w:sz w:val="24"/>
          <w:szCs w:val="24"/>
        </w:rPr>
        <w:t>工器具</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纸质</w:t>
      </w:r>
      <w:r>
        <w:rPr>
          <w:rFonts w:hint="eastAsia" w:cs="宋体" w:asciiTheme="minorEastAsia" w:hAnsiTheme="minorEastAsia" w:eastAsiaTheme="minorEastAsia"/>
          <w:sz w:val="24"/>
          <w:szCs w:val="24"/>
        </w:rPr>
        <w:t>检定</w:t>
      </w:r>
      <w:r>
        <w:rPr>
          <w:rFonts w:cs="宋体" w:asciiTheme="minorEastAsia" w:hAnsiTheme="minorEastAsia" w:eastAsiaTheme="minorEastAsia"/>
          <w:sz w:val="24"/>
          <w:szCs w:val="24"/>
        </w:rPr>
        <w:t>报告</w:t>
      </w:r>
      <w:r>
        <w:rPr>
          <w:rFonts w:hint="eastAsia" w:cs="宋体" w:asciiTheme="minorEastAsia" w:hAnsiTheme="minorEastAsia" w:eastAsiaTheme="minorEastAsia"/>
          <w:sz w:val="24"/>
          <w:szCs w:val="24"/>
        </w:rPr>
        <w:t>、</w:t>
      </w:r>
      <w:r>
        <w:rPr>
          <w:rFonts w:hint="eastAsia" w:asciiTheme="minorEastAsia" w:hAnsiTheme="minorEastAsia" w:eastAsiaTheme="minorEastAsia"/>
          <w:color w:val="000000"/>
          <w:sz w:val="24"/>
          <w:szCs w:val="24"/>
        </w:rPr>
        <w:t>请款报告及工程量清单后30日内一次付清当次技术服务结算金额。</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 xml:space="preserve"> 付款日期以银行汇款单日期为准。</w:t>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七、违约责任及赔偿损失</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甲乙任何一方不履行合同义务或者履行合同义务不符合约定的，应当承担继续履行、采取补救措施或者赔偿损失等违约责任。</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甲乙任何一方违反本合同导致本合同无法继续履行的，违约方需赔偿守约方违约金人民币</w:t>
      </w:r>
      <w:r>
        <w:rPr>
          <w:rFonts w:hint="eastAsia" w:asciiTheme="minorEastAsia" w:hAnsiTheme="minorEastAsia" w:eastAsiaTheme="minorEastAsia"/>
          <w:sz w:val="24"/>
          <w:szCs w:val="24"/>
          <w:u w:val="single"/>
        </w:rPr>
        <w:t>10000</w:t>
      </w:r>
      <w:r>
        <w:rPr>
          <w:rFonts w:hint="eastAsia" w:asciiTheme="minorEastAsia" w:hAnsiTheme="minorEastAsia" w:eastAsiaTheme="minorEastAsia"/>
          <w:sz w:val="24"/>
          <w:szCs w:val="24"/>
        </w:rPr>
        <w:t>元，若该违约金不足以弥补守约方实际损失的，违约方应赔偿守约方所有实际损失。</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乙方必须按时提交相关仪器设备、工器具及工作报告，每逾期一天将处合同暂定总价的百分之一的罚金，逾期超过两周的，甲方有权单方解除合同。</w:t>
      </w:r>
    </w:p>
    <w:p>
      <w:pPr>
        <w:spacing w:line="360" w:lineRule="auto"/>
        <w:ind w:firstLine="480" w:firstLineChars="200"/>
        <w:rPr>
          <w:rFonts w:asciiTheme="minorEastAsia" w:hAnsiTheme="minorEastAsia" w:eastAsiaTheme="minorEastAsia"/>
          <w:sz w:val="24"/>
          <w:szCs w:val="24"/>
        </w:rPr>
      </w:pPr>
    </w:p>
    <w:bookmarkEnd w:id="9"/>
    <w:bookmarkEnd w:id="10"/>
    <w:p>
      <w:pPr>
        <w:pStyle w:val="5"/>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八、合同的变更、解除及终止</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合同签订以后，在当事人不变的情况下，经当事人双方协商一致，才能对合同的内容进行修改、补充或调整，并以书面形式确定。</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有下列情形之一的，合同的权利义务终止：甲乙双方已经按照合同约定履行权利义务；合同解除；法律规定或者当甲乙双方约定终止的其他情形。任何一方擅自解除合同，应向另一方支付相当于本合同总价百分之二十(20%)的违约金。</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合同执行期间受到不可抗力因素导致合同无法执行的，一方可以向另一方提出变更合同权利与义务的请求，另一方应当在10日内予以答复；逾期未予答复的，视为不同意。</w:t>
      </w:r>
    </w:p>
    <w:p>
      <w:pPr>
        <w:spacing w:line="360" w:lineRule="auto"/>
        <w:ind w:firstLine="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1" w:name="_Toc501057151"/>
      <w:bookmarkStart w:id="12" w:name="_Toc501057065"/>
      <w:r>
        <w:rPr>
          <w:rFonts w:hint="eastAsia" w:asciiTheme="minorEastAsia" w:hAnsiTheme="minorEastAsia" w:eastAsiaTheme="minorEastAsia"/>
          <w:b/>
          <w:sz w:val="24"/>
          <w:szCs w:val="24"/>
        </w:rPr>
        <w:t>九、争端的解决</w:t>
      </w:r>
      <w:bookmarkEnd w:id="11"/>
      <w:bookmarkEnd w:id="12"/>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凡与本合同有关而引起的一切争议，合同双方应首先通过友好协商解决，如经协商后仍不能达成协议时，任何一方可以向甲方所在地有管辖权的法院提请诉讼。</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本合同的诉讼管辖地为</w:t>
      </w:r>
      <w:r>
        <w:rPr>
          <w:rFonts w:asciiTheme="minorEastAsia" w:hAnsiTheme="minorEastAsia" w:eastAsiaTheme="minorEastAsia"/>
          <w:sz w:val="24"/>
          <w:szCs w:val="24"/>
        </w:rPr>
        <w:t>甲方所在地</w:t>
      </w:r>
      <w:r>
        <w:rPr>
          <w:rFonts w:hint="eastAsia" w:asciiTheme="minorEastAsia" w:hAnsiTheme="minorEastAsia" w:eastAsiaTheme="minorEastAsia"/>
          <w:sz w:val="24"/>
          <w:szCs w:val="24"/>
        </w:rPr>
        <w:t>的法院。</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在进行法院审理期间，除提交法院审理事项外，合同其他部分仍应当继续履行。</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本合同按照中华人民共和国法律进行解释。</w:t>
      </w:r>
      <w:r>
        <w:rPr>
          <w:rFonts w:asciiTheme="minorEastAsia" w:hAnsiTheme="minorEastAsia" w:eastAsiaTheme="minorEastAsia"/>
          <w:sz w:val="24"/>
          <w:szCs w:val="24"/>
        </w:rPr>
        <w:tab/>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3" w:name="_Toc501057152"/>
      <w:bookmarkStart w:id="14" w:name="_Toc501057066"/>
      <w:r>
        <w:rPr>
          <w:rFonts w:hint="eastAsia" w:asciiTheme="minorEastAsia" w:hAnsiTheme="minorEastAsia" w:eastAsiaTheme="minorEastAsia"/>
          <w:b/>
          <w:sz w:val="24"/>
          <w:szCs w:val="24"/>
        </w:rPr>
        <w:t>十、不可抗力</w:t>
      </w:r>
      <w:bookmarkEnd w:id="13"/>
      <w:bookmarkEnd w:id="14"/>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不可抗力指战争、严重火灾、洪水、台风、地震等或其它双方认定的不可抗力事件。</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签约双方中任何一方由于不可抗力影响合同执行时，发生不可抗力一方应尽快将事故通知另一方。在此情况下，乙方仍然有责任采取必要的措施，双方应通过友好协商尽快解决本合同的执行问题。</w:t>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5" w:name="_Toc501057067"/>
      <w:bookmarkStart w:id="16" w:name="_Toc501057153"/>
      <w:r>
        <w:rPr>
          <w:rFonts w:hint="eastAsia" w:asciiTheme="minorEastAsia" w:hAnsiTheme="minorEastAsia" w:eastAsiaTheme="minorEastAsia"/>
          <w:b/>
          <w:sz w:val="24"/>
          <w:szCs w:val="24"/>
        </w:rPr>
        <w:t>十一</w:t>
      </w:r>
      <w:r>
        <w:rPr>
          <w:rFonts w:asciiTheme="minorEastAsia" w:hAnsiTheme="minorEastAsia" w:eastAsiaTheme="minorEastAsia"/>
          <w:b/>
          <w:sz w:val="24"/>
          <w:szCs w:val="24"/>
        </w:rPr>
        <w:t>、通知</w:t>
      </w:r>
      <w:bookmarkEnd w:id="15"/>
      <w:bookmarkEnd w:id="16"/>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.本合同一方给对方的通知应用书面形式送达合同中对方的地址，电传或传真要经对方的书面确认，以电报形式的通知，从当地邮电局发出电报的第二天视为送达。</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2.通知以送到日期或通知书的生效日期为生效日期，两者中以晚的一个日期为准。</w:t>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7" w:name="_Toc501057154"/>
      <w:bookmarkStart w:id="18" w:name="_Toc501057068"/>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、合同生效</w:t>
      </w:r>
      <w:bookmarkEnd w:id="17"/>
      <w:bookmarkEnd w:id="18"/>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本合同在满足以下条件后生效：合同经甲、乙</w:t>
      </w:r>
      <w:r>
        <w:rPr>
          <w:rFonts w:hint="eastAsia" w:asciiTheme="minorEastAsia" w:hAnsiTheme="minorEastAsia" w:eastAsiaTheme="minorEastAsia"/>
          <w:sz w:val="24"/>
          <w:szCs w:val="24"/>
        </w:rPr>
        <w:t>双</w:t>
      </w:r>
      <w:r>
        <w:rPr>
          <w:rFonts w:asciiTheme="minorEastAsia" w:hAnsiTheme="minorEastAsia" w:eastAsiaTheme="minorEastAsia"/>
          <w:sz w:val="24"/>
          <w:szCs w:val="24"/>
        </w:rPr>
        <w:t>方授权代表签字盖章，合同签字日期以最后一个签字日为准。</w:t>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9" w:name="_Toc501057069"/>
      <w:bookmarkStart w:id="20" w:name="_Toc501057155"/>
      <w:r>
        <w:rPr>
          <w:rFonts w:hint="eastAsia" w:asciiTheme="minorEastAsia" w:hAnsiTheme="minorEastAsia" w:eastAsiaTheme="minorEastAsia"/>
          <w:b/>
          <w:sz w:val="24"/>
          <w:szCs w:val="24"/>
        </w:rPr>
        <w:t>十三、其它</w:t>
      </w:r>
      <w:bookmarkEnd w:id="19"/>
      <w:bookmarkEnd w:id="20"/>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在执行合同过程中，所有经甲乙双方签署确认的文件（包括会议纪要、补充协议、往来信函）即成为本合同的有效组成部分，其生效日期为正式</w:t>
      </w:r>
      <w:r>
        <w:rPr>
          <w:rFonts w:asciiTheme="minorEastAsia" w:hAnsiTheme="minorEastAsia" w:eastAsiaTheme="minorEastAsia"/>
          <w:sz w:val="24"/>
          <w:szCs w:val="24"/>
        </w:rPr>
        <w:t>文件</w:t>
      </w:r>
      <w:r>
        <w:rPr>
          <w:rFonts w:hint="eastAsia" w:asciiTheme="minorEastAsia" w:hAnsiTheme="minorEastAsia" w:eastAsiaTheme="minorEastAsia"/>
          <w:sz w:val="24"/>
          <w:szCs w:val="24"/>
        </w:rPr>
        <w:t>确认的日期，若涉及对合同条款实质变更的，应另行签订补充协议，否则无效。</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本合同未尽事宜，双方应本着友好合作的原则，另行商议并写入补充条款。所有修改或补充条款都视为本合同的组成部分，具有与其它条款同等的法律效力。</w:t>
      </w:r>
    </w:p>
    <w:p>
      <w:pPr>
        <w:spacing w:line="360" w:lineRule="auto"/>
        <w:ind w:left="420" w:leftChars="200"/>
        <w:rPr>
          <w:rFonts w:asciiTheme="minorEastAsia" w:hAnsiTheme="minorEastAsia" w:eastAsiaTheme="minorEastAsia"/>
          <w:sz w:val="24"/>
          <w:szCs w:val="24"/>
        </w:rPr>
      </w:pPr>
      <w:r>
        <w:rPr>
          <w:rFonts w:asciiTheme="minorEastAsia" w:hAnsiTheme="minorEastAsia" w:eastAsiaTheme="minorEastAsia"/>
          <w:sz w:val="24"/>
          <w:szCs w:val="24"/>
        </w:rPr>
        <w:t>3.合同正本（</w:t>
      </w:r>
      <w:r>
        <w:rPr>
          <w:rFonts w:hint="eastAsia" w:asciiTheme="minorEastAsia" w:hAnsiTheme="minorEastAsia" w:eastAsiaTheme="minorEastAsia"/>
          <w:sz w:val="24"/>
          <w:szCs w:val="24"/>
        </w:rPr>
        <w:t>双</w:t>
      </w:r>
      <w:r>
        <w:rPr>
          <w:rFonts w:asciiTheme="minorEastAsia" w:hAnsiTheme="minorEastAsia" w:eastAsiaTheme="minorEastAsia"/>
          <w:sz w:val="24"/>
          <w:szCs w:val="24"/>
        </w:rPr>
        <w:t>方法</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或委托人</w:t>
      </w:r>
      <w:r>
        <w:rPr>
          <w:rFonts w:asciiTheme="minorEastAsia" w:hAnsiTheme="minorEastAsia" w:eastAsiaTheme="minorEastAsia"/>
          <w:sz w:val="24"/>
          <w:szCs w:val="24"/>
        </w:rPr>
        <w:t>都作页签）一式</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份，甲</w:t>
      </w:r>
      <w:r>
        <w:rPr>
          <w:rFonts w:hint="eastAsia" w:asciiTheme="minorEastAsia" w:hAnsiTheme="minorEastAsia" w:eastAsiaTheme="minorEastAsia"/>
          <w:sz w:val="24"/>
          <w:szCs w:val="24"/>
        </w:rPr>
        <w:t>方执</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w:t>
      </w:r>
      <w:r>
        <w:rPr>
          <w:rFonts w:asciiTheme="minorEastAsia" w:hAnsiTheme="minorEastAsia" w:eastAsiaTheme="minorEastAsia"/>
          <w:sz w:val="24"/>
          <w:szCs w:val="24"/>
        </w:rPr>
        <w:t>乙方执</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份。</w:t>
      </w:r>
      <w:r>
        <w:rPr>
          <w:rFonts w:hint="eastAsia" w:asciiTheme="minorEastAsia" w:hAnsiTheme="minorEastAsia" w:eastAsiaTheme="minorEastAsia"/>
          <w:sz w:val="24"/>
          <w:szCs w:val="24"/>
        </w:rPr>
        <w:t>（以下无正文）</w:t>
      </w: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adjustRightInd w:val="0"/>
        <w:snapToGrid w:val="0"/>
        <w:spacing w:line="360" w:lineRule="auto"/>
        <w:rPr>
          <w:rFonts w:ascii="仿宋_GB2312"/>
          <w:sz w:val="24"/>
        </w:rPr>
      </w:pPr>
    </w:p>
    <w:tbl>
      <w:tblPr>
        <w:tblStyle w:val="14"/>
        <w:tblW w:w="13080" w:type="dxa"/>
        <w:tblInd w:w="0" w:type="dxa"/>
        <w:tblLayout w:type="autofit"/>
        <w:tblCellMar>
          <w:top w:w="0" w:type="dxa"/>
          <w:left w:w="108" w:type="dxa"/>
          <w:bottom w:w="0" w:type="dxa"/>
          <w:right w:w="108" w:type="dxa"/>
        </w:tblCellMar>
      </w:tblPr>
      <w:tblGrid>
        <w:gridCol w:w="4360"/>
        <w:gridCol w:w="4360"/>
        <w:gridCol w:w="4360"/>
      </w:tblGrid>
      <w:tr>
        <w:tblPrEx>
          <w:tblCellMar>
            <w:top w:w="0" w:type="dxa"/>
            <w:left w:w="108" w:type="dxa"/>
            <w:bottom w:w="0" w:type="dxa"/>
            <w:right w:w="108" w:type="dxa"/>
          </w:tblCellMar>
        </w:tblPrEx>
        <w:tc>
          <w:tcPr>
            <w:tcW w:w="4360" w:type="dxa"/>
            <w:shd w:val="clear" w:color="auto" w:fill="auto"/>
          </w:tcPr>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甲方（盖章）：</w:t>
            </w:r>
            <w:r>
              <w:rPr>
                <w:rFonts w:hint="eastAsia" w:asciiTheme="minorEastAsia" w:hAnsiTheme="minorEastAsia" w:eastAsiaTheme="minorEastAsia"/>
                <w:sz w:val="24"/>
                <w:szCs w:val="24"/>
              </w:rPr>
              <w:t xml:space="preserve">                      </w:t>
            </w:r>
          </w:p>
          <w:p>
            <w:pPr>
              <w:tabs>
                <w:tab w:val="left" w:pos="4305"/>
                <w:tab w:val="left" w:pos="4515"/>
              </w:tabs>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法</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或委托人</w:t>
            </w:r>
            <w:r>
              <w:rPr>
                <w:rFonts w:asciiTheme="minorEastAsia" w:hAnsiTheme="minorEastAsia" w:eastAsiaTheme="minorEastAsia"/>
                <w:sz w:val="24"/>
                <w:szCs w:val="24"/>
              </w:rPr>
              <w:t xml:space="preserve">（签字）：                   </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签字日期：                          </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地址：广州市天河区临江大道</w:t>
            </w:r>
            <w:r>
              <w:rPr>
                <w:rFonts w:hint="eastAsia" w:asciiTheme="minorEastAsia" w:hAnsiTheme="minorEastAsia" w:eastAsiaTheme="minorEastAsia"/>
                <w:sz w:val="24"/>
                <w:szCs w:val="24"/>
              </w:rPr>
              <w:t>5</w:t>
            </w:r>
            <w:r>
              <w:rPr>
                <w:rFonts w:asciiTheme="minorEastAsia" w:hAnsiTheme="minorEastAsia" w:eastAsiaTheme="minorEastAsia"/>
                <w:sz w:val="24"/>
                <w:szCs w:val="24"/>
              </w:rPr>
              <w:t xml:space="preserve">01号       </w:t>
            </w:r>
          </w:p>
          <w:p>
            <w:pPr>
              <w:tabs>
                <w:tab w:val="right" w:pos="4144"/>
              </w:tabs>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ab/>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p>
          <w:p>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经办</w:t>
            </w:r>
            <w:r>
              <w:rPr>
                <w:rFonts w:asciiTheme="minorEastAsia" w:hAnsiTheme="minorEastAsia" w:eastAsiaTheme="minorEastAsia"/>
                <w:sz w:val="24"/>
                <w:szCs w:val="24"/>
              </w:rPr>
              <w:t>人：</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tc>
        <w:tc>
          <w:tcPr>
            <w:tcW w:w="4360" w:type="dxa"/>
          </w:tcPr>
          <w:p>
            <w:pPr>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乙方（盖章）： </w:t>
            </w:r>
            <w:r>
              <w:rPr>
                <w:rFonts w:hint="eastAsia" w:asciiTheme="minorEastAsia" w:hAnsiTheme="minorEastAsia" w:eastAsiaTheme="minorEastAsia"/>
                <w:sz w:val="24"/>
                <w:szCs w:val="24"/>
              </w:rPr>
              <w:t xml:space="preserve">                      </w:t>
            </w:r>
          </w:p>
          <w:p>
            <w:pPr>
              <w:tabs>
                <w:tab w:val="left" w:pos="4305"/>
                <w:tab w:val="left" w:pos="4515"/>
              </w:tabs>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或委托人</w:t>
            </w:r>
            <w:r>
              <w:rPr>
                <w:rFonts w:asciiTheme="minorEastAsia" w:hAnsiTheme="minorEastAsia" w:eastAsiaTheme="minorEastAsia"/>
                <w:sz w:val="24"/>
                <w:szCs w:val="24"/>
              </w:rPr>
              <w:t xml:space="preserve">（签字）：                   </w:t>
            </w:r>
          </w:p>
          <w:p>
            <w:pPr>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签字日期：                          </w:t>
            </w:r>
          </w:p>
          <w:p>
            <w:pPr>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地址：       </w:t>
            </w:r>
          </w:p>
          <w:p>
            <w:pPr>
              <w:tabs>
                <w:tab w:val="right" w:pos="4144"/>
              </w:tabs>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ab/>
            </w:r>
          </w:p>
          <w:p>
            <w:pPr>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w:t>
            </w:r>
          </w:p>
          <w:p>
            <w:pPr>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账号：                           </w:t>
            </w:r>
          </w:p>
          <w:p>
            <w:pPr>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经办</w:t>
            </w:r>
            <w:r>
              <w:rPr>
                <w:rFonts w:asciiTheme="minorEastAsia" w:hAnsiTheme="minorEastAsia" w:eastAsiaTheme="minorEastAsia"/>
                <w:sz w:val="24"/>
                <w:szCs w:val="24"/>
              </w:rPr>
              <w:t>人：</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tc>
        <w:tc>
          <w:tcPr>
            <w:tcW w:w="4360" w:type="dxa"/>
            <w:shd w:val="clear" w:color="auto" w:fill="auto"/>
          </w:tcPr>
          <w:p>
            <w:pPr>
              <w:spacing w:line="300" w:lineRule="auto"/>
              <w:rPr>
                <w:rFonts w:asciiTheme="minorEastAsia" w:hAnsiTheme="minorEastAsia" w:eastAsiaTheme="minorEastAsia"/>
                <w:sz w:val="24"/>
                <w:szCs w:val="24"/>
              </w:rPr>
            </w:pPr>
          </w:p>
        </w:tc>
      </w:tr>
    </w:tbl>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spacing w:line="360" w:lineRule="auto"/>
        <w:rPr>
          <w:b/>
          <w:bCs/>
          <w:sz w:val="32"/>
          <w:szCs w:val="32"/>
        </w:rPr>
      </w:pPr>
      <w:r>
        <w:rPr>
          <w:rFonts w:hint="eastAsia"/>
          <w:sz w:val="24"/>
          <w:szCs w:val="24"/>
        </w:rPr>
        <w:t>附件一：安全管理协议书</w:t>
      </w:r>
    </w:p>
    <w:p>
      <w:pPr>
        <w:jc w:val="left"/>
        <w:rPr>
          <w:sz w:val="24"/>
          <w:szCs w:val="24"/>
        </w:rPr>
      </w:pPr>
    </w:p>
    <w:p>
      <w:pPr>
        <w:jc w:val="left"/>
        <w:rPr>
          <w:sz w:val="24"/>
          <w:szCs w:val="24"/>
        </w:rPr>
      </w:pPr>
    </w:p>
    <w:p>
      <w:pPr>
        <w:jc w:val="left"/>
        <w:rPr>
          <w:sz w:val="24"/>
          <w:szCs w:val="24"/>
        </w:rPr>
      </w:pP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szCs w:val="22"/>
        </w:rPr>
      </w:pPr>
    </w:p>
    <w:p>
      <w:pPr>
        <w:adjustRightInd w:val="0"/>
        <w:snapToGrid w:val="0"/>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发包人：</w:t>
      </w:r>
      <w:r>
        <w:rPr>
          <w:rFonts w:hint="eastAsia" w:asciiTheme="minorEastAsia" w:hAnsiTheme="minorEastAsia" w:eastAsiaTheme="minorEastAsia"/>
          <w:sz w:val="24"/>
          <w:szCs w:val="24"/>
          <w:u w:val="single"/>
        </w:rPr>
        <w:t>广州市净水有限公司</w:t>
      </w:r>
    </w:p>
    <w:p>
      <w:pPr>
        <w:adjustRightInd w:val="0"/>
        <w:snapToGrid w:val="0"/>
        <w:spacing w:line="440" w:lineRule="exact"/>
        <w:ind w:firstLine="480" w:firstLineChars="200"/>
        <w:jc w:val="left"/>
        <w:rPr>
          <w:rFonts w:asciiTheme="minorEastAsia" w:hAnsiTheme="minorEastAsia" w:eastAsiaTheme="minorEastAsia"/>
          <w:bCs/>
          <w:sz w:val="24"/>
          <w:szCs w:val="24"/>
          <w:u w:val="single"/>
        </w:rPr>
      </w:pPr>
      <w:r>
        <w:rPr>
          <w:rFonts w:hint="eastAsia" w:asciiTheme="minorEastAsia" w:hAnsiTheme="minorEastAsia" w:eastAsiaTheme="minorEastAsia"/>
          <w:sz w:val="24"/>
          <w:szCs w:val="24"/>
        </w:rPr>
        <w:t>承包人</w:t>
      </w:r>
      <w:bookmarkStart w:id="21" w:name="_Toc21391"/>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Cs/>
          <w:sz w:val="24"/>
          <w:szCs w:val="24"/>
          <w:u w:val="single"/>
        </w:rPr>
        <w:t xml:space="preserve"> </w:t>
      </w:r>
    </w:p>
    <w:bookmarkEnd w:id="21"/>
    <w:p>
      <w:pPr>
        <w:adjustRightInd w:val="0"/>
        <w:snapToGrid w:val="0"/>
        <w:spacing w:line="440" w:lineRule="exac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w:t>
      </w:r>
      <w:r>
        <w:rPr>
          <w:rFonts w:hint="eastAsia" w:asciiTheme="minorEastAsia" w:hAnsiTheme="minorEastAsia" w:eastAsiaTheme="minorEastAsia"/>
          <w:sz w:val="24"/>
          <w:szCs w:val="24"/>
        </w:rPr>
        <w:t>《中华人民共和国</w:t>
      </w:r>
      <w:r>
        <w:rPr>
          <w:rFonts w:asciiTheme="minorEastAsia" w:hAnsiTheme="minorEastAsia" w:eastAsiaTheme="minorEastAsia"/>
          <w:sz w:val="24"/>
          <w:szCs w:val="24"/>
        </w:rPr>
        <w:t>安全生产法》</w:t>
      </w:r>
      <w:r>
        <w:rPr>
          <w:rFonts w:hint="eastAsia" w:asciiTheme="minorEastAsia" w:hAnsiTheme="minorEastAsia" w:eastAsiaTheme="minorEastAsia"/>
          <w:sz w:val="24"/>
          <w:szCs w:val="24"/>
        </w:rPr>
        <w:t>、《中华人民共和国建筑法》、《建设工程安全生产管理条例》、《生产安全事故报告和调查处理条例》和</w:t>
      </w:r>
      <w:r>
        <w:rPr>
          <w:rFonts w:asciiTheme="minorEastAsia" w:hAnsiTheme="minorEastAsia" w:eastAsiaTheme="minorEastAsia"/>
          <w:sz w:val="24"/>
          <w:szCs w:val="24"/>
        </w:rPr>
        <w:t>《</w:t>
      </w:r>
      <w:r>
        <w:rPr>
          <w:rFonts w:hint="eastAsia" w:asciiTheme="minorEastAsia" w:hAnsiTheme="minorEastAsia" w:eastAsiaTheme="minorEastAsia"/>
          <w:sz w:val="24"/>
          <w:szCs w:val="24"/>
        </w:rPr>
        <w:t>广州市安全生产管理规定（试行）》</w:t>
      </w:r>
      <w:r>
        <w:rPr>
          <w:rFonts w:asciiTheme="minorEastAsia" w:hAnsiTheme="minorEastAsia" w:eastAsiaTheme="minorEastAsia"/>
          <w:sz w:val="24"/>
          <w:szCs w:val="24"/>
        </w:rPr>
        <w:t>等一系列有关安全生产的法律法规</w:t>
      </w:r>
      <w:r>
        <w:rPr>
          <w:rFonts w:hint="eastAsia" w:asciiTheme="minorEastAsia" w:hAnsiTheme="minorEastAsia" w:eastAsiaTheme="minorEastAsia"/>
          <w:sz w:val="24"/>
          <w:szCs w:val="24"/>
        </w:rPr>
        <w:t>, 经</w:t>
      </w:r>
      <w:r>
        <w:rPr>
          <w:rFonts w:asciiTheme="minorEastAsia" w:hAnsiTheme="minorEastAsia" w:eastAsiaTheme="minorEastAsia"/>
          <w:sz w:val="24"/>
          <w:szCs w:val="24"/>
        </w:rPr>
        <w:t>双方协商，签订本</w:t>
      </w:r>
      <w:r>
        <w:rPr>
          <w:rFonts w:hint="eastAsia" w:asciiTheme="minorEastAsia" w:hAnsiTheme="minorEastAsia" w:eastAsiaTheme="minorEastAsia"/>
          <w:sz w:val="24"/>
          <w:szCs w:val="24"/>
        </w:rPr>
        <w:t>协议书</w:t>
      </w:r>
      <w:r>
        <w:rPr>
          <w:rFonts w:asciiTheme="minorEastAsia" w:hAnsiTheme="minorEastAsia" w:eastAsiaTheme="minorEastAsia"/>
          <w:sz w:val="24"/>
          <w:szCs w:val="24"/>
        </w:rPr>
        <w:t>，以明确各自的安全生产责任并共同遵守</w:t>
      </w:r>
      <w:r>
        <w:rPr>
          <w:rFonts w:hint="eastAsia" w:asciiTheme="minorEastAsia" w:hAnsiTheme="minorEastAsia" w:eastAsiaTheme="minorEastAsia"/>
          <w:sz w:val="24"/>
          <w:szCs w:val="24"/>
        </w:rPr>
        <w:t>。</w:t>
      </w:r>
    </w:p>
    <w:p>
      <w:pPr>
        <w:numPr>
          <w:ilvl w:val="0"/>
          <w:numId w:val="5"/>
        </w:numPr>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本协议与主协议的关系</w:t>
      </w: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本协议作为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的组成部分，与主合同具有同等法律</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二、甲乙双方的责任、权利和义务</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（一）发包人的责任、权利和义务</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贯彻落实国家、地方及发包人有关</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管理的法律法规和规章制度，对承包人承包作业的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管理工作进行监督管理。</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审查承包人</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资质，确保承包人具备与承包内容资质相一致的外协条件。</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要求承包人建立健全承包作业的各项</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管理制度及标准，监督承包人制定相应的安全生产方案并严格落实。</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对承包人技术服务过程的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管理进行监督检查；及时纠正承包人生产作业人员违章指挥、违章作业、违反劳动纪律等行为，并按照发包人的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管理制度对承包人进行经济处罚；对承包人生产区域内的事故隐患，开具隐患通知单，责令限期整改。</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对承包人人员的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培训、劳动保护用品的配发和使用以及危险告知工作提出指导意见，监督落实情况，并对承包人管理人员及主要作业人员进行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教育培训，告知承包人发包人的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管理制度，对承包人提出的安全生产请求积极提供帮助。</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（二）承包人的责任、权利和义务</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对技术服务范围内的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管理工作负主体责任。贯彻落实国家有关</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管理的法律法规和管理规定，遵守发包人的各项管理制度，建立健全安全生产责任制及各项</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管理制度，并严格贯彻落实。</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严格按照资质范围进行作业，不得进行超资质范围的技术服务作业，不得将所承担的承包项目再次转包。</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承包人特种作业人员必须持有效证件上岗；新录用人员不得单独操作，须经相关安全、技能培训合格，取得特种作业资格证后方可单独操作。</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接受发包人对</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管理工作的监督检查，服从发包人管理，对发包人口头提出或书面签发提出的隐患整改通知单应按照规定要求进行处理。</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对自行携带和使用的设备负有</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管理和维护保养的全部责任，并符合相关标准。使（租）用大型机械设备时，应在使用前向发包人备案。</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承包人必须统一组织、严格管理，不得随意换人、加人和顶替，若需换人、加人必须向发包人提出申请，并履行书面手续。</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w:t>
      </w:r>
      <w:r>
        <w:rPr>
          <w:rFonts w:hint="eastAsia" w:asciiTheme="minorEastAsia" w:hAnsiTheme="minorEastAsia" w:eastAsiaTheme="minorEastAsia"/>
          <w:sz w:val="24"/>
          <w:szCs w:val="24"/>
        </w:rPr>
        <w:t>在有毒有害、化学危险品、粉尘、噪音、高温环境、有限空间中作业施工必须按照发包人相应管理规定执行。</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承包人必须组织人员进行内部安全教育，并参加我公司安全交底，确认知悉并签订安全承诺书后方可进入现场作业。</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三、协议内容</w:t>
      </w:r>
      <w:r>
        <w:rPr>
          <w:rFonts w:asciiTheme="minorEastAsia" w:hAnsiTheme="minorEastAsia" w:eastAsiaTheme="minorEastAsia"/>
          <w:sz w:val="24"/>
          <w:szCs w:val="24"/>
        </w:rPr>
        <w:t xml:space="preserve">                                                </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承包人必须向发包人提供</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资质以待审查，审查合格后方可办理进场手续。</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承包人应根据岗位需要以及作业人员数量按</w:t>
      </w:r>
      <w:r>
        <w:rPr>
          <w:rFonts w:asciiTheme="minorEastAsia" w:hAnsiTheme="minorEastAsia" w:eastAsiaTheme="minorEastAsia"/>
          <w:sz w:val="24"/>
          <w:szCs w:val="24"/>
        </w:rPr>
        <w:t>50:1</w:t>
      </w:r>
      <w:r>
        <w:rPr>
          <w:rFonts w:hint="eastAsia" w:asciiTheme="minorEastAsia" w:hAnsiTheme="minorEastAsia" w:eastAsiaTheme="minorEastAsia"/>
          <w:sz w:val="24"/>
          <w:szCs w:val="24"/>
        </w:rPr>
        <w:t>的比例配备相应的专（兼）职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管理人员（不足</w:t>
      </w:r>
      <w:r>
        <w:rPr>
          <w:rFonts w:asciiTheme="minorEastAsia" w:hAnsiTheme="minorEastAsia" w:eastAsiaTheme="minorEastAsia"/>
          <w:sz w:val="24"/>
          <w:szCs w:val="24"/>
        </w:rPr>
        <w:t>50</w:t>
      </w:r>
      <w:r>
        <w:rPr>
          <w:rFonts w:hint="eastAsia" w:asciiTheme="minorEastAsia" w:hAnsiTheme="minorEastAsia" w:eastAsiaTheme="minorEastAsia"/>
          <w:sz w:val="24"/>
          <w:szCs w:val="24"/>
        </w:rPr>
        <w:t>人时，至少配备</w:t>
      </w:r>
      <w:r>
        <w:rPr>
          <w:rFonts w:asciiTheme="minorEastAsia" w:hAnsiTheme="minorEastAsia" w:eastAsiaTheme="minorEastAsia"/>
          <w:sz w:val="24"/>
          <w:szCs w:val="24"/>
        </w:rPr>
        <w:t>1</w:t>
      </w:r>
      <w:r>
        <w:rPr>
          <w:rFonts w:hint="eastAsia" w:asciiTheme="minorEastAsia" w:hAnsiTheme="minorEastAsia" w:eastAsiaTheme="minorEastAsia"/>
          <w:sz w:val="24"/>
          <w:szCs w:val="24"/>
        </w:rPr>
        <w:t>名），进行现场</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管理以及生产作业过程中的协调、联系。</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承包人必须严格按照国家相关规定雇佣作业人员，雇佣的人员必须经过体检，有岗位禁忌症的人员严禁从事相关岗位的工作。</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承包人必须落实现场人员管理，并建立花名册或人员档案，有变动时及时更新。按要求对进场作业人员进行安全培训与安全技术交底，并做好相应文字记录，使其知识和能力与岗位要求相匹配，并满足发包人相关要求。</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承包人每次作业前应针对当天具体作业内容做好安全教育和安全交底工作。</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7.作业时如涉及危险性作业，承包人必须严格按照分包人相关作业票制度执行；并必须落实危险性作业的各项安全措施和应急措施。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承包人施工人员的电工、焊工、起重吊运等特殊专业必须按国家《特种作业人员安全技术培训考核管理规定》持有劳动部门签发的有效证件，严禁无证、违章操作；受压容器、电气设备必须具有符合安全要求的保护设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9.涉及土建项目的，承包人应须做好基坑支护等预防坍塌措施，并落实围蔽和警示措施；脚手架的搭设须符合安全技术规范；“四口五临边”区域须落实防护措施。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10.涉及危化品的，承包人须严格按危化品安全规范进行购买、运输、装卸、存储、使用和销毁。采购时须选择有资质的销售单位，如购买的是</w:t>
      </w:r>
      <w:r>
        <w:rPr>
          <w:rFonts w:asciiTheme="minorEastAsia" w:hAnsiTheme="minorEastAsia" w:eastAsiaTheme="minorEastAsia"/>
          <w:sz w:val="24"/>
          <w:szCs w:val="24"/>
        </w:rPr>
        <w:t>剧毒</w:t>
      </w:r>
      <w:r>
        <w:rPr>
          <w:rFonts w:hint="eastAsia" w:asciiTheme="minorEastAsia" w:hAnsiTheme="minorEastAsia" w:eastAsiaTheme="minorEastAsia"/>
          <w:sz w:val="24"/>
          <w:szCs w:val="24"/>
        </w:rPr>
        <w:t>、易制毒或易制爆化学品的，须在公安机关备案并办理购买许可证；严格遵守发包人关于危化品的管理制度；危化品的存放应有明显警示标志和危害告知，并落实好防火、防泄漏、隔离等措施，严禁酸碱混放、易燃品与氧化剂混放；设专人管理，落实日常检查；操作人员要做好个人防护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11.由发包人提供的设备、设施、器材、工具等，承包人负责全面管理，由于承包人人员的检查、维护、操作、保管等原因造成的非正常损坏，承担经济责任。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承包人必须为其从业人员配备劳动防护用品，确保作业人员懂得正确使用，并督促其作业时必须佩戴。</w:t>
      </w:r>
    </w:p>
    <w:p>
      <w:pPr>
        <w:adjustRightInd w:val="0"/>
        <w:snapToGrid w:val="0"/>
        <w:spacing w:line="44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13.</w:t>
      </w:r>
      <w:r>
        <w:rPr>
          <w:rFonts w:hint="eastAsia" w:cs="宋体" w:asciiTheme="minorEastAsia" w:hAnsiTheme="minorEastAsia" w:eastAsiaTheme="minorEastAsia"/>
          <w:sz w:val="24"/>
          <w:szCs w:val="24"/>
        </w:rPr>
        <w:t xml:space="preserve"> </w:t>
      </w:r>
      <w:r>
        <w:rPr>
          <w:rFonts w:hint="eastAsia" w:asciiTheme="minorEastAsia" w:hAnsiTheme="minorEastAsia" w:eastAsiaTheme="minorEastAsia"/>
          <w:sz w:val="24"/>
          <w:szCs w:val="24"/>
        </w:rPr>
        <w:t>承包人须</w:t>
      </w:r>
      <w:r>
        <w:rPr>
          <w:rFonts w:hint="eastAsia" w:cs="宋体" w:asciiTheme="minorEastAsia" w:hAnsiTheme="minorEastAsia" w:eastAsiaTheme="minorEastAsia"/>
          <w:sz w:val="24"/>
          <w:szCs w:val="24"/>
        </w:rPr>
        <w:t>根据项目实际，进行危险源识别与评价，编制现场安全应急预案以及事故处置方案，落实应急处置、抢救、疏散等措施，并组织应急演练；</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 承包人须落实安全检查制度，每次作业前对作业区域内的设施设备、安全措施、应急措施以及人员安全教育、劳保用品佩戴情况进行检查，及时消除隐患；如涉及危险作业（有限空间作业、动火作业、接电作业、起重吊装作业、高处作业等）须进行相应的专项检查。</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16</w:t>
      </w:r>
      <w:r>
        <w:rPr>
          <w:rFonts w:asciiTheme="minorEastAsia" w:hAnsiTheme="minorEastAsia" w:eastAsiaTheme="minorEastAsia"/>
          <w:sz w:val="24"/>
          <w:szCs w:val="24"/>
        </w:rPr>
        <w:t>.</w:t>
      </w:r>
      <w:r>
        <w:rPr>
          <w:rFonts w:hint="eastAsia" w:asciiTheme="minorEastAsia" w:hAnsiTheme="minorEastAsia" w:eastAsiaTheme="minorEastAsia"/>
          <w:sz w:val="24"/>
          <w:szCs w:val="24"/>
        </w:rPr>
        <w:t>发包人有权随时对承包人进行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工作检查，制止违章作业，对违反发包人</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管理规定的行为将发出《隐患整改通知书》，承包人须在限期内落实整改措施。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17.发包人有权根据具体情况对安全意识差、不听安全生产指挥的承包人员进行</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经济处罚、责令停工整顿或退场。</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18. 发包人须对承包人进行《安全生产禁令及惩罚办法（试行）》进行宣贯，并严格执行该禁令。</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19</w:t>
      </w:r>
      <w:r>
        <w:rPr>
          <w:rFonts w:asciiTheme="minorEastAsia" w:hAnsiTheme="minorEastAsia" w:eastAsiaTheme="minorEastAsia"/>
          <w:sz w:val="24"/>
          <w:szCs w:val="24"/>
        </w:rPr>
        <w:t>.</w:t>
      </w:r>
      <w:r>
        <w:rPr>
          <w:rFonts w:hint="eastAsia" w:asciiTheme="minorEastAsia" w:hAnsiTheme="minorEastAsia" w:eastAsiaTheme="minorEastAsia"/>
          <w:sz w:val="24"/>
          <w:szCs w:val="24"/>
        </w:rPr>
        <w:t>发生紧急情况时，承包人必须服从发包人统一调度指挥。</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20</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承包人应严格履行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管理协议，遵守发包人各项管理规定，服从管理，否则视为违约，违约金参照发包人管理制度相关标准执行。</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四、事故责任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在承包人承包范围内，由于承包人责任发生生产安全事故时，造成的发包人、承包人或者第三方人身伤害事故，承包人负全部责任。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承包人人员在发包人非承包区域遭受意外伤害的，承包人负全部责任。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承包人人员违规进入发包人或第三方承包区域，造成事故的，承包人负全部事故责任；承包人人员遭受人身伤害的，承包人负全部责任。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承包人各类人员在发包人生产区域内发生人身伤害事故和其他事故，由承包人负责调查、处理和统计上报，并报发包人安全监督部门备案。</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7.本协议未尽事宜，依据有关法规。规章处理，法规、规章没有明确规定的，经双方协商处理解决。</w:t>
      </w:r>
    </w:p>
    <w:p>
      <w:pPr>
        <w:adjustRightInd w:val="0"/>
        <w:snapToGrid w:val="0"/>
        <w:spacing w:line="440" w:lineRule="exact"/>
        <w:ind w:firstLine="480" w:firstLineChars="200"/>
        <w:rPr>
          <w:rFonts w:asciiTheme="minorEastAsia" w:hAnsiTheme="minorEastAsia" w:eastAsiaTheme="minorEastAsia"/>
          <w:sz w:val="24"/>
          <w:szCs w:val="24"/>
        </w:rPr>
      </w:pP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五、补充条款：</w:t>
      </w:r>
      <w:r>
        <w:rPr>
          <w:rFonts w:hint="eastAsia"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六、附则</w:t>
      </w:r>
    </w:p>
    <w:p>
      <w:pPr>
        <w:adjustRightInd w:val="0"/>
        <w:snapToGrid w:val="0"/>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本协议与合同同时签订、同时终止、同时生效，具有相同的法律效力。合同由甲乙双方签字、盖章生效，甲乙双方各壹份。</w:t>
      </w:r>
    </w:p>
    <w:p>
      <w:pPr>
        <w:adjustRightInd w:val="0"/>
        <w:snapToGrid w:val="0"/>
        <w:spacing w:line="440" w:lineRule="exact"/>
        <w:rPr>
          <w:rFonts w:asciiTheme="minorEastAsia" w:hAnsiTheme="minorEastAsia" w:eastAsiaTheme="minorEastAsia"/>
          <w:sz w:val="24"/>
          <w:szCs w:val="24"/>
        </w:rPr>
      </w:pPr>
    </w:p>
    <w:p>
      <w:pPr>
        <w:adjustRightInd w:val="0"/>
        <w:snapToGrid w:val="0"/>
        <w:spacing w:line="440" w:lineRule="exact"/>
        <w:ind w:left="1330" w:leftChars="5" w:hanging="1320" w:hangingChars="5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发包人代表</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承包人代表（章）：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月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日</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附件二：职业卫生管理协议书</w:t>
      </w:r>
    </w:p>
    <w:p>
      <w:pPr>
        <w:spacing w:line="360" w:lineRule="auto"/>
        <w:rPr>
          <w:b/>
          <w:sz w:val="44"/>
          <w:szCs w:val="44"/>
        </w:rPr>
      </w:pPr>
    </w:p>
    <w:p>
      <w:pPr>
        <w:jc w:val="center"/>
        <w:rPr>
          <w:b/>
          <w:sz w:val="44"/>
          <w:szCs w:val="44"/>
        </w:rPr>
      </w:pPr>
      <w:r>
        <w:rPr>
          <w:rFonts w:hint="eastAsia"/>
          <w:b/>
          <w:sz w:val="44"/>
          <w:szCs w:val="44"/>
        </w:rPr>
        <w:t>职业卫生管理协议书</w:t>
      </w:r>
    </w:p>
    <w:p>
      <w:pPr>
        <w:jc w:val="center"/>
        <w:rPr>
          <w:b/>
          <w:sz w:val="44"/>
          <w:szCs w:val="44"/>
        </w:rPr>
      </w:pP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发包人：</w:t>
      </w:r>
      <w:r>
        <w:rPr>
          <w:rFonts w:asciiTheme="minorEastAsia" w:hAnsiTheme="minorEastAsia" w:eastAsiaTheme="minorEastAsia"/>
          <w:sz w:val="24"/>
          <w:szCs w:val="24"/>
          <w:u w:val="single"/>
        </w:rPr>
        <w:t xml:space="preserve"> 广州市净水有限公司</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承包人：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asciiTheme="minorEastAsia" w:hAnsiTheme="minorEastAsia" w:eastAsiaTheme="minorEastAsia"/>
          <w:kern w:val="0"/>
          <w:sz w:val="24"/>
          <w:szCs w:val="24"/>
        </w:rPr>
        <w:t>法律法规</w:t>
      </w:r>
      <w:r>
        <w:rPr>
          <w:rFonts w:hint="eastAsia" w:asciiTheme="minorEastAsia" w:hAnsiTheme="minorEastAsia" w:eastAsiaTheme="minorEastAsia"/>
          <w:kern w:val="0"/>
          <w:sz w:val="24"/>
          <w:szCs w:val="24"/>
        </w:rPr>
        <w:t>要求, 经</w:t>
      </w:r>
      <w:r>
        <w:rPr>
          <w:rFonts w:asciiTheme="minorEastAsia" w:hAnsiTheme="minorEastAsia" w:eastAsiaTheme="minorEastAsia"/>
          <w:kern w:val="0"/>
          <w:sz w:val="24"/>
          <w:szCs w:val="24"/>
        </w:rPr>
        <w:t>双方协商，签订本</w:t>
      </w:r>
      <w:r>
        <w:rPr>
          <w:rFonts w:hint="eastAsia" w:asciiTheme="minorEastAsia" w:hAnsiTheme="minorEastAsia" w:eastAsiaTheme="minorEastAsia"/>
          <w:kern w:val="0"/>
          <w:sz w:val="24"/>
          <w:szCs w:val="24"/>
        </w:rPr>
        <w:t>协议书</w:t>
      </w:r>
      <w:r>
        <w:rPr>
          <w:rFonts w:asciiTheme="minorEastAsia" w:hAnsiTheme="minorEastAsia" w:eastAsiaTheme="minorEastAsia"/>
          <w:kern w:val="0"/>
          <w:sz w:val="24"/>
          <w:szCs w:val="24"/>
        </w:rPr>
        <w:t>，以明确各自的</w:t>
      </w:r>
      <w:r>
        <w:rPr>
          <w:rFonts w:hint="eastAsia" w:asciiTheme="minorEastAsia" w:hAnsiTheme="minorEastAsia" w:eastAsiaTheme="minorEastAsia"/>
          <w:kern w:val="0"/>
          <w:sz w:val="24"/>
          <w:szCs w:val="24"/>
        </w:rPr>
        <w:t>职业卫生</w:t>
      </w:r>
      <w:r>
        <w:rPr>
          <w:rFonts w:asciiTheme="minorEastAsia" w:hAnsiTheme="minorEastAsia" w:eastAsiaTheme="minorEastAsia"/>
          <w:kern w:val="0"/>
          <w:sz w:val="24"/>
          <w:szCs w:val="24"/>
        </w:rPr>
        <w:t>安全生产责任并共同遵守</w:t>
      </w:r>
      <w:r>
        <w:rPr>
          <w:rFonts w:hint="eastAsia" w:asciiTheme="minorEastAsia" w:hAnsiTheme="minorEastAsia" w:eastAsiaTheme="minorEastAsia"/>
          <w:kern w:val="0"/>
          <w:sz w:val="24"/>
          <w:szCs w:val="24"/>
        </w:rPr>
        <w:t>。</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一、</w:t>
      </w:r>
      <w:r>
        <w:rPr>
          <w:rFonts w:asciiTheme="minorEastAsia" w:hAnsiTheme="minorEastAsia" w:eastAsiaTheme="minorEastAsia"/>
          <w:kern w:val="0"/>
          <w:sz w:val="24"/>
          <w:szCs w:val="24"/>
        </w:rPr>
        <w:t>发包人的</w:t>
      </w:r>
      <w:r>
        <w:rPr>
          <w:rFonts w:hint="eastAsia" w:asciiTheme="minorEastAsia" w:hAnsiTheme="minorEastAsia" w:eastAsiaTheme="minorEastAsia"/>
          <w:kern w:val="0"/>
          <w:sz w:val="24"/>
          <w:szCs w:val="24"/>
        </w:rPr>
        <w:t>职业卫生管理责任</w:t>
      </w:r>
    </w:p>
    <w:p>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1、发包人</w:t>
      </w:r>
      <w:r>
        <w:rPr>
          <w:rFonts w:hint="eastAsia" w:asciiTheme="minorEastAsia" w:hAnsiTheme="minorEastAsia" w:eastAsiaTheme="minorEastAsia"/>
          <w:kern w:val="0"/>
          <w:sz w:val="24"/>
          <w:szCs w:val="24"/>
        </w:rPr>
        <w:t>有权</w:t>
      </w:r>
      <w:r>
        <w:rPr>
          <w:rFonts w:asciiTheme="minorEastAsia" w:hAnsiTheme="minorEastAsia" w:eastAsiaTheme="minorEastAsia"/>
          <w:kern w:val="0"/>
          <w:sz w:val="24"/>
          <w:szCs w:val="24"/>
        </w:rPr>
        <w:t>对承包人</w:t>
      </w:r>
      <w:r>
        <w:rPr>
          <w:rFonts w:hint="eastAsia" w:asciiTheme="minorEastAsia" w:hAnsiTheme="minorEastAsia" w:eastAsiaTheme="minorEastAsia"/>
          <w:kern w:val="0"/>
          <w:sz w:val="24"/>
          <w:szCs w:val="24"/>
        </w:rPr>
        <w:t>职业卫生</w:t>
      </w:r>
      <w:r>
        <w:rPr>
          <w:rFonts w:asciiTheme="minorEastAsia" w:hAnsiTheme="minorEastAsia" w:eastAsiaTheme="minorEastAsia"/>
          <w:kern w:val="0"/>
          <w:sz w:val="24"/>
          <w:szCs w:val="24"/>
        </w:rPr>
        <w:t>安全</w:t>
      </w:r>
      <w:r>
        <w:rPr>
          <w:rFonts w:hint="eastAsia" w:asciiTheme="minorEastAsia" w:hAnsiTheme="minorEastAsia" w:eastAsiaTheme="minorEastAsia"/>
          <w:kern w:val="0"/>
          <w:sz w:val="24"/>
          <w:szCs w:val="24"/>
        </w:rPr>
        <w:t>进行</w:t>
      </w:r>
      <w:r>
        <w:rPr>
          <w:rFonts w:asciiTheme="minorEastAsia" w:hAnsiTheme="minorEastAsia" w:eastAsiaTheme="minorEastAsia"/>
          <w:kern w:val="0"/>
          <w:sz w:val="24"/>
          <w:szCs w:val="24"/>
        </w:rPr>
        <w:t>监督、指导、检查</w:t>
      </w:r>
      <w:r>
        <w:rPr>
          <w:rFonts w:hint="eastAsia" w:asciiTheme="minorEastAsia" w:hAnsiTheme="minorEastAsia" w:eastAsiaTheme="minorEastAsia"/>
          <w:kern w:val="0"/>
          <w:sz w:val="24"/>
          <w:szCs w:val="24"/>
        </w:rPr>
        <w:t>，发现危害的问题的，及时督促整改。</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2、发包人应按照相关法律法规要求开展职业病危害因素定期检测或相关评价。</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3、发包人应在工作场所设置危害因素告知卡（牌）以及警示标识等。</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4、发包人有权监督承包人为劳动者发放符合国家职业卫生标准的防护用品，并督促其正确佩戴和使用。</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5、发包人有权查验承包人的职业卫生条件和相应资质证照。</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发包人有</w:t>
      </w:r>
      <w:r>
        <w:rPr>
          <w:rFonts w:hint="eastAsia" w:asciiTheme="minorEastAsia" w:hAnsiTheme="minorEastAsia" w:eastAsiaTheme="minorEastAsia"/>
          <w:kern w:val="0"/>
          <w:sz w:val="24"/>
          <w:szCs w:val="24"/>
        </w:rPr>
        <w:t>权责令职业卫生</w:t>
      </w:r>
      <w:r>
        <w:rPr>
          <w:rFonts w:asciiTheme="minorEastAsia" w:hAnsiTheme="minorEastAsia" w:eastAsiaTheme="minorEastAsia"/>
          <w:kern w:val="0"/>
          <w:sz w:val="24"/>
          <w:szCs w:val="24"/>
        </w:rPr>
        <w:t>管理不到位、存在重大安全隐患或发生安全事故</w:t>
      </w:r>
      <w:r>
        <w:rPr>
          <w:rFonts w:hint="eastAsia" w:asciiTheme="minorEastAsia" w:hAnsiTheme="minorEastAsia" w:eastAsiaTheme="minorEastAsia"/>
          <w:kern w:val="0"/>
          <w:sz w:val="24"/>
          <w:szCs w:val="24"/>
        </w:rPr>
        <w:t>承</w:t>
      </w:r>
      <w:r>
        <w:rPr>
          <w:rFonts w:asciiTheme="minorEastAsia" w:hAnsiTheme="minorEastAsia" w:eastAsiaTheme="minorEastAsia"/>
          <w:kern w:val="0"/>
          <w:sz w:val="24"/>
          <w:szCs w:val="24"/>
        </w:rPr>
        <w:t>包</w:t>
      </w:r>
      <w:r>
        <w:rPr>
          <w:rFonts w:hint="eastAsia" w:asciiTheme="minorEastAsia" w:hAnsiTheme="minorEastAsia" w:eastAsiaTheme="minorEastAsia"/>
          <w:kern w:val="0"/>
          <w:sz w:val="24"/>
          <w:szCs w:val="24"/>
        </w:rPr>
        <w:t>人</w:t>
      </w:r>
      <w:r>
        <w:rPr>
          <w:rFonts w:asciiTheme="minorEastAsia" w:hAnsiTheme="minorEastAsia" w:eastAsiaTheme="minorEastAsia"/>
          <w:kern w:val="0"/>
          <w:sz w:val="24"/>
          <w:szCs w:val="24"/>
        </w:rPr>
        <w:t>限期退场，或者</w:t>
      </w:r>
      <w:r>
        <w:rPr>
          <w:rFonts w:hint="eastAsia" w:asciiTheme="minorEastAsia" w:hAnsiTheme="minorEastAsia" w:eastAsiaTheme="minorEastAsia"/>
          <w:kern w:val="0"/>
          <w:sz w:val="24"/>
          <w:szCs w:val="24"/>
        </w:rPr>
        <w:t>解除</w:t>
      </w:r>
      <w:r>
        <w:rPr>
          <w:rFonts w:asciiTheme="minorEastAsia" w:hAnsiTheme="minorEastAsia" w:eastAsiaTheme="minorEastAsia"/>
          <w:kern w:val="0"/>
          <w:sz w:val="24"/>
          <w:szCs w:val="24"/>
        </w:rPr>
        <w:t>合同</w:t>
      </w:r>
      <w:r>
        <w:rPr>
          <w:rFonts w:hint="eastAsia" w:asciiTheme="minorEastAsia" w:hAnsiTheme="minorEastAsia" w:eastAsiaTheme="minorEastAsia"/>
          <w:kern w:val="0"/>
          <w:sz w:val="24"/>
          <w:szCs w:val="24"/>
        </w:rPr>
        <w:t>。</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w:t>
      </w:r>
      <w:r>
        <w:rPr>
          <w:rFonts w:asciiTheme="minorEastAsia" w:hAnsiTheme="minorEastAsia" w:eastAsiaTheme="minorEastAsia"/>
          <w:kern w:val="0"/>
          <w:sz w:val="24"/>
          <w:szCs w:val="24"/>
        </w:rPr>
        <w:t>承包人的</w:t>
      </w:r>
      <w:r>
        <w:rPr>
          <w:rFonts w:hint="eastAsia" w:asciiTheme="minorEastAsia" w:hAnsiTheme="minorEastAsia" w:eastAsiaTheme="minorEastAsia"/>
          <w:kern w:val="0"/>
          <w:sz w:val="24"/>
          <w:szCs w:val="24"/>
        </w:rPr>
        <w:t>职业卫生管理</w:t>
      </w:r>
      <w:r>
        <w:rPr>
          <w:rFonts w:asciiTheme="minorEastAsia" w:hAnsiTheme="minorEastAsia" w:eastAsiaTheme="minorEastAsia"/>
          <w:kern w:val="0"/>
          <w:sz w:val="24"/>
          <w:szCs w:val="24"/>
        </w:rPr>
        <w:t>责任</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1、承包人应遵守有关职业病防治法律法规、规章规程及发包人依此制订的相关制度规定。</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2、承包人负责为劳动者提供上岗前、在岗期间、离岗职业病体检，并将体检报告留档备查。有职业禁忌症、疑似职业病或职业病诊断情形者，不得从事有害工作场所作业。</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4、承包人负责将工作场所职业危害告知劳动者并针对工作场所存在的危害因素种类及防护措施对劳动者实施岗前职业卫生教育培训，培训资料留档备查。</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5、承包人负责为劳动者提供符合个人防护用品选用规范要求的防护用品，并监督、督促其正确佩戴和使用。</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6、如</w:t>
      </w:r>
      <w:r>
        <w:rPr>
          <w:rFonts w:asciiTheme="minorEastAsia" w:hAnsiTheme="minorEastAsia" w:eastAsiaTheme="minorEastAsia"/>
          <w:kern w:val="0"/>
          <w:sz w:val="24"/>
          <w:szCs w:val="24"/>
        </w:rPr>
        <w:t>发生</w:t>
      </w:r>
      <w:r>
        <w:rPr>
          <w:rFonts w:hint="eastAsia" w:asciiTheme="minorEastAsia" w:hAnsiTheme="minorEastAsia" w:eastAsiaTheme="minorEastAsia"/>
          <w:kern w:val="0"/>
          <w:sz w:val="24"/>
          <w:szCs w:val="24"/>
        </w:rPr>
        <w:t>职业卫生安全</w:t>
      </w:r>
      <w:r>
        <w:rPr>
          <w:rFonts w:asciiTheme="minorEastAsia" w:hAnsiTheme="minorEastAsia" w:eastAsiaTheme="minorEastAsia"/>
          <w:kern w:val="0"/>
          <w:sz w:val="24"/>
          <w:szCs w:val="24"/>
        </w:rPr>
        <w:t>事故</w:t>
      </w:r>
      <w:r>
        <w:rPr>
          <w:rFonts w:hint="eastAsia" w:asciiTheme="minorEastAsia" w:hAnsiTheme="minorEastAsia" w:eastAsiaTheme="minorEastAsia"/>
          <w:kern w:val="0"/>
          <w:sz w:val="24"/>
          <w:szCs w:val="24"/>
        </w:rPr>
        <w:t>，承包人应根据事故应急救援预案组织施救，并负责向事故发生地安监部门、行业主管部门和广州市规定的相关政府部门报告，并同时</w:t>
      </w:r>
      <w:r>
        <w:rPr>
          <w:rFonts w:asciiTheme="minorEastAsia" w:hAnsiTheme="minorEastAsia" w:eastAsiaTheme="minorEastAsia"/>
          <w:kern w:val="0"/>
          <w:sz w:val="24"/>
          <w:szCs w:val="24"/>
        </w:rPr>
        <w:t>上报发包人</w:t>
      </w:r>
      <w:r>
        <w:rPr>
          <w:rFonts w:hint="eastAsia" w:asciiTheme="minorEastAsia" w:hAnsiTheme="minorEastAsia" w:eastAsiaTheme="minorEastAsia"/>
          <w:kern w:val="0"/>
          <w:sz w:val="24"/>
          <w:szCs w:val="24"/>
        </w:rPr>
        <w:t>代表。</w:t>
      </w:r>
    </w:p>
    <w:p>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发包人(盖章) </w:t>
      </w: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承包人(盖章)</w:t>
      </w:r>
    </w:p>
    <w:p>
      <w:pPr>
        <w:widowControl/>
        <w:spacing w:line="360" w:lineRule="auto"/>
        <w:ind w:firstLine="480" w:firstLineChars="200"/>
        <w:rPr>
          <w:rFonts w:asciiTheme="minorEastAsia" w:hAnsiTheme="minorEastAsia" w:eastAsiaTheme="minorEastAsia"/>
          <w:kern w:val="0"/>
          <w:sz w:val="24"/>
          <w:szCs w:val="24"/>
        </w:rPr>
      </w:pPr>
    </w:p>
    <w:p>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发包人代表(签字) </w:t>
      </w: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承包人代表(签字)</w:t>
      </w:r>
      <w:r>
        <w:rPr>
          <w:rFonts w:hint="eastAsia" w:asciiTheme="minorEastAsia" w:hAnsiTheme="minorEastAsia" w:eastAsiaTheme="minorEastAsia"/>
          <w:kern w:val="0"/>
          <w:sz w:val="24"/>
          <w:szCs w:val="24"/>
        </w:rPr>
        <w:t>：</w:t>
      </w:r>
    </w:p>
    <w:p>
      <w:pPr>
        <w:widowControl/>
        <w:spacing w:line="360" w:lineRule="auto"/>
        <w:ind w:firstLine="480" w:firstLineChars="200"/>
        <w:rPr>
          <w:rFonts w:ascii="宋体" w:hAnsi="宋体"/>
          <w:kern w:val="0"/>
          <w:sz w:val="24"/>
          <w:szCs w:val="24"/>
        </w:rPr>
      </w:pPr>
      <w:r>
        <w:rPr>
          <w:rFonts w:hint="eastAsia" w:asciiTheme="minorEastAsia" w:hAnsiTheme="minorEastAsia" w:eastAsiaTheme="minorEastAsia"/>
          <w:kern w:val="0"/>
          <w:sz w:val="24"/>
          <w:szCs w:val="24"/>
        </w:rPr>
        <w:t xml:space="preserve">           年   月   日                      </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 xml:space="preserve">   年   月   日</w:t>
      </w:r>
      <w:r>
        <w:rPr>
          <w:rFonts w:hint="eastAsia" w:ascii="宋体" w:hAnsi="宋体"/>
          <w:kern w:val="0"/>
          <w:sz w:val="24"/>
          <w:szCs w:val="24"/>
        </w:rPr>
        <w:t xml:space="preserve"> </w:t>
      </w:r>
      <w:r>
        <w:rPr>
          <w:rFonts w:ascii="宋体" w:hAnsi="宋体"/>
          <w:kern w:val="0"/>
          <w:sz w:val="24"/>
          <w:szCs w:val="24"/>
        </w:rPr>
        <w:t xml:space="preserve">   </w:t>
      </w:r>
    </w:p>
    <w:p>
      <w:pPr>
        <w:rPr>
          <w:rFonts w:eastAsiaTheme="minorEastAsia"/>
          <w:snapToGrid w:val="0"/>
          <w:w w:val="0"/>
          <w:kern w:val="0"/>
          <w:sz w:val="0"/>
          <w:szCs w:val="0"/>
          <w:u w:color="000000"/>
          <w:shd w:val="clear" w:color="000000" w:fill="000000"/>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8"/>
        <w:tabs>
          <w:tab w:val="left" w:pos="1260"/>
        </w:tabs>
        <w:rPr>
          <w:rFonts w:ascii="仿宋" w:hAnsi="仿宋" w:eastAsia="仿宋" w:cs="仿宋_GB2312"/>
          <w:b/>
          <w:kern w:val="0"/>
          <w:sz w:val="28"/>
          <w:szCs w:val="28"/>
        </w:rPr>
      </w:pPr>
    </w:p>
    <w:p>
      <w:pPr>
        <w:pStyle w:val="8"/>
        <w:tabs>
          <w:tab w:val="left" w:pos="1260"/>
        </w:tabs>
        <w:jc w:val="center"/>
        <w:rPr>
          <w:rFonts w:ascii="仿宋" w:hAnsi="仿宋" w:eastAsia="仿宋" w:cs="仿宋_GB2312"/>
          <w:b/>
          <w:kern w:val="0"/>
          <w:sz w:val="28"/>
          <w:szCs w:val="28"/>
        </w:rPr>
      </w:pPr>
    </w:p>
    <w:p>
      <w:pPr>
        <w:pStyle w:val="8"/>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8"/>
        <w:jc w:val="center"/>
        <w:rPr>
          <w:rFonts w:ascii="仿宋" w:hAnsi="仿宋" w:eastAsia="仿宋" w:cs="仿宋_GB2312"/>
          <w:b/>
          <w:sz w:val="28"/>
          <w:szCs w:val="28"/>
        </w:rPr>
      </w:pPr>
    </w:p>
    <w:p>
      <w:pPr>
        <w:pStyle w:val="8"/>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8"/>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8"/>
        <w:jc w:val="center"/>
        <w:rPr>
          <w:rFonts w:ascii="仿宋" w:hAnsi="仿宋" w:eastAsia="仿宋" w:cs="仿宋_GB2312"/>
          <w:b/>
          <w:sz w:val="28"/>
          <w:szCs w:val="28"/>
        </w:rPr>
      </w:pPr>
    </w:p>
    <w:p>
      <w:pPr>
        <w:pStyle w:val="8"/>
        <w:jc w:val="center"/>
        <w:rPr>
          <w:rFonts w:ascii="仿宋" w:hAnsi="仿宋" w:eastAsia="仿宋" w:cs="仿宋_GB2312"/>
          <w:b/>
          <w:sz w:val="28"/>
          <w:szCs w:val="28"/>
        </w:rPr>
      </w:pPr>
    </w:p>
    <w:p>
      <w:pPr>
        <w:pStyle w:val="8"/>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7"/>
        <w:spacing w:line="360" w:lineRule="auto"/>
        <w:ind w:firstLine="828" w:firstLineChars="296"/>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spacing w:line="360" w:lineRule="auto"/>
        <w:ind w:firstLine="1687" w:firstLineChars="60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1687" w:firstLineChars="600"/>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1" w:type="default"/>
          <w:footerReference r:id="rId13" w:type="default"/>
          <w:headerReference r:id="rId12"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w:pict>
          <v:shape id="AutoShape 2" o:spid="_x0000_s1026" o:spt="176" type="#_x0000_t176" style="position:absolute;left:0pt;margin-left:127.5pt;margin-top:1.6pt;height:124.75pt;width:183.75pt;z-index:251657216;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w:pict>
          <v:shape id="AutoShape 3" o:spid="_x0000_s1027" o:spt="176" type="#_x0000_t176" style="position:absolute;left:0pt;margin-left:126pt;margin-top:3.8pt;height:124.75pt;width:183.75pt;z-index:251658240;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1"/>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19"/>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19"/>
        <w:ind w:firstLine="496"/>
        <w:rPr>
          <w:rFonts w:ascii="仿宋" w:hAnsi="仿宋" w:eastAsia="仿宋" w:cs="仿宋_GB2312"/>
        </w:rPr>
      </w:pPr>
    </w:p>
    <w:p>
      <w:pPr>
        <w:pStyle w:val="19"/>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19"/>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19"/>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Pr>
        <w:tabs>
          <w:tab w:val="left" w:pos="5490"/>
        </w:tabs>
        <w:adjustRightInd w:val="0"/>
        <w:snapToGrid w:val="0"/>
        <w:spacing w:line="360" w:lineRule="auto"/>
        <w:ind w:firstLine="560" w:firstLineChars="200"/>
        <w:jc w:val="left"/>
        <w:rPr>
          <w:b/>
          <w:sz w:val="28"/>
          <w:szCs w:val="28"/>
        </w:rPr>
      </w:pPr>
      <w:r>
        <w:rPr>
          <w:rFonts w:hint="eastAsia"/>
          <w:b/>
          <w:sz w:val="28"/>
          <w:szCs w:val="28"/>
          <w:lang w:val="en-US" w:eastAsia="zh-CN"/>
        </w:rPr>
        <w:t>5</w:t>
      </w:r>
      <w:r>
        <w:rPr>
          <w:rFonts w:hint="eastAsia"/>
          <w:b/>
          <w:sz w:val="28"/>
          <w:szCs w:val="28"/>
        </w:rPr>
        <w:t>技术服务</w:t>
      </w:r>
      <w:r>
        <w:rPr>
          <w:rFonts w:hint="eastAsia"/>
          <w:b/>
          <w:sz w:val="28"/>
          <w:szCs w:val="28"/>
          <w:lang w:eastAsia="zh-CN"/>
        </w:rPr>
        <w:t>报价</w:t>
      </w:r>
      <w:r>
        <w:rPr>
          <w:rFonts w:hint="eastAsia"/>
          <w:b/>
          <w:sz w:val="28"/>
          <w:szCs w:val="28"/>
        </w:rPr>
        <w:t>清单</w:t>
      </w:r>
    </w:p>
    <w:tbl>
      <w:tblPr>
        <w:tblStyle w:val="14"/>
        <w:tblW w:w="9634" w:type="dxa"/>
        <w:jc w:val="center"/>
        <w:tblLayout w:type="autofit"/>
        <w:tblCellMar>
          <w:top w:w="0" w:type="dxa"/>
          <w:left w:w="108" w:type="dxa"/>
          <w:bottom w:w="0" w:type="dxa"/>
          <w:right w:w="108" w:type="dxa"/>
        </w:tblCellMar>
      </w:tblPr>
      <w:tblGrid>
        <w:gridCol w:w="704"/>
        <w:gridCol w:w="1276"/>
        <w:gridCol w:w="1559"/>
        <w:gridCol w:w="1136"/>
        <w:gridCol w:w="1134"/>
        <w:gridCol w:w="1134"/>
        <w:gridCol w:w="1276"/>
        <w:gridCol w:w="1417"/>
      </w:tblGrid>
      <w:tr>
        <w:tblPrEx>
          <w:tblCellMar>
            <w:top w:w="0" w:type="dxa"/>
            <w:left w:w="108" w:type="dxa"/>
            <w:bottom w:w="0" w:type="dxa"/>
            <w:right w:w="108" w:type="dxa"/>
          </w:tblCellMar>
        </w:tblPrEx>
        <w:trPr>
          <w:trHeight w:val="270"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序号</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仪器名称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型号规格</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单价（元）</w:t>
            </w:r>
          </w:p>
        </w:tc>
        <w:tc>
          <w:tcPr>
            <w:tcW w:w="1134" w:type="dxa"/>
            <w:vMerge w:val="restart"/>
            <w:tcBorders>
              <w:top w:val="single" w:color="auto" w:sz="4" w:space="0"/>
              <w:left w:val="nil"/>
              <w:bottom w:val="single" w:color="auto" w:sz="4" w:space="0"/>
              <w:right w:val="single" w:color="auto" w:sz="4" w:space="0"/>
            </w:tcBorders>
          </w:tcPr>
          <w:p>
            <w:pPr>
              <w:widowControl/>
              <w:spacing w:line="480" w:lineRule="auto"/>
              <w:jc w:val="center"/>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数量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服务方式</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合</w:t>
            </w:r>
            <w:r>
              <w:rPr>
                <w:rFonts w:hint="eastAsia" w:cs="Arial" w:asciiTheme="minorEastAsia" w:hAnsiTheme="minorEastAsia" w:eastAsiaTheme="minorEastAsia"/>
                <w:kern w:val="0"/>
                <w:sz w:val="24"/>
                <w:szCs w:val="24"/>
                <w:lang w:eastAsia="zh-CN"/>
              </w:rPr>
              <w:t>价</w:t>
            </w:r>
            <w:r>
              <w:rPr>
                <w:rFonts w:hint="eastAsia" w:cs="Arial" w:asciiTheme="minorEastAsia" w:hAnsiTheme="minorEastAsia" w:eastAsiaTheme="minorEastAsia"/>
                <w:kern w:val="0"/>
                <w:sz w:val="24"/>
                <w:szCs w:val="24"/>
              </w:rPr>
              <w:t>（元）</w:t>
            </w:r>
          </w:p>
        </w:tc>
      </w:tr>
      <w:tr>
        <w:tblPrEx>
          <w:tblCellMar>
            <w:top w:w="0" w:type="dxa"/>
            <w:left w:w="108" w:type="dxa"/>
            <w:bottom w:w="0" w:type="dxa"/>
            <w:right w:w="108" w:type="dxa"/>
          </w:tblCellMar>
        </w:tblPrEx>
        <w:trPr>
          <w:trHeight w:val="27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Arial" w:asciiTheme="minorEastAsia" w:hAnsiTheme="minorEastAsia" w:eastAsiaTheme="minorEastAsia"/>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宋体" w:asciiTheme="minorEastAsia" w:hAnsiTheme="minorEastAsia" w:eastAsiaTheme="minorEastAsia"/>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Arial" w:asciiTheme="minorEastAsia" w:hAnsiTheme="minorEastAsia" w:eastAsiaTheme="minorEastAsia"/>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Arial" w:asciiTheme="minorEastAsia" w:hAnsiTheme="minorEastAsia" w:eastAsiaTheme="minorEastAsia"/>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00"/>
              <w:rPr>
                <w:rFonts w:cs="宋体" w:asciiTheme="minorEastAsia" w:hAnsiTheme="minorEastAsia" w:eastAsiaTheme="minorEastAsia"/>
                <w:kern w:val="0"/>
                <w:sz w:val="24"/>
                <w:szCs w:val="24"/>
              </w:rPr>
            </w:pPr>
          </w:p>
        </w:tc>
        <w:tc>
          <w:tcPr>
            <w:tcW w:w="1134" w:type="dxa"/>
            <w:vMerge w:val="continue"/>
            <w:tcBorders>
              <w:top w:val="single" w:color="auto" w:sz="4" w:space="0"/>
              <w:left w:val="nil"/>
              <w:bottom w:val="single" w:color="auto" w:sz="4" w:space="0"/>
              <w:right w:val="single" w:color="auto" w:sz="4" w:space="0"/>
            </w:tcBorders>
          </w:tcPr>
          <w:p>
            <w:pPr>
              <w:widowControl/>
              <w:spacing w:line="300" w:lineRule="exact"/>
              <w:ind w:firstLine="200"/>
              <w:rPr>
                <w:rFonts w:cs="Arial" w:asciiTheme="minorEastAsia" w:hAnsiTheme="minorEastAsia" w:eastAsiaTheme="minorEastAsia"/>
                <w:kern w:val="0"/>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取回校准</w:t>
            </w:r>
          </w:p>
        </w:tc>
        <w:tc>
          <w:tcPr>
            <w:tcW w:w="1417" w:type="dxa"/>
            <w:vMerge w:val="continue"/>
            <w:tcBorders>
              <w:top w:val="single" w:color="auto" w:sz="4" w:space="0"/>
              <w:left w:val="single" w:color="auto" w:sz="4" w:space="0"/>
              <w:bottom w:val="single" w:color="auto" w:sz="4" w:space="0"/>
              <w:right w:val="single" w:color="auto" w:sz="4" w:space="0"/>
            </w:tcBorders>
          </w:tcPr>
          <w:p>
            <w:pPr>
              <w:widowControl/>
              <w:spacing w:line="300" w:lineRule="exact"/>
              <w:ind w:firstLine="200"/>
              <w:rPr>
                <w:rFonts w:cs="Arial" w:asciiTheme="minorEastAsia" w:hAnsiTheme="minorEastAsia" w:eastAsiaTheme="minorEastAsia"/>
                <w:kern w:val="0"/>
                <w:sz w:val="24"/>
                <w:szCs w:val="24"/>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sz w:val="20"/>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猎德分公司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72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71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沥滘分公司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绝缘垫</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/卷</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55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480" w:firstLineChars="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大沙地分公司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19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r>
              <w:rPr>
                <w:rFonts w:hint="eastAsia" w:cs="Arial" w:asciiTheme="minorEastAsia" w:hAnsiTheme="minorEastAsia" w:eastAsiaTheme="minorEastAsia"/>
                <w:kern w:val="0"/>
                <w:sz w:val="24"/>
                <w:szCs w:val="24"/>
              </w:rPr>
              <w:t>、</w:t>
            </w:r>
            <w:r>
              <w:rPr>
                <w:rFonts w:cs="Arial" w:asciiTheme="minorEastAsia" w:hAnsiTheme="minorEastAsia" w:eastAsiaTheme="minorEastAsia"/>
                <w:kern w:val="0"/>
                <w:sz w:val="24"/>
                <w:szCs w:val="24"/>
              </w:rPr>
              <w:t>25KV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r>
              <w:rPr>
                <w:rFonts w:hint="eastAsia" w:cs="Arial" w:asciiTheme="minorEastAsia" w:hAnsiTheme="minorEastAsia" w:eastAsiaTheme="minorEastAsia"/>
                <w:kern w:val="0"/>
                <w:sz w:val="24"/>
                <w:szCs w:val="24"/>
              </w:rPr>
              <w:t>、</w:t>
            </w:r>
            <w:r>
              <w:rPr>
                <w:rFonts w:cs="Arial" w:asciiTheme="minorEastAsia" w:hAnsiTheme="minorEastAsia" w:eastAsiaTheme="minorEastAsia"/>
                <w:kern w:val="0"/>
                <w:sz w:val="24"/>
                <w:szCs w:val="24"/>
              </w:rPr>
              <w:t>25KV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龙归分公司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sz w:val="20"/>
              </w:rPr>
              <w:t>73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29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竹料分公司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竹料分公司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竹料分公司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12KV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96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25KV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96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石井净水分公司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高压熔芯夹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/把</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39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大观分公司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42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49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江高分公司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绝缘操作杆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绝缘手套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绝缘鞋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/对</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22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高压验电笔（器）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54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健康城分公司</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接地线</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10KV</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righ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/套</w:t>
            </w:r>
            <w:r>
              <w:rPr>
                <w:rFonts w:cs="Arial" w:asciiTheme="minorEastAsia" w:hAnsiTheme="minorEastAsia" w:eastAsiaTheme="minorEastAsia"/>
                <w:color w:val="000000"/>
                <w:kern w:val="0"/>
                <w:sz w:val="24"/>
                <w:szCs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rPr>
            </w:pPr>
            <w:r>
              <w:rPr>
                <w:rFonts w:ascii="Arial" w:hAnsi="Arial" w:cs="Arial"/>
                <w:color w:val="000000"/>
                <w:sz w:val="20"/>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417" w:type="dxa"/>
            <w:tcBorders>
              <w:top w:val="single" w:color="auto" w:sz="4" w:space="0"/>
              <w:left w:val="single" w:color="auto" w:sz="4" w:space="0"/>
              <w:bottom w:val="single" w:color="auto" w:sz="4" w:space="0"/>
              <w:right w:val="single" w:color="auto" w:sz="4" w:space="0"/>
            </w:tcBorders>
          </w:tcPr>
          <w:p>
            <w:pPr>
              <w:widowControl/>
              <w:spacing w:line="300" w:lineRule="exact"/>
              <w:ind w:firstLine="200"/>
              <w:jc w:val="center"/>
              <w:rPr>
                <w:rFonts w:hint="eastAsia"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598" w:hRule="atLeast"/>
          <w:jc w:val="center"/>
        </w:trPr>
        <w:tc>
          <w:tcPr>
            <w:tcW w:w="467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eastAsia="zh-CN"/>
              </w:rPr>
              <w:t>合计</w:t>
            </w:r>
            <w:r>
              <w:rPr>
                <w:rFonts w:cs="Arial" w:asciiTheme="minorEastAsia" w:hAnsiTheme="minorEastAsia" w:eastAsiaTheme="minorEastAsia"/>
                <w:kern w:val="0"/>
                <w:sz w:val="24"/>
                <w:szCs w:val="24"/>
              </w:rPr>
              <w:t>总金额</w:t>
            </w:r>
            <w:r>
              <w:rPr>
                <w:rFonts w:hint="eastAsia" w:cs="Arial" w:asciiTheme="minorEastAsia" w:hAnsiTheme="minorEastAsia" w:eastAsiaTheme="minorEastAsia"/>
                <w:kern w:val="0"/>
                <w:sz w:val="24"/>
                <w:szCs w:val="24"/>
              </w:rPr>
              <w:t>（元）</w:t>
            </w:r>
          </w:p>
        </w:tc>
        <w:tc>
          <w:tcPr>
            <w:tcW w:w="49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200"/>
              <w:jc w:val="center"/>
              <w:rPr>
                <w:rFonts w:hint="eastAsia" w:cs="宋体" w:asciiTheme="minorEastAsia" w:hAnsiTheme="minorEastAsia" w:eastAsiaTheme="minorEastAsia"/>
                <w:kern w:val="0"/>
                <w:sz w:val="18"/>
                <w:szCs w:val="18"/>
              </w:rPr>
            </w:pPr>
          </w:p>
        </w:tc>
      </w:tr>
    </w:tbl>
    <w:p>
      <w:pPr>
        <w:adjustRightInd w:val="0"/>
        <w:snapToGrid w:val="0"/>
        <w:spacing w:line="360" w:lineRule="auto"/>
        <w:ind w:firstLine="480" w:firstLineChars="200"/>
        <w:rPr>
          <w:rFonts w:cs="宋体" w:asciiTheme="minorEastAsia" w:hAnsiTheme="minorEastAsia" w:eastAsiaTheme="minorEastAsia"/>
          <w:kern w:val="0"/>
          <w:sz w:val="24"/>
          <w:szCs w:val="24"/>
        </w:rPr>
      </w:pPr>
      <w:r>
        <w:rPr>
          <w:rFonts w:ascii="仿宋_GB2312"/>
          <w:sz w:val="24"/>
        </w:rPr>
        <w:t>备注</w:t>
      </w:r>
      <w:r>
        <w:rPr>
          <w:rFonts w:hint="eastAsia" w:ascii="仿宋_GB2312"/>
          <w:sz w:val="24"/>
        </w:rPr>
        <w:t>：1</w:t>
      </w:r>
      <w:r>
        <w:rPr>
          <w:rFonts w:ascii="仿宋_GB2312"/>
          <w:sz w:val="24"/>
        </w:rPr>
        <w:t>.该单价需包</w:t>
      </w:r>
      <w:r>
        <w:rPr>
          <w:rFonts w:hint="eastAsia" w:cs="宋体" w:asciiTheme="minorEastAsia" w:hAnsiTheme="minorEastAsia" w:eastAsiaTheme="minorEastAsia"/>
          <w:kern w:val="0"/>
          <w:sz w:val="24"/>
          <w:szCs w:val="24"/>
        </w:rPr>
        <w:t>含增值税专用发票。</w:t>
      </w:r>
    </w:p>
    <w:p>
      <w:pPr>
        <w:adjustRightInd w:val="0"/>
        <w:snapToGrid w:val="0"/>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w:t>
      </w:r>
      <w:r>
        <w:rPr>
          <w:rFonts w:cs="宋体" w:asciiTheme="minorEastAsia" w:hAnsiTheme="minorEastAsia" w:eastAsiaTheme="minorEastAsia"/>
          <w:kern w:val="0"/>
          <w:sz w:val="24"/>
          <w:szCs w:val="24"/>
        </w:rPr>
        <w:t xml:space="preserve">         2.免收交通快递费</w:t>
      </w:r>
      <w:r>
        <w:rPr>
          <w:rFonts w:hint="eastAsia" w:cs="宋体" w:asciiTheme="minorEastAsia" w:hAnsiTheme="minorEastAsia" w:eastAsiaTheme="minorEastAsia"/>
          <w:kern w:val="0"/>
          <w:sz w:val="24"/>
          <w:szCs w:val="24"/>
        </w:rPr>
        <w:t>。</w:t>
      </w:r>
    </w:p>
    <w:p/>
    <w:sectPr>
      <w:headerReference r:id="rId14" w:type="default"/>
      <w:footerReference r:id="rId15"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rStyle w:val="17"/>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7"/>
      </w:rPr>
    </w:pPr>
    <w:r>
      <w:fldChar w:fldCharType="begin"/>
    </w:r>
    <w:r>
      <w:rPr>
        <w:rStyle w:val="17"/>
      </w:rPr>
      <w:instrText xml:space="preserve">PAGE  </w:instrText>
    </w:r>
    <w:r>
      <w:fldChar w:fldCharType="separate"/>
    </w:r>
    <w:r>
      <w:rPr>
        <w:rStyle w:val="17"/>
      </w:rPr>
      <w:t>6</w:t>
    </w:r>
    <w:r>
      <w:fldChar w:fldCharType="end"/>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2"/>
  </w:compat>
  <w:rsids>
    <w:rsidRoot w:val="00172A27"/>
    <w:rsid w:val="00016793"/>
    <w:rsid w:val="00017316"/>
    <w:rsid w:val="00020A3A"/>
    <w:rsid w:val="00041B68"/>
    <w:rsid w:val="00041C38"/>
    <w:rsid w:val="00052162"/>
    <w:rsid w:val="00083028"/>
    <w:rsid w:val="00084665"/>
    <w:rsid w:val="00086B44"/>
    <w:rsid w:val="00092B53"/>
    <w:rsid w:val="000D00B1"/>
    <w:rsid w:val="000E18AB"/>
    <w:rsid w:val="001021AF"/>
    <w:rsid w:val="001033F4"/>
    <w:rsid w:val="00113C90"/>
    <w:rsid w:val="001232FD"/>
    <w:rsid w:val="00126F4B"/>
    <w:rsid w:val="00132226"/>
    <w:rsid w:val="001420AD"/>
    <w:rsid w:val="001437B0"/>
    <w:rsid w:val="0014674F"/>
    <w:rsid w:val="0015334A"/>
    <w:rsid w:val="001573AC"/>
    <w:rsid w:val="00170F56"/>
    <w:rsid w:val="00172A27"/>
    <w:rsid w:val="001C789C"/>
    <w:rsid w:val="001D0C87"/>
    <w:rsid w:val="00213AE2"/>
    <w:rsid w:val="002214C1"/>
    <w:rsid w:val="00226167"/>
    <w:rsid w:val="002264DA"/>
    <w:rsid w:val="002277B0"/>
    <w:rsid w:val="002501F4"/>
    <w:rsid w:val="00265998"/>
    <w:rsid w:val="00283D77"/>
    <w:rsid w:val="002900A2"/>
    <w:rsid w:val="00297134"/>
    <w:rsid w:val="002A724B"/>
    <w:rsid w:val="002B098E"/>
    <w:rsid w:val="002B5A58"/>
    <w:rsid w:val="002D112B"/>
    <w:rsid w:val="002F18E0"/>
    <w:rsid w:val="003074F7"/>
    <w:rsid w:val="00314B21"/>
    <w:rsid w:val="0031777F"/>
    <w:rsid w:val="00317940"/>
    <w:rsid w:val="0033207F"/>
    <w:rsid w:val="003329F6"/>
    <w:rsid w:val="00341E25"/>
    <w:rsid w:val="003434F2"/>
    <w:rsid w:val="00352303"/>
    <w:rsid w:val="003641AF"/>
    <w:rsid w:val="0036467A"/>
    <w:rsid w:val="00365FF8"/>
    <w:rsid w:val="00371D56"/>
    <w:rsid w:val="003747B6"/>
    <w:rsid w:val="003767EA"/>
    <w:rsid w:val="00391EE2"/>
    <w:rsid w:val="003A005D"/>
    <w:rsid w:val="003A12D5"/>
    <w:rsid w:val="003A54B1"/>
    <w:rsid w:val="003C1158"/>
    <w:rsid w:val="003C3F9F"/>
    <w:rsid w:val="003C6726"/>
    <w:rsid w:val="003E4787"/>
    <w:rsid w:val="003E498E"/>
    <w:rsid w:val="0040007C"/>
    <w:rsid w:val="004059DD"/>
    <w:rsid w:val="00410FFE"/>
    <w:rsid w:val="00414C19"/>
    <w:rsid w:val="00450058"/>
    <w:rsid w:val="0046127B"/>
    <w:rsid w:val="0047498D"/>
    <w:rsid w:val="004E7A85"/>
    <w:rsid w:val="004E7CF2"/>
    <w:rsid w:val="00501303"/>
    <w:rsid w:val="005062FC"/>
    <w:rsid w:val="005106E9"/>
    <w:rsid w:val="00520A3B"/>
    <w:rsid w:val="005255BD"/>
    <w:rsid w:val="00527E41"/>
    <w:rsid w:val="00552C24"/>
    <w:rsid w:val="00563FAE"/>
    <w:rsid w:val="00592274"/>
    <w:rsid w:val="005B127B"/>
    <w:rsid w:val="005C0D4B"/>
    <w:rsid w:val="005C4980"/>
    <w:rsid w:val="005F3B1A"/>
    <w:rsid w:val="006016AD"/>
    <w:rsid w:val="00602BFD"/>
    <w:rsid w:val="00611396"/>
    <w:rsid w:val="00614FFA"/>
    <w:rsid w:val="00621534"/>
    <w:rsid w:val="00621A3C"/>
    <w:rsid w:val="00621CAD"/>
    <w:rsid w:val="00633D43"/>
    <w:rsid w:val="00663714"/>
    <w:rsid w:val="006930AA"/>
    <w:rsid w:val="006A4BAF"/>
    <w:rsid w:val="006B062A"/>
    <w:rsid w:val="006B5BEE"/>
    <w:rsid w:val="00704A13"/>
    <w:rsid w:val="0071251F"/>
    <w:rsid w:val="00743DEA"/>
    <w:rsid w:val="00755775"/>
    <w:rsid w:val="0075647C"/>
    <w:rsid w:val="00760BA5"/>
    <w:rsid w:val="00776BB5"/>
    <w:rsid w:val="00783633"/>
    <w:rsid w:val="007A691D"/>
    <w:rsid w:val="007B4EC7"/>
    <w:rsid w:val="007C052F"/>
    <w:rsid w:val="007C61F4"/>
    <w:rsid w:val="007D601C"/>
    <w:rsid w:val="007E332F"/>
    <w:rsid w:val="007F6D27"/>
    <w:rsid w:val="007F6F47"/>
    <w:rsid w:val="0082091A"/>
    <w:rsid w:val="00824DC6"/>
    <w:rsid w:val="00836071"/>
    <w:rsid w:val="00855717"/>
    <w:rsid w:val="00870CE2"/>
    <w:rsid w:val="0087285C"/>
    <w:rsid w:val="008A0C8A"/>
    <w:rsid w:val="008B642B"/>
    <w:rsid w:val="008C719D"/>
    <w:rsid w:val="008C71D4"/>
    <w:rsid w:val="008D0175"/>
    <w:rsid w:val="008F15E5"/>
    <w:rsid w:val="008F55E6"/>
    <w:rsid w:val="008F7374"/>
    <w:rsid w:val="0090201C"/>
    <w:rsid w:val="00907B57"/>
    <w:rsid w:val="009529B1"/>
    <w:rsid w:val="00957D6B"/>
    <w:rsid w:val="0096322E"/>
    <w:rsid w:val="00964E4F"/>
    <w:rsid w:val="00982CDA"/>
    <w:rsid w:val="00993716"/>
    <w:rsid w:val="009A57ED"/>
    <w:rsid w:val="009E131F"/>
    <w:rsid w:val="009E7E94"/>
    <w:rsid w:val="00A1207E"/>
    <w:rsid w:val="00A20F09"/>
    <w:rsid w:val="00A215BB"/>
    <w:rsid w:val="00A35EA9"/>
    <w:rsid w:val="00A37F8F"/>
    <w:rsid w:val="00A51E44"/>
    <w:rsid w:val="00A544D0"/>
    <w:rsid w:val="00A60BB9"/>
    <w:rsid w:val="00A72A9B"/>
    <w:rsid w:val="00A81D88"/>
    <w:rsid w:val="00A8461C"/>
    <w:rsid w:val="00A85D40"/>
    <w:rsid w:val="00A93137"/>
    <w:rsid w:val="00AA5056"/>
    <w:rsid w:val="00AE0316"/>
    <w:rsid w:val="00AE3512"/>
    <w:rsid w:val="00AF02FA"/>
    <w:rsid w:val="00AF25A5"/>
    <w:rsid w:val="00B06D43"/>
    <w:rsid w:val="00B104E3"/>
    <w:rsid w:val="00B52256"/>
    <w:rsid w:val="00B67944"/>
    <w:rsid w:val="00B857E9"/>
    <w:rsid w:val="00B94D25"/>
    <w:rsid w:val="00B958AA"/>
    <w:rsid w:val="00BA3A33"/>
    <w:rsid w:val="00BD2E07"/>
    <w:rsid w:val="00BD3A21"/>
    <w:rsid w:val="00BE0F1A"/>
    <w:rsid w:val="00BE0F68"/>
    <w:rsid w:val="00BF68EA"/>
    <w:rsid w:val="00BF7E39"/>
    <w:rsid w:val="00C35EBD"/>
    <w:rsid w:val="00C36BA9"/>
    <w:rsid w:val="00C87996"/>
    <w:rsid w:val="00C92DF7"/>
    <w:rsid w:val="00C946D4"/>
    <w:rsid w:val="00CA0253"/>
    <w:rsid w:val="00CC48D2"/>
    <w:rsid w:val="00CF4C91"/>
    <w:rsid w:val="00CF7EFD"/>
    <w:rsid w:val="00D16047"/>
    <w:rsid w:val="00D163D6"/>
    <w:rsid w:val="00D4562B"/>
    <w:rsid w:val="00D46885"/>
    <w:rsid w:val="00D524CE"/>
    <w:rsid w:val="00D62E29"/>
    <w:rsid w:val="00D700E2"/>
    <w:rsid w:val="00D83CBD"/>
    <w:rsid w:val="00DA3284"/>
    <w:rsid w:val="00DA3747"/>
    <w:rsid w:val="00DC4BB4"/>
    <w:rsid w:val="00DE1E3F"/>
    <w:rsid w:val="00DF5438"/>
    <w:rsid w:val="00E11164"/>
    <w:rsid w:val="00E12B66"/>
    <w:rsid w:val="00E25222"/>
    <w:rsid w:val="00E253BE"/>
    <w:rsid w:val="00E357F2"/>
    <w:rsid w:val="00E503C1"/>
    <w:rsid w:val="00E62F88"/>
    <w:rsid w:val="00E8657E"/>
    <w:rsid w:val="00E954A0"/>
    <w:rsid w:val="00E97087"/>
    <w:rsid w:val="00EA399F"/>
    <w:rsid w:val="00EB3419"/>
    <w:rsid w:val="00EC64E5"/>
    <w:rsid w:val="00F03221"/>
    <w:rsid w:val="00F11ADE"/>
    <w:rsid w:val="00F30119"/>
    <w:rsid w:val="00F3648A"/>
    <w:rsid w:val="00F368B2"/>
    <w:rsid w:val="00F44B81"/>
    <w:rsid w:val="00F50ECA"/>
    <w:rsid w:val="00F52DE0"/>
    <w:rsid w:val="00F56717"/>
    <w:rsid w:val="00FA18B0"/>
    <w:rsid w:val="00FB2CE1"/>
    <w:rsid w:val="00FB4623"/>
    <w:rsid w:val="00FD0A3E"/>
    <w:rsid w:val="027A5F7E"/>
    <w:rsid w:val="02910E7F"/>
    <w:rsid w:val="03F97C93"/>
    <w:rsid w:val="05087E50"/>
    <w:rsid w:val="06F253F2"/>
    <w:rsid w:val="07DF75F9"/>
    <w:rsid w:val="09036FEC"/>
    <w:rsid w:val="09B207F9"/>
    <w:rsid w:val="0B021542"/>
    <w:rsid w:val="0B856175"/>
    <w:rsid w:val="0E871FE6"/>
    <w:rsid w:val="0F8D020F"/>
    <w:rsid w:val="106B5A52"/>
    <w:rsid w:val="11A021F8"/>
    <w:rsid w:val="1457366A"/>
    <w:rsid w:val="14E57AA8"/>
    <w:rsid w:val="156E33B1"/>
    <w:rsid w:val="162B1506"/>
    <w:rsid w:val="16732FEB"/>
    <w:rsid w:val="176E7480"/>
    <w:rsid w:val="187F72BD"/>
    <w:rsid w:val="18A93985"/>
    <w:rsid w:val="194C5F03"/>
    <w:rsid w:val="19D93FDE"/>
    <w:rsid w:val="1A5A5F65"/>
    <w:rsid w:val="1C3166C0"/>
    <w:rsid w:val="1E5828D6"/>
    <w:rsid w:val="1E8A1A2E"/>
    <w:rsid w:val="1F516372"/>
    <w:rsid w:val="1FD430C8"/>
    <w:rsid w:val="20E33285"/>
    <w:rsid w:val="22551E62"/>
    <w:rsid w:val="230D1610"/>
    <w:rsid w:val="23A52A88"/>
    <w:rsid w:val="24121125"/>
    <w:rsid w:val="250B3654"/>
    <w:rsid w:val="269221D6"/>
    <w:rsid w:val="269C0568"/>
    <w:rsid w:val="27563635"/>
    <w:rsid w:val="27567996"/>
    <w:rsid w:val="27B45138"/>
    <w:rsid w:val="2B52084C"/>
    <w:rsid w:val="2BB36041"/>
    <w:rsid w:val="2BCA23E3"/>
    <w:rsid w:val="2D6119E0"/>
    <w:rsid w:val="2EC64439"/>
    <w:rsid w:val="2FDA6411"/>
    <w:rsid w:val="308974AE"/>
    <w:rsid w:val="325B51AB"/>
    <w:rsid w:val="33766BFC"/>
    <w:rsid w:val="352765C3"/>
    <w:rsid w:val="37152C21"/>
    <w:rsid w:val="392F3EDF"/>
    <w:rsid w:val="39704948"/>
    <w:rsid w:val="39DD52FC"/>
    <w:rsid w:val="3B8E0546"/>
    <w:rsid w:val="3E3402C7"/>
    <w:rsid w:val="3F34383F"/>
    <w:rsid w:val="4071006F"/>
    <w:rsid w:val="415E1BCB"/>
    <w:rsid w:val="43714570"/>
    <w:rsid w:val="449569CD"/>
    <w:rsid w:val="44C2005E"/>
    <w:rsid w:val="46F6477A"/>
    <w:rsid w:val="47C04B23"/>
    <w:rsid w:val="48DF209C"/>
    <w:rsid w:val="4A0465FC"/>
    <w:rsid w:val="4DB53509"/>
    <w:rsid w:val="4DF57B76"/>
    <w:rsid w:val="4E0C3F18"/>
    <w:rsid w:val="4E3605DF"/>
    <w:rsid w:val="4F105D44"/>
    <w:rsid w:val="507D380F"/>
    <w:rsid w:val="51A32C5C"/>
    <w:rsid w:val="51A61200"/>
    <w:rsid w:val="53211D72"/>
    <w:rsid w:val="54B74BF2"/>
    <w:rsid w:val="54C93027"/>
    <w:rsid w:val="560F58BD"/>
    <w:rsid w:val="562D552D"/>
    <w:rsid w:val="5BB167FD"/>
    <w:rsid w:val="5BE80ED6"/>
    <w:rsid w:val="5E7269C5"/>
    <w:rsid w:val="5F8D7DD2"/>
    <w:rsid w:val="60C94E11"/>
    <w:rsid w:val="66007D67"/>
    <w:rsid w:val="663F0B50"/>
    <w:rsid w:val="69C61397"/>
    <w:rsid w:val="6C105A58"/>
    <w:rsid w:val="6D095C70"/>
    <w:rsid w:val="6D4B1F5D"/>
    <w:rsid w:val="6D8238A7"/>
    <w:rsid w:val="6E8F7310"/>
    <w:rsid w:val="6F483FA1"/>
    <w:rsid w:val="719470B8"/>
    <w:rsid w:val="732E3907"/>
    <w:rsid w:val="73D16993"/>
    <w:rsid w:val="74C6660B"/>
    <w:rsid w:val="75011284"/>
    <w:rsid w:val="75200B56"/>
    <w:rsid w:val="75435570"/>
    <w:rsid w:val="75B23136"/>
    <w:rsid w:val="781A002A"/>
    <w:rsid w:val="796075AF"/>
    <w:rsid w:val="7A026DB8"/>
    <w:rsid w:val="7B1227F8"/>
    <w:rsid w:val="7C00467F"/>
    <w:rsid w:val="7C42096C"/>
    <w:rsid w:val="7D72325C"/>
    <w:rsid w:val="7D9D7924"/>
    <w:rsid w:val="7DDE038D"/>
    <w:rsid w:val="7DE60BCE"/>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7"/>
    <w:qFormat/>
    <w:uiPriority w:val="0"/>
    <w:pPr>
      <w:ind w:firstLine="420"/>
    </w:pPr>
    <w:rPr>
      <w:kern w:val="0"/>
      <w:sz w:val="20"/>
    </w:rPr>
  </w:style>
  <w:style w:type="paragraph" w:styleId="6">
    <w:name w:val="Body Text"/>
    <w:basedOn w:val="1"/>
    <w:unhideWhenUsed/>
    <w:qFormat/>
    <w:uiPriority w:val="99"/>
    <w:rPr>
      <w:sz w:val="28"/>
    </w:rPr>
  </w:style>
  <w:style w:type="paragraph" w:styleId="7">
    <w:name w:val="Body Text Indent"/>
    <w:basedOn w:val="1"/>
    <w:unhideWhenUsed/>
    <w:qFormat/>
    <w:uiPriority w:val="0"/>
    <w:pPr>
      <w:ind w:firstLine="830" w:firstLineChars="352"/>
    </w:pPr>
    <w:rPr>
      <w:rFonts w:ascii="仿宋_GB2312" w:eastAsia="仿宋_GB2312"/>
      <w:sz w:val="32"/>
    </w:rPr>
  </w:style>
  <w:style w:type="paragraph" w:styleId="8">
    <w:name w:val="Plain Text"/>
    <w:basedOn w:val="1"/>
    <w:link w:val="24"/>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Balloon Text"/>
    <w:basedOn w:val="1"/>
    <w:link w:val="28"/>
    <w:semiHidden/>
    <w:unhideWhenUsed/>
    <w:qFormat/>
    <w:uiPriority w:val="99"/>
    <w:rPr>
      <w:sz w:val="18"/>
      <w:szCs w:val="18"/>
    </w:rPr>
  </w:style>
  <w:style w:type="paragraph" w:styleId="11">
    <w:name w:val="footer"/>
    <w:basedOn w:val="1"/>
    <w:link w:val="22"/>
    <w:unhideWhenUsed/>
    <w:qFormat/>
    <w:uiPriority w:val="0"/>
    <w:pPr>
      <w:tabs>
        <w:tab w:val="center" w:pos="4153"/>
        <w:tab w:val="right" w:pos="8306"/>
      </w:tabs>
      <w:snapToGrid w:val="0"/>
      <w:jc w:val="left"/>
    </w:pPr>
    <w:rPr>
      <w:sz w:val="18"/>
    </w:rPr>
  </w:style>
  <w:style w:type="paragraph" w:styleId="12">
    <w:name w:val="header"/>
    <w:basedOn w:val="1"/>
    <w:link w:val="23"/>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Hyperlink"/>
    <w:basedOn w:val="16"/>
    <w:unhideWhenUsed/>
    <w:qFormat/>
    <w:uiPriority w:val="99"/>
    <w:rPr>
      <w:color w:val="0000FF"/>
      <w:u w:val="single"/>
    </w:rPr>
  </w:style>
  <w:style w:type="paragraph" w:customStyle="1" w:styleId="19">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0">
    <w:name w:val="Char"/>
    <w:basedOn w:val="1"/>
    <w:uiPriority w:val="0"/>
    <w:pPr>
      <w:spacing w:line="480" w:lineRule="exact"/>
    </w:pPr>
    <w:rPr>
      <w:sz w:val="24"/>
      <w:szCs w:val="24"/>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2">
    <w:name w:val="页脚 Char"/>
    <w:basedOn w:val="16"/>
    <w:link w:val="11"/>
    <w:qFormat/>
    <w:uiPriority w:val="99"/>
    <w:rPr>
      <w:sz w:val="18"/>
    </w:rPr>
  </w:style>
  <w:style w:type="character" w:customStyle="1" w:styleId="23">
    <w:name w:val="页眉 Char"/>
    <w:link w:val="12"/>
    <w:qFormat/>
    <w:uiPriority w:val="0"/>
    <w:rPr>
      <w:kern w:val="2"/>
      <w:sz w:val="18"/>
    </w:rPr>
  </w:style>
  <w:style w:type="character" w:customStyle="1" w:styleId="24">
    <w:name w:val="纯文本 Char"/>
    <w:basedOn w:val="16"/>
    <w:link w:val="8"/>
    <w:qFormat/>
    <w:uiPriority w:val="0"/>
    <w:rPr>
      <w:rFonts w:ascii="宋体" w:hAnsi="Courier New" w:cs="Courier New"/>
      <w:sz w:val="21"/>
      <w:szCs w:val="21"/>
    </w:rPr>
  </w:style>
  <w:style w:type="paragraph" w:customStyle="1" w:styleId="25">
    <w:name w:val="默认段落字体 Para Char Char Char Char Char Char1 Char"/>
    <w:basedOn w:val="1"/>
    <w:uiPriority w:val="0"/>
    <w:pPr>
      <w:spacing w:line="360" w:lineRule="auto"/>
    </w:pPr>
    <w:rPr>
      <w:rFonts w:ascii="Calibri" w:hAnsi="Calibri" w:eastAsia="仿宋_GB2312"/>
      <w:kern w:val="0"/>
      <w:sz w:val="30"/>
    </w:rPr>
  </w:style>
  <w:style w:type="paragraph" w:styleId="26">
    <w:name w:val="List Paragraph"/>
    <w:basedOn w:val="1"/>
    <w:qFormat/>
    <w:uiPriority w:val="34"/>
    <w:pPr>
      <w:ind w:firstLine="420" w:firstLineChars="200"/>
    </w:pPr>
  </w:style>
  <w:style w:type="character" w:customStyle="1" w:styleId="27">
    <w:name w:val="正文缩进 Char"/>
    <w:link w:val="5"/>
    <w:qFormat/>
    <w:uiPriority w:val="0"/>
  </w:style>
  <w:style w:type="character" w:customStyle="1" w:styleId="28">
    <w:name w:val="批注框文本 Char"/>
    <w:basedOn w:val="16"/>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DD7302-1170-43E4-9213-8891F02AD153}">
  <ds:schemaRefs/>
</ds:datastoreItem>
</file>

<file path=docProps/app.xml><?xml version="1.0" encoding="utf-8"?>
<Properties xmlns="http://schemas.openxmlformats.org/officeDocument/2006/extended-properties" xmlns:vt="http://schemas.openxmlformats.org/officeDocument/2006/docPropsVTypes">
  <Template>Normal</Template>
  <Pages>41</Pages>
  <Words>3112</Words>
  <Characters>17745</Characters>
  <Lines>147</Lines>
  <Paragraphs>41</Paragraphs>
  <TotalTime>2</TotalTime>
  <ScaleCrop>false</ScaleCrop>
  <LinksUpToDate>false</LinksUpToDate>
  <CharactersWithSpaces>20816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黄大神</cp:lastModifiedBy>
  <cp:lastPrinted>2020-07-02T09:45:00Z</cp:lastPrinted>
  <dcterms:modified xsi:type="dcterms:W3CDTF">2020-07-23T00:57:55Z</dcterms:modified>
  <dc:title>询价文件</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